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25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bookmarkEnd w:id="20"/>
    <w:bookmarkStart w:id="33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(fig. 1)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0⊕0 = 0, 0⊕1 = 1, 1⊕0 = 1, 1⊕1 = 0.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</w:t>
      </w:r>
    </w:p>
    <w:p>
      <w:pPr>
        <w:pStyle w:val="CaptionedFigure"/>
      </w:pPr>
      <w:bookmarkStart w:id="24" w:name="fig:scheme"/>
      <w:r>
        <w:drawing>
          <wp:inline>
            <wp:extent cx="4175760" cy="1066800"/>
            <wp:effectExtent b="0" l="0" r="0" t="0"/>
            <wp:docPr descr="Figure 1: Схема однократного использования Вернама" title="" id="22" name="Picture"/>
            <a:graphic>
              <a:graphicData uri="http://schemas.openxmlformats.org/drawingml/2006/picture">
                <pic:pic>
                  <pic:nvPicPr>
                    <pic:cNvPr descr="images/schem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Схема однократного использования Вернама</w:t>
      </w:r>
    </w:p>
    <w:p>
      <w:pPr>
        <w:pStyle w:val="BodyText"/>
      </w:pPr>
      <w:r>
        <w:t xml:space="preserve">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 (fig. 2):</w:t>
      </w:r>
    </w:p>
    <w:p>
      <w:pPr>
        <w:pStyle w:val="CaptionedFigure"/>
      </w:pPr>
      <w:bookmarkStart w:id="28" w:name="fig:71"/>
      <w:r>
        <w:drawing>
          <wp:inline>
            <wp:extent cx="1539240" cy="327660"/>
            <wp:effectExtent b="0" l="0" r="0" t="0"/>
            <wp:docPr descr="Figure 2: Формула 7.1" title="" id="26" name="Picture"/>
            <a:graphic>
              <a:graphicData uri="http://schemas.openxmlformats.org/drawingml/2006/picture">
                <pic:pic>
                  <pic:nvPicPr>
                    <pic:cNvPr descr="images/7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Формула 7.1</w:t>
      </w:r>
    </w:p>
    <w:p>
      <w:pPr>
        <w:pStyle w:val="BodyText"/>
      </w:pPr>
      <w:r>
        <w:t xml:space="preserve">где C_i — i-й символ получившегося зашифрованного послания, P_i — i-й</w:t>
      </w:r>
      <w:r>
        <w:t xml:space="preserve"> </w:t>
      </w:r>
      <w:r>
        <w:t xml:space="preserve">символ открытого текста, K_i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(fig. 2), а именно, обе части равенства необходимо сложить по модулю 2 с P_i (fig. 3):</w:t>
      </w:r>
    </w:p>
    <w:p>
      <w:pPr>
        <w:pStyle w:val="CaptionedFigure"/>
      </w:pPr>
      <w:bookmarkStart w:id="32" w:name="fig:72"/>
      <w:r>
        <w:drawing>
          <wp:inline>
            <wp:extent cx="2339340" cy="548640"/>
            <wp:effectExtent b="0" l="0" r="0" t="0"/>
            <wp:docPr descr="Figure 3: Формула 7.2" title="" id="30" name="Picture"/>
            <a:graphic>
              <a:graphicData uri="http://schemas.openxmlformats.org/drawingml/2006/picture">
                <pic:pic>
                  <pic:nvPicPr>
                    <pic:cNvPr descr="images/7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Формула 7.2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 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p>
      <w:pPr>
        <w:pStyle w:val="BodyText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t xml:space="preserve">Штирлиц – Вы Герой!!</w:t>
      </w:r>
    </w:p>
    <w:p>
      <w:pPr>
        <w:pStyle w:val="BodyText"/>
      </w:pPr>
      <w: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t xml:space="preserve">D8 F2 E8 F0 EB E8 F6 20 2D 20 C2 FB 20 C1 EE EB E2 E0 ED 21</w:t>
      </w:r>
    </w:p>
    <w:p>
      <w:pPr>
        <w:pStyle w:val="BodyText"/>
      </w:pPr>
      <w: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3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Для выполнения работы была написана программа (fig. 4 - fig. 7) с помощью языка программирования С++, которая получает на вход открытый текст</w:t>
      </w:r>
      <w:r>
        <w:t xml:space="preserve"> </w:t>
      </w:r>
      <w:r>
        <w:t xml:space="preserve">“</w:t>
      </w:r>
      <w:r>
        <w:t xml:space="preserve">Stirlis - Vy Geroy!!</w:t>
      </w:r>
      <w:r>
        <w:t xml:space="preserve">”</w:t>
      </w:r>
      <w:r>
        <w:t xml:space="preserve"> </w:t>
      </w:r>
      <w:r>
        <w:t xml:space="preserve">и ключ</w:t>
      </w:r>
      <w:r>
        <w:t xml:space="preserve"> </w:t>
      </w:r>
      <w:r>
        <w:t xml:space="preserve">“</w:t>
      </w:r>
      <w:r>
        <w:t xml:space="preserve">05 0C 17 7F 0E 4E 37 D2 94 10 09 2E 22 57 FF C8 0B B2 70 54</w:t>
      </w:r>
      <w:r>
        <w:t xml:space="preserve">”</w:t>
      </w:r>
      <w:r>
        <w:t xml:space="preserve">, затем шифрует открытый текст методом однократного гаммирования и получает шифротекст. После этого методом сложения по модулю 2 или дешифровки методом однократного гаммирования определяет ключ, с помощью которого из полученного шифротекста можно получить целевой фрагмент текста, указанный в задании,</w:t>
      </w:r>
      <w:r>
        <w:t xml:space="preserve"> </w:t>
      </w:r>
      <w:r>
        <w:t xml:space="preserve">“</w:t>
      </w:r>
      <w:r>
        <w:t xml:space="preserve">S Novym Godom drysya</w:t>
      </w:r>
      <w:r>
        <w:t xml:space="preserve">”</w:t>
      </w:r>
      <w:r>
        <w:t xml:space="preserve"> </w:t>
      </w:r>
      <w:r>
        <w:t xml:space="preserve">(в данном сообщении были убраны запятая и восклицательный знак, чтобы добиться одинаковой размерности открытого и целевого текста, также сообщения транскрипированы на латиницу).</w:t>
      </w:r>
    </w:p>
    <w:p>
      <w:pPr>
        <w:pStyle w:val="CaptionedFigure"/>
      </w:pPr>
      <w:bookmarkStart w:id="37" w:name="fig:1"/>
      <w:r>
        <w:drawing>
          <wp:inline>
            <wp:extent cx="5334000" cy="3270414"/>
            <wp:effectExtent b="0" l="0" r="0" t="0"/>
            <wp:docPr descr="Figure 4: Программа (1)" title="" id="35" name="Picture"/>
            <a:graphic>
              <a:graphicData uri="http://schemas.openxmlformats.org/drawingml/2006/picture">
                <pic:pic>
                  <pic:nvPicPr>
                    <pic:cNvPr descr="images/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(1)</w:t>
      </w:r>
    </w:p>
    <w:p>
      <w:pPr>
        <w:pStyle w:val="CaptionedFigure"/>
      </w:pPr>
      <w:bookmarkStart w:id="41" w:name="fig:2"/>
      <w:r>
        <w:drawing>
          <wp:inline>
            <wp:extent cx="5334000" cy="3341280"/>
            <wp:effectExtent b="0" l="0" r="0" t="0"/>
            <wp:docPr descr="Figure 5: Программа (2)" title="" id="39" name="Picture"/>
            <a:graphic>
              <a:graphicData uri="http://schemas.openxmlformats.org/drawingml/2006/picture">
                <pic:pic>
                  <pic:nvPicPr>
                    <pic:cNvPr descr="images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Программа (2)</w:t>
      </w:r>
    </w:p>
    <w:p>
      <w:pPr>
        <w:pStyle w:val="CaptionedFigure"/>
      </w:pPr>
      <w:bookmarkStart w:id="45" w:name="fig:3"/>
      <w:r>
        <w:drawing>
          <wp:inline>
            <wp:extent cx="5334000" cy="3068036"/>
            <wp:effectExtent b="0" l="0" r="0" t="0"/>
            <wp:docPr descr="Figure 6: Программа (3)" title="" id="43" name="Picture"/>
            <a:graphic>
              <a:graphicData uri="http://schemas.openxmlformats.org/drawingml/2006/picture">
                <pic:pic>
                  <pic:nvPicPr>
                    <pic:cNvPr descr="images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(3)</w:t>
      </w:r>
    </w:p>
    <w:p>
      <w:pPr>
        <w:pStyle w:val="CaptionedFigure"/>
      </w:pPr>
      <w:bookmarkStart w:id="49" w:name="fig:4"/>
      <w:r>
        <w:drawing>
          <wp:inline>
            <wp:extent cx="5334000" cy="1679462"/>
            <wp:effectExtent b="0" l="0" r="0" t="0"/>
            <wp:docPr descr="Figure 7: Вывод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s/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Вывод работы программы</w:t>
      </w:r>
    </w:p>
    <w:bookmarkStart w:id="50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Поясните смысл однократного гаммирования. – Дан открытый текст и ключ для шифрования открытого текста, с помощью клуча можно как шифровать открытый текст для получения шифротекста, так и дешифровать шифротекст для получения открытого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однократного гаммирования. – Необходимость иметь огромные объемы данных, которые можно было бы использовать в качестве гаммы.</w:t>
      </w:r>
    </w:p>
    <w:p>
      <w:pPr>
        <w:numPr>
          <w:ilvl w:val="0"/>
          <w:numId w:val="1001"/>
        </w:numPr>
      </w:pPr>
      <w:r>
        <w:t xml:space="preserve">Перечислите преимущества однократного гаммирования. – 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1"/>
        </w:numPr>
      </w:pPr>
      <w:r>
        <w:t xml:space="preserve">Почему длина открытого текста должна совпадать с длиной ключа? – Потому что в данном методе для каждого символа открытого текста предполагается символ ключа, наложение которорого приводит к шифровке символа открытого текста.</w:t>
      </w:r>
    </w:p>
    <w:p>
      <w:pPr>
        <w:numPr>
          <w:ilvl w:val="0"/>
          <w:numId w:val="1001"/>
        </w:numPr>
      </w:pPr>
      <w:r>
        <w:t xml:space="preserve">Какая операция используется в режиме однократного гаммирования, назовите её особенности? – Сложения по модулю 2 (XOR). Метод шифрования является симметричным, так как двойное при-</w:t>
      </w:r>
      <w:r>
        <w:t xml:space="preserve"> </w:t>
      </w:r>
      <w:r>
        <w:t xml:space="preserve">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numPr>
          <w:ilvl w:val="0"/>
          <w:numId w:val="1001"/>
        </w:numPr>
      </w:pPr>
      <w:r>
        <w:t xml:space="preserve">Как по открытому тексту и ключу получить шифротекст? – Шифротекст = открытый текст XOR ключ.</w:t>
      </w:r>
    </w:p>
    <w:p>
      <w:pPr>
        <w:numPr>
          <w:ilvl w:val="0"/>
          <w:numId w:val="1001"/>
        </w:numPr>
      </w:pPr>
      <w:r>
        <w:t xml:space="preserve">Как по открытому тексту и шифротексту получить ключ? – Ключ = открытый текст XOR шифротекст.</w:t>
      </w:r>
    </w:p>
    <w:p>
      <w:pPr>
        <w:numPr>
          <w:ilvl w:val="0"/>
          <w:numId w:val="1001"/>
        </w:numPr>
      </w:pPr>
      <w:r>
        <w:t xml:space="preserve">В чем заключаются необходимые и достаточные условия абсолютной стойкости шифра? – Необходимые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№7</dc:title>
  <dc:creator>Горбунова Ярослава Михайловна</dc:creator>
  <dc:language>ru-RU</dc:language>
  <cp:keywords/>
  <dcterms:created xsi:type="dcterms:W3CDTF">2022-10-14T09:32:35Z</dcterms:created>
  <dcterms:modified xsi:type="dcterms:W3CDTF">2022-10-14T09:32:35Z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Элементы криптографии. Однократное гаммирование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