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 [1].</w:t>
      </w:r>
    </w:p>
    <w:bookmarkEnd w:id="20"/>
    <w:bookmarkStart w:id="25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Исходные данные.</w:t>
      </w:r>
      <w:r>
        <w:t xml:space="preserve"> </w:t>
      </w:r>
      <w:r>
        <w:t xml:space="preserve">Две телеграммы Центра:</w:t>
      </w:r>
    </w:p>
    <w:p>
      <w:pPr>
        <w:pStyle w:val="BodyText"/>
      </w:pP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</w:p>
    <w:p>
      <w:pPr>
        <w:pStyle w:val="BodyText"/>
      </w:pPr>
      <w:r>
        <w:t xml:space="preserve">Ключ Центра длиной 20 байт:</w:t>
      </w:r>
    </w:p>
    <w:p>
      <w:pPr>
        <w:pStyle w:val="BodyText"/>
      </w:pPr>
      <w:r>
        <w:t xml:space="preserve">K = 05 0C 17 7F 0E 4E 37 D2 94 10 09 2E 22 57 FF C8 OB B2 70 54</w:t>
      </w:r>
    </w:p>
    <w:p>
      <w:pPr>
        <w:pStyle w:val="BodyText"/>
      </w:pPr>
      <w:r>
        <w:t xml:space="preserve">Режим шифрования однократного гаммирования одним ключом двух</w:t>
      </w:r>
      <w:r>
        <w:t xml:space="preserve"> </w:t>
      </w:r>
      <w:r>
        <w:t xml:space="preserve">видов открытого текста реализуется в соответствии со схемой, приведённой на fig. 1.</w:t>
      </w:r>
    </w:p>
    <w:p>
      <w:pPr>
        <w:pStyle w:val="CaptionedFigure"/>
      </w:pPr>
      <w:bookmarkStart w:id="24" w:name="fig:form1"/>
      <w:r>
        <w:drawing>
          <wp:inline>
            <wp:extent cx="3870960" cy="1455420"/>
            <wp:effectExtent b="0" l="0" r="0" t="0"/>
            <wp:docPr descr="Figure 1: Общая схема шифрования двух различных текстов одним ключом" title="" id="22" name="Picture"/>
            <a:graphic>
              <a:graphicData uri="http://schemas.openxmlformats.org/drawingml/2006/picture">
                <pic:pic>
                  <pic:nvPicPr>
                    <pic:cNvPr descr="images/form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Общая схема шифрования двух различных текстов одним ключом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w:r>
        <w:t xml:space="preserve">C1 = P1 ⊕ K,</w:t>
      </w:r>
      <w:r>
        <w:t xml:space="preserve"> </w:t>
      </w:r>
      <w:r>
        <w:t xml:space="preserve">C2 = P2 ⊕ K. (8.1)</w:t>
      </w:r>
    </w:p>
    <w:p>
      <w:pPr>
        <w:pStyle w:val="BodyText"/>
      </w:pPr>
      <w:r>
        <w:t xml:space="preserve">Открытый текст можно найти в соответствии с (8.1), зная шифротекст</w:t>
      </w:r>
      <w:r>
        <w:t xml:space="preserve"> </w:t>
      </w:r>
      <w:r>
        <w:t xml:space="preserve">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w:r>
        <w:t xml:space="preserve">1⊕1 = 0, 1⊕0 = 1 (8.2)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C1 ⊕C2 = P1 ⊕K ⊕P2 ⊕K = P1 ⊕P2.</w:t>
      </w:r>
    </w:p>
    <w:p>
      <w:pPr>
        <w:pStyle w:val="BodyText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 C1 ⊕C2 (известен вид обеих шифровок). Тогда зная</w:t>
      </w:r>
      <w:r>
        <w:t xml:space="preserve"> </w:t>
      </w:r>
      <w:r>
        <w:t xml:space="preserve">P1 и учитывая (8.2), имеем:</w:t>
      </w:r>
    </w:p>
    <w:p>
      <w:pPr>
        <w:pStyle w:val="BodyText"/>
      </w:pPr>
      <w:r>
        <w:t xml:space="preserve">C1 ⊕C2 ⊕P1 = P1 ⊕P2 ⊕P1 = P2. (8.3)</w:t>
      </w:r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(8.3) с подстановкой вместо P1 полученных на предыдущем шаге новых символов сообщения P2.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bookmarkEnd w:id="25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p>
      <w:pPr>
        <w:pStyle w:val="BodyText"/>
      </w:pPr>
      <w:r>
        <w:t xml:space="preserve">Для выполнения работы была написана программа (fig. 2 - fig. 6) с помощью языка программирования С++, которая получает на вход два открытых текста</w:t>
      </w:r>
      <w:r>
        <w:t xml:space="preserve"> </w:t>
      </w:r>
      <w:r>
        <w:t xml:space="preserve">“</w:t>
      </w:r>
      <w:r>
        <w:t xml:space="preserve">NaVasishodysiyot1204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VSevernyifilialBanka</w:t>
      </w:r>
      <w:r>
        <w:t xml:space="preserve">”</w:t>
      </w:r>
      <w:r>
        <w:t xml:space="preserve"> </w:t>
      </w:r>
      <w:r>
        <w:t xml:space="preserve">и ключ</w:t>
      </w:r>
      <w:r>
        <w:t xml:space="preserve"> </w:t>
      </w:r>
      <w:r>
        <w:t xml:space="preserve">“</w:t>
      </w:r>
      <w:r>
        <w:t xml:space="preserve">05 0C 17 7F 0E 4E 37 D2 94 10 09 2E 22 57 FF C8 0B B2 70 54</w:t>
      </w:r>
      <w:r>
        <w:t xml:space="preserve">”</w:t>
      </w:r>
      <w:r>
        <w:t xml:space="preserve">, затем шифрует открытые тексты методом однократного гаммирования и получает два шифротекста. После этого предполагаем два случая. В первом неизвестен открытый текст 2, во втором - открытый текст 1. Методом сложения по модулю 2, однократного гаммирования, определяется открытый текст 2 и текст 1 для случаев соответственно. Определение открытых текстов происходит без ключа, не осуществляются попытки его определения.</w:t>
      </w:r>
    </w:p>
    <w:p>
      <w:pPr>
        <w:pStyle w:val="CaptionedFigure"/>
      </w:pPr>
      <w:bookmarkStart w:id="29" w:name="fig:1"/>
      <w:r>
        <w:drawing>
          <wp:inline>
            <wp:extent cx="5334000" cy="3422610"/>
            <wp:effectExtent b="0" l="0" r="0" t="0"/>
            <wp:docPr descr="Figure 2: Программа (1)" title="" id="27" name="Picture"/>
            <a:graphic>
              <a:graphicData uri="http://schemas.openxmlformats.org/drawingml/2006/picture">
                <pic:pic>
                  <pic:nvPicPr>
                    <pic:cNvPr descr="images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(1)</w:t>
      </w:r>
    </w:p>
    <w:p>
      <w:pPr>
        <w:pStyle w:val="CaptionedFigure"/>
      </w:pPr>
      <w:bookmarkStart w:id="33" w:name="fig:2"/>
      <w:r>
        <w:drawing>
          <wp:inline>
            <wp:extent cx="5334000" cy="3076491"/>
            <wp:effectExtent b="0" l="0" r="0" t="0"/>
            <wp:docPr descr="Figure 3: Программа (2)" title="" id="31" name="Picture"/>
            <a:graphic>
              <a:graphicData uri="http://schemas.openxmlformats.org/drawingml/2006/picture">
                <pic:pic>
                  <pic:nvPicPr>
                    <pic:cNvPr descr="images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Программа (2)</w:t>
      </w:r>
    </w:p>
    <w:p>
      <w:pPr>
        <w:pStyle w:val="CaptionedFigure"/>
      </w:pPr>
      <w:bookmarkStart w:id="37" w:name="fig:3"/>
      <w:r>
        <w:drawing>
          <wp:inline>
            <wp:extent cx="5334000" cy="3395637"/>
            <wp:effectExtent b="0" l="0" r="0" t="0"/>
            <wp:docPr descr="Figure 4: Программа (3)" title="" id="35" name="Picture"/>
            <a:graphic>
              <a:graphicData uri="http://schemas.openxmlformats.org/drawingml/2006/picture">
                <pic:pic>
                  <pic:nvPicPr>
                    <pic:cNvPr descr="images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(3)</w:t>
      </w:r>
    </w:p>
    <w:p>
      <w:pPr>
        <w:pStyle w:val="CaptionedFigure"/>
      </w:pPr>
      <w:bookmarkStart w:id="41" w:name="fig:4"/>
      <w:r>
        <w:drawing>
          <wp:inline>
            <wp:extent cx="5334000" cy="1655660"/>
            <wp:effectExtent b="0" l="0" r="0" t="0"/>
            <wp:docPr descr="Figure 5: Программа (4)" title="" id="39" name="Picture"/>
            <a:graphic>
              <a:graphicData uri="http://schemas.openxmlformats.org/drawingml/2006/picture">
                <pic:pic>
                  <pic:nvPicPr>
                    <pic:cNvPr descr="images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Программа (4)</w:t>
      </w:r>
    </w:p>
    <w:p>
      <w:pPr>
        <w:pStyle w:val="CaptionedFigure"/>
      </w:pPr>
      <w:bookmarkStart w:id="45" w:name="fig:5"/>
      <w:r>
        <w:drawing>
          <wp:inline>
            <wp:extent cx="5334000" cy="2153926"/>
            <wp:effectExtent b="0" l="0" r="0" t="0"/>
            <wp:docPr descr="Figure 6: Вывод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s/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Вывод работы программы</w:t>
      </w:r>
    </w:p>
    <w:bookmarkStart w:id="46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(P1 или P2), определить другой, не зная при</w:t>
      </w:r>
      <w:r>
        <w:t xml:space="preserve"> </w:t>
      </w:r>
      <w:r>
        <w:t xml:space="preserve">этом ключа? – По формулам: C1 ⊕ C2 ⊕ P1 = P2, C1 ⊕C2 ⊕ P2 = P1.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 – Расшифровка текста.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 – Ключ применяется к каждому из текстов в отдельности, получаются два различных шифротекста.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 – При наличии минимум двух шифротекстов и хотябы одного открытого текста можно получить другой открытый текст даже не имея ключа.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 – Нет необходимости в хранении двух последовательностей символов ключа.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Освоено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8</dc:title>
  <dc:creator>Горбунова Ярослава Михайловна</dc:creator>
  <dc:language>ru-RU</dc:language>
  <cp:keywords/>
  <dcterms:created xsi:type="dcterms:W3CDTF">2022-10-18T17:44:54Z</dcterms:created>
  <dcterms:modified xsi:type="dcterms:W3CDTF">2022-10-18T17:44:54Z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