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start"/>
        <w:tblInd w:w="54" w:type="dxa"/>
        <w:tblBorders>
          <w:top w:val="single" w:sz="2" w:space="0" w:color="000001"/>
          <w:start w:val="single" w:sz="2" w:space="0" w:color="000001"/>
          <w:bottom w:val="single" w:sz="2" w:space="0" w:color="000001"/>
          <w:insideH w:val="single" w:sz="2" w:space="0" w:color="000001"/>
          <w:end w:val="nil"/>
          <w:insideV w:val="nil"/>
        </w:tblBorders>
        <w:tblCellMar>
          <w:top w:w="55" w:type="dxa"/>
          <w:start w:w="52" w:type="dxa"/>
          <w:bottom w:w="55" w:type="dxa"/>
          <w:end w:w="55" w:type="dxa"/>
        </w:tblCellMar>
      </w:tblPr>
      <w:tblGrid>
        <w:gridCol w:w="848"/>
        <w:gridCol w:w="1138"/>
        <w:gridCol w:w="3966"/>
        <w:gridCol w:w="4022"/>
      </w:tblGrid>
      <w:tr>
        <w:trPr>
          <w:cantSplit w:val="false"/>
        </w:trPr>
        <w:tc>
          <w:tcPr>
            <w:tcW w:w="848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2" w:type="dxa"/>
            </w:tcMar>
          </w:tcPr>
          <w:p>
            <w:pPr>
              <w:pStyle w:val="Style16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138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2" w:type="dxa"/>
            </w:tcMar>
          </w:tcPr>
          <w:p>
            <w:pPr>
              <w:pStyle w:val="Style16"/>
              <w:rPr/>
            </w:pPr>
            <w:r>
              <w:rPr/>
              <w:t>NIPS2016</w:t>
            </w:r>
          </w:p>
        </w:tc>
        <w:tc>
          <w:tcPr>
            <w:tcW w:w="7988" w:type="dxa"/>
            <w:gridSpan w:val="2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2" w:type="dxa"/>
            </w:tcMar>
          </w:tcPr>
          <w:p>
            <w:pPr>
              <w:pStyle w:val="Style16"/>
              <w:rPr/>
            </w:pPr>
            <w:r>
              <w:rPr/>
              <w:t>Value Iteration Networks: Aviv Tamar, UC Berkeley</w:t>
            </w:r>
          </w:p>
        </w:tc>
      </w:tr>
      <w:tr>
        <w:trPr>
          <w:cantSplit w:val="false"/>
        </w:trPr>
        <w:tc>
          <w:tcPr>
            <w:tcW w:w="84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9126" w:type="dxa"/>
            <w:gridSpan w:val="3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&gt; They  introduce the value iteration network (VIN): a fully differentiable neural network with a ‘planning module’ embedded within.</w:t>
            </w:r>
          </w:p>
          <w:p>
            <w:pPr>
              <w:pStyle w:val="Style16"/>
              <w:rPr/>
            </w:pPr>
            <w:r>
              <w:rPr/>
              <w:t>&gt; The VIN can be used to predict outcomes that involve planning-based reasoning, such as policies for reinforcement learning.</w:t>
            </w:r>
          </w:p>
          <w:p>
            <w:pPr>
              <w:pStyle w:val="Style16"/>
              <w:rPr/>
            </w:pPr>
            <w:r>
              <w:rPr/>
              <w:t>&gt; Key to the VIN is a novel differentiable approximation of the value-iteration algorithm, represented by a CNN, and trained using standard backpropagation.</w:t>
            </w:r>
          </w:p>
          <w:p>
            <w:pPr>
              <w:pStyle w:val="Style16"/>
              <w:rPr/>
            </w:pPr>
            <w:r>
              <w:rPr/>
              <w:t>&gt; Evaluate the VIN based policies on discrete and continuous path-planning domains, and on a natural-language based search task.</w:t>
            </w:r>
          </w:p>
          <w:p>
            <w:pPr>
              <w:pStyle w:val="Style1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48" w:type="dxa"/>
            <w:vMerge w:val="restart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  <w:t>Methods</w:t>
            </w:r>
          </w:p>
        </w:tc>
        <w:tc>
          <w:tcPr>
            <w:tcW w:w="3966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 xml:space="preserve">Pros </w:t>
            </w:r>
          </w:p>
        </w:tc>
        <w:tc>
          <w:tcPr>
            <w:tcW w:w="4022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Cons</w:t>
            </w:r>
          </w:p>
        </w:tc>
      </w:tr>
      <w:tr>
        <w:trPr>
          <w:cantSplit w:val="false"/>
        </w:trPr>
        <w:tc>
          <w:tcPr>
            <w:tcW w:w="848" w:type="dxa"/>
            <w:vMerge w:val="continue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  <w:t>Classic deepRL</w:t>
            </w:r>
          </w:p>
        </w:tc>
        <w:tc>
          <w:tcPr>
            <w:tcW w:w="3966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&gt; Neural network is trained to represent a policy: mapping &lt;observation&gt; to &lt;action&gt;, the goal is get a policy has good long-term behavior.</w:t>
            </w:r>
          </w:p>
        </w:tc>
        <w:tc>
          <w:tcPr>
            <w:tcW w:w="4022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 xml:space="preserve">&gt; Supervised learning is one-step decisions making. However, RL needs some form of planning. </w:t>
            </w:r>
          </w:p>
          <w:p>
            <w:pPr>
              <w:pStyle w:val="Style16"/>
              <w:rPr>
                <w:i w:val="false"/>
                <w:iCs w:val="false"/>
              </w:rPr>
            </w:pPr>
            <w:r>
              <w:rPr/>
              <w:t xml:space="preserve">&gt; Recent deepRL model are inherently </w:t>
            </w:r>
            <w:r>
              <w:rPr>
                <w:i/>
                <w:iCs/>
              </w:rPr>
              <w:t>reactive</w:t>
            </w:r>
            <w:r>
              <w:rPr/>
              <w:t xml:space="preserve">, and lack explicit planning computation. The success of </w:t>
            </w:r>
            <w:r>
              <w:rPr>
                <w:i/>
                <w:iCs/>
              </w:rPr>
              <w:t>reactive</w:t>
            </w:r>
            <w:r>
              <w:rPr/>
              <w:t xml:space="preserve"> policy in sequential problems is duo to the </w:t>
            </w:r>
            <w:r>
              <w:rPr>
                <w:i/>
                <w:iCs/>
              </w:rPr>
              <w:t xml:space="preserve">learning algorithm, </w:t>
            </w:r>
            <w:r>
              <w:rPr>
                <w:i w:val="false"/>
                <w:iCs w:val="false"/>
              </w:rPr>
              <w:t xml:space="preserve">the algorithm is trained to select actions that have good-long term consequences in its training domain. </w:t>
            </w:r>
          </w:p>
          <w:p>
            <w:pPr>
              <w:pStyle w:val="Style16"/>
              <w:rPr/>
            </w:pPr>
            <w:r>
              <w:rPr/>
              <w:br/>
            </w:r>
          </w:p>
        </w:tc>
      </w:tr>
      <w:tr>
        <w:trPr>
          <w:cantSplit w:val="false"/>
        </w:trPr>
        <w:tc>
          <w:tcPr>
            <w:tcW w:w="848" w:type="dxa"/>
            <w:vMerge w:val="continue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  <w:t>Model RL</w:t>
            </w:r>
          </w:p>
        </w:tc>
        <w:tc>
          <w:tcPr>
            <w:tcW w:w="3966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022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Require system identification, infeasible for complex real system.</w:t>
            </w:r>
          </w:p>
        </w:tc>
      </w:tr>
      <w:tr>
        <w:trPr>
          <w:cantSplit w:val="false"/>
        </w:trPr>
        <w:tc>
          <w:tcPr>
            <w:tcW w:w="848" w:type="dxa"/>
            <w:vMerge w:val="continue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</w:r>
          </w:p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</w:r>
          </w:p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  <w:t>The cons example of Recent deepRL (reactive strategy)</w:t>
            </w:r>
          </w:p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</w:r>
          </w:p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</w:r>
          </w:p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suppressLineNumbers/>
              <w:ind w:start="0" w:end="0" w:hanging="0"/>
              <w:rPr/>
            </w:pPr>
            <w:r>
              <w:rPr/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001895" cy="2595245"/>
                  <wp:effectExtent l="0" t="0" r="0" b="0"/>
                  <wp:wrapSquare wrapText="largest"/>
                  <wp:docPr id="0" name="Picture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895" cy="2595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6"/>
              <w:suppressLineNumbers/>
              <w:ind w:start="0" w:end="0" w:hanging="0"/>
              <w:rPr/>
            </w:pPr>
            <w:r>
              <w:rPr/>
              <w:t>People's expectations of such type of games are after training a policy to solve several instances of this problem with different obstacle configuration, the policy would generalize to solve a different, unseen domain configuration. However, in experiment, with standard CNN-based network, we can easily solve a set of such maps, however, the policy trained do not generalize to new tasks outside this set, because they do not understand the goal-directed nature of behavior.</w:t>
            </w:r>
          </w:p>
          <w:p>
            <w:pPr>
              <w:pStyle w:val="Style16"/>
              <w:suppressLineNumbers/>
              <w:ind w:start="0" w:end="0" w:hanging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48" w:type="dxa"/>
            <w:vMerge w:val="continue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  <w:t>Proposed Method</w:t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 xml:space="preserve">&gt; They proposed a NN-based policy that can effectively learn to plan. Their model, termed a value-iteration network (VIN), has a differentiable 'planning program' embedded within in the NN structure. </w:t>
            </w:r>
          </w:p>
          <w:p>
            <w:pPr>
              <w:pStyle w:val="Style16"/>
              <w:rPr/>
            </w:pPr>
            <w:r>
              <w:rPr/>
              <w:t xml:space="preserve">&gt; VIN could be trained model free, without requiring explicit system identification. Moreover, the errors in VINs can be mitigated by training the network end-to-end. </w:t>
            </w:r>
          </w:p>
        </w:tc>
      </w:tr>
      <w:tr>
        <w:trPr>
          <w:cantSplit w:val="false"/>
        </w:trPr>
        <w:tc>
          <w:tcPr>
            <w:tcW w:w="848" w:type="dxa"/>
            <w:vMerge w:val="restart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</w:rPr>
            </w:pPr>
            <w:r>
              <w:rPr>
                <w:b/>
                <w:bCs/>
              </w:rPr>
              <w:t>Background</w:t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  <w:t>Value Iteration</w:t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The goal in an MDP is to find a policy that obtains high rewards in the long term</w:t>
            </w:r>
          </w:p>
          <w:p>
            <w:pPr>
              <w:pStyle w:val="Style16"/>
              <w:rPr/>
            </w:pPr>
            <w:r>
              <w:rPr/>
              <w:drawing>
                <wp:anchor behindDoc="0" distT="0" distB="0" distL="0" distR="0" simplePos="0" locked="0" layoutInCell="1" allowOverlap="1" relativeHeight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001895" cy="231775"/>
                  <wp:effectExtent l="0" t="0" r="0" b="0"/>
                  <wp:wrapSquare wrapText="largest"/>
                  <wp:docPr id="1" name="Picture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89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848" w:type="dxa"/>
            <w:vMerge w:val="continue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  <w:t>Convolutional Neural Networks(CNN)</w:t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48" w:type="dxa"/>
            <w:vMerge w:val="continue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b/>
                <w:bCs/>
                <w:i/>
                <w:iCs/>
                <w:u w:val="none"/>
              </w:rPr>
            </w:pPr>
            <w:r>
              <w:rPr>
                <w:b/>
                <w:bCs/>
                <w:i/>
                <w:iCs/>
                <w:u w:val="none"/>
              </w:rPr>
              <w:t>Reinforcement Learning and Imitation Learning</w:t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i/>
                <w:iCs/>
              </w:rPr>
            </w:pPr>
            <w:r>
              <w:rPr/>
              <w:t xml:space="preserve">&gt; When MDP transitions or rewards are not know in advance, planning algorithms cannot be applied.  In this cases, a policy can be learned from either </w:t>
            </w:r>
            <w:r>
              <w:rPr>
                <w:i/>
                <w:iCs/>
              </w:rPr>
              <w:t xml:space="preserve">expert supervision -IL or by trail and error -RL. </w:t>
            </w:r>
          </w:p>
          <w:p>
            <w:pPr>
              <w:pStyle w:val="Style16"/>
              <w:rPr>
                <w:i w:val="false"/>
                <w:iCs w:val="false"/>
              </w:rPr>
            </w:pPr>
            <w:r>
              <w:rPr>
                <w:i/>
                <w:iCs/>
              </w:rPr>
              <w:t xml:space="preserve">&gt; </w:t>
            </w:r>
            <w:r>
              <w:rPr>
                <w:i w:val="false"/>
                <w:iCs w:val="false"/>
              </w:rPr>
              <w:t>In imitation learning, learning a policy becomes an instance of supervised learning</w:t>
            </w:r>
          </w:p>
          <w:p>
            <w:pPr>
              <w:pStyle w:val="Style16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&gt; In reinforcement learning, the agent can act and observe the rewars and the state transitions its action effect.</w:t>
            </w:r>
          </w:p>
        </w:tc>
      </w:tr>
      <w:tr>
        <w:trPr>
          <w:cantSplit w:val="false"/>
        </w:trPr>
        <w:tc>
          <w:tcPr>
            <w:tcW w:w="848" w:type="dxa"/>
            <w:vMerge w:val="restart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The Value Iteration Network Model</w:t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Overview of the Model</w:t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Notation </w:t>
            </w:r>
          </w:p>
          <w:p>
            <w:pPr>
              <w:pStyle w:val="Style16"/>
              <w:rPr>
                <w:i w:val="false"/>
                <w:iCs w:val="false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m:t xml:space="preserve">M</m:t>
              </m:r>
            </m:oMath>
            <w:r>
              <w:rPr>
                <w:i w:val="false"/>
                <w:iCs w:val="false"/>
                <w:sz w:val="24"/>
                <w:szCs w:val="24"/>
              </w:rPr>
              <w:t>: denotes the MDP of the domain for which we design our policy.</w:t>
            </w:r>
          </w:p>
          <w:p>
            <w:pPr>
              <w:pStyle w:val="Style16"/>
              <w:rPr>
                <w:i w:val="false"/>
                <w:iCs w:val="false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m:t xml:space="preserve">M</m:t>
                  </m:r>
                </m:e>
              </m:bar>
            </m:oMath>
            <w:r>
              <w:rPr>
                <w:i w:val="false"/>
                <w:iCs w:val="false"/>
                <w:sz w:val="24"/>
                <w:szCs w:val="24"/>
              </w:rPr>
              <w:t>:  unknown, contains the useful information about the optimal policy in the original task</w:t>
            </w:r>
            <w:r>
              <w:rPr>
                <w:i w:val="false"/>
                <w:iCs w:val="false"/>
                <w:sz w:val="24"/>
                <w:szCs w:val="24"/>
              </w:rPr>
            </w:r>
            <m:oMath xmlns:m="http://schemas.openxmlformats.org/officeDocument/2006/math">
              <m:r>
                <m:t xml:space="preserve">M</m:t>
              </m:r>
            </m:oMath>
            <w:r>
              <w:rPr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Style16"/>
              <w:rPr>
                <w:i w:val="false"/>
                <w:iCs w:val="false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m:t xml:space="preserve">s</m:t>
                  </m:r>
                </m:e>
              </m:bar>
              <m:r>
                <m:t xml:space="preserve">∈</m:t>
              </m:r>
              <m:bar>
                <m:barPr>
                  <m:pos m:val="top"/>
                </m:barPr>
                <m:e>
                  <m:r>
                    <m:t xml:space="preserve">S</m:t>
                  </m:r>
                </m:e>
              </m:bar>
              <m:r>
                <m:t xml:space="preserve">,</m:t>
              </m:r>
              <m:bar>
                <m:barPr>
                  <m:pos m:val="top"/>
                </m:barPr>
                <m:e>
                  <m:r>
                    <m:t xml:space="preserve">a</m:t>
                  </m:r>
                </m:e>
              </m:bar>
              <m:r>
                <m:t xml:space="preserve">∈</m:t>
              </m:r>
              <m:bar>
                <m:barPr>
                  <m:pos m:val="top"/>
                </m:barPr>
                <m:e>
                  <m:r>
                    <m:t xml:space="preserve">A</m:t>
                  </m:r>
                </m:e>
              </m:bar>
              <m:r>
                <m:t xml:space="preserve">,</m:t>
              </m:r>
              <m:bar>
                <m:barPr>
                  <m:pos m:val="top"/>
                </m:barPr>
                <m:e>
                  <m:r>
                    <m:t xml:space="preserve">R</m:t>
                  </m:r>
                </m:e>
              </m:ba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m:t xml:space="preserve">s</m:t>
                      </m:r>
                    </m:e>
                  </m:bar>
                  <m:r>
                    <m:t xml:space="preserve">,</m:t>
                  </m:r>
                  <m:bar>
                    <m:barPr>
                      <m:pos m:val="top"/>
                    </m:barPr>
                    <m:e>
                      <m:r>
                        <m:t xml:space="preserve">a</m:t>
                      </m:r>
                    </m:e>
                  </m:bar>
                </m:e>
              </m:d>
            </m:oMath>
            <w:r>
              <w:rPr>
                <w:i w:val="false"/>
                <w:iCs w:val="false"/>
                <w:sz w:val="24"/>
                <w:szCs w:val="24"/>
              </w:rPr>
              <w:t xml:space="preserve">Are the states, actions, and rewards and transitions in </w:t>
            </w:r>
            <w:r>
              <w:rPr>
                <w:i w:val="false"/>
                <w:iCs w:val="false"/>
                <w:sz w:val="24"/>
                <w:szCs w:val="24"/>
              </w:rPr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m:t xml:space="preserve">M</m:t>
                  </m:r>
                </m:e>
              </m:bar>
            </m:oMath>
          </w:p>
          <w:p>
            <w:pPr>
              <w:pStyle w:val="Style16"/>
              <w:rPr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Style16"/>
              <w:rPr>
                <w:b w:val="false"/>
                <w:i w:val="false"/>
                <w:iCs w:val="false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m:t xml:space="preserve">R</m:t>
                  </m:r>
                </m:e>
              </m:bar>
              <m:r>
                <m:t xml:space="preserve">=</m:t>
              </m:r>
              <m:sSub>
                <m:e>
                  <m:r>
                    <m:t xml:space="preserve">f</m:t>
                  </m:r>
                </m:e>
                <m:sub>
                  <m:r>
                    <m:t xml:space="preserve">R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 xml:space="preserve">ϕ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s</m:t>
                      </m:r>
                    </m:e>
                  </m:d>
                </m:e>
              </m:d>
              <m:r>
                <m:t xml:space="preserve">,</m:t>
              </m:r>
              <m:bar>
                <m:barPr>
                  <m:pos m:val="top"/>
                </m:barPr>
                <m:e>
                  <m:r>
                    <m:t xml:space="preserve">P</m:t>
                  </m:r>
                </m:e>
              </m:bar>
              <m:r>
                <m:t xml:space="preserve">=</m:t>
              </m:r>
              <m:sSub>
                <m:e>
                  <m:r>
                    <m:t xml:space="preserve">f</m:t>
                  </m:r>
                </m:e>
                <m:sub>
                  <m:r>
                    <m:t xml:space="preserve">P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 xml:space="preserve">ϕ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s</m:t>
                      </m:r>
                    </m:e>
                  </m:d>
                </m:e>
              </m:d>
            </m:oMath>
            <w:r>
              <w:rPr>
                <w:b w:val="false"/>
                <w:i w:val="false"/>
                <w:iCs w:val="false"/>
                <w:sz w:val="24"/>
                <w:szCs w:val="24"/>
              </w:rPr>
              <w:t>are depends on the observation in M.</w:t>
            </w:r>
          </w:p>
          <w:p>
            <w:pPr>
              <w:pStyle w:val="Style16"/>
              <w:rPr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Style16"/>
              <w:rPr>
                <w:i w:val="false"/>
                <w:iCs w:val="false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m:t xml:space="preserve">θ</m:t>
              </m:r>
            </m:oMath>
            <w:r>
              <w:rPr>
                <w:i w:val="false"/>
                <w:iCs w:val="false"/>
                <w:sz w:val="24"/>
                <w:szCs w:val="24"/>
              </w:rPr>
              <w:t xml:space="preserve">is the parameters of </w:t>
            </w:r>
            <w:r>
              <w:rPr>
                <w:i w:val="false"/>
                <w:iCs w:val="false"/>
                <w:sz w:val="24"/>
                <w:szCs w:val="24"/>
              </w:rPr>
            </w:r>
            <m:oMath xmlns:m="http://schemas.openxmlformats.org/officeDocument/2006/math">
              <m:sSub>
                <m:e>
                  <m:r>
                    <m:t xml:space="preserve">f</m:t>
                  </m:r>
                </m:e>
                <m:sub>
                  <m:r>
                    <m:t xml:space="preserve">R</m:t>
                  </m:r>
                </m:sub>
              </m:sSub>
              <m:r>
                <m:t xml:space="preserve">,</m:t>
              </m:r>
              <m:sSub>
                <m:e>
                  <m:r>
                    <m:t xml:space="preserve">f</m:t>
                  </m:r>
                </m:e>
                <m:sub>
                  <m:r>
                    <m:t xml:space="preserve">p</m:t>
                  </m:r>
                </m:sub>
              </m:sSub>
              <m:r>
                <m:t xml:space="preserve">,</m:t>
              </m:r>
              <m:sSub>
                <m:e>
                  <m:r>
                    <m:t xml:space="preserve">π</m:t>
                  </m:r>
                </m:e>
                <m:sub>
                  <m:r>
                    <m:rPr>
                      <m:lit/>
                      <m:nor/>
                    </m:rPr>
                    <m:t xml:space="preserve">re</m:t>
                  </m:r>
                </m:sub>
              </m:sSub>
            </m:oMath>
          </w:p>
          <w:p>
            <w:pPr>
              <w:pStyle w:val="Style16"/>
              <w:rPr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Style16"/>
              <w:rPr>
                <w:b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shd w:fill="FFFF00" w:val="clear"/>
              </w:rPr>
            </w:pPr>
            <w:r>
              <w:rPr>
                <w:b w:val="false"/>
                <w:i w:val="false"/>
                <w:iCs w:val="false"/>
                <w:sz w:val="24"/>
                <w:szCs w:val="24"/>
              </w:rPr>
              <w:t xml:space="preserve">&gt; This section mainly focus on how to use the planning result </w:t>
            </w:r>
            <w:r>
              <w:rPr>
                <w:b w:val="false"/>
                <w:i w:val="false"/>
                <w:iCs w:val="false"/>
                <w:sz w:val="24"/>
                <w:szCs w:val="24"/>
              </w:rPr>
            </w:r>
            <m:oMath xmlns:m="http://schemas.openxmlformats.org/officeDocument/2006/math">
              <m:bar>
                <m:barPr>
                  <m:pos m:val="top"/>
                </m:barPr>
                <m:e>
                  <m:sSup>
                    <m:e>
                      <m:r>
                        <m:t xml:space="preserve">V</m:t>
                      </m:r>
                    </m:e>
                    <m:sup>
                      <m:r>
                        <m:rPr>
                          <m:lit/>
                          <m:nor/>
                        </m:rPr>
                        <m:t xml:space="preserve">*</m:t>
                      </m:r>
                    </m:sup>
                  </m:sSup>
                </m:e>
              </m:bar>
            </m:oMath>
            <w:r>
              <w:rPr>
                <w:b w:val="false"/>
                <w:i w:val="false"/>
                <w:iCs w:val="false"/>
                <w:sz w:val="24"/>
                <w:szCs w:val="24"/>
              </w:rPr>
              <w:t xml:space="preserve"> with in the NN policy </w:t>
            </w:r>
            <w:r>
              <w:rPr>
                <w:b w:val="false"/>
                <w:i w:val="false"/>
                <w:iCs w:val="false"/>
                <w:sz w:val="24"/>
                <w:szCs w:val="24"/>
              </w:rPr>
            </w:r>
            <m:oMath xmlns:m="http://schemas.openxmlformats.org/officeDocument/2006/math">
              <m:r>
                <m:t xml:space="preserve">π</m:t>
              </m:r>
            </m:oMath>
            <w:r>
              <w:rPr>
                <w:b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 xml:space="preserve">.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shd w:fill="FFFF00" w:val="clear"/>
              </w:rPr>
              <w:t xml:space="preserve">The approach is based on two important observation. The first is that the vector of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shd w:fill="FFFF00" w:val="clear"/>
              </w:rPr>
            </w:r>
            <m:oMath xmlns:m="http://schemas.openxmlformats.org/officeDocument/2006/math">
              <m:bar>
                <m:barPr>
                  <m:pos m:val="top"/>
                </m:barPr>
                <m:e>
                  <m:sSup>
                    <m:e>
                      <m:r>
                        <m:t xml:space="preserve">V</m:t>
                      </m:r>
                    </m:e>
                    <m:sup>
                      <m:r>
                        <m:rPr>
                          <m:lit/>
                          <m:nor/>
                        </m:rPr>
                        <m:t xml:space="preserve">*</m:t>
                      </m:r>
                    </m:sup>
                  </m:sSup>
                </m:e>
              </m:bar>
              <m:d>
                <m:dPr>
                  <m:begChr m:val="("/>
                  <m:endChr m:val=")"/>
                </m:dPr>
                <m:e>
                  <m:r>
                    <m:t xml:space="preserve">s</m:t>
                  </m:r>
                </m:e>
              </m:d>
            </m:oMath>
            <w:r>
              <w:rPr>
                <w:b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shd w:fill="FFFF00" w:val="clear"/>
              </w:rPr>
              <w:t xml:space="preserve">encodes all the information about the optimal plan in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shd w:fill="FFFF00" w:val="clear"/>
              </w:rPr>
            </w:r>
            <m:oMath xmlns:m="http://schemas.openxmlformats.org/officeDocument/2006/math">
              <m:r>
                <m:t xml:space="preserve">M</m:t>
              </m:r>
            </m:oMath>
            <w:r>
              <w:rPr>
                <w:b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shd w:fill="FFFF00" w:val="clear"/>
              </w:rPr>
              <w:t xml:space="preserve">.  The second is that the MDP has a local connectivity structure, it only depends on a subset of the values of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shd w:fill="FFFF00" w:val="clear"/>
              </w:rPr>
            </w:r>
            <m:oMath xmlns:m="http://schemas.openxmlformats.org/officeDocument/2006/math">
              <m:bar>
                <m:barPr>
                  <m:pos m:val="top"/>
                </m:barPr>
                <m:e>
                  <m:sSup>
                    <m:e>
                      <m:r>
                        <m:t xml:space="preserve">V</m:t>
                      </m:r>
                    </m:e>
                    <m:sup>
                      <m:r>
                        <m:rPr>
                          <m:lit/>
                          <m:nor/>
                        </m:rPr>
                        <m:t xml:space="preserve">*</m:t>
                      </m:r>
                    </m:sup>
                  </m:sSup>
                </m:e>
              </m:bar>
              <m:d>
                <m:dPr>
                  <m:begChr m:val="("/>
                  <m:endChr m:val=")"/>
                </m:dPr>
                <m:e>
                  <m:r>
                    <m:t xml:space="preserve">s</m:t>
                  </m:r>
                </m:e>
              </m:d>
            </m:oMath>
            <w:r>
              <w:rPr>
                <w:rFonts w:ascii="Liberation Serif" w:hAnsi="Liberation Serif"/>
                <w:b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shd w:fill="FFFF00" w:val="clear"/>
              </w:rPr>
              <w:t>，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333333"/>
                <w:spacing w:val="0"/>
                <w:sz w:val="24"/>
                <w:szCs w:val="24"/>
                <w:shd w:fill="FFFF00" w:val="clear"/>
              </w:rPr>
              <w:t xml:space="preserve">which refers to an attention module. </w:t>
            </w:r>
          </w:p>
          <w:p>
            <w:pPr>
              <w:pStyle w:val="Style16"/>
              <w:rPr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Style16"/>
              <w:rPr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5001895" cy="3503930"/>
                  <wp:effectExtent l="0" t="0" r="0" b="0"/>
                  <wp:wrapSquare wrapText="largest"/>
                  <wp:docPr id="2" name="Picture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895" cy="3503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848" w:type="dxa"/>
            <w:vMerge w:val="continue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The VI Module</w:t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&gt; Each channel in the convolution layer corresponds to the Q-function for a specific action.</w:t>
            </w:r>
          </w:p>
          <w:p>
            <w:pPr>
              <w:pStyle w:val="Style16"/>
              <w:rPr/>
            </w:pPr>
            <w:r>
              <w:rPr/>
              <w:t xml:space="preserve">&gt; Each convolution kernel weights correspond to the discounted transition probabilities. 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&gt; Representing VI in this form makes learning the MDP parameters and reward function natural- by back propagating through the network. </w:t>
            </w:r>
          </w:p>
          <w:p>
            <w:pPr>
              <w:pStyle w:val="Style16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001895" cy="2809875"/>
                  <wp:effectExtent l="0" t="0" r="0" b="0"/>
                  <wp:wrapSquare wrapText="largest"/>
                  <wp:docPr id="3" name="Picture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895" cy="280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848" w:type="dxa"/>
            <w:vMerge w:val="continue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Value Iteration Networks</w:t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&gt; The VIN is based on the general planning-based policy defined above, with the VI module as the planning algorithm.</w:t>
            </w:r>
          </w:p>
          <w:p>
            <w:pPr>
              <w:pStyle w:val="Style16"/>
              <w:rPr/>
            </w:pPr>
            <w:r>
              <w:rPr/>
              <w:t xml:space="preserve">&gt; In order to implement a VIN, one has to specify the state and action spaces for the planning module </w:t>
            </w: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m:t xml:space="preserve">S</m:t>
                  </m:r>
                </m:e>
              </m:bar>
              <m:r>
                <m:t xml:space="preserve">,</m:t>
              </m:r>
              <m:bar>
                <m:barPr>
                  <m:pos m:val="top"/>
                </m:barPr>
                <m:e>
                  <m:r>
                    <m:t xml:space="preserve">A</m:t>
                  </m:r>
                </m:e>
              </m:bar>
            </m:oMath>
          </w:p>
        </w:tc>
      </w:tr>
      <w:tr>
        <w:trPr>
          <w:cantSplit w:val="false"/>
        </w:trPr>
        <w:tc>
          <w:tcPr>
            <w:tcW w:w="848" w:type="dxa"/>
            <w:vMerge w:val="restart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Exp</w:t>
            </w:r>
            <w:r>
              <w:rPr/>
              <w:t>eriments</w:t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Overview</w:t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The goal in these experiments:</w:t>
            </w:r>
          </w:p>
          <w:p>
            <w:pPr>
              <w:pStyle w:val="Style16"/>
              <w:rPr/>
            </w:pPr>
            <w:r>
              <w:rPr/>
              <w:t>&gt; Can VIN effectively learn a planning computation using standard RL and IL algorithms?</w:t>
            </w:r>
          </w:p>
          <w:p>
            <w:pPr>
              <w:pStyle w:val="Style16"/>
              <w:rPr/>
            </w:pPr>
            <w:r>
              <w:rPr/>
              <w:t>&gt; Does the planning computation learned by VINs make them better than reactive policies at generalizing to new domains?</w:t>
            </w:r>
          </w:p>
        </w:tc>
      </w:tr>
      <w:tr>
        <w:trPr>
          <w:cantSplit w:val="false"/>
        </w:trPr>
        <w:tc>
          <w:tcPr>
            <w:tcW w:w="848" w:type="dxa"/>
            <w:vMerge w:val="continue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Grid-World Domain</w:t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48" w:type="dxa"/>
            <w:vMerge w:val="continue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Mars Rover Navigation</w:t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48" w:type="dxa"/>
            <w:vMerge w:val="continue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Continuous Control</w:t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4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  <w:t>Conclusions</w:t>
            </w:r>
          </w:p>
        </w:tc>
        <w:tc>
          <w:tcPr>
            <w:tcW w:w="1138" w:type="dxa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nil"/>
              <w:insideV w:val="nil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7988" w:type="dxa"/>
            <w:gridSpan w:val="2"/>
            <w:tcBorders>
              <w:top w:val="nil"/>
              <w:start w:val="single" w:sz="2" w:space="0" w:color="000001"/>
              <w:bottom w:val="single" w:sz="2" w:space="0" w:color="000001"/>
              <w:insideH w:val="single" w:sz="2" w:space="0" w:color="000001"/>
              <w:end w:val="single" w:sz="2" w:space="0" w:color="000001"/>
              <w:insideV w:val="single" w:sz="2" w:space="0" w:color="000001"/>
            </w:tcBorders>
            <w:shd w:fill="FFFFFF" w:val="clear"/>
            <w:tcMar>
              <w:start w:w="53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36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star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表格内容"/>
    <w:basedOn w:val="Normal"/>
    <w:pPr>
      <w:suppressLineNumbers/>
    </w:pPr>
    <w:rPr/>
  </w:style>
  <w:style w:type="paragraph" w:styleId="Style17">
    <w:name w:val="表格标题"/>
    <w:basedOn w:val="Style16"/>
    <w:pPr>
      <w:suppressLineNumbers/>
      <w:jc w:val="center"/>
    </w:pPr>
    <w:rPr>
      <w:b/>
      <w:bCs/>
    </w:rPr>
  </w:style>
  <w:style w:type="paragraph" w:styleId="Style18">
    <w:name w:val="引文"/>
    <w:basedOn w:val="Normal"/>
    <w:pPr>
      <w:spacing w:before="0" w:after="283"/>
      <w:ind w:start="567" w:end="567" w:hanging="0"/>
    </w:pPr>
    <w:rPr/>
  </w:style>
  <w:style w:type="paragraph" w:styleId="Style19">
    <w:name w:val="大标题"/>
    <w:basedOn w:val="Style11"/>
    <w:pPr>
      <w:jc w:val="center"/>
    </w:pPr>
    <w:rPr>
      <w:b/>
      <w:bCs/>
      <w:sz w:val="56"/>
      <w:szCs w:val="56"/>
    </w:rPr>
  </w:style>
  <w:style w:type="paragraph" w:styleId="Style20">
    <w:name w:val="分标题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png"/><Relationship Id="rId3" Type="http://schemas.openxmlformats.org/officeDocument/2006/relationships/image" Target="media/image26.png"/><Relationship Id="rId4" Type="http://schemas.openxmlformats.org/officeDocument/2006/relationships/image" Target="media/image27.png"/><Relationship Id="rId5" Type="http://schemas.openxmlformats.org/officeDocument/2006/relationships/image" Target="media/image28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2017-02-11T13:24:43Z</dcterms:created>
  <dc:language>zh-CN</dc:language>
  <cp:revision>0</cp:revision>
</cp:coreProperties>
</file>