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红利ETF定投系统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策略逻辑说明 · 2021-2025年回溯数据报告</w:t>
      </w:r>
    </w:p>
    <w:p>
      <w:pPr>
        <w:spacing w:after="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生成日期：2026-07-05 | 策略：百分比再平衡 v1.0 | 回溯周期：60个月（5年）</w:t>
      </w:r>
    </w:p>
    <w:p>
      <w:pPr>
        <w:spacing w:after="300"/>
        <w:jc w:val="center"/>
      </w:pPr>
      <w:r>
        <w:rPr>
          <w:rFonts w:ascii="Arial" w:cs="Arial" w:eastAsia="Arial" w:hAnsi="Arial"/>
          <w:color w:val="2E75B6"/>
          <w:sz w:val="18"/>
          <w:szCs w:val="18"/>
        </w:rPr>
        <w:t xml:space="preserve">━━━━━━━━━━━━━━━━━━━━━━━━━━━━━━━━━━━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一、策略概述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策略名称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百分比再平衡定投（Rebalance DCA）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核心思想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每月固定注入资金（¥3,000/月），永不中断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以总资产为分母，按目标配比逐只计算每只ETF的应持市值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超配的卖，低配的买——资金先卖后买循环使用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无论牛熊、无论涨跌——每月必投，且自动高抛低吸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与 VA 价值平均法的本质区别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VA：看总市值 vs 绝对值目标——涨了全不买，跌了全加仓。牛市中容易踏空。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百分比再平衡：看单只 ETF vs 自身配比——涨多了卖它、跌多了买它，互不干扰。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二、ETF组合配置（平衡型）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000"/>
        <w:gridCol w:w="1200"/>
        <w:gridCol w:w="1200"/>
        <w:gridCol w:w="2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ETF代码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ETF名称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目标配比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月投金额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515080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中证红利ETF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红利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¥600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高股息防御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510300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沪深300ETF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宽基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¥600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大盘蓝筹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510500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中证500ETF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宽基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¥600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中小盘成长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512760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芯片ETF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行业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¥400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科技成长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512010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医药ETF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行业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¥400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医药防御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513100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纳指ETF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海外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¥400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海外科技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20"/>
          <w:szCs w:val="20"/>
        </w:rPr>
        <w:t xml:space="preserve">类别汇总：红利 20% + 宽基 40% + 行业 25% + 海外 15%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三、策略执行流程（每月一次）</w:t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第1步：注入月供——现金池 += ¥3,000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第2步：获取所有ETF当前价格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第3步：计算总资产 = 现金池 + Σ(各ETF持仓市值)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第4步：逐只计算目标市值 = 总资产 × 目标配比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第5步：逐只比较当前市值与目标市值（阈值±3%）：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    • 超配（当前 &gt; 目标×1.03）→ 卖出差额部分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    • 低配（当前 &lt; 目标×0.97）→ 从现金池买入差额部分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第6步：先执行卖出（回收现金），再执行买入（消耗现金）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第7步：剩余现金按配比分摊买入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四、2021-2025年回溯测试结果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基于2021-2025年真实A股行情数据（westock-data/腾讯自选股），模拟60个月百分比再平衡定投，穿越完整牛熊周期（2022熊市→2023震荡→2024-2025牛市）。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总体表现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总投入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¥180,000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60个月 × ¥3,000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年末总资产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¥230,038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含¥1,247现金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总收益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+¥50,038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5年累计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总收益率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+27.80%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年化约+5.3%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最高收益率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+34.22%（2025-10）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5年峰值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最大回撤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-15.30%（2022-10）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熊市底部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现金余额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¥1,247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资金利用率99.5%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总手续费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¥112.48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佣金+印花税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月度表现（关键节点）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月份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总资产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累计投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盈亏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收益率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回撤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2021-06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¥19,073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¥18,000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+¥1,073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+5.96%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首次转正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2022-10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¥55,901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¥66,000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-¥10,099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-15.30%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最深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熊市最惨时刻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2023-12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¥102,164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¥108,000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-¥5,836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-5.40%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收窄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震荡筑底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2024-09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¥121,100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¥135,000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-¥13,900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-10.30%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二次探底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924行情前夜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2024-10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¥155,754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¥138,000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+¥17,754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+12.87%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924爆发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2025-10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¥233,550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¥174,000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+¥59,550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+34.22%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峰值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历史最高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2025-12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¥230,038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¥180,000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+¥50,038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+27.80%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收尾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最终收官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最终持仓明细（2025-12-31）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00"/>
        <w:gridCol w:w="1000"/>
        <w:gridCol w:w="1200"/>
        <w:gridCol w:w="1000"/>
        <w:gridCol w:w="1100"/>
        <w:gridCol w:w="1200"/>
        <w:gridCol w:w="156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ETF名称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股数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现价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市值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占比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成本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盈亏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收益率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中证红利ETF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30,200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¥1.53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¥46,206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20.1%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¥38,687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+¥7,519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+19.4%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沪深300ETF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9,900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¥4.56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¥45,144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19.6%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¥37,970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+¥7,174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+18.9%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中证500ETF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6,400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¥7.14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¥45,696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19.9%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¥36,365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+¥9,331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+25.7%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芯片ETF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36,300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¥0.78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¥28,314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12.3%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¥19,402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+¥8,912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+45.9%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医药ETF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74,100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¥0.39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¥28,899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¥32,189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-¥3,290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C0000"/>
                <w:sz w:val="20"/>
                <w:szCs w:val="20"/>
              </w:rPr>
              <w:t xml:space="preserve">-10.2%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纳指ETF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¥1.94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¥34,532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¥21,513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+¥13,019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8000"/>
                <w:sz w:val="20"/>
                <w:szCs w:val="20"/>
              </w:rPr>
              <w:t xml:space="preserve">+60.5%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合计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¥230,038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¥180,000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+¥50,038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+27.8%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6只ETF配比偏差全部小于1%——再平衡策略执行到位。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五、全年交易数据（5年汇总）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交易统计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笔数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总额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卖出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 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¥34,435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超配自动减仓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买入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236 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¥201,691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每月按配比买入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现金分摊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118 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¥11,553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剩余现金摊入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合计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381 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¥247,679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月均6.4笔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总手续费：¥112.48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关键行为记录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纳指ETF：5年内卖出8次，累计回笼¥1.3万（涨多了就自动卖）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芯片ETF：卖出6次，两轮大行情（2021+2024-2025）精准高抛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医药ETF：持续低吸，5年累计买入74,100股——虽然亏损-10.2%，但平均成本不断拉低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2022年熊市最大回撤-15.30%，策略坚持每月买入不中断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• 2024年924行情后芯片ETF从0.37涨到0.91，自动卖出6,300股锁定利润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六、与固定DCA对比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固定DCA（每月等额买入6只ETF，不做再平衡）：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    • 5年末估算资产：≈ ¥210,000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    • 估算收益：≈ +16.7%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百分比再平衡（实际回溯）：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    • 5年末资产：¥230,038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    • 收益：+27.80%</w:t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2"/>
          <w:szCs w:val="22"/>
        </w:rPr>
        <w:t xml:space="preserve">超额收益来源：熊市中持续低吸低成本筹码，牛市中自动高抛锁定利润。再平衡策略在5年周期内跑赢固定DCA约11个百分点。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七、系统文件说明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项目路径：D:\temp\红利ETF\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dca_config.py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ETF组合配置（配比、代码、月投金额、止盈参数）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dca_value_averaging.py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策略核心——含VA + 百分比再平衡两套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dca_main.py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主调度——策略选择、月度执行、报告生成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dca_calendar.py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交易日判断（chinese_calendar集成）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dca_portfolio_manager.py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持仓管理、数据持久化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dca_trading.py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行情获取（多源降级）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dca_stop_profit.py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止盈轮动（动态阈值）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策略切换命令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python dca_main.py switch rebalance    # 切换到百分比再平衡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python dca_main.py run                 # 执行本月定投</w:t>
      </w:r>
    </w:p>
    <w:p>
      <w:pPr>
        <w:spacing w:before="300"/>
      </w:pPr>
      <w:r>
        <w:rPr>
          <w:rFonts w:ascii="Arial" w:cs="Arial" w:eastAsia="Arial" w:hAnsi="Arial"/>
          <w:color w:val="2E75B6"/>
          <w:sz w:val="18"/>
          <w:szCs w:val="18"/>
        </w:rPr>
        <w:t xml:space="preserve">━━━━━━━━━━━━━━━━━━━━━━━━━━━━━━━━━━━</w:t>
      </w:r>
    </w:p>
    <w:p>
      <w:p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免责声明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18"/>
          <w:szCs w:val="18"/>
        </w:rPr>
        <w:t xml:space="preserve">⚠️ 以上策略说明和回溯数据基于历史公开行情数据（数据来源：westock-data/腾讯自选股），仅供参考，不构成任何投资建议。过往业绩不代表未来表现。投资有风险，决策需谨慎。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第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红利ETF定投系统 · 策略逻辑与回溯数据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2026-07-05T03:56:43.903Z</dcterms:created>
  <dcterms:modified xsi:type="dcterms:W3CDTF">2026-07-05T03:56:43.912Z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