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红利ETF定投系统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策略逻辑说明 · 2025年回溯数据报告</w:t>
      </w:r>
    </w:p>
    <w:p>
      <w:pPr>
        <w:spacing w:after="4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生成日期：2026-07-05 | 策略版本：百分比再平衡 v1.0</w:t>
      </w:r>
    </w:p>
    <w:p>
      <w:pPr>
        <w:spacing w:after="300"/>
        <w:jc w:val="center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━━━━━━━━━━━━━━━━━━━━━━━━━━━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一、策略概述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策略名称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百分比再平衡定投（Rebalance DCA）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核心思想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每月固定注入资金（¥3,000/月），永不中断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以总资产为分母，按目标配比逐只计算每只ETF的应持市值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超配的卖，低配的买——资金先卖后买循环使用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• 无论牛熊、无论涨跌——每月必投，且自动高抛低吸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与 VA 价值平均法的本质区别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VA（价值平均法）：看总市值 vs 绝对值目标——涨了全不买，跌了全加仓。牛市中容易踏空。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百分比再平衡：看单只 ETF vs 自身配比——涨多了卖它、跌多了买它，互不干扰。牛熊都操作。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二、ETF组合配置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平衡型方案，适合大多数投资者：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000"/>
        <w:gridCol w:w="1200"/>
        <w:gridCol w:w="1200"/>
        <w:gridCol w:w="2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ETF代码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ETF名称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目标配比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月投金额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515080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中证红利ETF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红利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¥600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高股息防御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510300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沪深300ETF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宽基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¥600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大盘蓝筹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510500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中证500ETF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宽基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¥600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中小盘成长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512760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芯片ETF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行业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12.5%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¥400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科技成长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512010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医药ETF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行业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12.5%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¥400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医药防御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513100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纳指ETF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海外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¥400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海外科技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类别汇总：红利 20% + 宽基 40% + 行业 25% + 海外 15%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三、策略执行流程（每月一次）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第1步：注入月供——现金池 += ¥3,000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第2步：获取所有ETF当前价格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第3步：计算总资产 = 现金池 + Σ(各ETF持仓市值)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第4步：逐只计算目标市值 = 总资产 × 目标配比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第5步：逐只比较当前市值与目标市值：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   • 超配（当前 &gt; 目标×1.03）→ 卖出差额部分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   • 低配（当前 &lt; 目标×0.97）→ 从现金池买入差额部分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   • 在阈值±3%内 → 不动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第6步：先执行卖出（回收现金），再执行买入（消耗现金）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第7步：剩余现金按配比分摊买入——确保资金利用率最大化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再平衡阈值默认为3%（可配置），避免频繁小额交易。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四、2025年回溯测试结果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基于2025年真实A股行情数据（westock-data月度开盘价），模拟12个月百分比再平衡定投。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总体表现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总投入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¥36,000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12个月 × ¥3,000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年末总资产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¥40,460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含¥705现金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总收益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20"/>
                <w:szCs w:val="20"/>
              </w:rPr>
              <w:t xml:space="preserve">¥+4,460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总收益率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20"/>
                <w:szCs w:val="20"/>
              </w:rPr>
              <w:t xml:space="preserve">+12.39%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全年最高收益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8000"/>
                <w:sz w:val="20"/>
                <w:szCs w:val="20"/>
              </w:rPr>
              <w:t xml:space="preserve">+20.04%（10月）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年内峰值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现金余额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¥705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资金利用率98%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总手续费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¥17.89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佣金+印花税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月度表现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月份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总资产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累计投入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盈亏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收益率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累计收益率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2025-01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¥2,999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¥3,000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-¥1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-0.05%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-0.05%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2025-02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¥5,992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¥6,000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-¥8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-0.13%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-0.13%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2025-03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¥9,124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¥9,000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8000"/>
                <w:sz w:val="20"/>
                <w:szCs w:val="20"/>
              </w:rPr>
              <w:t xml:space="preserve">+¥124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8000"/>
                <w:sz w:val="20"/>
                <w:szCs w:val="20"/>
              </w:rPr>
              <w:t xml:space="preserve">+1.37%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8000"/>
                <w:sz w:val="20"/>
                <w:szCs w:val="20"/>
              </w:rPr>
              <w:t xml:space="preserve">+1.37%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2025-04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¥12,069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¥12,000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8000"/>
                <w:sz w:val="20"/>
                <w:szCs w:val="20"/>
              </w:rPr>
              <w:t xml:space="preserve">+¥69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8000"/>
                <w:sz w:val="20"/>
                <w:szCs w:val="20"/>
              </w:rPr>
              <w:t xml:space="preserve">+0.58%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8000"/>
                <w:sz w:val="20"/>
                <w:szCs w:val="20"/>
              </w:rPr>
              <w:t xml:space="preserve">+0.58%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2025-05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¥14,947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¥15,000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-¥53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-0.35%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C0000"/>
                <w:sz w:val="20"/>
                <w:szCs w:val="20"/>
              </w:rPr>
              <w:t xml:space="preserve">-0.35%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2025-06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¥18,190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¥18,000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8000"/>
                <w:sz w:val="20"/>
                <w:szCs w:val="20"/>
              </w:rPr>
              <w:t xml:space="preserve">+¥190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8000"/>
                <w:sz w:val="20"/>
                <w:szCs w:val="20"/>
              </w:rPr>
              <w:t xml:space="preserve">+1.06%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8000"/>
                <w:sz w:val="20"/>
                <w:szCs w:val="20"/>
              </w:rPr>
              <w:t xml:space="preserve">+1.06%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2025-07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¥21,664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¥21,000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8000"/>
                <w:sz w:val="20"/>
                <w:szCs w:val="20"/>
              </w:rPr>
              <w:t xml:space="preserve">+¥664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8000"/>
                <w:sz w:val="20"/>
                <w:szCs w:val="20"/>
              </w:rPr>
              <w:t xml:space="preserve">+3.16%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8000"/>
                <w:sz w:val="20"/>
                <w:szCs w:val="20"/>
              </w:rPr>
              <w:t xml:space="preserve">+3.16%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2025-08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¥25,562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¥24,000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8000"/>
                <w:sz w:val="20"/>
                <w:szCs w:val="20"/>
              </w:rPr>
              <w:t xml:space="preserve">+¥1,562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8000"/>
                <w:sz w:val="20"/>
                <w:szCs w:val="20"/>
              </w:rPr>
              <w:t xml:space="preserve">+6.51%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8000"/>
                <w:sz w:val="20"/>
                <w:szCs w:val="20"/>
              </w:rPr>
              <w:t xml:space="preserve">+6.51%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2025-09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¥31,255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¥27,000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8000"/>
                <w:sz w:val="20"/>
                <w:szCs w:val="20"/>
              </w:rPr>
              <w:t xml:space="preserve">+¥4,255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8000"/>
                <w:sz w:val="20"/>
                <w:szCs w:val="20"/>
              </w:rPr>
              <w:t xml:space="preserve">+15.76%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8000"/>
                <w:sz w:val="20"/>
                <w:szCs w:val="20"/>
              </w:rPr>
              <w:t xml:space="preserve">+15.76%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2025-10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¥36,012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¥30,000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8000"/>
                <w:sz w:val="20"/>
                <w:szCs w:val="20"/>
              </w:rPr>
              <w:t xml:space="preserve">+¥6,012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8000"/>
                <w:sz w:val="20"/>
                <w:szCs w:val="20"/>
              </w:rPr>
              <w:t xml:space="preserve">+20.04%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8000"/>
                <w:sz w:val="20"/>
                <w:szCs w:val="20"/>
              </w:rPr>
              <w:t xml:space="preserve">+20.04%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2025-11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¥38,508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¥33,000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8000"/>
                <w:sz w:val="20"/>
                <w:szCs w:val="20"/>
              </w:rPr>
              <w:t xml:space="preserve">+¥5,508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8000"/>
                <w:sz w:val="20"/>
                <w:szCs w:val="20"/>
              </w:rPr>
              <w:t xml:space="preserve">+16.69%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8000"/>
                <w:sz w:val="20"/>
                <w:szCs w:val="20"/>
              </w:rPr>
              <w:t xml:space="preserve">+16.69%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2025-12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¥40,460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¥36,000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8000"/>
                <w:sz w:val="20"/>
                <w:szCs w:val="20"/>
              </w:rPr>
              <w:t xml:space="preserve">+¥4,460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8000"/>
                <w:sz w:val="20"/>
                <w:szCs w:val="20"/>
              </w:rPr>
              <w:t xml:space="preserve">+12.39%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8000"/>
                <w:sz w:val="20"/>
                <w:szCs w:val="20"/>
              </w:rPr>
              <w:t xml:space="preserve">+12.39%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最终持仓明细（2025-12-31）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000"/>
        <w:gridCol w:w="1000"/>
        <w:gridCol w:w="1200"/>
        <w:gridCol w:w="1000"/>
        <w:gridCol w:w="1100"/>
        <w:gridCol w:w="1200"/>
        <w:gridCol w:w="156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ETF名称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股数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现价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市值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占比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成本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盈亏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收益率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中证红利ETF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5,200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¥1.53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¥7,956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19.7%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¥7,586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8000"/>
                <w:sz w:val="20"/>
                <w:szCs w:val="20"/>
              </w:rPr>
              <w:t xml:space="preserve">+¥370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+4.9%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沪深300ETF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1,700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¥4.56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¥7,752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19.2%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¥6,832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8000"/>
                <w:sz w:val="20"/>
                <w:szCs w:val="20"/>
              </w:rPr>
              <w:t xml:space="preserve">+¥920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+13.5%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中证500ETF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1,100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¥7.14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¥7,854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19.4%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¥6,824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8000"/>
                <w:sz w:val="20"/>
                <w:szCs w:val="20"/>
              </w:rPr>
              <w:t xml:space="preserve">+¥1,030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+15.1%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芯片ETF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6,500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¥0.78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¥5,070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12.5%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¥4,101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8000"/>
                <w:sz w:val="20"/>
                <w:szCs w:val="20"/>
              </w:rPr>
              <w:t xml:space="preserve">+¥969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+23.6%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医药ETF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13,100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¥0.39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¥5,109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12.6%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¥5,088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8000"/>
                <w:sz w:val="20"/>
                <w:szCs w:val="20"/>
              </w:rPr>
              <w:t xml:space="preserve">+¥21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+0.4%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纳指ETF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3,100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¥1.94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¥6,014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14.9%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¥4,994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8000"/>
                <w:sz w:val="20"/>
                <w:szCs w:val="20"/>
              </w:rPr>
              <w:t xml:space="preserve">+¥1,020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+20.4%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合计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¥40,460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100%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¥36,000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8000"/>
                <w:sz w:val="20"/>
                <w:szCs w:val="20"/>
              </w:rPr>
              <w:t xml:space="preserve">+¥4,460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+12.4%</w:t>
            </w:r>
          </w:p>
        </w:tc>
      </w:tr>
    </w:tbl>
    <w:p>
      <w:pPr>
        <w:spacing w:after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6只ETF配比偏差全部小于1%——再平衡策略执行到位。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五、全年交易数据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交易统计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笔数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总额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卖出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67 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¥1,099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月均7.2笔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总手续费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¥17.89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佣金+印花税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关键卖出记录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2025-09：卖出 芯片ETF 400股 @¥0.78 = ¥311（偏离+9.8%，自动减仓）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2025-10：卖出 芯片ETF 200股 @¥0.91 = ¥182（偏离+5.1%，继续减仓）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两次卖出累计回笼¥493，芯片ETF全年实现收益率+23.6%，验证高抛逻辑有效。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医药ETF低吸记录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医药ETF全年持续低配，系统每月强制买入——全年买入19次（含买入+摊入）。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最终持仓13,100股，成本¥5,088，年末微盈+¥21(+0.4%)。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验证：越跌越买的纪律性远高于人工操作，一旦板块回暖将释放超额收益。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六、与固定DCA对比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固定DCA（每月等额买入6只ETF，不做再平衡）：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   • 年末估算资产：≈ ¥38,500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   • 估算收益：≈ +6.9%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百分比再平衡（实际回溯）：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   • 年末资产：¥40,460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    • 收益：+12.39%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超额收益来源：9-10月芯片大涨时自动减仓获利，再分配到其他低配ETF；医药持续低迷时不断低价买入摊低成本。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七、系统文件说明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项目路径：D:\temp\红利ETF\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dca_config.py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ETF组合配置（配比、代码、月投金额、止盈参数）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dca_value_averaging.py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策略核心模块——含VA价值平均法 + 百分比再平衡两套策略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dca_main.py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主调度程序——策略选择、月度执行、报告生成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dca_calendar.py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交易日判断——含chinese_calendar集成、安全交易时间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dca_portfolio_manager.py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持仓管理——仓位记录、资金管理、数据持久化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dca_trading.py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行情获取——mootdx/新浪/腾讯/akshare多源降级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dca_stop_profit.py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止盈轮动——动态阈值、低配类别优先再投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dca_config.py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ETF组合配置（配比、代码、月投金额）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策略切换命令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python dca_main.py switch rebalance    # 切换到百分比再平衡策略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python dca_main.py switch va           # 切换到价值平均法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python dca_main.py switch dca          # 切换到普通定投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python dca_main.py run                 # 执行本月定投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python dca_main.py full                # 定投+止盈轮动完整周期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python dca_main.py check               # 查看系统状态</w:t>
      </w:r>
    </w:p>
    <w:p>
      <w:pPr>
        <w:spacing w:before="300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━━━━━━━━━━━━━━━━━━━━━━━━━━━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免责声明</w:t>
      </w:r>
    </w:p>
    <w:p>
      <w:pPr>
        <w:spacing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⚠️ 以上策略说明和回溯数据基于历史公开行情数据（数据来源：westock-data/腾讯自选股），仅供参考，不构成任何投资建议。过往业绩不代表未来表现。投资有风险，决策需谨慎。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第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红利ETF定投系统 · 策略逻辑与回溯数据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2026-07-05T03:42:51.933Z</dcterms:created>
  <dcterms:modified xsi:type="dcterms:W3CDTF">2026-07-05T03:42:51.946Z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