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VA 价值平均法策略说明</w:t>
      </w:r>
    </w:p>
    <w:p>
      <w:pPr>
        <w:spacing w:after="120"/>
      </w:pPr>
      <w:r>
        <w:rPr>
          <w:b w:val="0"/>
          <w:color w:val="808080"/>
          <w:sz w:val="24"/>
        </w:rPr>
        <w:t>红利 ETF 定投系统  |  策略模式：Value Averaging (VA)</w:t>
      </w:r>
    </w:p>
    <w:p/>
    <w:p>
      <w:pPr>
        <w:pStyle w:val="Heading1"/>
      </w:pPr>
      <w:r>
        <w:rPr>
          <w:color w:val="1F497D"/>
          <w:sz w:val="32"/>
        </w:rPr>
        <w:t>一、VA 策略核心原理</w:t>
      </w:r>
    </w:p>
    <w:p>
      <w:pPr>
        <w:spacing w:after="120"/>
      </w:pPr>
      <w:r>
        <w:rPr>
          <w:b w:val="0"/>
          <w:sz w:val="22"/>
        </w:rPr>
        <w:t>价值平均法（Value Averaging, VA）是一种动态调仓的定投策略，与传统的固定金额买入（DCA）不同，VA 通过设定"目标市值增长路径"，自动实现"跌多买多、涨多卖出"，在波动中获取超额收益。</w:t>
      </w:r>
    </w:p>
    <w:p>
      <w:pPr>
        <w:spacing w:after="120"/>
      </w:pPr>
      <w:r>
        <w:rPr>
          <w:b/>
          <w:sz w:val="22"/>
        </w:rPr>
        <w:t>核心公式：</w:t>
      </w:r>
    </w:p>
    <w:p>
      <w:pPr>
        <w:pStyle w:val="ListBullet"/>
      </w:pPr>
      <w:r>
        <w:rPr>
          <w:sz w:val="22"/>
        </w:rPr>
        <w:t>每月目标总市值 = (已执行月数 + 1) × 每月基准金额</w:t>
      </w:r>
    </w:p>
    <w:p>
      <w:pPr>
        <w:pStyle w:val="ListBullet"/>
      </w:pPr>
      <w:r>
        <w:rPr>
          <w:sz w:val="22"/>
        </w:rPr>
        <w:t>月初注入本月基准金额到现金池</w:t>
      </w:r>
    </w:p>
    <w:p>
      <w:pPr>
        <w:pStyle w:val="ListBullet"/>
      </w:pPr>
      <w:r>
        <w:rPr>
          <w:sz w:val="22"/>
        </w:rPr>
        <w:t>差额 = 目标总市值 − 当前总市值（股票 + 现金）</w:t>
      </w:r>
    </w:p>
    <w:p>
      <w:pPr>
        <w:pStyle w:val="ListBullet"/>
      </w:pPr>
      <w:r>
        <w:rPr>
          <w:sz w:val="22"/>
        </w:rPr>
        <w:t>差额为正 → 当前低于目标，需要买入</w:t>
      </w:r>
    </w:p>
    <w:p>
      <w:pPr>
        <w:pStyle w:val="ListBullet"/>
      </w:pPr>
      <w:r>
        <w:rPr>
          <w:sz w:val="22"/>
        </w:rPr>
        <w:t>差额为负 → 当前高于目标，需要卖出</w:t>
      </w:r>
    </w:p>
    <w:p>
      <w:pPr>
        <w:pStyle w:val="Heading1"/>
      </w:pPr>
      <w:r>
        <w:rPr>
          <w:color w:val="1F497D"/>
          <w:sz w:val="32"/>
        </w:rPr>
        <w:t>二、运行流程（全自动）</w:t>
      </w:r>
    </w:p>
    <w:p>
      <w:pPr>
        <w:spacing w:after="120"/>
      </w:pPr>
      <w:r>
        <w:rPr>
          <w:b w:val="0"/>
          <w:sz w:val="22"/>
        </w:rPr>
        <w:t>VA 策略在每月定投日触发后，自动完成以下 7 个步骤：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步骤</w:t>
            </w:r>
          </w:p>
        </w:tc>
        <w:tc>
          <w:tcPr>
            <w:tcW w:type="dxa" w:w="25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操作</w:t>
            </w:r>
          </w:p>
        </w:tc>
        <w:tc>
          <w:tcPr>
            <w:tcW w:type="dxa" w:w="5669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color w:val="1F497D"/>
                <w:sz w:val="21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月初注入资金</w:t>
            </w:r>
          </w:p>
        </w:tc>
        <w:tc>
          <w:tcPr>
            <w:tcW w:type="dxa" w:w="5669"/>
          </w:tcPr>
          <w:p>
            <w:r/>
            <w:r>
              <w:rPr>
                <w:sz w:val="21"/>
              </w:rPr>
              <w:t>自动将每月基准金额（如 3000 元）加入现金池；同时自动检查 ETF 分红并入账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color w:val="1F497D"/>
                <w:sz w:val="21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获取实时行情</w:t>
            </w:r>
          </w:p>
        </w:tc>
        <w:tc>
          <w:tcPr>
            <w:tcW w:type="dxa" w:w="5669"/>
          </w:tcPr>
          <w:p>
            <w:r/>
            <w:r>
              <w:rPr>
                <w:sz w:val="21"/>
              </w:rPr>
              <w:t>自动调用 mootdx / akshare / HTTP 兜底，获取所有 ETF 最新价格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color w:val="1F497D"/>
                <w:sz w:val="21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计算目标市值与差额</w:t>
            </w:r>
          </w:p>
        </w:tc>
        <w:tc>
          <w:tcPr>
            <w:tcW w:type="dxa" w:w="5669"/>
          </w:tcPr>
          <w:p>
            <w:r/>
            <w:r>
              <w:rPr>
                <w:sz w:val="21"/>
              </w:rPr>
              <w:t>目标总市值 = (已执行月数 + 1) × 每月基准金额；差额 = 目标 − 当前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color w:val="1F497D"/>
                <w:sz w:val="21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智能分配交易</w:t>
            </w:r>
          </w:p>
        </w:tc>
        <w:tc>
          <w:tcPr>
            <w:tcW w:type="dxa" w:w="5669"/>
          </w:tcPr>
          <w:p>
            <w:r/>
            <w:r>
              <w:rPr>
                <w:sz w:val="21"/>
              </w:rPr>
              <w:t>按配置比例计算每只 ETF 的目标市值；买入优先补仓"差异最大"的 ETF；卖出优先减仓"超配最多"的 ETF；自动跳过当日冻结的标的；按 100 股最小单位取整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color w:val="1F497D"/>
                <w:sz w:val="21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执行交易</w:t>
            </w:r>
          </w:p>
        </w:tc>
        <w:tc>
          <w:tcPr>
            <w:tcW w:type="dxa" w:w="5669"/>
          </w:tcPr>
          <w:p>
            <w:r/>
            <w:r>
              <w:rPr>
                <w:sz w:val="21"/>
              </w:rPr>
              <w:t>自动扣减/增加现金，更新持仓、均价、成本；每笔交易打上 va_buy / va_sell 标签写入历史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color w:val="1F497D"/>
                <w:sz w:val="21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剩余资金轮动</w:t>
            </w:r>
          </w:p>
        </w:tc>
        <w:tc>
          <w:tcPr>
            <w:tcW w:type="dxa" w:w="5669"/>
          </w:tcPr>
          <w:p>
            <w:r/>
            <w:r>
              <w:rPr>
                <w:sz w:val="21"/>
              </w:rPr>
              <w:t>如果买完后现金仍较多，自动按低配类别优先再投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color w:val="1F497D"/>
                <w:sz w:val="21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保存数据 + 生成报告</w:t>
            </w:r>
          </w:p>
        </w:tc>
        <w:tc>
          <w:tcPr>
            <w:tcW w:type="dxa" w:w="5669"/>
          </w:tcPr>
          <w:p>
            <w:r/>
            <w:r>
              <w:rPr>
                <w:sz w:val="21"/>
              </w:rPr>
              <w:t>自动保存持仓、打印执行总结、生成 HTML 报告</w:t>
            </w:r>
          </w:p>
        </w:tc>
      </w:tr>
    </w:tbl>
    <w:p>
      <w:pPr>
        <w:pStyle w:val="Heading1"/>
      </w:pPr>
      <w:r>
        <w:rPr>
          <w:color w:val="1F497D"/>
          <w:sz w:val="32"/>
        </w:rPr>
        <w:t>三、具体示例</w:t>
      </w:r>
    </w:p>
    <w:p>
      <w:pPr>
        <w:spacing w:after="120"/>
      </w:pPr>
      <w:r>
        <w:rPr>
          <w:b w:val="0"/>
          <w:sz w:val="22"/>
        </w:rPr>
        <w:t>假设每月 3000 元，已执行 2 个月：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3969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数值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目标总市值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3 × 3000 = ¥9,000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当前股票市值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¥7,800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当前现金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¥500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当前总市值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¥8,300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差额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+¥700 → 买入</w:t>
            </w:r>
          </w:p>
        </w:tc>
      </w:tr>
    </w:tbl>
    <w:p/>
    <w:p>
      <w:pPr>
        <w:spacing w:after="120"/>
      </w:pPr>
      <w:r>
        <w:rPr>
          <w:b/>
          <w:sz w:val="22"/>
        </w:rPr>
        <w:t>如果本月大涨，当前总市值变成 ¥9,800：</w:t>
      </w:r>
    </w:p>
    <w:p>
      <w:pPr>
        <w:spacing w:after="120"/>
        <w:ind w:left="420"/>
      </w:pPr>
      <w:r>
        <w:rPr>
          <w:b w:val="0"/>
          <w:color w:val="E74C3C"/>
          <w:sz w:val="22"/>
        </w:rPr>
        <w:t>差额 = 9000 − 9800 = −¥800 → 卖出 ¥800</w:t>
      </w:r>
    </w:p>
    <w:p>
      <w:pPr>
        <w:pStyle w:val="Heading1"/>
      </w:pPr>
      <w:r>
        <w:rPr>
          <w:color w:val="1F497D"/>
          <w:sz w:val="32"/>
        </w:rPr>
        <w:t>四、需要人工操作的部分</w:t>
      </w:r>
    </w:p>
    <w:p>
      <w:pPr>
        <w:spacing w:after="120"/>
      </w:pPr>
      <w:r>
        <w:rPr>
          <w:b/>
          <w:sz w:val="22"/>
        </w:rPr>
        <w:t>核心逻辑全自动，无需人工干预。你只需要做两件事：</w:t>
      </w:r>
    </w:p>
    <w:p>
      <w:pPr>
        <w:spacing w:after="120"/>
      </w:pPr>
      <w:r>
        <w:rPr>
          <w:b/>
          <w:color w:val="1F497D"/>
          <w:sz w:val="24"/>
        </w:rPr>
        <w:t>1. 触发执行（每月一次）</w:t>
      </w:r>
    </w:p>
    <w:p>
      <w:pPr>
        <w:pStyle w:val="ListBullet"/>
      </w:pPr>
      <w:r>
        <w:rPr>
          <w:sz w:val="22"/>
        </w:rPr>
        <w:t>在 Web 首页点击"执行月度 VA"按钮</w:t>
      </w:r>
    </w:p>
    <w:p>
      <w:pPr>
        <w:pStyle w:val="ListBullet"/>
      </w:pPr>
      <w:r>
        <w:rPr>
          <w:sz w:val="22"/>
        </w:rPr>
        <w:t>或运行命令：python dca_main.py run</w:t>
      </w:r>
    </w:p>
    <w:p>
      <w:pPr>
        <w:spacing w:after="120"/>
      </w:pPr>
      <w:r>
        <w:rPr>
          <w:b/>
          <w:color w:val="1F497D"/>
          <w:sz w:val="24"/>
        </w:rPr>
        <w:t>2. 确认执行结果（可选）</w:t>
      </w:r>
    </w:p>
    <w:p>
      <w:pPr>
        <w:pStyle w:val="ListBullet"/>
      </w:pPr>
      <w:r>
        <w:rPr>
          <w:sz w:val="22"/>
        </w:rPr>
        <w:t>系统会打印交易明细并生成 HTML 报告</w:t>
      </w:r>
    </w:p>
    <w:p>
      <w:pPr>
        <w:pStyle w:val="ListBullet"/>
      </w:pPr>
      <w:r>
        <w:rPr>
          <w:sz w:val="22"/>
        </w:rPr>
        <w:t>如需在真实券商下单，按报告中的"买入/卖出 × 股数"在交易软件手动操作即可</w:t>
      </w:r>
    </w:p>
    <w:p>
      <w:pPr>
        <w:spacing w:after="120"/>
        <w:ind w:left="420"/>
      </w:pPr>
      <w:r>
        <w:rPr>
          <w:b w:val="0"/>
          <w:color w:val="808080"/>
          <w:sz w:val="20"/>
        </w:rPr>
        <w:t>（本系统是记账+决策系统，不直接对接券商下单）</w:t>
      </w:r>
    </w:p>
    <w:p>
      <w:pPr>
        <w:pStyle w:val="Heading1"/>
      </w:pPr>
      <w:r>
        <w:rPr>
          <w:color w:val="1F497D"/>
          <w:sz w:val="32"/>
        </w:rPr>
        <w:t>五、VA 与 DCA 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DCA 普通定投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VA 价值平均法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1"/>
              </w:rPr>
              <w:t>每月操作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固定金额买入</w:t>
            </w:r>
          </w:p>
        </w:tc>
        <w:tc>
          <w:tcPr>
            <w:tcW w:type="dxa" w:w="4252"/>
          </w:tcPr>
          <w:p>
            <w:r/>
            <w:r>
              <w:rPr>
                <w:sz w:val="21"/>
              </w:rPr>
              <w:t>按目标市值差额买/卖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1"/>
              </w:rPr>
              <w:t>涨时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照常买入</w:t>
            </w:r>
          </w:p>
        </w:tc>
        <w:tc>
          <w:tcPr>
            <w:tcW w:type="dxa" w:w="4252"/>
          </w:tcPr>
          <w:p>
            <w:r/>
            <w:r>
              <w:rPr>
                <w:sz w:val="21"/>
              </w:rPr>
              <w:t>卖出超配部分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1"/>
              </w:rPr>
              <w:t>跌时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照常买入</w:t>
            </w:r>
          </w:p>
        </w:tc>
        <w:tc>
          <w:tcPr>
            <w:tcW w:type="dxa" w:w="4252"/>
          </w:tcPr>
          <w:p>
            <w:r/>
            <w:r>
              <w:rPr>
                <w:sz w:val="21"/>
              </w:rPr>
              <w:t>多买补仓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1"/>
              </w:rPr>
              <w:t>资金需求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固定</w:t>
            </w:r>
          </w:p>
        </w:tc>
        <w:tc>
          <w:tcPr>
            <w:tcW w:type="dxa" w:w="4252"/>
          </w:tcPr>
          <w:p>
            <w:r/>
            <w:r>
              <w:rPr>
                <w:sz w:val="21"/>
              </w:rPr>
              <w:t>可能需要追加（大跌时）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1"/>
              </w:rPr>
              <w:t>收益特征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平滑成本</w:t>
            </w:r>
          </w:p>
        </w:tc>
        <w:tc>
          <w:tcPr>
            <w:tcW w:type="dxa" w:w="4252"/>
          </w:tcPr>
          <w:p>
            <w:r/>
            <w:r>
              <w:rPr>
                <w:sz w:val="21"/>
              </w:rPr>
              <w:t>强制市值增长路径</w:t>
            </w:r>
          </w:p>
        </w:tc>
      </w:tr>
    </w:tbl>
    <w:p/>
    <w:p>
      <w:pPr>
        <w:spacing w:after="120"/>
      </w:pPr>
      <w:r>
        <w:rPr>
          <w:b/>
          <w:color w:val="E74C3C"/>
          <w:sz w:val="22"/>
        </w:rPr>
        <w:t>注意：</w:t>
      </w:r>
    </w:p>
    <w:p>
      <w:pPr>
        <w:spacing w:after="120"/>
      </w:pPr>
      <w:r>
        <w:rPr>
          <w:b w:val="0"/>
          <w:color w:val="E74C3C"/>
          <w:sz w:val="22"/>
        </w:rPr>
        <w:t>VA 在大跌时可能需要超过 3000 元的追加资金（因为目标市值是固定的，跌得多要补得多）。如果担心资金压力，可以随时在 Web 上点"切换策略"切回 DCA。</w:t>
      </w:r>
    </w:p>
    <w:p>
      <w:pPr>
        <w:pStyle w:val="Heading1"/>
      </w:pPr>
      <w:r>
        <w:rPr>
          <w:color w:val="1F497D"/>
          <w:sz w:val="32"/>
        </w:rPr>
        <w:t>六、相关文件</w:t>
      </w:r>
    </w:p>
    <w:p>
      <w:pPr>
        <w:pStyle w:val="ListBullet"/>
      </w:pPr>
      <w:r>
        <w:rPr>
          <w:sz w:val="22"/>
        </w:rPr>
        <w:t>dca_value_averaging.py — VA 策略核心逻辑（目标市值计算、交易分配、月度执行）</w:t>
      </w:r>
    </w:p>
    <w:p>
      <w:pPr>
        <w:pStyle w:val="ListBullet"/>
      </w:pPr>
      <w:r>
        <w:rPr>
          <w:sz w:val="22"/>
        </w:rPr>
        <w:t>dca_main.py — 主入口，支持策略切换和执行</w:t>
      </w:r>
    </w:p>
    <w:p>
      <w:pPr>
        <w:pStyle w:val="ListBullet"/>
      </w:pPr>
      <w:r>
        <w:rPr>
          <w:sz w:val="22"/>
        </w:rPr>
        <w:t>dca_portfolio_manager.py — 持仓管理，支持策略持久化</w:t>
      </w:r>
    </w:p>
    <w:p>
      <w:pPr>
        <w:pStyle w:val="ListBullet"/>
      </w:pPr>
      <w:r>
        <w:rPr>
          <w:sz w:val="22"/>
        </w:rPr>
        <w:t>dca_web.py — Web UI 和 API，支持策略切换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