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2"/>
        </w:rPr>
      </w:pPr>
    </w:p>
    <w:p>
      <w:pPr>
        <w:pStyle w:val="BodyText"/>
        <w:ind w:left="966" w:firstLine="0"/>
        <w:jc w:val="left"/>
        <w:rPr>
          <w:sz w:val="20"/>
        </w:rPr>
      </w:pPr>
      <w:r>
        <w:rPr>
          <w:sz w:val="20"/>
        </w:rPr>
        <w:pict>
          <v:group style="width:434.15pt;height:274.95pt;mso-position-horizontal-relative:char;mso-position-vertical-relative:line" coordorigin="0,0" coordsize="8683,5499">
            <v:rect style="position:absolute;left:0;top:0;width:89;height:60" filled="true" fillcolor="#000000" stroked="false">
              <v:fill type="solid"/>
            </v:rect>
            <v:line style="position:absolute" from="89,30" to="8594,30" stroked="true" strokeweight="3pt" strokecolor="#000000">
              <v:stroke dashstyle="solid"/>
            </v:line>
            <v:line style="position:absolute" from="89,82" to="8594,82" stroked="true" strokeweight=".72pt" strokecolor="#000000">
              <v:stroke dashstyle="solid"/>
            </v:line>
            <v:rect style="position:absolute;left:8593;top:0;width:89;height:60" filled="true" fillcolor="#000000" stroked="false">
              <v:fill type="solid"/>
            </v:rect>
            <v:line style="position:absolute" from="82,74" to="82,5470" stroked="true" strokeweight=".72pt" strokecolor="#000000">
              <v:stroke dashstyle="solid"/>
            </v:line>
            <v:line style="position:absolute" from="30,0" to="30,5499" stroked="true" strokeweight="3pt" strokecolor="#000000">
              <v:stroke dashstyle="solid"/>
            </v:line>
            <v:rect style="position:absolute;left:0;top:5484;width:89;height:15" filled="true" fillcolor="#000000" stroked="false">
              <v:fill type="solid"/>
            </v:rect>
            <v:line style="position:absolute" from="89,5492" to="8594,5492" stroked="true" strokeweight=".72pt" strokecolor="#000000">
              <v:stroke dashstyle="solid"/>
            </v:line>
            <v:line style="position:absolute" from="89,5440" to="8594,5440" stroked="true" strokeweight="3pt" strokecolor="#000000">
              <v:stroke dashstyle="solid"/>
            </v:line>
            <v:line style="position:absolute" from="8676,0" to="8676,5499" stroked="true" strokeweight=".71997pt" strokecolor="#000000">
              <v:stroke dashstyle="solid"/>
            </v:line>
            <v:line style="position:absolute" from="8624,74" to="8624,5470" stroked="true" strokeweight="3pt" strokecolor="#000000">
              <v:stroke dashstyle="solid"/>
            </v:line>
            <v:rect style="position:absolute;left:8593;top:5484;width:89;height:15" filled="true" fillcolor="#000000" stroked="false">
              <v:fill type="solid"/>
            </v:rect>
            <v:shape style="position:absolute;left:74;top:74;width:8534;height:5350" type="#_x0000_t202" filled="false" stroked="false">
              <v:textbox inset="0,0,0,0">
                <w:txbxContent>
                  <w:p>
                    <w:pPr>
                      <w:spacing w:before="17"/>
                      <w:ind w:left="963" w:right="963" w:firstLine="0"/>
                      <w:jc w:val="center"/>
                      <w:rPr>
                        <w:b/>
                        <w:sz w:val="56"/>
                      </w:rPr>
                    </w:pPr>
                    <w:r>
                      <w:rPr>
                        <w:b/>
                        <w:sz w:val="56"/>
                      </w:rPr>
                      <w:t>Groupe Chimique Tunisien</w:t>
                    </w:r>
                  </w:p>
                  <w:p>
                    <w:pPr>
                      <w:spacing w:line="240" w:lineRule="auto" w:before="0"/>
                      <w:rPr>
                        <w:b/>
                        <w:sz w:val="62"/>
                      </w:rPr>
                    </w:pPr>
                  </w:p>
                  <w:p>
                    <w:pPr>
                      <w:spacing w:before="526"/>
                      <w:ind w:left="963" w:right="960" w:firstLine="0"/>
                      <w:jc w:val="center"/>
                      <w:rPr>
                        <w:b/>
                        <w:sz w:val="44"/>
                      </w:rPr>
                    </w:pPr>
                    <w:r>
                      <w:rPr>
                        <w:b/>
                        <w:sz w:val="44"/>
                      </w:rPr>
                      <w:t>MANUEL DE PROCEDURES DES ACHATS</w:t>
                    </w:r>
                  </w:p>
                </w:txbxContent>
              </v:textbox>
              <w10:wrap type="none"/>
            </v:shape>
          </v:group>
        </w:pict>
      </w:r>
      <w:r>
        <w:rPr>
          <w:sz w:val="20"/>
        </w:rPr>
      </w:r>
    </w:p>
    <w:p>
      <w:pPr>
        <w:spacing w:after="0"/>
        <w:jc w:val="left"/>
        <w:rPr>
          <w:sz w:val="20"/>
        </w:rPr>
        <w:sectPr>
          <w:headerReference w:type="default" r:id="rId5"/>
          <w:type w:val="continuous"/>
          <w:pgSz w:w="11910" w:h="16840"/>
          <w:pgMar w:header="722" w:top="1860" w:bottom="280" w:left="700" w:right="380"/>
          <w:pgNumType w:start="1"/>
        </w:sectPr>
      </w:pPr>
    </w:p>
    <w:p>
      <w:pPr>
        <w:pStyle w:val="BodyText"/>
        <w:spacing w:before="6"/>
        <w:ind w:left="0" w:firstLine="0"/>
        <w:jc w:val="left"/>
        <w:rPr>
          <w:sz w:val="16"/>
        </w:rPr>
      </w:pPr>
    </w:p>
    <w:p>
      <w:pPr>
        <w:spacing w:before="90"/>
        <w:ind w:left="433" w:right="0" w:firstLine="0"/>
        <w:jc w:val="left"/>
        <w:rPr>
          <w:b/>
          <w:sz w:val="24"/>
        </w:rPr>
      </w:pPr>
      <w:r>
        <w:rPr>
          <w:b/>
          <w:sz w:val="24"/>
          <w:u w:val="thick"/>
        </w:rPr>
        <w:t>VALIDATION DE LA PROCÉDURE</w:t>
      </w:r>
    </w:p>
    <w:p>
      <w:pPr>
        <w:pStyle w:val="BodyText"/>
        <w:spacing w:before="4"/>
        <w:ind w:left="0" w:firstLine="0"/>
        <w:jc w:val="left"/>
        <w:rPr>
          <w:b/>
          <w:sz w:val="22"/>
        </w:rPr>
      </w:pPr>
    </w:p>
    <w:tbl>
      <w:tblPr>
        <w:tblW w:w="0" w:type="auto"/>
        <w:jc w:val="left"/>
        <w:tblInd w:w="448" w:type="dxa"/>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CellMar>
          <w:top w:w="0" w:type="dxa"/>
          <w:left w:w="0" w:type="dxa"/>
          <w:bottom w:w="0" w:type="dxa"/>
          <w:right w:w="0" w:type="dxa"/>
        </w:tblCellMar>
        <w:tblLook w:val="01E0"/>
      </w:tblPr>
      <w:tblGrid>
        <w:gridCol w:w="4931"/>
        <w:gridCol w:w="1160"/>
        <w:gridCol w:w="1960"/>
        <w:gridCol w:w="1948"/>
      </w:tblGrid>
      <w:tr>
        <w:trPr>
          <w:trHeight w:val="493" w:hRule="atLeast"/>
        </w:trPr>
        <w:tc>
          <w:tcPr>
            <w:tcW w:w="4931" w:type="dxa"/>
            <w:shd w:val="clear" w:color="auto" w:fill="DEEAF6"/>
          </w:tcPr>
          <w:p>
            <w:pPr>
              <w:pStyle w:val="TableParagraph"/>
              <w:spacing w:before="104"/>
              <w:ind w:left="110"/>
              <w:rPr>
                <w:b/>
                <w:sz w:val="24"/>
              </w:rPr>
            </w:pPr>
            <w:r>
              <w:rPr>
                <w:b/>
                <w:sz w:val="24"/>
              </w:rPr>
              <w:t>Structure</w:t>
            </w:r>
          </w:p>
        </w:tc>
        <w:tc>
          <w:tcPr>
            <w:tcW w:w="1160" w:type="dxa"/>
            <w:shd w:val="clear" w:color="auto" w:fill="DEEAF6"/>
          </w:tcPr>
          <w:p>
            <w:pPr>
              <w:pStyle w:val="TableParagraph"/>
              <w:spacing w:before="104"/>
              <w:ind w:left="107"/>
              <w:rPr>
                <w:b/>
                <w:sz w:val="24"/>
              </w:rPr>
            </w:pPr>
            <w:r>
              <w:rPr>
                <w:b/>
                <w:sz w:val="24"/>
              </w:rPr>
              <w:t>Date</w:t>
            </w:r>
          </w:p>
        </w:tc>
        <w:tc>
          <w:tcPr>
            <w:tcW w:w="1960" w:type="dxa"/>
            <w:shd w:val="clear" w:color="auto" w:fill="DEEAF6"/>
          </w:tcPr>
          <w:p>
            <w:pPr>
              <w:pStyle w:val="TableParagraph"/>
              <w:spacing w:before="104"/>
              <w:ind w:left="108"/>
              <w:rPr>
                <w:b/>
                <w:sz w:val="24"/>
              </w:rPr>
            </w:pPr>
            <w:r>
              <w:rPr>
                <w:b/>
                <w:sz w:val="24"/>
              </w:rPr>
              <w:t>Nom Prénom</w:t>
            </w:r>
          </w:p>
        </w:tc>
        <w:tc>
          <w:tcPr>
            <w:tcW w:w="1948" w:type="dxa"/>
            <w:shd w:val="clear" w:color="auto" w:fill="DEEAF6"/>
          </w:tcPr>
          <w:p>
            <w:pPr>
              <w:pStyle w:val="TableParagraph"/>
              <w:spacing w:before="104"/>
              <w:ind w:left="105"/>
              <w:rPr>
                <w:b/>
                <w:sz w:val="24"/>
              </w:rPr>
            </w:pPr>
            <w:r>
              <w:rPr>
                <w:b/>
                <w:sz w:val="24"/>
              </w:rPr>
              <w:t>Signature</w:t>
            </w:r>
          </w:p>
        </w:tc>
      </w:tr>
      <w:tr>
        <w:trPr>
          <w:trHeight w:val="352" w:hRule="atLeast"/>
        </w:trPr>
        <w:tc>
          <w:tcPr>
            <w:tcW w:w="4931" w:type="dxa"/>
          </w:tcPr>
          <w:p>
            <w:pPr>
              <w:pStyle w:val="TableParagraph"/>
              <w:spacing w:before="69"/>
              <w:ind w:left="110"/>
              <w:rPr>
                <w:i/>
                <w:sz w:val="18"/>
              </w:rPr>
            </w:pPr>
            <w:r>
              <w:rPr>
                <w:i/>
                <w:sz w:val="18"/>
              </w:rPr>
              <w:t>Direction Centrale d’Organisation et du Système d’Information</w:t>
            </w:r>
          </w:p>
        </w:tc>
        <w:tc>
          <w:tcPr>
            <w:tcW w:w="1160" w:type="dxa"/>
          </w:tcPr>
          <w:p>
            <w:pPr>
              <w:pStyle w:val="TableParagraph"/>
              <w:spacing w:before="69"/>
              <w:ind w:left="107"/>
              <w:rPr>
                <w:i/>
                <w:sz w:val="18"/>
              </w:rPr>
            </w:pPr>
            <w:r>
              <w:rPr>
                <w:i/>
                <w:sz w:val="18"/>
              </w:rPr>
              <w:t>29/12/2022</w:t>
            </w:r>
          </w:p>
        </w:tc>
        <w:tc>
          <w:tcPr>
            <w:tcW w:w="1960" w:type="dxa"/>
          </w:tcPr>
          <w:p>
            <w:pPr>
              <w:pStyle w:val="TableParagraph"/>
              <w:rPr>
                <w:sz w:val="18"/>
              </w:rPr>
            </w:pPr>
          </w:p>
        </w:tc>
        <w:tc>
          <w:tcPr>
            <w:tcW w:w="1948" w:type="dxa"/>
          </w:tcPr>
          <w:p>
            <w:pPr>
              <w:pStyle w:val="TableParagraph"/>
              <w:rPr>
                <w:sz w:val="18"/>
              </w:rPr>
            </w:pPr>
          </w:p>
        </w:tc>
      </w:tr>
      <w:tr>
        <w:trPr>
          <w:trHeight w:val="347" w:hRule="atLeast"/>
        </w:trPr>
        <w:tc>
          <w:tcPr>
            <w:tcW w:w="4931" w:type="dxa"/>
          </w:tcPr>
          <w:p>
            <w:pPr>
              <w:pStyle w:val="TableParagraph"/>
              <w:spacing w:before="67"/>
              <w:ind w:left="110"/>
              <w:rPr>
                <w:i/>
                <w:sz w:val="18"/>
              </w:rPr>
            </w:pPr>
            <w:r>
              <w:rPr>
                <w:i/>
                <w:sz w:val="18"/>
              </w:rPr>
              <w:t>Direction Centrale des Achats Hors Matières Premières</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42" w:hRule="atLeast"/>
        </w:trPr>
        <w:tc>
          <w:tcPr>
            <w:tcW w:w="4931" w:type="dxa"/>
          </w:tcPr>
          <w:p>
            <w:pPr>
              <w:pStyle w:val="TableParagraph"/>
              <w:spacing w:before="62"/>
              <w:ind w:left="110"/>
              <w:rPr>
                <w:i/>
                <w:sz w:val="18"/>
              </w:rPr>
            </w:pPr>
            <w:r>
              <w:rPr>
                <w:i/>
                <w:sz w:val="18"/>
              </w:rPr>
              <w:t>Direction Centrale des Achats Matières Premières</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47" w:hRule="atLeast"/>
        </w:trPr>
        <w:tc>
          <w:tcPr>
            <w:tcW w:w="4931" w:type="dxa"/>
          </w:tcPr>
          <w:p>
            <w:pPr>
              <w:pStyle w:val="TableParagraph"/>
              <w:spacing w:before="64"/>
              <w:ind w:left="110"/>
              <w:rPr>
                <w:i/>
                <w:sz w:val="18"/>
              </w:rPr>
            </w:pPr>
            <w:r>
              <w:rPr>
                <w:i/>
                <w:sz w:val="18"/>
              </w:rPr>
              <w:t>Direction Centrale des Commissions des Achats de l’Entreprise</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57" w:hRule="atLeast"/>
        </w:trPr>
        <w:tc>
          <w:tcPr>
            <w:tcW w:w="4931" w:type="dxa"/>
          </w:tcPr>
          <w:p>
            <w:pPr>
              <w:pStyle w:val="TableParagraph"/>
              <w:spacing w:before="72"/>
              <w:ind w:left="110"/>
              <w:rPr>
                <w:i/>
                <w:sz w:val="18"/>
              </w:rPr>
            </w:pPr>
            <w:r>
              <w:rPr>
                <w:i/>
                <w:sz w:val="18"/>
              </w:rPr>
              <w:t>Direction Générale Commerciale</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52" w:hRule="atLeast"/>
        </w:trPr>
        <w:tc>
          <w:tcPr>
            <w:tcW w:w="4931" w:type="dxa"/>
          </w:tcPr>
          <w:p>
            <w:pPr>
              <w:pStyle w:val="TableParagraph"/>
              <w:spacing w:before="67"/>
              <w:ind w:left="110"/>
              <w:rPr>
                <w:i/>
                <w:sz w:val="18"/>
              </w:rPr>
            </w:pPr>
            <w:r>
              <w:rPr>
                <w:i/>
                <w:sz w:val="18"/>
              </w:rPr>
              <w:t>Direction Générale</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45" w:hRule="atLeast"/>
        </w:trPr>
        <w:tc>
          <w:tcPr>
            <w:tcW w:w="4931" w:type="dxa"/>
          </w:tcPr>
          <w:p>
            <w:pPr>
              <w:pStyle w:val="TableParagraph"/>
              <w:spacing w:before="64"/>
              <w:ind w:left="110"/>
              <w:rPr>
                <w:i/>
                <w:sz w:val="18"/>
              </w:rPr>
            </w:pPr>
            <w:r>
              <w:rPr>
                <w:i/>
                <w:sz w:val="18"/>
              </w:rPr>
              <w:t>Conseil d'Administration</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bl>
    <w:p>
      <w:pPr>
        <w:pStyle w:val="ListParagraph"/>
        <w:numPr>
          <w:ilvl w:val="0"/>
          <w:numId w:val="1"/>
        </w:numPr>
        <w:tabs>
          <w:tab w:pos="717" w:val="left" w:leader="none"/>
        </w:tabs>
        <w:spacing w:line="285" w:lineRule="exact" w:before="0" w:after="0"/>
        <w:ind w:left="716" w:right="0" w:hanging="284"/>
        <w:jc w:val="left"/>
        <w:rPr>
          <w:rFonts w:ascii="Symbol" w:hAnsi="Symbol"/>
          <w:sz w:val="24"/>
        </w:rPr>
      </w:pPr>
      <w:r>
        <w:rPr>
          <w:sz w:val="24"/>
        </w:rPr>
        <w:t>La procédure a fait l'objet de l'avis de la Cellule de Bonne Gouvernance aux dates suivantes</w:t>
      </w:r>
      <w:r>
        <w:rPr>
          <w:spacing w:val="-2"/>
          <w:sz w:val="24"/>
        </w:rPr>
        <w:t> </w:t>
      </w:r>
      <w:r>
        <w:rPr>
          <w:sz w:val="24"/>
        </w:rPr>
        <w:t>:</w:t>
      </w:r>
    </w:p>
    <w:p>
      <w:pPr>
        <w:spacing w:line="274" w:lineRule="exact" w:before="0"/>
        <w:ind w:left="433" w:right="0" w:firstLine="0"/>
        <w:jc w:val="left"/>
        <w:rPr>
          <w:sz w:val="24"/>
        </w:rPr>
      </w:pPr>
      <w:r>
        <w:rPr>
          <w:sz w:val="24"/>
        </w:rPr>
        <w:t>- Version 1.0 : le</w:t>
      </w:r>
      <w:r>
        <w:rPr>
          <w:spacing w:val="-6"/>
          <w:sz w:val="24"/>
        </w:rPr>
        <w:t> </w:t>
      </w:r>
      <w:r>
        <w:rPr>
          <w:sz w:val="24"/>
        </w:rPr>
        <w:t>30/08/2021</w:t>
      </w:r>
    </w:p>
    <w:p>
      <w:pPr>
        <w:spacing w:before="0"/>
        <w:ind w:left="433" w:right="0" w:firstLine="0"/>
        <w:jc w:val="left"/>
        <w:rPr>
          <w:sz w:val="24"/>
        </w:rPr>
      </w:pPr>
      <w:r>
        <w:rPr>
          <w:sz w:val="24"/>
        </w:rPr>
        <w:t>- Version 1.1 : le</w:t>
      </w:r>
      <w:r>
        <w:rPr>
          <w:spacing w:val="-6"/>
          <w:sz w:val="24"/>
        </w:rPr>
        <w:t> </w:t>
      </w:r>
      <w:r>
        <w:rPr>
          <w:sz w:val="24"/>
        </w:rPr>
        <w:t>14/10/2022</w:t>
      </w:r>
    </w:p>
    <w:p>
      <w:pPr>
        <w:spacing w:before="5"/>
        <w:ind w:left="433" w:right="0" w:firstLine="0"/>
        <w:jc w:val="left"/>
        <w:rPr>
          <w:b/>
          <w:sz w:val="24"/>
        </w:rPr>
      </w:pPr>
      <w:r>
        <w:rPr>
          <w:b/>
          <w:sz w:val="24"/>
          <w:u w:val="thick"/>
        </w:rPr>
        <w:t>LISTE DE DIFFUSION</w:t>
      </w:r>
    </w:p>
    <w:p>
      <w:pPr>
        <w:pStyle w:val="BodyText"/>
        <w:spacing w:before="2"/>
        <w:ind w:left="0" w:firstLine="0"/>
        <w:jc w:val="left"/>
        <w:rPr>
          <w:b/>
          <w:sz w:val="22"/>
        </w:rPr>
      </w:pPr>
    </w:p>
    <w:tbl>
      <w:tblPr>
        <w:tblW w:w="0" w:type="auto"/>
        <w:jc w:val="left"/>
        <w:tblInd w:w="448" w:type="dxa"/>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CellMar>
          <w:top w:w="0" w:type="dxa"/>
          <w:left w:w="0" w:type="dxa"/>
          <w:bottom w:w="0" w:type="dxa"/>
          <w:right w:w="0" w:type="dxa"/>
        </w:tblCellMar>
        <w:tblLook w:val="01E0"/>
      </w:tblPr>
      <w:tblGrid>
        <w:gridCol w:w="8226"/>
        <w:gridCol w:w="1663"/>
      </w:tblGrid>
      <w:tr>
        <w:trPr>
          <w:trHeight w:val="553" w:hRule="atLeast"/>
        </w:trPr>
        <w:tc>
          <w:tcPr>
            <w:tcW w:w="8226" w:type="dxa"/>
            <w:shd w:val="clear" w:color="auto" w:fill="DEEAF6"/>
          </w:tcPr>
          <w:p>
            <w:pPr>
              <w:pStyle w:val="TableParagraph"/>
              <w:spacing w:before="135"/>
              <w:ind w:left="110"/>
              <w:rPr>
                <w:b/>
                <w:sz w:val="24"/>
              </w:rPr>
            </w:pPr>
            <w:r>
              <w:rPr>
                <w:b/>
                <w:sz w:val="24"/>
              </w:rPr>
              <w:t>Entités/Structures/Personnes</w:t>
            </w:r>
          </w:p>
        </w:tc>
        <w:tc>
          <w:tcPr>
            <w:tcW w:w="1663" w:type="dxa"/>
            <w:shd w:val="clear" w:color="auto" w:fill="DEEAF6"/>
          </w:tcPr>
          <w:p>
            <w:pPr>
              <w:pStyle w:val="TableParagraph"/>
              <w:tabs>
                <w:tab w:pos="908" w:val="left" w:leader="none"/>
                <w:tab w:pos="1366" w:val="left" w:leader="none"/>
              </w:tabs>
              <w:spacing w:line="276" w:lineRule="exact" w:before="2"/>
              <w:ind w:left="108" w:right="92"/>
              <w:rPr>
                <w:b/>
                <w:sz w:val="24"/>
              </w:rPr>
            </w:pPr>
            <w:r>
              <w:rPr>
                <w:b/>
                <w:sz w:val="24"/>
              </w:rPr>
              <w:t>Pilote</w:t>
              <w:tab/>
              <w:t>de</w:t>
              <w:tab/>
            </w:r>
            <w:r>
              <w:rPr>
                <w:b/>
                <w:spacing w:val="-9"/>
                <w:sz w:val="24"/>
              </w:rPr>
              <w:t>la </w:t>
            </w:r>
            <w:r>
              <w:rPr>
                <w:b/>
                <w:sz w:val="24"/>
              </w:rPr>
              <w:t>procédure</w:t>
            </w:r>
          </w:p>
        </w:tc>
      </w:tr>
      <w:tr>
        <w:trPr>
          <w:trHeight w:val="311" w:hRule="atLeast"/>
        </w:trPr>
        <w:tc>
          <w:tcPr>
            <w:tcW w:w="8226" w:type="dxa"/>
          </w:tcPr>
          <w:p>
            <w:pPr>
              <w:pStyle w:val="TableParagraph"/>
              <w:spacing w:before="48"/>
              <w:ind w:left="110"/>
              <w:rPr>
                <w:i/>
                <w:sz w:val="18"/>
              </w:rPr>
            </w:pPr>
            <w:r>
              <w:rPr>
                <w:i/>
                <w:sz w:val="18"/>
              </w:rPr>
              <w:t>Direction Centrale des Achats hors Matières Premières, et Structures y rattachées</w:t>
            </w:r>
          </w:p>
        </w:tc>
        <w:tc>
          <w:tcPr>
            <w:tcW w:w="1663" w:type="dxa"/>
          </w:tcPr>
          <w:p>
            <w:pPr>
              <w:pStyle w:val="TableParagraph"/>
              <w:spacing w:before="48"/>
              <w:ind w:left="13"/>
              <w:jc w:val="center"/>
              <w:rPr>
                <w:i/>
                <w:sz w:val="18"/>
              </w:rPr>
            </w:pPr>
            <w:r>
              <w:rPr>
                <w:i/>
                <w:sz w:val="18"/>
              </w:rPr>
              <w:t>X</w:t>
            </w:r>
          </w:p>
        </w:tc>
      </w:tr>
      <w:tr>
        <w:trPr>
          <w:trHeight w:val="373" w:hRule="atLeast"/>
        </w:trPr>
        <w:tc>
          <w:tcPr>
            <w:tcW w:w="8226" w:type="dxa"/>
          </w:tcPr>
          <w:p>
            <w:pPr>
              <w:pStyle w:val="TableParagraph"/>
              <w:spacing w:before="79"/>
              <w:ind w:left="110"/>
              <w:rPr>
                <w:i/>
                <w:sz w:val="18"/>
              </w:rPr>
            </w:pPr>
            <w:r>
              <w:rPr>
                <w:i/>
                <w:sz w:val="18"/>
              </w:rPr>
              <w:t>Direction Centrale des Achats Matières Premières et structures y rattachées</w:t>
            </w:r>
          </w:p>
        </w:tc>
        <w:tc>
          <w:tcPr>
            <w:tcW w:w="1663" w:type="dxa"/>
          </w:tcPr>
          <w:p>
            <w:pPr>
              <w:pStyle w:val="TableParagraph"/>
              <w:spacing w:before="79"/>
              <w:ind w:left="13"/>
              <w:jc w:val="center"/>
              <w:rPr>
                <w:i/>
                <w:sz w:val="18"/>
              </w:rPr>
            </w:pPr>
            <w:r>
              <w:rPr>
                <w:i/>
                <w:sz w:val="18"/>
              </w:rPr>
              <w:t>X</w:t>
            </w:r>
          </w:p>
        </w:tc>
      </w:tr>
      <w:tr>
        <w:trPr>
          <w:trHeight w:val="313" w:hRule="atLeast"/>
        </w:trPr>
        <w:tc>
          <w:tcPr>
            <w:tcW w:w="8226" w:type="dxa"/>
          </w:tcPr>
          <w:p>
            <w:pPr>
              <w:pStyle w:val="TableParagraph"/>
              <w:spacing w:before="50"/>
              <w:ind w:left="110"/>
              <w:rPr>
                <w:i/>
                <w:sz w:val="18"/>
              </w:rPr>
            </w:pPr>
            <w:r>
              <w:rPr>
                <w:i/>
                <w:sz w:val="18"/>
              </w:rPr>
              <w:t>Direction Centrale des Commissions des Achats de l’Entreprise et structures y rattachées</w:t>
            </w:r>
          </w:p>
        </w:tc>
        <w:tc>
          <w:tcPr>
            <w:tcW w:w="1663" w:type="dxa"/>
          </w:tcPr>
          <w:p>
            <w:pPr>
              <w:pStyle w:val="TableParagraph"/>
              <w:rPr>
                <w:sz w:val="18"/>
              </w:rPr>
            </w:pPr>
          </w:p>
        </w:tc>
      </w:tr>
      <w:tr>
        <w:trPr>
          <w:trHeight w:val="373" w:hRule="atLeast"/>
        </w:trPr>
        <w:tc>
          <w:tcPr>
            <w:tcW w:w="8226" w:type="dxa"/>
          </w:tcPr>
          <w:p>
            <w:pPr>
              <w:pStyle w:val="TableParagraph"/>
              <w:spacing w:before="79"/>
              <w:ind w:left="110"/>
              <w:rPr>
                <w:i/>
                <w:sz w:val="18"/>
              </w:rPr>
            </w:pPr>
            <w:r>
              <w:rPr>
                <w:i/>
                <w:sz w:val="18"/>
              </w:rPr>
              <w:t>Direction Affrètements</w:t>
            </w:r>
          </w:p>
        </w:tc>
        <w:tc>
          <w:tcPr>
            <w:tcW w:w="1663" w:type="dxa"/>
          </w:tcPr>
          <w:p>
            <w:pPr>
              <w:pStyle w:val="TableParagraph"/>
              <w:spacing w:before="79"/>
              <w:ind w:left="13"/>
              <w:jc w:val="center"/>
              <w:rPr>
                <w:i/>
                <w:sz w:val="18"/>
              </w:rPr>
            </w:pPr>
            <w:r>
              <w:rPr>
                <w:i/>
                <w:sz w:val="18"/>
              </w:rPr>
              <w:t>X</w:t>
            </w:r>
          </w:p>
        </w:tc>
      </w:tr>
      <w:tr>
        <w:trPr>
          <w:trHeight w:val="376" w:hRule="atLeast"/>
        </w:trPr>
        <w:tc>
          <w:tcPr>
            <w:tcW w:w="8226" w:type="dxa"/>
          </w:tcPr>
          <w:p>
            <w:pPr>
              <w:pStyle w:val="TableParagraph"/>
              <w:spacing w:before="79"/>
              <w:ind w:left="110"/>
              <w:rPr>
                <w:i/>
                <w:sz w:val="18"/>
              </w:rPr>
            </w:pPr>
            <w:r>
              <w:rPr>
                <w:i/>
                <w:sz w:val="18"/>
              </w:rPr>
              <w:t>Direction Générale Commerciale</w:t>
            </w:r>
          </w:p>
        </w:tc>
        <w:tc>
          <w:tcPr>
            <w:tcW w:w="1663" w:type="dxa"/>
          </w:tcPr>
          <w:p>
            <w:pPr>
              <w:pStyle w:val="TableParagraph"/>
              <w:rPr>
                <w:sz w:val="18"/>
              </w:rPr>
            </w:pPr>
          </w:p>
        </w:tc>
      </w:tr>
      <w:tr>
        <w:trPr>
          <w:trHeight w:val="412" w:hRule="atLeast"/>
        </w:trPr>
        <w:tc>
          <w:tcPr>
            <w:tcW w:w="8226" w:type="dxa"/>
          </w:tcPr>
          <w:p>
            <w:pPr>
              <w:pStyle w:val="TableParagraph"/>
              <w:spacing w:line="202" w:lineRule="exact"/>
              <w:ind w:left="110"/>
              <w:rPr>
                <w:i/>
                <w:sz w:val="18"/>
              </w:rPr>
            </w:pPr>
            <w:r>
              <w:rPr>
                <w:i/>
                <w:sz w:val="18"/>
              </w:rPr>
              <w:t>Direction Secrétariat Permanant des Conseils d'administration et des Assemblés Générales et des commissions</w:t>
            </w:r>
          </w:p>
          <w:p>
            <w:pPr>
              <w:pStyle w:val="TableParagraph"/>
              <w:spacing w:line="191" w:lineRule="exact"/>
              <w:ind w:left="110"/>
              <w:rPr>
                <w:i/>
                <w:sz w:val="18"/>
              </w:rPr>
            </w:pPr>
            <w:r>
              <w:rPr>
                <w:i/>
                <w:sz w:val="18"/>
              </w:rPr>
              <w:t>des marchés et des achats</w:t>
            </w:r>
          </w:p>
        </w:tc>
        <w:tc>
          <w:tcPr>
            <w:tcW w:w="1663" w:type="dxa"/>
          </w:tcPr>
          <w:p>
            <w:pPr>
              <w:pStyle w:val="TableParagraph"/>
              <w:rPr>
                <w:sz w:val="18"/>
              </w:rPr>
            </w:pPr>
          </w:p>
        </w:tc>
      </w:tr>
      <w:tr>
        <w:trPr>
          <w:trHeight w:val="313" w:hRule="atLeast"/>
        </w:trPr>
        <w:tc>
          <w:tcPr>
            <w:tcW w:w="8226" w:type="dxa"/>
          </w:tcPr>
          <w:p>
            <w:pPr>
              <w:pStyle w:val="TableParagraph"/>
              <w:spacing w:before="50"/>
              <w:ind w:left="110"/>
              <w:rPr>
                <w:i/>
                <w:sz w:val="18"/>
              </w:rPr>
            </w:pPr>
            <w:r>
              <w:rPr>
                <w:i/>
                <w:sz w:val="18"/>
              </w:rPr>
              <w:t>Direction Centrale Financière</w:t>
            </w:r>
          </w:p>
        </w:tc>
        <w:tc>
          <w:tcPr>
            <w:tcW w:w="1663" w:type="dxa"/>
          </w:tcPr>
          <w:p>
            <w:pPr>
              <w:pStyle w:val="TableParagraph"/>
              <w:rPr>
                <w:sz w:val="18"/>
              </w:rPr>
            </w:pPr>
          </w:p>
        </w:tc>
      </w:tr>
      <w:tr>
        <w:trPr>
          <w:trHeight w:val="311" w:hRule="atLeast"/>
        </w:trPr>
        <w:tc>
          <w:tcPr>
            <w:tcW w:w="8226" w:type="dxa"/>
          </w:tcPr>
          <w:p>
            <w:pPr>
              <w:pStyle w:val="TableParagraph"/>
              <w:spacing w:before="47"/>
              <w:ind w:left="110"/>
              <w:rPr>
                <w:i/>
                <w:sz w:val="18"/>
              </w:rPr>
            </w:pPr>
            <w:r>
              <w:rPr>
                <w:i/>
                <w:sz w:val="18"/>
              </w:rPr>
              <w:t>Direction Centrale des Affaires Juridiques</w:t>
            </w:r>
          </w:p>
        </w:tc>
        <w:tc>
          <w:tcPr>
            <w:tcW w:w="1663" w:type="dxa"/>
          </w:tcPr>
          <w:p>
            <w:pPr>
              <w:pStyle w:val="TableParagraph"/>
              <w:rPr>
                <w:sz w:val="18"/>
              </w:rPr>
            </w:pPr>
          </w:p>
        </w:tc>
      </w:tr>
      <w:tr>
        <w:trPr>
          <w:trHeight w:val="415" w:hRule="atLeast"/>
        </w:trPr>
        <w:tc>
          <w:tcPr>
            <w:tcW w:w="8226" w:type="dxa"/>
          </w:tcPr>
          <w:p>
            <w:pPr>
              <w:pStyle w:val="TableParagraph"/>
              <w:spacing w:line="202" w:lineRule="exact"/>
              <w:ind w:left="110"/>
              <w:rPr>
                <w:i/>
                <w:sz w:val="18"/>
              </w:rPr>
            </w:pPr>
            <w:r>
              <w:rPr>
                <w:i/>
                <w:sz w:val="18"/>
              </w:rPr>
              <w:t>Commissions permanentes d'ouvertures des offres, Commissions de contrôles des achats, Commissions</w:t>
            </w:r>
          </w:p>
          <w:p>
            <w:pPr>
              <w:pStyle w:val="TableParagraph"/>
              <w:spacing w:line="194" w:lineRule="exact"/>
              <w:ind w:left="110"/>
              <w:rPr>
                <w:i/>
                <w:sz w:val="18"/>
              </w:rPr>
            </w:pPr>
            <w:r>
              <w:rPr>
                <w:i/>
                <w:sz w:val="18"/>
              </w:rPr>
              <w:t>d’évaluation des offres</w:t>
            </w:r>
          </w:p>
        </w:tc>
        <w:tc>
          <w:tcPr>
            <w:tcW w:w="1663" w:type="dxa"/>
          </w:tcPr>
          <w:p>
            <w:pPr>
              <w:pStyle w:val="TableParagraph"/>
              <w:rPr>
                <w:sz w:val="18"/>
              </w:rPr>
            </w:pPr>
          </w:p>
        </w:tc>
      </w:tr>
      <w:tr>
        <w:trPr>
          <w:trHeight w:val="621" w:hRule="atLeast"/>
        </w:trPr>
        <w:tc>
          <w:tcPr>
            <w:tcW w:w="8226" w:type="dxa"/>
          </w:tcPr>
          <w:p>
            <w:pPr>
              <w:pStyle w:val="TableParagraph"/>
              <w:ind w:left="110"/>
              <w:rPr>
                <w:i/>
                <w:sz w:val="18"/>
              </w:rPr>
            </w:pPr>
            <w:r>
              <w:rPr>
                <w:i/>
                <w:sz w:val="18"/>
              </w:rPr>
              <w:t>Les Structures demandeuses des achats (Direction Centrale d'Etudes d'Investissement et d'Environnement, </w:t>
            </w:r>
            <w:r>
              <w:rPr>
                <w:i/>
                <w:sz w:val="18"/>
              </w:rPr>
              <w:t>Directions des usines, Directions Régionales des Usines, Direction Informatique, Direction Générale</w:t>
            </w:r>
          </w:p>
          <w:p>
            <w:pPr>
              <w:pStyle w:val="TableParagraph"/>
              <w:spacing w:line="192" w:lineRule="exact"/>
              <w:ind w:left="110"/>
              <w:rPr>
                <w:i/>
                <w:sz w:val="18"/>
              </w:rPr>
            </w:pPr>
            <w:r>
              <w:rPr>
                <w:i/>
                <w:sz w:val="18"/>
              </w:rPr>
              <w:t>Commerciale, etc)</w:t>
            </w:r>
          </w:p>
        </w:tc>
        <w:tc>
          <w:tcPr>
            <w:tcW w:w="1663" w:type="dxa"/>
          </w:tcPr>
          <w:p>
            <w:pPr>
              <w:pStyle w:val="TableParagraph"/>
              <w:rPr>
                <w:sz w:val="18"/>
              </w:rPr>
            </w:pPr>
          </w:p>
        </w:tc>
      </w:tr>
    </w:tbl>
    <w:p>
      <w:pPr>
        <w:pStyle w:val="BodyText"/>
        <w:spacing w:before="7"/>
        <w:ind w:left="0" w:firstLine="0"/>
        <w:jc w:val="left"/>
        <w:rPr>
          <w:b/>
          <w:sz w:val="21"/>
        </w:rPr>
      </w:pPr>
    </w:p>
    <w:p>
      <w:pPr>
        <w:spacing w:before="0"/>
        <w:ind w:left="433" w:right="0" w:firstLine="0"/>
        <w:jc w:val="left"/>
        <w:rPr>
          <w:b/>
          <w:sz w:val="24"/>
        </w:rPr>
      </w:pPr>
      <w:r>
        <w:rPr>
          <w:b/>
          <w:sz w:val="24"/>
          <w:u w:val="thick"/>
        </w:rPr>
        <w:t>ÉVOLUTION DU DOCUMENT</w:t>
      </w:r>
    </w:p>
    <w:p>
      <w:pPr>
        <w:pStyle w:val="BodyText"/>
        <w:spacing w:before="3"/>
        <w:ind w:left="0" w:firstLine="0"/>
        <w:jc w:val="left"/>
        <w:rPr>
          <w:b/>
          <w:sz w:val="24"/>
        </w:rPr>
      </w:pPr>
    </w:p>
    <w:tbl>
      <w:tblPr>
        <w:tblW w:w="0" w:type="auto"/>
        <w:jc w:val="left"/>
        <w:tblInd w:w="448" w:type="dxa"/>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CellMar>
          <w:top w:w="0" w:type="dxa"/>
          <w:left w:w="0" w:type="dxa"/>
          <w:bottom w:w="0" w:type="dxa"/>
          <w:right w:w="0" w:type="dxa"/>
        </w:tblCellMar>
        <w:tblLook w:val="01E0"/>
      </w:tblPr>
      <w:tblGrid>
        <w:gridCol w:w="1553"/>
        <w:gridCol w:w="1417"/>
        <w:gridCol w:w="5325"/>
        <w:gridCol w:w="1703"/>
      </w:tblGrid>
      <w:tr>
        <w:trPr>
          <w:trHeight w:val="462" w:hRule="atLeast"/>
        </w:trPr>
        <w:tc>
          <w:tcPr>
            <w:tcW w:w="1553" w:type="dxa"/>
            <w:shd w:val="clear" w:color="auto" w:fill="DEEAF6"/>
          </w:tcPr>
          <w:p>
            <w:pPr>
              <w:pStyle w:val="TableParagraph"/>
              <w:spacing w:before="92"/>
              <w:ind w:left="71"/>
              <w:rPr>
                <w:b/>
                <w:sz w:val="24"/>
              </w:rPr>
            </w:pPr>
            <w:r>
              <w:rPr>
                <w:b/>
                <w:sz w:val="24"/>
              </w:rPr>
              <w:t>Version</w:t>
            </w:r>
          </w:p>
        </w:tc>
        <w:tc>
          <w:tcPr>
            <w:tcW w:w="1417" w:type="dxa"/>
            <w:shd w:val="clear" w:color="auto" w:fill="DEEAF6"/>
          </w:tcPr>
          <w:p>
            <w:pPr>
              <w:pStyle w:val="TableParagraph"/>
              <w:spacing w:before="92"/>
              <w:ind w:left="71"/>
              <w:rPr>
                <w:b/>
                <w:sz w:val="24"/>
              </w:rPr>
            </w:pPr>
            <w:r>
              <w:rPr>
                <w:b/>
                <w:sz w:val="24"/>
              </w:rPr>
              <w:t>Date</w:t>
            </w:r>
          </w:p>
        </w:tc>
        <w:tc>
          <w:tcPr>
            <w:tcW w:w="5325" w:type="dxa"/>
            <w:shd w:val="clear" w:color="auto" w:fill="DEEAF6"/>
          </w:tcPr>
          <w:p>
            <w:pPr>
              <w:pStyle w:val="TableParagraph"/>
              <w:spacing w:before="92"/>
              <w:ind w:left="71"/>
              <w:rPr>
                <w:b/>
                <w:sz w:val="24"/>
              </w:rPr>
            </w:pPr>
            <w:r>
              <w:rPr>
                <w:b/>
                <w:sz w:val="24"/>
              </w:rPr>
              <w:t>Objet de révision</w:t>
            </w:r>
          </w:p>
        </w:tc>
        <w:tc>
          <w:tcPr>
            <w:tcW w:w="1703" w:type="dxa"/>
            <w:shd w:val="clear" w:color="auto" w:fill="DEEAF6"/>
          </w:tcPr>
          <w:p>
            <w:pPr>
              <w:pStyle w:val="TableParagraph"/>
              <w:spacing w:before="92"/>
              <w:ind w:left="70"/>
              <w:rPr>
                <w:b/>
                <w:sz w:val="24"/>
              </w:rPr>
            </w:pPr>
            <w:r>
              <w:rPr>
                <w:b/>
                <w:sz w:val="24"/>
              </w:rPr>
              <w:t>Origine</w:t>
            </w:r>
          </w:p>
        </w:tc>
      </w:tr>
      <w:tr>
        <w:trPr>
          <w:trHeight w:val="460" w:hRule="atLeast"/>
        </w:trPr>
        <w:tc>
          <w:tcPr>
            <w:tcW w:w="1553" w:type="dxa"/>
          </w:tcPr>
          <w:p>
            <w:pPr>
              <w:pStyle w:val="TableParagraph"/>
              <w:spacing w:before="110"/>
              <w:ind w:left="71"/>
              <w:rPr>
                <w:sz w:val="20"/>
              </w:rPr>
            </w:pPr>
            <w:r>
              <w:rPr>
                <w:sz w:val="20"/>
              </w:rPr>
              <w:t>V1.0</w:t>
            </w:r>
          </w:p>
        </w:tc>
        <w:tc>
          <w:tcPr>
            <w:tcW w:w="1417" w:type="dxa"/>
          </w:tcPr>
          <w:p>
            <w:pPr>
              <w:pStyle w:val="TableParagraph"/>
              <w:spacing w:before="110"/>
              <w:ind w:left="71"/>
              <w:rPr>
                <w:sz w:val="20"/>
              </w:rPr>
            </w:pPr>
            <w:r>
              <w:rPr>
                <w:sz w:val="20"/>
              </w:rPr>
              <w:t>27/08/2021</w:t>
            </w:r>
          </w:p>
        </w:tc>
        <w:tc>
          <w:tcPr>
            <w:tcW w:w="5325" w:type="dxa"/>
          </w:tcPr>
          <w:p>
            <w:pPr>
              <w:pStyle w:val="TableParagraph"/>
              <w:spacing w:line="225" w:lineRule="exact"/>
              <w:ind w:left="71"/>
              <w:rPr>
                <w:sz w:val="20"/>
              </w:rPr>
            </w:pPr>
            <w:r>
              <w:rPr>
                <w:sz w:val="20"/>
              </w:rPr>
              <w:t>Version envoyée au Conseil d'Administration n°09/2021 du</w:t>
            </w:r>
          </w:p>
          <w:p>
            <w:pPr>
              <w:pStyle w:val="TableParagraph"/>
              <w:spacing w:line="214" w:lineRule="exact"/>
              <w:ind w:left="71"/>
              <w:rPr>
                <w:sz w:val="20"/>
              </w:rPr>
            </w:pPr>
            <w:r>
              <w:rPr>
                <w:sz w:val="20"/>
              </w:rPr>
              <w:t>07/09/2021 pour approbation</w:t>
            </w:r>
          </w:p>
        </w:tc>
        <w:tc>
          <w:tcPr>
            <w:tcW w:w="1703" w:type="dxa"/>
          </w:tcPr>
          <w:p>
            <w:pPr>
              <w:pStyle w:val="TableParagraph"/>
              <w:spacing w:before="110"/>
              <w:ind w:left="70"/>
              <w:rPr>
                <w:sz w:val="20"/>
              </w:rPr>
            </w:pPr>
            <w:r>
              <w:rPr>
                <w:sz w:val="20"/>
              </w:rPr>
              <w:t>GCT</w:t>
            </w:r>
          </w:p>
        </w:tc>
      </w:tr>
      <w:tr>
        <w:trPr>
          <w:trHeight w:val="462" w:hRule="atLeast"/>
        </w:trPr>
        <w:tc>
          <w:tcPr>
            <w:tcW w:w="1553" w:type="dxa"/>
          </w:tcPr>
          <w:p>
            <w:pPr>
              <w:pStyle w:val="TableParagraph"/>
              <w:spacing w:before="110"/>
              <w:ind w:left="71"/>
              <w:rPr>
                <w:sz w:val="20"/>
              </w:rPr>
            </w:pPr>
            <w:r>
              <w:rPr>
                <w:sz w:val="20"/>
              </w:rPr>
              <w:t>V1.1</w:t>
            </w:r>
          </w:p>
        </w:tc>
        <w:tc>
          <w:tcPr>
            <w:tcW w:w="1417" w:type="dxa"/>
          </w:tcPr>
          <w:p>
            <w:pPr>
              <w:pStyle w:val="TableParagraph"/>
              <w:spacing w:before="110"/>
              <w:ind w:left="71"/>
              <w:rPr>
                <w:sz w:val="20"/>
              </w:rPr>
            </w:pPr>
            <w:r>
              <w:rPr>
                <w:sz w:val="20"/>
              </w:rPr>
              <w:t>29/12/2022</w:t>
            </w:r>
          </w:p>
        </w:tc>
        <w:tc>
          <w:tcPr>
            <w:tcW w:w="5325" w:type="dxa"/>
          </w:tcPr>
          <w:p>
            <w:pPr>
              <w:pStyle w:val="TableParagraph"/>
              <w:spacing w:line="224" w:lineRule="exact"/>
              <w:ind w:left="71"/>
              <w:rPr>
                <w:sz w:val="20"/>
              </w:rPr>
            </w:pPr>
            <w:r>
              <w:rPr>
                <w:sz w:val="20"/>
              </w:rPr>
              <w:t>Version rectifiée suite envoie au Conseil d'Administration</w:t>
            </w:r>
          </w:p>
          <w:p>
            <w:pPr>
              <w:pStyle w:val="TableParagraph"/>
              <w:spacing w:line="218" w:lineRule="exact"/>
              <w:ind w:left="71"/>
              <w:rPr>
                <w:sz w:val="20"/>
              </w:rPr>
            </w:pPr>
            <w:r>
              <w:rPr>
                <w:sz w:val="20"/>
              </w:rPr>
              <w:t>n°11/2022 du 28/11/2022 pour approbation</w:t>
            </w:r>
          </w:p>
        </w:tc>
        <w:tc>
          <w:tcPr>
            <w:tcW w:w="1703" w:type="dxa"/>
          </w:tcPr>
          <w:p>
            <w:pPr>
              <w:pStyle w:val="TableParagraph"/>
              <w:spacing w:before="110"/>
              <w:ind w:left="70"/>
              <w:rPr>
                <w:sz w:val="20"/>
              </w:rPr>
            </w:pPr>
            <w:r>
              <w:rPr>
                <w:sz w:val="20"/>
              </w:rPr>
              <w:t>GCT</w:t>
            </w:r>
          </w:p>
        </w:tc>
      </w:tr>
    </w:tbl>
    <w:p>
      <w:pPr>
        <w:spacing w:after="0"/>
        <w:rPr>
          <w:sz w:val="20"/>
        </w:rPr>
        <w:sectPr>
          <w:pgSz w:w="11910" w:h="16840"/>
          <w:pgMar w:header="722" w:footer="0" w:top="1860" w:bottom="280" w:left="700" w:right="380"/>
        </w:sectPr>
      </w:pPr>
    </w:p>
    <w:p>
      <w:pPr>
        <w:pStyle w:val="BodyText"/>
        <w:spacing w:before="6"/>
        <w:ind w:left="0" w:firstLine="0"/>
        <w:jc w:val="left"/>
        <w:rPr>
          <w:b/>
          <w:sz w:val="16"/>
        </w:rPr>
      </w:pPr>
    </w:p>
    <w:p>
      <w:pPr>
        <w:spacing w:before="91"/>
        <w:ind w:left="433" w:right="0" w:firstLine="0"/>
        <w:jc w:val="left"/>
        <w:rPr>
          <w:b/>
          <w:sz w:val="20"/>
        </w:rPr>
      </w:pPr>
      <w:r>
        <w:rPr>
          <w:b/>
          <w:sz w:val="20"/>
        </w:rPr>
        <w:t>SOMMAIRE</w:t>
      </w:r>
    </w:p>
    <w:p>
      <w:pPr>
        <w:spacing w:after="0"/>
        <w:jc w:val="left"/>
        <w:rPr>
          <w:sz w:val="20"/>
        </w:rPr>
        <w:sectPr>
          <w:pgSz w:w="11910" w:h="16840"/>
          <w:pgMar w:header="722" w:footer="0" w:top="1860" w:bottom="1333" w:left="700" w:right="380"/>
        </w:sectPr>
      </w:pPr>
    </w:p>
    <w:sdt>
      <w:sdtPr>
        <w:docPartObj>
          <w:docPartGallery w:val="Table of Contents"/>
          <w:docPartUnique/>
        </w:docPartObj>
      </w:sdtPr>
      <w:sdtEndPr/>
      <w:sdtContent>
        <w:p>
          <w:pPr>
            <w:pStyle w:val="TOC1"/>
            <w:tabs>
              <w:tab w:pos="10072" w:val="right" w:leader="dot"/>
            </w:tabs>
          </w:pPr>
          <w:r>
            <w:rPr/>
            <w:t>LISTE</w:t>
          </w:r>
          <w:r>
            <w:rPr>
              <w:spacing w:val="-2"/>
            </w:rPr>
            <w:t> </w:t>
          </w:r>
          <w:r>
            <w:rPr/>
            <w:t>DES</w:t>
          </w:r>
          <w:r>
            <w:rPr>
              <w:spacing w:val="-1"/>
            </w:rPr>
            <w:t> </w:t>
          </w:r>
          <w:r>
            <w:rPr/>
            <w:t>TABLEAUX</w:t>
            <w:tab/>
            <w:t>6</w:t>
          </w:r>
        </w:p>
        <w:p>
          <w:pPr>
            <w:pStyle w:val="TOC1"/>
            <w:tabs>
              <w:tab w:pos="10072" w:val="right" w:leader="dot"/>
            </w:tabs>
            <w:spacing w:before="1"/>
          </w:pPr>
          <w:hyperlink w:history="true" w:anchor="_TOC_250140">
            <w:r>
              <w:rPr/>
              <w:t>LISTE</w:t>
            </w:r>
            <w:r>
              <w:rPr>
                <w:spacing w:val="-2"/>
              </w:rPr>
              <w:t> </w:t>
            </w:r>
            <w:r>
              <w:rPr/>
              <w:t>DES</w:t>
            </w:r>
            <w:r>
              <w:rPr>
                <w:spacing w:val="-1"/>
              </w:rPr>
              <w:t> </w:t>
            </w:r>
            <w:r>
              <w:rPr/>
              <w:t>ABREVIATIONS</w:t>
              <w:tab/>
              <w:t>7</w:t>
            </w:r>
          </w:hyperlink>
        </w:p>
        <w:p>
          <w:pPr>
            <w:pStyle w:val="TOC1"/>
            <w:tabs>
              <w:tab w:pos="10072" w:val="right" w:leader="dot"/>
            </w:tabs>
            <w:spacing w:line="229" w:lineRule="exact"/>
          </w:pPr>
          <w:hyperlink w:history="true" w:anchor="_TOC_250139">
            <w:r>
              <w:rPr/>
              <w:t>PRÉAMBULE</w:t>
              <w:tab/>
              <w:t>8</w:t>
            </w:r>
          </w:hyperlink>
        </w:p>
        <w:p>
          <w:pPr>
            <w:pStyle w:val="TOC1"/>
            <w:tabs>
              <w:tab w:pos="10072" w:val="right" w:leader="dot"/>
            </w:tabs>
            <w:spacing w:line="229" w:lineRule="exact"/>
          </w:pPr>
          <w:hyperlink w:history="true" w:anchor="_TOC_250138">
            <w:r>
              <w:rPr/>
              <w:t>Chapitre 1.</w:t>
            </w:r>
            <w:r>
              <w:rPr>
                <w:spacing w:val="-1"/>
              </w:rPr>
              <w:t> </w:t>
            </w:r>
            <w:r>
              <w:rPr/>
              <w:t>DISPOSITIONS</w:t>
            </w:r>
            <w:r>
              <w:rPr>
                <w:spacing w:val="2"/>
              </w:rPr>
              <w:t> </w:t>
            </w:r>
            <w:r>
              <w:rPr/>
              <w:t>GENERALES</w:t>
              <w:tab/>
              <w:t>9</w:t>
            </w:r>
          </w:hyperlink>
        </w:p>
        <w:p>
          <w:pPr>
            <w:pStyle w:val="TOC3"/>
            <w:numPr>
              <w:ilvl w:val="1"/>
              <w:numId w:val="1"/>
            </w:numPr>
            <w:tabs>
              <w:tab w:pos="832" w:val="left" w:leader="none"/>
              <w:tab w:pos="10072" w:val="right" w:leader="dot"/>
            </w:tabs>
            <w:spacing w:line="240" w:lineRule="auto" w:before="1" w:after="0"/>
            <w:ind w:left="831" w:right="0" w:hanging="178"/>
            <w:jc w:val="left"/>
          </w:pPr>
          <w:hyperlink w:history="true" w:anchor="_TOC_250137">
            <w:r>
              <w:rPr/>
              <w:t>Cadre</w:t>
            </w:r>
            <w:r>
              <w:rPr>
                <w:spacing w:val="-1"/>
              </w:rPr>
              <w:t> </w:t>
            </w:r>
            <w:r>
              <w:rPr/>
              <w:t>Juridique</w:t>
              <w:tab/>
              <w:t>9</w:t>
            </w:r>
          </w:hyperlink>
        </w:p>
        <w:p>
          <w:pPr>
            <w:pStyle w:val="TOC3"/>
            <w:numPr>
              <w:ilvl w:val="1"/>
              <w:numId w:val="1"/>
            </w:numPr>
            <w:tabs>
              <w:tab w:pos="909" w:val="left" w:leader="none"/>
              <w:tab w:pos="10072" w:val="right" w:leader="dot"/>
            </w:tabs>
            <w:spacing w:line="240" w:lineRule="auto" w:before="0" w:after="0"/>
            <w:ind w:left="908" w:right="0" w:hanging="255"/>
            <w:jc w:val="left"/>
          </w:pPr>
          <w:hyperlink w:history="true" w:anchor="_TOC_250136">
            <w:r>
              <w:rPr/>
              <w:t>Principes et</w:t>
            </w:r>
            <w:r>
              <w:rPr>
                <w:spacing w:val="-1"/>
              </w:rPr>
              <w:t> </w:t>
            </w:r>
            <w:r>
              <w:rPr/>
              <w:t>règles</w:t>
            </w:r>
            <w:r>
              <w:rPr>
                <w:spacing w:val="-1"/>
              </w:rPr>
              <w:t> </w:t>
            </w:r>
            <w:r>
              <w:rPr/>
              <w:t>généraux</w:t>
              <w:tab/>
              <w:t>9</w:t>
            </w:r>
          </w:hyperlink>
        </w:p>
        <w:p>
          <w:pPr>
            <w:pStyle w:val="TOC3"/>
            <w:numPr>
              <w:ilvl w:val="1"/>
              <w:numId w:val="1"/>
            </w:numPr>
            <w:tabs>
              <w:tab w:pos="986" w:val="left" w:leader="none"/>
              <w:tab w:pos="10075" w:val="right" w:leader="dot"/>
            </w:tabs>
            <w:spacing w:line="240" w:lineRule="auto" w:before="1" w:after="0"/>
            <w:ind w:left="985" w:right="0" w:hanging="332"/>
            <w:jc w:val="left"/>
          </w:pPr>
          <w:hyperlink w:history="true" w:anchor="_TOC_250135">
            <w:r>
              <w:rPr/>
              <w:t>Champs d'application</w:t>
              <w:tab/>
              <w:t>10</w:t>
            </w:r>
          </w:hyperlink>
        </w:p>
        <w:p>
          <w:pPr>
            <w:pStyle w:val="TOC3"/>
            <w:numPr>
              <w:ilvl w:val="1"/>
              <w:numId w:val="1"/>
            </w:numPr>
            <w:tabs>
              <w:tab w:pos="976" w:val="left" w:leader="none"/>
              <w:tab w:pos="10075" w:val="right" w:leader="dot"/>
            </w:tabs>
            <w:spacing w:line="240" w:lineRule="auto" w:before="0" w:after="0"/>
            <w:ind w:left="975" w:right="0" w:hanging="322"/>
            <w:jc w:val="left"/>
          </w:pPr>
          <w:hyperlink w:history="true" w:anchor="_TOC_250134">
            <w:r>
              <w:rPr/>
              <w:t>Conditions de participations aux achats</w:t>
            </w:r>
            <w:r>
              <w:rPr>
                <w:spacing w:val="-4"/>
              </w:rPr>
              <w:t> </w:t>
            </w:r>
            <w:r>
              <w:rPr/>
              <w:t>du</w:t>
            </w:r>
            <w:r>
              <w:rPr>
                <w:spacing w:val="1"/>
              </w:rPr>
              <w:t> </w:t>
            </w:r>
            <w:r>
              <w:rPr/>
              <w:t>GCT</w:t>
              <w:tab/>
              <w:t>11</w:t>
            </w:r>
          </w:hyperlink>
        </w:p>
        <w:p>
          <w:pPr>
            <w:pStyle w:val="TOC3"/>
            <w:numPr>
              <w:ilvl w:val="1"/>
              <w:numId w:val="1"/>
            </w:numPr>
            <w:tabs>
              <w:tab w:pos="899" w:val="left" w:leader="none"/>
              <w:tab w:pos="10075" w:val="right" w:leader="dot"/>
            </w:tabs>
            <w:spacing w:line="227" w:lineRule="exact" w:before="0" w:after="0"/>
            <w:ind w:left="898" w:right="0" w:hanging="245"/>
            <w:jc w:val="left"/>
          </w:pPr>
          <w:hyperlink w:history="true" w:anchor="_TOC_250133">
            <w:r>
              <w:rPr/>
              <w:t>Terminologies</w:t>
            </w:r>
            <w:r>
              <w:rPr>
                <w:spacing w:val="-2"/>
              </w:rPr>
              <w:t> </w:t>
            </w:r>
            <w:r>
              <w:rPr/>
              <w:t>et</w:t>
            </w:r>
            <w:r>
              <w:rPr>
                <w:spacing w:val="1"/>
              </w:rPr>
              <w:t> </w:t>
            </w:r>
            <w:r>
              <w:rPr/>
              <w:t>définitions</w:t>
              <w:tab/>
              <w:t>12</w:t>
            </w:r>
          </w:hyperlink>
        </w:p>
        <w:p>
          <w:pPr>
            <w:pStyle w:val="TOC4"/>
            <w:numPr>
              <w:ilvl w:val="2"/>
              <w:numId w:val="1"/>
            </w:numPr>
            <w:tabs>
              <w:tab w:pos="1271" w:val="left" w:leader="none"/>
              <w:tab w:pos="10075" w:val="right" w:leader="dot"/>
            </w:tabs>
            <w:spacing w:line="227" w:lineRule="exact" w:before="0" w:after="0"/>
            <w:ind w:left="1270" w:right="0" w:hanging="397"/>
            <w:jc w:val="left"/>
          </w:pPr>
          <w:hyperlink w:history="true" w:anchor="_TOC_250132">
            <w:r>
              <w:rPr/>
              <w:t>Classification des achats</w:t>
            </w:r>
            <w:r>
              <w:rPr>
                <w:spacing w:val="-4"/>
              </w:rPr>
              <w:t> </w:t>
            </w:r>
            <w:r>
              <w:rPr/>
              <w:t>du</w:t>
            </w:r>
            <w:r>
              <w:rPr>
                <w:spacing w:val="-1"/>
              </w:rPr>
              <w:t> </w:t>
            </w:r>
            <w:r>
              <w:rPr/>
              <w:t>GCT</w:t>
              <w:tab/>
              <w:t>12</w:t>
            </w:r>
          </w:hyperlink>
        </w:p>
        <w:p>
          <w:pPr>
            <w:pStyle w:val="TOC4"/>
            <w:numPr>
              <w:ilvl w:val="2"/>
              <w:numId w:val="1"/>
            </w:numPr>
            <w:tabs>
              <w:tab w:pos="1271" w:val="left" w:leader="none"/>
              <w:tab w:pos="10075" w:val="right" w:leader="dot"/>
            </w:tabs>
            <w:spacing w:line="240" w:lineRule="auto" w:before="1" w:after="0"/>
            <w:ind w:left="1270" w:right="0" w:hanging="397"/>
            <w:jc w:val="left"/>
          </w:pPr>
          <w:hyperlink w:history="true" w:anchor="_TOC_250131">
            <w:r>
              <w:rPr/>
              <w:t>Catégories</w:t>
            </w:r>
            <w:r>
              <w:rPr>
                <w:spacing w:val="-2"/>
              </w:rPr>
              <w:t> </w:t>
            </w:r>
            <w:r>
              <w:rPr/>
              <w:t>des</w:t>
            </w:r>
            <w:r>
              <w:rPr>
                <w:spacing w:val="-1"/>
              </w:rPr>
              <w:t> </w:t>
            </w:r>
            <w:r>
              <w:rPr/>
              <w:t>achats</w:t>
              <w:tab/>
              <w:t>12</w:t>
            </w:r>
          </w:hyperlink>
        </w:p>
        <w:p>
          <w:pPr>
            <w:pStyle w:val="TOC4"/>
            <w:numPr>
              <w:ilvl w:val="2"/>
              <w:numId w:val="1"/>
            </w:numPr>
            <w:tabs>
              <w:tab w:pos="1271" w:val="left" w:leader="none"/>
              <w:tab w:pos="10075" w:val="right" w:leader="dot"/>
            </w:tabs>
            <w:spacing w:line="240" w:lineRule="auto" w:before="1" w:after="0"/>
            <w:ind w:left="1270" w:right="0" w:hanging="397"/>
            <w:jc w:val="left"/>
          </w:pPr>
          <w:hyperlink w:history="true" w:anchor="_TOC_250130">
            <w:r>
              <w:rPr/>
              <w:t>Documents</w:t>
            </w:r>
            <w:r>
              <w:rPr>
                <w:spacing w:val="-2"/>
              </w:rPr>
              <w:t> </w:t>
            </w:r>
            <w:r>
              <w:rPr/>
              <w:t>d'achat</w:t>
              <w:tab/>
              <w:t>13</w:t>
            </w:r>
          </w:hyperlink>
        </w:p>
        <w:p>
          <w:pPr>
            <w:pStyle w:val="TOC4"/>
            <w:numPr>
              <w:ilvl w:val="2"/>
              <w:numId w:val="1"/>
            </w:numPr>
            <w:tabs>
              <w:tab w:pos="1271" w:val="left" w:leader="none"/>
              <w:tab w:pos="10075" w:val="right" w:leader="dot"/>
            </w:tabs>
            <w:spacing w:line="240" w:lineRule="auto" w:before="0" w:after="0"/>
            <w:ind w:left="1270" w:right="0" w:hanging="397"/>
            <w:jc w:val="left"/>
          </w:pPr>
          <w:hyperlink w:history="true" w:anchor="_TOC_250129">
            <w:r>
              <w:rPr/>
              <w:t>Les formes</w:t>
            </w:r>
            <w:r>
              <w:rPr>
                <w:spacing w:val="-3"/>
              </w:rPr>
              <w:t> </w:t>
            </w:r>
            <w:r>
              <w:rPr/>
              <w:t>des</w:t>
            </w:r>
            <w:r>
              <w:rPr>
                <w:spacing w:val="-1"/>
              </w:rPr>
              <w:t> </w:t>
            </w:r>
            <w:r>
              <w:rPr/>
              <w:t>contrats</w:t>
              <w:tab/>
              <w:t>14</w:t>
            </w:r>
          </w:hyperlink>
        </w:p>
        <w:p>
          <w:pPr>
            <w:pStyle w:val="TOC4"/>
            <w:numPr>
              <w:ilvl w:val="2"/>
              <w:numId w:val="1"/>
            </w:numPr>
            <w:tabs>
              <w:tab w:pos="1271" w:val="left" w:leader="none"/>
              <w:tab w:pos="10075" w:val="right" w:leader="dot"/>
            </w:tabs>
            <w:spacing w:line="229" w:lineRule="exact" w:before="1" w:after="0"/>
            <w:ind w:left="1270" w:right="0" w:hanging="397"/>
            <w:jc w:val="left"/>
          </w:pPr>
          <w:hyperlink w:history="true" w:anchor="_TOC_250128">
            <w:r>
              <w:rPr/>
              <w:t>Les prix</w:t>
            </w:r>
            <w:r>
              <w:rPr>
                <w:spacing w:val="-4"/>
              </w:rPr>
              <w:t> </w:t>
            </w:r>
            <w:r>
              <w:rPr/>
              <w:t>des</w:t>
            </w:r>
            <w:r>
              <w:rPr>
                <w:spacing w:val="-1"/>
              </w:rPr>
              <w:t> </w:t>
            </w:r>
            <w:r>
              <w:rPr/>
              <w:t>achats</w:t>
              <w:tab/>
              <w:t>14</w:t>
            </w:r>
          </w:hyperlink>
        </w:p>
        <w:p>
          <w:pPr>
            <w:pStyle w:val="TOC4"/>
            <w:numPr>
              <w:ilvl w:val="2"/>
              <w:numId w:val="1"/>
            </w:numPr>
            <w:tabs>
              <w:tab w:pos="1271" w:val="left" w:leader="none"/>
              <w:tab w:pos="10075" w:val="right" w:leader="dot"/>
            </w:tabs>
            <w:spacing w:line="229" w:lineRule="exact" w:before="0" w:after="0"/>
            <w:ind w:left="1270" w:right="0" w:hanging="397"/>
            <w:jc w:val="left"/>
          </w:pPr>
          <w:hyperlink w:history="true" w:anchor="_TOC_250127">
            <w:r>
              <w:rPr/>
              <w:t>Les intervenants externes dans le processus des</w:t>
            </w:r>
            <w:r>
              <w:rPr>
                <w:spacing w:val="-5"/>
              </w:rPr>
              <w:t> </w:t>
            </w:r>
            <w:r>
              <w:rPr/>
              <w:t>achats</w:t>
            </w:r>
            <w:r>
              <w:rPr>
                <w:spacing w:val="2"/>
              </w:rPr>
              <w:t> </w:t>
            </w:r>
            <w:r>
              <w:rPr/>
              <w:t>GCT</w:t>
              <w:tab/>
              <w:t>16</w:t>
            </w:r>
          </w:hyperlink>
        </w:p>
        <w:p>
          <w:pPr>
            <w:pStyle w:val="TOC4"/>
            <w:numPr>
              <w:ilvl w:val="2"/>
              <w:numId w:val="1"/>
            </w:numPr>
            <w:tabs>
              <w:tab w:pos="1271" w:val="left" w:leader="none"/>
              <w:tab w:pos="10075" w:val="right" w:leader="dot"/>
            </w:tabs>
            <w:spacing w:line="240" w:lineRule="auto" w:before="0" w:after="0"/>
            <w:ind w:left="1270" w:right="0" w:hanging="397"/>
            <w:jc w:val="left"/>
          </w:pPr>
          <w:hyperlink w:history="true" w:anchor="_TOC_250126">
            <w:r>
              <w:rPr/>
              <w:t>Les garanties et</w:t>
            </w:r>
            <w:r>
              <w:rPr>
                <w:spacing w:val="-3"/>
              </w:rPr>
              <w:t> </w:t>
            </w:r>
            <w:r>
              <w:rPr/>
              <w:t>les</w:t>
            </w:r>
            <w:r>
              <w:rPr>
                <w:spacing w:val="-1"/>
              </w:rPr>
              <w:t> </w:t>
            </w:r>
            <w:r>
              <w:rPr/>
              <w:t>cautionnements</w:t>
              <w:tab/>
              <w:t>17</w:t>
            </w:r>
          </w:hyperlink>
        </w:p>
        <w:p>
          <w:pPr>
            <w:pStyle w:val="TOC4"/>
            <w:numPr>
              <w:ilvl w:val="2"/>
              <w:numId w:val="1"/>
            </w:numPr>
            <w:tabs>
              <w:tab w:pos="1271" w:val="left" w:leader="none"/>
              <w:tab w:pos="10075" w:val="right" w:leader="dot"/>
            </w:tabs>
            <w:spacing w:line="240" w:lineRule="auto" w:before="0" w:after="0"/>
            <w:ind w:left="1270" w:right="0" w:hanging="397"/>
            <w:jc w:val="left"/>
          </w:pPr>
          <w:hyperlink w:history="true" w:anchor="_TOC_250125">
            <w:r>
              <w:rPr/>
              <w:t>Commissions de passation</w:t>
            </w:r>
            <w:r>
              <w:rPr>
                <w:spacing w:val="-3"/>
              </w:rPr>
              <w:t> </w:t>
            </w:r>
            <w:r>
              <w:rPr/>
              <w:t>des</w:t>
            </w:r>
            <w:r>
              <w:rPr>
                <w:spacing w:val="-1"/>
              </w:rPr>
              <w:t> </w:t>
            </w:r>
            <w:r>
              <w:rPr/>
              <w:t>achats</w:t>
              <w:tab/>
              <w:t>19</w:t>
            </w:r>
          </w:hyperlink>
        </w:p>
        <w:p>
          <w:pPr>
            <w:pStyle w:val="TOC4"/>
            <w:numPr>
              <w:ilvl w:val="2"/>
              <w:numId w:val="1"/>
            </w:numPr>
            <w:tabs>
              <w:tab w:pos="1271" w:val="left" w:leader="none"/>
              <w:tab w:pos="10075" w:val="right" w:leader="dot"/>
            </w:tabs>
            <w:spacing w:line="240" w:lineRule="auto" w:before="1" w:after="0"/>
            <w:ind w:left="1270" w:right="0" w:hanging="397"/>
            <w:jc w:val="left"/>
          </w:pPr>
          <w:hyperlink w:history="true" w:anchor="_TOC_250124">
            <w:r>
              <w:rPr/>
              <w:t>Le</w:t>
            </w:r>
            <w:r>
              <w:rPr>
                <w:spacing w:val="-1"/>
              </w:rPr>
              <w:t> </w:t>
            </w:r>
            <w:r>
              <w:rPr/>
              <w:t>Système TUNEPS</w:t>
              <w:tab/>
              <w:t>20</w:t>
            </w:r>
          </w:hyperlink>
        </w:p>
        <w:p>
          <w:pPr>
            <w:pStyle w:val="TOC4"/>
            <w:numPr>
              <w:ilvl w:val="2"/>
              <w:numId w:val="1"/>
            </w:numPr>
            <w:tabs>
              <w:tab w:pos="1371" w:val="left" w:leader="none"/>
              <w:tab w:pos="10075" w:val="right" w:leader="dot"/>
            </w:tabs>
            <w:spacing w:line="240" w:lineRule="auto" w:before="0" w:after="0"/>
            <w:ind w:left="1370" w:right="0" w:hanging="497"/>
            <w:jc w:val="left"/>
          </w:pPr>
          <w:hyperlink w:history="true" w:anchor="_TOC_250123">
            <w:r>
              <w:rPr/>
              <w:t>Autres</w:t>
            </w:r>
            <w:r>
              <w:rPr>
                <w:spacing w:val="-2"/>
              </w:rPr>
              <w:t> </w:t>
            </w:r>
            <w:r>
              <w:rPr/>
              <w:t>définitions</w:t>
              <w:tab/>
              <w:t>20</w:t>
            </w:r>
          </w:hyperlink>
        </w:p>
        <w:p>
          <w:pPr>
            <w:pStyle w:val="TOC1"/>
            <w:tabs>
              <w:tab w:pos="10075" w:val="right" w:leader="dot"/>
            </w:tabs>
            <w:spacing w:line="229" w:lineRule="exact" w:before="6"/>
          </w:pPr>
          <w:hyperlink w:history="true" w:anchor="_TOC_250122">
            <w:r>
              <w:rPr/>
              <w:t>Chapitre 2. PROCEDURES DES ACHATS HORS</w:t>
            </w:r>
            <w:r>
              <w:rPr>
                <w:spacing w:val="-3"/>
              </w:rPr>
              <w:t> </w:t>
            </w:r>
            <w:r>
              <w:rPr/>
              <w:t>MATIERES</w:t>
            </w:r>
            <w:r>
              <w:rPr>
                <w:spacing w:val="-1"/>
              </w:rPr>
              <w:t> </w:t>
            </w:r>
            <w:r>
              <w:rPr/>
              <w:t>PREMIERES</w:t>
              <w:tab/>
              <w:t>21</w:t>
            </w:r>
          </w:hyperlink>
        </w:p>
        <w:p>
          <w:pPr>
            <w:pStyle w:val="TOC3"/>
            <w:numPr>
              <w:ilvl w:val="0"/>
              <w:numId w:val="2"/>
            </w:numPr>
            <w:tabs>
              <w:tab w:pos="832" w:val="left" w:leader="none"/>
              <w:tab w:pos="10075" w:val="right" w:leader="dot"/>
            </w:tabs>
            <w:spacing w:line="227" w:lineRule="exact" w:before="0" w:after="0"/>
            <w:ind w:left="831" w:right="0" w:hanging="178"/>
            <w:jc w:val="left"/>
          </w:pPr>
          <w:hyperlink w:history="true" w:anchor="_TOC_250121">
            <w:r>
              <w:rPr/>
              <w:t>Détermination et expression</w:t>
            </w:r>
            <w:r>
              <w:rPr>
                <w:spacing w:val="-3"/>
              </w:rPr>
              <w:t> </w:t>
            </w:r>
            <w:r>
              <w:rPr/>
              <w:t>du</w:t>
            </w:r>
            <w:r>
              <w:rPr>
                <w:spacing w:val="-1"/>
              </w:rPr>
              <w:t> </w:t>
            </w:r>
            <w:r>
              <w:rPr/>
              <w:t>besoin</w:t>
              <w:tab/>
              <w:t>21</w:t>
            </w:r>
          </w:hyperlink>
        </w:p>
        <w:p>
          <w:pPr>
            <w:pStyle w:val="TOC4"/>
            <w:numPr>
              <w:ilvl w:val="1"/>
              <w:numId w:val="2"/>
            </w:numPr>
            <w:tabs>
              <w:tab w:pos="1191" w:val="left" w:leader="none"/>
              <w:tab w:pos="10075" w:val="right" w:leader="dot"/>
            </w:tabs>
            <w:spacing w:line="228" w:lineRule="exact" w:before="0" w:after="0"/>
            <w:ind w:left="1190" w:right="0" w:hanging="317"/>
            <w:jc w:val="left"/>
          </w:pPr>
          <w:hyperlink w:history="true" w:anchor="_TOC_250120">
            <w:r>
              <w:rPr/>
              <w:t>Préparation et publication du plan prévisionnel de passation des achats hors marchés et</w:t>
            </w:r>
            <w:r>
              <w:rPr>
                <w:spacing w:val="-7"/>
              </w:rPr>
              <w:t> </w:t>
            </w:r>
            <w:r>
              <w:rPr/>
              <w:t>des marchés</w:t>
              <w:tab/>
              <w:t>21</w:t>
            </w:r>
          </w:hyperlink>
        </w:p>
        <w:p>
          <w:pPr>
            <w:pStyle w:val="TOC4"/>
            <w:numPr>
              <w:ilvl w:val="1"/>
              <w:numId w:val="2"/>
            </w:numPr>
            <w:tabs>
              <w:tab w:pos="1193" w:val="left" w:leader="none"/>
              <w:tab w:pos="10075" w:val="right" w:leader="dot"/>
            </w:tabs>
            <w:spacing w:line="240" w:lineRule="auto" w:before="0" w:after="0"/>
            <w:ind w:left="1193" w:right="0" w:hanging="319"/>
            <w:jc w:val="left"/>
          </w:pPr>
          <w:hyperlink w:history="true" w:anchor="_TOC_250119">
            <w:r>
              <w:rPr/>
              <w:t>Détermination des</w:t>
            </w:r>
            <w:r>
              <w:rPr>
                <w:spacing w:val="-3"/>
              </w:rPr>
              <w:t> </w:t>
            </w:r>
            <w:r>
              <w:rPr/>
              <w:t>spécifications</w:t>
            </w:r>
            <w:r>
              <w:rPr>
                <w:spacing w:val="-1"/>
              </w:rPr>
              <w:t> </w:t>
            </w:r>
            <w:r>
              <w:rPr/>
              <w:t>techniques</w:t>
              <w:tab/>
              <w:t>22</w:t>
            </w:r>
          </w:hyperlink>
        </w:p>
        <w:p>
          <w:pPr>
            <w:pStyle w:val="TOC4"/>
            <w:numPr>
              <w:ilvl w:val="1"/>
              <w:numId w:val="2"/>
            </w:numPr>
            <w:tabs>
              <w:tab w:pos="1193" w:val="left" w:leader="none"/>
              <w:tab w:pos="10075" w:val="right" w:leader="dot"/>
            </w:tabs>
            <w:spacing w:line="240" w:lineRule="auto" w:before="1" w:after="0"/>
            <w:ind w:left="1193" w:right="0" w:hanging="319"/>
            <w:jc w:val="left"/>
          </w:pPr>
          <w:hyperlink w:history="true" w:anchor="_TOC_250118">
            <w:r>
              <w:rPr/>
              <w:t>Détermination du montant estimatif</w:t>
            </w:r>
            <w:r>
              <w:rPr>
                <w:spacing w:val="-1"/>
              </w:rPr>
              <w:t> </w:t>
            </w:r>
            <w:r>
              <w:rPr/>
              <w:t>du</w:t>
            </w:r>
            <w:r>
              <w:rPr>
                <w:spacing w:val="-1"/>
              </w:rPr>
              <w:t> </w:t>
            </w:r>
            <w:r>
              <w:rPr/>
              <w:t>besoin</w:t>
              <w:tab/>
              <w:t>23</w:t>
            </w:r>
          </w:hyperlink>
        </w:p>
        <w:p>
          <w:pPr>
            <w:pStyle w:val="TOC4"/>
            <w:numPr>
              <w:ilvl w:val="1"/>
              <w:numId w:val="2"/>
            </w:numPr>
            <w:tabs>
              <w:tab w:pos="1191" w:val="left" w:leader="none"/>
              <w:tab w:pos="10075" w:val="right" w:leader="dot"/>
            </w:tabs>
            <w:spacing w:line="240" w:lineRule="auto" w:before="0" w:after="0"/>
            <w:ind w:left="1190" w:right="0" w:hanging="317"/>
            <w:jc w:val="left"/>
          </w:pPr>
          <w:hyperlink w:history="true" w:anchor="_TOC_250117">
            <w:r>
              <w:rPr/>
              <w:t>Préparation et traitement</w:t>
            </w:r>
            <w:r>
              <w:rPr>
                <w:spacing w:val="-3"/>
              </w:rPr>
              <w:t> </w:t>
            </w:r>
            <w:r>
              <w:rPr/>
              <w:t>demandes</w:t>
            </w:r>
            <w:r>
              <w:rPr>
                <w:spacing w:val="-1"/>
              </w:rPr>
              <w:t> </w:t>
            </w:r>
            <w:r>
              <w:rPr/>
              <w:t>d’achat</w:t>
              <w:tab/>
              <w:t>23</w:t>
            </w:r>
          </w:hyperlink>
        </w:p>
        <w:p>
          <w:pPr>
            <w:pStyle w:val="TOC5"/>
            <w:numPr>
              <w:ilvl w:val="2"/>
              <w:numId w:val="2"/>
            </w:numPr>
            <w:tabs>
              <w:tab w:pos="1560" w:val="left" w:leader="none"/>
              <w:tab w:pos="10075" w:val="right" w:leader="dot"/>
            </w:tabs>
            <w:spacing w:line="229" w:lineRule="exact" w:before="1" w:after="0"/>
            <w:ind w:left="1560" w:right="0" w:hanging="467"/>
            <w:jc w:val="left"/>
          </w:pPr>
          <w:hyperlink w:history="true" w:anchor="_TOC_250116">
            <w:r>
              <w:rPr/>
              <w:t>Composition du dossier de la demande</w:t>
            </w:r>
            <w:r>
              <w:rPr>
                <w:spacing w:val="-1"/>
              </w:rPr>
              <w:t> </w:t>
            </w:r>
            <w:r>
              <w:rPr/>
              <w:t>d’achat</w:t>
              <w:tab/>
              <w:t>23</w:t>
            </w:r>
          </w:hyperlink>
        </w:p>
        <w:p>
          <w:pPr>
            <w:pStyle w:val="TOC5"/>
            <w:numPr>
              <w:ilvl w:val="2"/>
              <w:numId w:val="2"/>
            </w:numPr>
            <w:tabs>
              <w:tab w:pos="1560" w:val="left" w:leader="none"/>
              <w:tab w:pos="10075" w:val="right" w:leader="dot"/>
            </w:tabs>
            <w:spacing w:line="229" w:lineRule="exact" w:before="0" w:after="0"/>
            <w:ind w:left="1560" w:right="0" w:hanging="467"/>
            <w:jc w:val="left"/>
          </w:pPr>
          <w:hyperlink w:history="true" w:anchor="_TOC_250115">
            <w:r>
              <w:rPr/>
              <w:t>Approbation et envoi des</w:t>
            </w:r>
            <w:r>
              <w:rPr>
                <w:spacing w:val="-4"/>
              </w:rPr>
              <w:t> </w:t>
            </w:r>
            <w:r>
              <w:rPr/>
              <w:t>demandes</w:t>
            </w:r>
            <w:r>
              <w:rPr>
                <w:spacing w:val="4"/>
              </w:rPr>
              <w:t> </w:t>
            </w:r>
            <w:r>
              <w:rPr/>
              <w:t>d’achats</w:t>
              <w:tab/>
              <w:t>24</w:t>
            </w:r>
          </w:hyperlink>
        </w:p>
        <w:p>
          <w:pPr>
            <w:pStyle w:val="TOC5"/>
            <w:numPr>
              <w:ilvl w:val="2"/>
              <w:numId w:val="2"/>
            </w:numPr>
            <w:tabs>
              <w:tab w:pos="1558" w:val="left" w:leader="none"/>
              <w:tab w:pos="10075" w:val="right" w:leader="dot"/>
            </w:tabs>
            <w:spacing w:line="240" w:lineRule="auto" w:before="0" w:after="0"/>
            <w:ind w:left="1557" w:right="0" w:hanging="465"/>
            <w:jc w:val="left"/>
          </w:pPr>
          <w:hyperlink w:history="true" w:anchor="_TOC_250114">
            <w:r>
              <w:rPr/>
              <w:t>Traitement des</w:t>
            </w:r>
            <w:r>
              <w:rPr>
                <w:spacing w:val="-3"/>
              </w:rPr>
              <w:t> </w:t>
            </w:r>
            <w:r>
              <w:rPr/>
              <w:t>demandes</w:t>
            </w:r>
            <w:r>
              <w:rPr>
                <w:spacing w:val="-1"/>
              </w:rPr>
              <w:t> </w:t>
            </w:r>
            <w:r>
              <w:rPr/>
              <w:t>d’achats</w:t>
              <w:tab/>
              <w:t>24</w:t>
            </w:r>
          </w:hyperlink>
        </w:p>
        <w:p>
          <w:pPr>
            <w:pStyle w:val="TOC3"/>
            <w:numPr>
              <w:ilvl w:val="0"/>
              <w:numId w:val="2"/>
            </w:numPr>
            <w:tabs>
              <w:tab w:pos="909" w:val="left" w:leader="none"/>
              <w:tab w:pos="10075" w:val="right" w:leader="dot"/>
            </w:tabs>
            <w:spacing w:line="228" w:lineRule="exact" w:before="5" w:after="0"/>
            <w:ind w:left="908" w:right="0" w:hanging="255"/>
            <w:jc w:val="left"/>
          </w:pPr>
          <w:hyperlink w:history="true" w:anchor="_TOC_250113">
            <w:r>
              <w:rPr/>
              <w:t>Préparation de la mise</w:t>
            </w:r>
            <w:r>
              <w:rPr>
                <w:spacing w:val="1"/>
              </w:rPr>
              <w:t> </w:t>
            </w:r>
            <w:r>
              <w:rPr/>
              <w:t>en</w:t>
            </w:r>
            <w:r>
              <w:rPr>
                <w:spacing w:val="2"/>
              </w:rPr>
              <w:t> </w:t>
            </w:r>
            <w:r>
              <w:rPr/>
              <w:t>concurrence</w:t>
              <w:tab/>
              <w:t>25</w:t>
            </w:r>
          </w:hyperlink>
        </w:p>
        <w:p>
          <w:pPr>
            <w:pStyle w:val="TOC4"/>
            <w:numPr>
              <w:ilvl w:val="1"/>
              <w:numId w:val="2"/>
            </w:numPr>
            <w:tabs>
              <w:tab w:pos="1260" w:val="left" w:leader="none"/>
              <w:tab w:pos="10075" w:val="right" w:leader="dot"/>
            </w:tabs>
            <w:spacing w:line="228" w:lineRule="exact" w:before="0" w:after="0"/>
            <w:ind w:left="1259" w:right="0" w:hanging="386"/>
            <w:jc w:val="left"/>
          </w:pPr>
          <w:hyperlink w:history="true" w:anchor="_TOC_250112">
            <w:r>
              <w:rPr/>
              <w:t>Élaboration des cahiers</w:t>
            </w:r>
            <w:r>
              <w:rPr>
                <w:spacing w:val="-4"/>
              </w:rPr>
              <w:t> </w:t>
            </w:r>
            <w:r>
              <w:rPr/>
              <w:t>des</w:t>
            </w:r>
            <w:r>
              <w:rPr>
                <w:spacing w:val="-1"/>
              </w:rPr>
              <w:t> </w:t>
            </w:r>
            <w:r>
              <w:rPr/>
              <w:t>charges</w:t>
              <w:tab/>
              <w:t>25</w:t>
            </w:r>
          </w:hyperlink>
        </w:p>
        <w:p>
          <w:pPr>
            <w:pStyle w:val="TOC5"/>
            <w:numPr>
              <w:ilvl w:val="2"/>
              <w:numId w:val="2"/>
            </w:numPr>
            <w:tabs>
              <w:tab w:pos="1628" w:val="left" w:leader="none"/>
              <w:tab w:pos="10075" w:val="right" w:leader="dot"/>
            </w:tabs>
            <w:spacing w:line="240" w:lineRule="auto" w:before="1" w:after="0"/>
            <w:ind w:left="1628" w:right="0" w:hanging="535"/>
            <w:jc w:val="left"/>
          </w:pPr>
          <w:hyperlink w:history="true" w:anchor="_TOC_250111">
            <w:r>
              <w:rPr/>
              <w:t>Préparation des Cahiers</w:t>
            </w:r>
            <w:r>
              <w:rPr>
                <w:spacing w:val="1"/>
              </w:rPr>
              <w:t> </w:t>
            </w:r>
            <w:r>
              <w:rPr/>
              <w:t>des</w:t>
            </w:r>
            <w:r>
              <w:rPr>
                <w:spacing w:val="-1"/>
              </w:rPr>
              <w:t> </w:t>
            </w:r>
            <w:r>
              <w:rPr/>
              <w:t>Charges</w:t>
              <w:tab/>
              <w:t>25</w:t>
            </w:r>
          </w:hyperlink>
        </w:p>
        <w:p>
          <w:pPr>
            <w:pStyle w:val="TOC5"/>
            <w:numPr>
              <w:ilvl w:val="2"/>
              <w:numId w:val="2"/>
            </w:numPr>
            <w:tabs>
              <w:tab w:pos="1627" w:val="left" w:leader="none"/>
              <w:tab w:pos="10075" w:val="right" w:leader="dot"/>
            </w:tabs>
            <w:spacing w:line="229" w:lineRule="exact" w:before="0" w:after="0"/>
            <w:ind w:left="1626" w:right="0" w:hanging="534"/>
            <w:jc w:val="left"/>
          </w:pPr>
          <w:hyperlink w:history="true" w:anchor="_TOC_250110">
            <w:r>
              <w:rPr/>
              <w:t>Approbation des Cahiers</w:t>
            </w:r>
            <w:r>
              <w:rPr>
                <w:spacing w:val="-4"/>
              </w:rPr>
              <w:t> </w:t>
            </w:r>
            <w:r>
              <w:rPr/>
              <w:t>des</w:t>
            </w:r>
            <w:r>
              <w:rPr>
                <w:spacing w:val="-1"/>
              </w:rPr>
              <w:t> </w:t>
            </w:r>
            <w:r>
              <w:rPr/>
              <w:t>Charges</w:t>
              <w:tab/>
              <w:t>28</w:t>
            </w:r>
          </w:hyperlink>
        </w:p>
        <w:p>
          <w:pPr>
            <w:pStyle w:val="TOC4"/>
            <w:numPr>
              <w:ilvl w:val="1"/>
              <w:numId w:val="2"/>
            </w:numPr>
            <w:tabs>
              <w:tab w:pos="1259" w:val="left" w:leader="none"/>
              <w:tab w:pos="10075" w:val="right" w:leader="dot"/>
            </w:tabs>
            <w:spacing w:line="229" w:lineRule="exact" w:before="0" w:after="0"/>
            <w:ind w:left="1258" w:right="0" w:hanging="385"/>
            <w:jc w:val="left"/>
          </w:pPr>
          <w:hyperlink w:history="true" w:anchor="_TOC_250109">
            <w:r>
              <w:rPr/>
              <w:t>Planification de la mise en</w:t>
            </w:r>
            <w:r>
              <w:rPr>
                <w:spacing w:val="-1"/>
              </w:rPr>
              <w:t> </w:t>
            </w:r>
            <w:r>
              <w:rPr/>
              <w:t>concurrence</w:t>
              <w:tab/>
              <w:t>29</w:t>
            </w:r>
          </w:hyperlink>
        </w:p>
        <w:p>
          <w:pPr>
            <w:pStyle w:val="TOC4"/>
            <w:numPr>
              <w:ilvl w:val="1"/>
              <w:numId w:val="2"/>
            </w:numPr>
            <w:tabs>
              <w:tab w:pos="1260" w:val="left" w:leader="none"/>
              <w:tab w:pos="10075" w:val="right" w:leader="dot"/>
            </w:tabs>
            <w:spacing w:line="240" w:lineRule="auto" w:before="1" w:after="0"/>
            <w:ind w:left="1259" w:right="0" w:hanging="386"/>
            <w:jc w:val="left"/>
          </w:pPr>
          <w:hyperlink w:history="true" w:anchor="_TOC_250108">
            <w:r>
              <w:rPr/>
              <w:t>Règles générales de passation des achats hors marchés et</w:t>
            </w:r>
            <w:r>
              <w:rPr>
                <w:spacing w:val="-8"/>
              </w:rPr>
              <w:t> </w:t>
            </w:r>
            <w:r>
              <w:rPr/>
              <w:t>des</w:t>
            </w:r>
            <w:r>
              <w:rPr>
                <w:spacing w:val="2"/>
              </w:rPr>
              <w:t> </w:t>
            </w:r>
            <w:r>
              <w:rPr/>
              <w:t>marchés</w:t>
              <w:tab/>
              <w:t>29</w:t>
            </w:r>
          </w:hyperlink>
        </w:p>
        <w:p>
          <w:pPr>
            <w:pStyle w:val="TOC5"/>
            <w:numPr>
              <w:ilvl w:val="2"/>
              <w:numId w:val="2"/>
            </w:numPr>
            <w:tabs>
              <w:tab w:pos="1627" w:val="left" w:leader="none"/>
              <w:tab w:pos="10075" w:val="right" w:leader="dot"/>
            </w:tabs>
            <w:spacing w:line="240" w:lineRule="auto" w:before="0" w:after="0"/>
            <w:ind w:left="1626" w:right="0" w:hanging="534"/>
            <w:jc w:val="left"/>
          </w:pPr>
          <w:hyperlink w:history="true" w:anchor="_TOC_250107">
            <w:r>
              <w:rPr/>
              <w:t>Les cas d’exemption de l’utilisation</w:t>
            </w:r>
            <w:r>
              <w:rPr>
                <w:spacing w:val="-5"/>
              </w:rPr>
              <w:t> </w:t>
            </w:r>
            <w:r>
              <w:rPr/>
              <w:t>de TUNEPS</w:t>
              <w:tab/>
              <w:t>29</w:t>
            </w:r>
          </w:hyperlink>
        </w:p>
        <w:p>
          <w:pPr>
            <w:pStyle w:val="TOC5"/>
            <w:numPr>
              <w:ilvl w:val="2"/>
              <w:numId w:val="2"/>
            </w:numPr>
            <w:tabs>
              <w:tab w:pos="1627" w:val="left" w:leader="none"/>
              <w:tab w:pos="10075" w:val="right" w:leader="dot"/>
            </w:tabs>
            <w:spacing w:line="240" w:lineRule="auto" w:before="0" w:after="0"/>
            <w:ind w:left="1626" w:right="0" w:hanging="534"/>
            <w:jc w:val="left"/>
          </w:pPr>
          <w:hyperlink w:history="true" w:anchor="_TOC_250106">
            <w:r>
              <w:rPr/>
              <w:t>Les intervenants dans les phases de passation des achats hors</w:t>
            </w:r>
            <w:r>
              <w:rPr>
                <w:spacing w:val="-11"/>
              </w:rPr>
              <w:t> </w:t>
            </w:r>
            <w:r>
              <w:rPr/>
              <w:t>matières</w:t>
            </w:r>
            <w:r>
              <w:rPr>
                <w:spacing w:val="-1"/>
              </w:rPr>
              <w:t> </w:t>
            </w:r>
            <w:r>
              <w:rPr/>
              <w:t>premières</w:t>
              <w:tab/>
              <w:t>30</w:t>
            </w:r>
          </w:hyperlink>
        </w:p>
        <w:p>
          <w:pPr>
            <w:pStyle w:val="TOC5"/>
            <w:numPr>
              <w:ilvl w:val="2"/>
              <w:numId w:val="2"/>
            </w:numPr>
            <w:tabs>
              <w:tab w:pos="1627" w:val="left" w:leader="none"/>
              <w:tab w:pos="10075" w:val="right" w:leader="dot"/>
            </w:tabs>
            <w:spacing w:line="240" w:lineRule="auto" w:before="1" w:after="0"/>
            <w:ind w:left="1626" w:right="0" w:hanging="534"/>
            <w:jc w:val="left"/>
          </w:pPr>
          <w:hyperlink w:history="true" w:anchor="_TOC_250105">
            <w:r>
              <w:rPr/>
              <w:t>Les délais de passation des achats hors matières</w:t>
            </w:r>
            <w:r>
              <w:rPr>
                <w:spacing w:val="-1"/>
              </w:rPr>
              <w:t> </w:t>
            </w:r>
            <w:r>
              <w:rPr/>
              <w:t>premières</w:t>
              <w:tab/>
              <w:t>31</w:t>
            </w:r>
          </w:hyperlink>
        </w:p>
        <w:p>
          <w:pPr>
            <w:pStyle w:val="TOC3"/>
            <w:numPr>
              <w:ilvl w:val="0"/>
              <w:numId w:val="2"/>
            </w:numPr>
            <w:tabs>
              <w:tab w:pos="986" w:val="left" w:leader="none"/>
              <w:tab w:pos="10075" w:val="right" w:leader="dot"/>
            </w:tabs>
            <w:spacing w:line="228" w:lineRule="exact" w:before="3" w:after="0"/>
            <w:ind w:left="985" w:right="0" w:hanging="332"/>
            <w:jc w:val="left"/>
          </w:pPr>
          <w:hyperlink w:history="true" w:anchor="_TOC_250104">
            <w:r>
              <w:rPr/>
              <w:t>Procédures des achats</w:t>
            </w:r>
            <w:r>
              <w:rPr>
                <w:spacing w:val="-1"/>
              </w:rPr>
              <w:t> </w:t>
            </w:r>
            <w:r>
              <w:rPr/>
              <w:t>hors</w:t>
            </w:r>
            <w:r>
              <w:rPr>
                <w:spacing w:val="2"/>
              </w:rPr>
              <w:t> </w:t>
            </w:r>
            <w:r>
              <w:rPr/>
              <w:t>marchés</w:t>
              <w:tab/>
              <w:t>32</w:t>
            </w:r>
          </w:hyperlink>
        </w:p>
        <w:p>
          <w:pPr>
            <w:pStyle w:val="TOC4"/>
            <w:numPr>
              <w:ilvl w:val="1"/>
              <w:numId w:val="2"/>
            </w:numPr>
            <w:tabs>
              <w:tab w:pos="1325" w:val="left" w:leader="none"/>
              <w:tab w:pos="10075" w:val="right" w:leader="dot"/>
            </w:tabs>
            <w:spacing w:line="228" w:lineRule="exact" w:before="0" w:after="0"/>
            <w:ind w:left="1324" w:right="0" w:hanging="451"/>
            <w:jc w:val="left"/>
          </w:pPr>
          <w:hyperlink w:history="true" w:anchor="_TOC_250103">
            <w:r>
              <w:rPr/>
              <w:t>Modes et procédures de passation des achats</w:t>
            </w:r>
            <w:r>
              <w:rPr>
                <w:spacing w:val="-7"/>
              </w:rPr>
              <w:t> </w:t>
            </w:r>
            <w:r>
              <w:rPr/>
              <w:t>hors</w:t>
            </w:r>
            <w:r>
              <w:rPr>
                <w:spacing w:val="2"/>
              </w:rPr>
              <w:t> </w:t>
            </w:r>
            <w:r>
              <w:rPr/>
              <w:t>marchés</w:t>
              <w:tab/>
              <w:t>32</w:t>
            </w:r>
          </w:hyperlink>
        </w:p>
        <w:p>
          <w:pPr>
            <w:pStyle w:val="TOC5"/>
            <w:tabs>
              <w:tab w:pos="10075" w:val="right" w:leader="dot"/>
            </w:tabs>
            <w:spacing w:before="1"/>
            <w:ind w:left="1093" w:firstLine="0"/>
          </w:pPr>
          <w:hyperlink w:history="true" w:anchor="_TOC_250102">
            <w:r>
              <w:rPr/>
              <w:t>III.1.1 Demande directe d’achat (régie)</w:t>
              <w:tab/>
              <w:t>32</w:t>
            </w:r>
          </w:hyperlink>
        </w:p>
        <w:p>
          <w:pPr>
            <w:pStyle w:val="TOC5"/>
            <w:numPr>
              <w:ilvl w:val="2"/>
              <w:numId w:val="3"/>
            </w:numPr>
            <w:tabs>
              <w:tab w:pos="1694" w:val="left" w:leader="none"/>
              <w:tab w:pos="10075" w:val="right" w:leader="dot"/>
            </w:tabs>
            <w:spacing w:line="240" w:lineRule="auto" w:before="0" w:after="0"/>
            <w:ind w:left="1693" w:right="0" w:hanging="601"/>
            <w:jc w:val="left"/>
          </w:pPr>
          <w:hyperlink w:history="true" w:anchor="_TOC_250101">
            <w:r>
              <w:rPr/>
              <w:t>Demande</w:t>
            </w:r>
            <w:r>
              <w:rPr>
                <w:spacing w:val="-1"/>
              </w:rPr>
              <w:t> </w:t>
            </w:r>
            <w:r>
              <w:rPr/>
              <w:t>de cotations</w:t>
              <w:tab/>
              <w:t>32</w:t>
            </w:r>
          </w:hyperlink>
        </w:p>
        <w:p>
          <w:pPr>
            <w:pStyle w:val="TOC5"/>
            <w:numPr>
              <w:ilvl w:val="2"/>
              <w:numId w:val="3"/>
            </w:numPr>
            <w:tabs>
              <w:tab w:pos="1694" w:val="left" w:leader="none"/>
              <w:tab w:pos="10075" w:val="right" w:leader="dot"/>
            </w:tabs>
            <w:spacing w:line="240" w:lineRule="auto" w:before="0" w:after="0"/>
            <w:ind w:left="1693" w:right="0" w:hanging="601"/>
            <w:jc w:val="left"/>
          </w:pPr>
          <w:hyperlink w:history="true" w:anchor="_TOC_250100">
            <w:r>
              <w:rPr/>
              <w:t>Consultation à</w:t>
            </w:r>
            <w:r>
              <w:rPr>
                <w:spacing w:val="-2"/>
              </w:rPr>
              <w:t> </w:t>
            </w:r>
            <w:r>
              <w:rPr/>
              <w:t>compétition</w:t>
            </w:r>
            <w:r>
              <w:rPr>
                <w:spacing w:val="-1"/>
              </w:rPr>
              <w:t> </w:t>
            </w:r>
            <w:r>
              <w:rPr/>
              <w:t>restreinte</w:t>
              <w:tab/>
              <w:t>33</w:t>
            </w:r>
          </w:hyperlink>
        </w:p>
        <w:p>
          <w:pPr>
            <w:pStyle w:val="TOC5"/>
            <w:numPr>
              <w:ilvl w:val="2"/>
              <w:numId w:val="3"/>
            </w:numPr>
            <w:tabs>
              <w:tab w:pos="1696" w:val="left" w:leader="none"/>
              <w:tab w:pos="10075" w:val="right" w:leader="dot"/>
            </w:tabs>
            <w:spacing w:line="229" w:lineRule="exact" w:before="1" w:after="0"/>
            <w:ind w:left="1695" w:right="0" w:hanging="603"/>
            <w:jc w:val="left"/>
          </w:pPr>
          <w:hyperlink w:history="true" w:anchor="_TOC_250099">
            <w:r>
              <w:rPr/>
              <w:t>Consultation d’achat a</w:t>
            </w:r>
            <w:r>
              <w:rPr>
                <w:spacing w:val="1"/>
              </w:rPr>
              <w:t> </w:t>
            </w:r>
            <w:r>
              <w:rPr/>
              <w:t>compétition</w:t>
            </w:r>
            <w:r>
              <w:rPr>
                <w:spacing w:val="-1"/>
              </w:rPr>
              <w:t> </w:t>
            </w:r>
            <w:r>
              <w:rPr/>
              <w:t>ouverte</w:t>
              <w:tab/>
              <w:t>35</w:t>
            </w:r>
          </w:hyperlink>
        </w:p>
        <w:p>
          <w:pPr>
            <w:pStyle w:val="TOC5"/>
            <w:numPr>
              <w:ilvl w:val="2"/>
              <w:numId w:val="3"/>
            </w:numPr>
            <w:tabs>
              <w:tab w:pos="1694" w:val="left" w:leader="none"/>
              <w:tab w:pos="10075" w:val="right" w:leader="dot"/>
            </w:tabs>
            <w:spacing w:line="229" w:lineRule="exact" w:before="0" w:after="0"/>
            <w:ind w:left="1693" w:right="0" w:hanging="601"/>
            <w:jc w:val="left"/>
          </w:pPr>
          <w:hyperlink w:history="true" w:anchor="_TOC_250098">
            <w:r>
              <w:rPr/>
              <w:t>Négociation directe</w:t>
              <w:tab/>
              <w:t>37</w:t>
            </w:r>
          </w:hyperlink>
        </w:p>
        <w:p>
          <w:pPr>
            <w:pStyle w:val="TOC4"/>
            <w:numPr>
              <w:ilvl w:val="1"/>
              <w:numId w:val="2"/>
            </w:numPr>
            <w:tabs>
              <w:tab w:pos="1325" w:val="left" w:leader="none"/>
              <w:tab w:pos="10075" w:val="right" w:leader="dot"/>
            </w:tabs>
            <w:spacing w:line="240" w:lineRule="auto" w:before="0" w:after="0"/>
            <w:ind w:left="1324" w:right="0" w:hanging="451"/>
            <w:jc w:val="left"/>
          </w:pPr>
          <w:hyperlink w:history="true" w:anchor="_TOC_250097">
            <w:r>
              <w:rPr/>
              <w:t>Exécution et clôture des achats</w:t>
            </w:r>
            <w:r>
              <w:rPr>
                <w:spacing w:val="-1"/>
              </w:rPr>
              <w:t> </w:t>
            </w:r>
            <w:r>
              <w:rPr/>
              <w:t>hors</w:t>
            </w:r>
            <w:r>
              <w:rPr>
                <w:spacing w:val="1"/>
              </w:rPr>
              <w:t> </w:t>
            </w:r>
            <w:r>
              <w:rPr/>
              <w:t>marchés</w:t>
              <w:tab/>
              <w:t>38</w:t>
            </w:r>
          </w:hyperlink>
        </w:p>
        <w:p>
          <w:pPr>
            <w:pStyle w:val="TOC5"/>
            <w:numPr>
              <w:ilvl w:val="2"/>
              <w:numId w:val="2"/>
            </w:numPr>
            <w:tabs>
              <w:tab w:pos="1694" w:val="left" w:leader="none"/>
              <w:tab w:pos="10075" w:val="right" w:leader="dot"/>
            </w:tabs>
            <w:spacing w:line="240" w:lineRule="auto" w:before="1" w:after="0"/>
            <w:ind w:left="1693" w:right="0" w:hanging="601"/>
            <w:jc w:val="left"/>
          </w:pPr>
          <w:hyperlink w:history="true" w:anchor="_TOC_250096">
            <w:r>
              <w:rPr/>
              <w:t>Établissement des bons</w:t>
            </w:r>
            <w:r>
              <w:rPr>
                <w:spacing w:val="-4"/>
              </w:rPr>
              <w:t> </w:t>
            </w:r>
            <w:r>
              <w:rPr/>
              <w:t>de commandes</w:t>
              <w:tab/>
              <w:t>38</w:t>
            </w:r>
          </w:hyperlink>
        </w:p>
        <w:p>
          <w:pPr>
            <w:pStyle w:val="TOC5"/>
            <w:numPr>
              <w:ilvl w:val="2"/>
              <w:numId w:val="2"/>
            </w:numPr>
            <w:tabs>
              <w:tab w:pos="1694" w:val="left" w:leader="none"/>
              <w:tab w:pos="10075" w:val="right" w:leader="dot"/>
            </w:tabs>
            <w:spacing w:line="240" w:lineRule="auto" w:before="0" w:after="0"/>
            <w:ind w:left="1693" w:right="0" w:hanging="601"/>
            <w:jc w:val="left"/>
          </w:pPr>
          <w:hyperlink w:history="true" w:anchor="_TOC_250095">
            <w:r>
              <w:rPr/>
              <w:t>Exécution des achats</w:t>
            </w:r>
            <w:r>
              <w:rPr>
                <w:spacing w:val="-4"/>
              </w:rPr>
              <w:t> </w:t>
            </w:r>
            <w:r>
              <w:rPr/>
              <w:t>hors</w:t>
            </w:r>
            <w:r>
              <w:rPr>
                <w:spacing w:val="2"/>
              </w:rPr>
              <w:t> </w:t>
            </w:r>
            <w:r>
              <w:rPr/>
              <w:t>marchés</w:t>
              <w:tab/>
              <w:t>38</w:t>
            </w:r>
          </w:hyperlink>
        </w:p>
        <w:p>
          <w:pPr>
            <w:pStyle w:val="TOC5"/>
            <w:numPr>
              <w:ilvl w:val="2"/>
              <w:numId w:val="2"/>
            </w:numPr>
            <w:tabs>
              <w:tab w:pos="1694" w:val="left" w:leader="none"/>
              <w:tab w:pos="10075" w:val="right" w:leader="dot"/>
            </w:tabs>
            <w:spacing w:line="240" w:lineRule="auto" w:before="1" w:after="0"/>
            <w:ind w:left="1693" w:right="0" w:hanging="601"/>
            <w:jc w:val="left"/>
          </w:pPr>
          <w:hyperlink w:history="true" w:anchor="_TOC_250094">
            <w:r>
              <w:rPr/>
              <w:t>Clôture des dossiers d’achat</w:t>
            </w:r>
            <w:r>
              <w:rPr>
                <w:spacing w:val="-3"/>
              </w:rPr>
              <w:t> </w:t>
            </w:r>
            <w:r>
              <w:rPr/>
              <w:t>hors</w:t>
            </w:r>
            <w:r>
              <w:rPr>
                <w:spacing w:val="1"/>
              </w:rPr>
              <w:t> </w:t>
            </w:r>
            <w:r>
              <w:rPr/>
              <w:t>marchés</w:t>
              <w:tab/>
              <w:t>39</w:t>
            </w:r>
          </w:hyperlink>
        </w:p>
        <w:p>
          <w:pPr>
            <w:pStyle w:val="TOC3"/>
            <w:numPr>
              <w:ilvl w:val="0"/>
              <w:numId w:val="2"/>
            </w:numPr>
            <w:tabs>
              <w:tab w:pos="976" w:val="left" w:leader="none"/>
              <w:tab w:pos="10075" w:val="right" w:leader="dot"/>
            </w:tabs>
            <w:spacing w:line="227" w:lineRule="exact" w:before="5" w:after="0"/>
            <w:ind w:left="975" w:right="0" w:hanging="322"/>
            <w:jc w:val="left"/>
          </w:pPr>
          <w:hyperlink w:history="true" w:anchor="_TOC_250093">
            <w:r>
              <w:rPr/>
              <w:t>Procédures</w:t>
            </w:r>
            <w:r>
              <w:rPr>
                <w:spacing w:val="-2"/>
              </w:rPr>
              <w:t> </w:t>
            </w:r>
            <w:r>
              <w:rPr/>
              <w:t>des</w:t>
            </w:r>
            <w:r>
              <w:rPr>
                <w:spacing w:val="2"/>
              </w:rPr>
              <w:t> </w:t>
            </w:r>
            <w:r>
              <w:rPr/>
              <w:t>marchés</w:t>
              <w:tab/>
              <w:t>40</w:t>
            </w:r>
          </w:hyperlink>
        </w:p>
        <w:p>
          <w:pPr>
            <w:pStyle w:val="TOC4"/>
            <w:numPr>
              <w:ilvl w:val="1"/>
              <w:numId w:val="2"/>
            </w:numPr>
            <w:tabs>
              <w:tab w:pos="1338" w:val="left" w:leader="none"/>
              <w:tab w:pos="10075" w:val="right" w:leader="dot"/>
            </w:tabs>
            <w:spacing w:line="227" w:lineRule="exact" w:before="0" w:after="0"/>
            <w:ind w:left="1337" w:right="0" w:hanging="464"/>
            <w:jc w:val="left"/>
          </w:pPr>
          <w:hyperlink w:history="true" w:anchor="_TOC_250092">
            <w:r>
              <w:rPr/>
              <w:t>Modes et procédures de passation</w:t>
            </w:r>
            <w:r>
              <w:rPr>
                <w:spacing w:val="-9"/>
              </w:rPr>
              <w:t> </w:t>
            </w:r>
            <w:r>
              <w:rPr/>
              <w:t>des</w:t>
            </w:r>
            <w:r>
              <w:rPr>
                <w:spacing w:val="2"/>
              </w:rPr>
              <w:t> </w:t>
            </w:r>
            <w:r>
              <w:rPr/>
              <w:t>marchés</w:t>
              <w:tab/>
              <w:t>40</w:t>
            </w:r>
          </w:hyperlink>
        </w:p>
        <w:p>
          <w:pPr>
            <w:pStyle w:val="TOC5"/>
            <w:numPr>
              <w:ilvl w:val="2"/>
              <w:numId w:val="2"/>
            </w:numPr>
            <w:tabs>
              <w:tab w:pos="1707" w:val="left" w:leader="none"/>
              <w:tab w:pos="10075" w:val="right" w:leader="dot"/>
            </w:tabs>
            <w:spacing w:line="240" w:lineRule="auto" w:before="0" w:after="0"/>
            <w:ind w:left="1706" w:right="0" w:hanging="614"/>
            <w:jc w:val="left"/>
          </w:pPr>
          <w:hyperlink w:history="true" w:anchor="_TOC_250091">
            <w:r>
              <w:rPr/>
              <w:t>Appel</w:t>
            </w:r>
            <w:r>
              <w:rPr>
                <w:spacing w:val="1"/>
              </w:rPr>
              <w:t> </w:t>
            </w:r>
            <w:r>
              <w:rPr/>
              <w:t>d’offres</w:t>
            </w:r>
            <w:r>
              <w:rPr>
                <w:spacing w:val="-1"/>
              </w:rPr>
              <w:t> </w:t>
            </w:r>
            <w:r>
              <w:rPr/>
              <w:t>ouvert</w:t>
              <w:tab/>
              <w:t>40</w:t>
            </w:r>
          </w:hyperlink>
        </w:p>
        <w:p>
          <w:pPr>
            <w:pStyle w:val="TOC5"/>
            <w:numPr>
              <w:ilvl w:val="2"/>
              <w:numId w:val="2"/>
            </w:numPr>
            <w:tabs>
              <w:tab w:pos="1707" w:val="left" w:leader="none"/>
              <w:tab w:pos="10075" w:val="right" w:leader="dot"/>
            </w:tabs>
            <w:spacing w:line="240" w:lineRule="auto" w:before="1" w:after="0"/>
            <w:ind w:left="1706" w:right="0" w:hanging="614"/>
            <w:jc w:val="left"/>
          </w:pPr>
          <w:hyperlink w:history="true" w:anchor="_TOC_250090">
            <w:r>
              <w:rPr/>
              <w:t>Appel d’offres précédé</w:t>
            </w:r>
            <w:r>
              <w:rPr>
                <w:spacing w:val="-2"/>
              </w:rPr>
              <w:t> </w:t>
            </w:r>
            <w:r>
              <w:rPr/>
              <w:t>d’une pré-qualification</w:t>
              <w:tab/>
              <w:t>46</w:t>
            </w:r>
          </w:hyperlink>
        </w:p>
        <w:p>
          <w:pPr>
            <w:pStyle w:val="TOC5"/>
            <w:numPr>
              <w:ilvl w:val="2"/>
              <w:numId w:val="2"/>
            </w:numPr>
            <w:tabs>
              <w:tab w:pos="1707" w:val="left" w:leader="none"/>
              <w:tab w:pos="10075" w:val="right" w:leader="dot"/>
            </w:tabs>
            <w:spacing w:line="240" w:lineRule="auto" w:before="0" w:after="0"/>
            <w:ind w:left="1706" w:right="0" w:hanging="614"/>
            <w:jc w:val="left"/>
          </w:pPr>
          <w:hyperlink w:history="true" w:anchor="_TOC_250089">
            <w:r>
              <w:rPr/>
              <w:t>Appel d’offres en</w:t>
            </w:r>
            <w:r>
              <w:rPr>
                <w:spacing w:val="-3"/>
              </w:rPr>
              <w:t> </w:t>
            </w:r>
            <w:r>
              <w:rPr/>
              <w:t>deux</w:t>
            </w:r>
            <w:r>
              <w:rPr>
                <w:spacing w:val="-1"/>
              </w:rPr>
              <w:t> </w:t>
            </w:r>
            <w:r>
              <w:rPr/>
              <w:t>étapes</w:t>
              <w:tab/>
              <w:t>46</w:t>
            </w:r>
          </w:hyperlink>
        </w:p>
        <w:p>
          <w:pPr>
            <w:pStyle w:val="TOC5"/>
            <w:numPr>
              <w:ilvl w:val="2"/>
              <w:numId w:val="2"/>
            </w:numPr>
            <w:tabs>
              <w:tab w:pos="1707" w:val="left" w:leader="none"/>
              <w:tab w:pos="10075" w:val="right" w:leader="dot"/>
            </w:tabs>
            <w:spacing w:line="229" w:lineRule="exact" w:before="1" w:after="0"/>
            <w:ind w:left="1706" w:right="0" w:hanging="614"/>
            <w:jc w:val="left"/>
          </w:pPr>
          <w:hyperlink w:history="true" w:anchor="_TOC_250088">
            <w:r>
              <w:rPr/>
              <w:t>Consultation</w:t>
              <w:tab/>
              <w:t>46</w:t>
            </w:r>
          </w:hyperlink>
        </w:p>
        <w:p>
          <w:pPr>
            <w:pStyle w:val="TOC5"/>
            <w:numPr>
              <w:ilvl w:val="2"/>
              <w:numId w:val="2"/>
            </w:numPr>
            <w:tabs>
              <w:tab w:pos="1707" w:val="left" w:leader="none"/>
              <w:tab w:pos="10075" w:val="right" w:leader="dot"/>
            </w:tabs>
            <w:spacing w:line="229" w:lineRule="exact" w:before="0" w:after="0"/>
            <w:ind w:left="1706" w:right="0" w:hanging="614"/>
            <w:jc w:val="left"/>
          </w:pPr>
          <w:hyperlink w:history="true" w:anchor="_TOC_250087">
            <w:r>
              <w:rPr/>
              <w:t>Négociation</w:t>
            </w:r>
            <w:r>
              <w:rPr>
                <w:spacing w:val="-2"/>
              </w:rPr>
              <w:t> </w:t>
            </w:r>
            <w:r>
              <w:rPr/>
              <w:t>directe</w:t>
              <w:tab/>
              <w:t>47</w:t>
            </w:r>
          </w:hyperlink>
        </w:p>
        <w:p>
          <w:pPr>
            <w:pStyle w:val="TOC5"/>
            <w:numPr>
              <w:ilvl w:val="2"/>
              <w:numId w:val="2"/>
            </w:numPr>
            <w:tabs>
              <w:tab w:pos="1707" w:val="left" w:leader="none"/>
              <w:tab w:pos="10075" w:val="right" w:leader="dot"/>
            </w:tabs>
            <w:spacing w:line="240" w:lineRule="auto" w:before="0" w:after="0"/>
            <w:ind w:left="1706" w:right="0" w:hanging="614"/>
            <w:jc w:val="left"/>
          </w:pPr>
          <w:hyperlink w:history="true" w:anchor="_TOC_250086">
            <w:r>
              <w:rPr/>
              <w:t>Appel d’offres avec demande</w:t>
            </w:r>
            <w:r>
              <w:rPr>
                <w:spacing w:val="-2"/>
              </w:rPr>
              <w:t> </w:t>
            </w:r>
            <w:r>
              <w:rPr/>
              <w:t>de financement</w:t>
              <w:tab/>
              <w:t>49</w:t>
            </w:r>
          </w:hyperlink>
        </w:p>
        <w:p>
          <w:pPr>
            <w:pStyle w:val="TOC5"/>
            <w:numPr>
              <w:ilvl w:val="2"/>
              <w:numId w:val="2"/>
            </w:numPr>
            <w:tabs>
              <w:tab w:pos="1707" w:val="left" w:leader="none"/>
              <w:tab w:pos="10075" w:val="right" w:leader="dot"/>
            </w:tabs>
            <w:spacing w:line="240" w:lineRule="auto" w:before="1" w:after="20"/>
            <w:ind w:left="1706" w:right="0" w:hanging="614"/>
            <w:jc w:val="left"/>
          </w:pPr>
          <w:hyperlink w:history="true" w:anchor="_TOC_250085">
            <w:r>
              <w:rPr/>
              <w:t>Appel d’offres</w:t>
            </w:r>
            <w:r>
              <w:rPr>
                <w:spacing w:val="-2"/>
              </w:rPr>
              <w:t> </w:t>
            </w:r>
            <w:r>
              <w:rPr/>
              <w:t>avec concours</w:t>
              <w:tab/>
              <w:t>49</w:t>
            </w:r>
          </w:hyperlink>
        </w:p>
        <w:p>
          <w:pPr>
            <w:pStyle w:val="TOC5"/>
            <w:numPr>
              <w:ilvl w:val="2"/>
              <w:numId w:val="2"/>
            </w:numPr>
            <w:tabs>
              <w:tab w:pos="1707" w:val="left" w:leader="none"/>
              <w:tab w:pos="9874" w:val="left" w:leader="dot"/>
            </w:tabs>
            <w:spacing w:line="240" w:lineRule="auto" w:before="276" w:after="0"/>
            <w:ind w:left="1706" w:right="0" w:hanging="614"/>
            <w:jc w:val="left"/>
          </w:pPr>
          <w:hyperlink w:history="true" w:anchor="_TOC_250084">
            <w:r>
              <w:rPr/>
              <w:t>Dialogue</w:t>
            </w:r>
            <w:r>
              <w:rPr>
                <w:spacing w:val="-3"/>
              </w:rPr>
              <w:t> </w:t>
            </w:r>
            <w:r>
              <w:rPr/>
              <w:t>compétitif</w:t>
              <w:tab/>
              <w:t>50</w:t>
            </w:r>
          </w:hyperlink>
        </w:p>
        <w:p>
          <w:pPr>
            <w:pStyle w:val="TOC5"/>
            <w:numPr>
              <w:ilvl w:val="2"/>
              <w:numId w:val="2"/>
            </w:numPr>
            <w:tabs>
              <w:tab w:pos="1707" w:val="left" w:leader="none"/>
              <w:tab w:pos="9874" w:val="left" w:leader="dot"/>
            </w:tabs>
            <w:spacing w:line="240" w:lineRule="auto" w:before="1" w:after="0"/>
            <w:ind w:left="1706" w:right="0" w:hanging="614"/>
            <w:jc w:val="left"/>
          </w:pPr>
          <w:hyperlink w:history="true" w:anchor="_TOC_250083">
            <w:r>
              <w:rPr/>
              <w:t>Appel à Propositions avec meilleure offre finale</w:t>
            </w:r>
            <w:r>
              <w:rPr>
                <w:spacing w:val="-17"/>
              </w:rPr>
              <w:t> </w:t>
            </w:r>
            <w:r>
              <w:rPr/>
              <w:t>après</w:t>
            </w:r>
            <w:r>
              <w:rPr>
                <w:spacing w:val="-4"/>
              </w:rPr>
              <w:t> </w:t>
            </w:r>
            <w:r>
              <w:rPr/>
              <w:t>négociation</w:t>
              <w:tab/>
              <w:t>51</w:t>
            </w:r>
          </w:hyperlink>
        </w:p>
        <w:p>
          <w:pPr>
            <w:pStyle w:val="TOC4"/>
            <w:numPr>
              <w:ilvl w:val="1"/>
              <w:numId w:val="2"/>
            </w:numPr>
            <w:tabs>
              <w:tab w:pos="1338" w:val="left" w:leader="none"/>
              <w:tab w:pos="9874" w:val="left" w:leader="dot"/>
            </w:tabs>
            <w:spacing w:line="240" w:lineRule="auto" w:before="0" w:after="0"/>
            <w:ind w:left="1337" w:right="0" w:hanging="464"/>
            <w:jc w:val="left"/>
          </w:pPr>
          <w:hyperlink w:history="true" w:anchor="_TOC_250082">
            <w:r>
              <w:rPr/>
              <w:t>Exécution et clôture</w:t>
            </w:r>
            <w:r>
              <w:rPr>
                <w:spacing w:val="-8"/>
              </w:rPr>
              <w:t> </w:t>
            </w:r>
            <w:r>
              <w:rPr/>
              <w:t>des marchés</w:t>
              <w:tab/>
              <w:t>52</w:t>
            </w:r>
          </w:hyperlink>
        </w:p>
        <w:p>
          <w:pPr>
            <w:pStyle w:val="TOC5"/>
            <w:numPr>
              <w:ilvl w:val="2"/>
              <w:numId w:val="2"/>
            </w:numPr>
            <w:tabs>
              <w:tab w:pos="1707" w:val="left" w:leader="none"/>
              <w:tab w:pos="9874" w:val="left" w:leader="dot"/>
            </w:tabs>
            <w:spacing w:line="229" w:lineRule="exact" w:before="0" w:after="0"/>
            <w:ind w:left="1706" w:right="0" w:hanging="614"/>
            <w:jc w:val="left"/>
          </w:pPr>
          <w:hyperlink w:history="true" w:anchor="_TOC_250081">
            <w:r>
              <w:rPr/>
              <w:t>Établissement</w:t>
            </w:r>
            <w:r>
              <w:rPr>
                <w:spacing w:val="-4"/>
              </w:rPr>
              <w:t> </w:t>
            </w:r>
            <w:r>
              <w:rPr/>
              <w:t>des</w:t>
            </w:r>
            <w:r>
              <w:rPr>
                <w:spacing w:val="-4"/>
              </w:rPr>
              <w:t> </w:t>
            </w:r>
            <w:r>
              <w:rPr/>
              <w:t>contrats</w:t>
              <w:tab/>
              <w:t>52</w:t>
            </w:r>
          </w:hyperlink>
        </w:p>
        <w:p>
          <w:pPr>
            <w:pStyle w:val="TOC5"/>
            <w:numPr>
              <w:ilvl w:val="2"/>
              <w:numId w:val="2"/>
            </w:numPr>
            <w:tabs>
              <w:tab w:pos="1707" w:val="left" w:leader="none"/>
              <w:tab w:pos="9874" w:val="left" w:leader="dot"/>
            </w:tabs>
            <w:spacing w:line="229" w:lineRule="exact" w:before="0" w:after="0"/>
            <w:ind w:left="1706" w:right="0" w:hanging="614"/>
            <w:jc w:val="left"/>
          </w:pPr>
          <w:hyperlink w:history="true" w:anchor="_TOC_250080">
            <w:r>
              <w:rPr/>
              <w:t>Suivi de l’exécution</w:t>
            </w:r>
            <w:r>
              <w:rPr>
                <w:spacing w:val="-9"/>
              </w:rPr>
              <w:t> </w:t>
            </w:r>
            <w:r>
              <w:rPr/>
              <w:t>des</w:t>
            </w:r>
            <w:r>
              <w:rPr>
                <w:spacing w:val="-4"/>
              </w:rPr>
              <w:t> </w:t>
            </w:r>
            <w:r>
              <w:rPr/>
              <w:t>contrats</w:t>
              <w:tab/>
              <w:t>53</w:t>
            </w:r>
          </w:hyperlink>
        </w:p>
        <w:p>
          <w:pPr>
            <w:pStyle w:val="TOC5"/>
            <w:numPr>
              <w:ilvl w:val="2"/>
              <w:numId w:val="2"/>
            </w:numPr>
            <w:tabs>
              <w:tab w:pos="1707" w:val="left" w:leader="none"/>
              <w:tab w:pos="9874" w:val="left" w:leader="dot"/>
            </w:tabs>
            <w:spacing w:line="240" w:lineRule="auto" w:before="1" w:after="0"/>
            <w:ind w:left="1706" w:right="0" w:hanging="614"/>
            <w:jc w:val="left"/>
          </w:pPr>
          <w:hyperlink w:history="true" w:anchor="_TOC_250079">
            <w:r>
              <w:rPr/>
              <w:t>Réception des prestations objets</w:t>
            </w:r>
            <w:r>
              <w:rPr>
                <w:spacing w:val="-11"/>
              </w:rPr>
              <w:t> </w:t>
            </w:r>
            <w:r>
              <w:rPr/>
              <w:t>du</w:t>
            </w:r>
            <w:r>
              <w:rPr>
                <w:spacing w:val="-1"/>
              </w:rPr>
              <w:t> </w:t>
            </w:r>
            <w:r>
              <w:rPr/>
              <w:t>marché</w:t>
              <w:tab/>
              <w:t>54</w:t>
            </w:r>
          </w:hyperlink>
        </w:p>
        <w:p>
          <w:pPr>
            <w:pStyle w:val="TOC5"/>
            <w:numPr>
              <w:ilvl w:val="2"/>
              <w:numId w:val="2"/>
            </w:numPr>
            <w:tabs>
              <w:tab w:pos="1707" w:val="left" w:leader="none"/>
              <w:tab w:pos="9874" w:val="left" w:leader="dot"/>
            </w:tabs>
            <w:spacing w:line="240" w:lineRule="auto" w:before="0" w:after="0"/>
            <w:ind w:left="1706" w:right="0" w:hanging="614"/>
            <w:jc w:val="left"/>
          </w:pPr>
          <w:hyperlink w:history="true" w:anchor="_TOC_250078">
            <w:r>
              <w:rPr/>
              <w:t>Règlement</w:t>
            </w:r>
            <w:r>
              <w:rPr>
                <w:spacing w:val="-4"/>
              </w:rPr>
              <w:t> </w:t>
            </w:r>
            <w:r>
              <w:rPr/>
              <w:t>des marchés</w:t>
              <w:tab/>
              <w:t>55</w:t>
            </w:r>
          </w:hyperlink>
        </w:p>
        <w:p>
          <w:pPr>
            <w:pStyle w:val="TOC5"/>
            <w:numPr>
              <w:ilvl w:val="2"/>
              <w:numId w:val="2"/>
            </w:numPr>
            <w:tabs>
              <w:tab w:pos="1707" w:val="left" w:leader="none"/>
              <w:tab w:pos="9874" w:val="left" w:leader="dot"/>
            </w:tabs>
            <w:spacing w:line="240" w:lineRule="auto" w:before="1" w:after="0"/>
            <w:ind w:left="1706" w:right="0" w:hanging="614"/>
            <w:jc w:val="left"/>
          </w:pPr>
          <w:hyperlink w:history="true" w:anchor="_TOC_250077">
            <w:r>
              <w:rPr/>
              <w:t>Variation dans la masse, changement dans la nature</w:t>
            </w:r>
            <w:r>
              <w:rPr>
                <w:spacing w:val="-18"/>
              </w:rPr>
              <w:t> </w:t>
            </w:r>
            <w:r>
              <w:rPr/>
              <w:t>des</w:t>
            </w:r>
            <w:r>
              <w:rPr>
                <w:spacing w:val="-3"/>
              </w:rPr>
              <w:t> </w:t>
            </w:r>
            <w:r>
              <w:rPr/>
              <w:t>commandes</w:t>
              <w:tab/>
              <w:t>57</w:t>
            </w:r>
          </w:hyperlink>
        </w:p>
        <w:p>
          <w:pPr>
            <w:pStyle w:val="TOC5"/>
            <w:numPr>
              <w:ilvl w:val="2"/>
              <w:numId w:val="2"/>
            </w:numPr>
            <w:tabs>
              <w:tab w:pos="1707" w:val="left" w:leader="none"/>
              <w:tab w:pos="9874" w:val="left" w:leader="dot"/>
            </w:tabs>
            <w:spacing w:line="240" w:lineRule="auto" w:before="0" w:after="0"/>
            <w:ind w:left="1706" w:right="0" w:hanging="614"/>
            <w:jc w:val="left"/>
          </w:pPr>
          <w:hyperlink w:history="true" w:anchor="_TOC_250076">
            <w:r>
              <w:rPr/>
              <w:t>Sous-traitance</w:t>
              <w:tab/>
              <w:t>58</w:t>
            </w:r>
          </w:hyperlink>
        </w:p>
        <w:p>
          <w:pPr>
            <w:pStyle w:val="TOC5"/>
            <w:numPr>
              <w:ilvl w:val="2"/>
              <w:numId w:val="2"/>
            </w:numPr>
            <w:tabs>
              <w:tab w:pos="1707" w:val="left" w:leader="none"/>
              <w:tab w:pos="9874" w:val="left" w:leader="dot"/>
            </w:tabs>
            <w:spacing w:line="229" w:lineRule="exact" w:before="1" w:after="0"/>
            <w:ind w:left="1706" w:right="0" w:hanging="614"/>
            <w:jc w:val="left"/>
          </w:pPr>
          <w:hyperlink w:history="true" w:anchor="_TOC_250075">
            <w:r>
              <w:rPr/>
              <w:t>Les</w:t>
            </w:r>
            <w:r>
              <w:rPr>
                <w:spacing w:val="-4"/>
              </w:rPr>
              <w:t> </w:t>
            </w:r>
            <w:r>
              <w:rPr/>
              <w:t>avenants</w:t>
              <w:tab/>
              <w:t>58</w:t>
            </w:r>
          </w:hyperlink>
        </w:p>
        <w:p>
          <w:pPr>
            <w:pStyle w:val="TOC5"/>
            <w:numPr>
              <w:ilvl w:val="2"/>
              <w:numId w:val="2"/>
            </w:numPr>
            <w:tabs>
              <w:tab w:pos="1707" w:val="left" w:leader="none"/>
              <w:tab w:pos="9874" w:val="left" w:leader="dot"/>
            </w:tabs>
            <w:spacing w:line="229" w:lineRule="exact" w:before="0" w:after="0"/>
            <w:ind w:left="1706" w:right="0" w:hanging="614"/>
            <w:jc w:val="left"/>
          </w:pPr>
          <w:hyperlink w:history="true" w:anchor="_TOC_250074">
            <w:r>
              <w:rPr/>
              <w:t>Formalités</w:t>
              <w:tab/>
              <w:t>59</w:t>
            </w:r>
          </w:hyperlink>
        </w:p>
        <w:p>
          <w:pPr>
            <w:pStyle w:val="TOC5"/>
            <w:numPr>
              <w:ilvl w:val="2"/>
              <w:numId w:val="2"/>
            </w:numPr>
            <w:tabs>
              <w:tab w:pos="1707" w:val="left" w:leader="none"/>
              <w:tab w:pos="9874" w:val="left" w:leader="dot"/>
            </w:tabs>
            <w:spacing w:line="240" w:lineRule="auto" w:before="1" w:after="0"/>
            <w:ind w:left="1706" w:right="0" w:hanging="614"/>
            <w:jc w:val="left"/>
          </w:pPr>
          <w:hyperlink w:history="true" w:anchor="_TOC_250073">
            <w:r>
              <w:rPr/>
              <w:t>Règlement définitif</w:t>
            </w:r>
            <w:r>
              <w:rPr>
                <w:spacing w:val="-9"/>
              </w:rPr>
              <w:t> </w:t>
            </w:r>
            <w:r>
              <w:rPr/>
              <w:t>des marchés</w:t>
              <w:tab/>
              <w:t>62</w:t>
            </w:r>
          </w:hyperlink>
        </w:p>
        <w:p>
          <w:pPr>
            <w:pStyle w:val="TOC3"/>
            <w:numPr>
              <w:ilvl w:val="0"/>
              <w:numId w:val="2"/>
            </w:numPr>
            <w:tabs>
              <w:tab w:pos="899" w:val="left" w:leader="none"/>
              <w:tab w:pos="9874" w:val="left" w:leader="dot"/>
            </w:tabs>
            <w:spacing w:line="240" w:lineRule="auto" w:before="5" w:after="0"/>
            <w:ind w:left="654" w:right="748" w:firstLine="0"/>
            <w:jc w:val="left"/>
          </w:pPr>
          <w:hyperlink w:history="true" w:anchor="_TOC_250072">
            <w:r>
              <w:rPr/>
              <w:t>Dispositions particulières aux achats hors marchés et marchés de prestations intellectuelles et des biens d’occasion</w:t>
            </w:r>
            <w:r>
              <w:rPr>
                <w:spacing w:val="-4"/>
              </w:rPr>
              <w:t> </w:t>
            </w:r>
            <w:r>
              <w:rPr/>
              <w:t>usagés</w:t>
              <w:tab/>
            </w:r>
            <w:r>
              <w:rPr>
                <w:spacing w:val="-8"/>
              </w:rPr>
              <w:t>64</w:t>
            </w:r>
          </w:hyperlink>
        </w:p>
        <w:p>
          <w:pPr>
            <w:pStyle w:val="TOC4"/>
            <w:numPr>
              <w:ilvl w:val="1"/>
              <w:numId w:val="2"/>
            </w:numPr>
            <w:tabs>
              <w:tab w:pos="1271" w:val="left" w:leader="none"/>
              <w:tab w:pos="9874" w:val="left" w:leader="dot"/>
            </w:tabs>
            <w:spacing w:line="225" w:lineRule="exact" w:before="0" w:after="0"/>
            <w:ind w:left="1270" w:right="0" w:hanging="397"/>
            <w:jc w:val="left"/>
          </w:pPr>
          <w:hyperlink w:history="true" w:anchor="_TOC_250071">
            <w:r>
              <w:rPr/>
              <w:t>Dispositions particulières aux achats hors marchés et marchés des biens</w:t>
            </w:r>
            <w:r>
              <w:rPr>
                <w:spacing w:val="-14"/>
              </w:rPr>
              <w:t> </w:t>
            </w:r>
            <w:r>
              <w:rPr/>
              <w:t>d’occasion</w:t>
            </w:r>
            <w:r>
              <w:rPr>
                <w:spacing w:val="-2"/>
              </w:rPr>
              <w:t> </w:t>
            </w:r>
            <w:r>
              <w:rPr/>
              <w:t>usagés</w:t>
              <w:tab/>
              <w:t>64</w:t>
            </w:r>
          </w:hyperlink>
        </w:p>
        <w:p>
          <w:pPr>
            <w:pStyle w:val="TOC4"/>
            <w:numPr>
              <w:ilvl w:val="1"/>
              <w:numId w:val="2"/>
            </w:numPr>
            <w:tabs>
              <w:tab w:pos="1271" w:val="left" w:leader="none"/>
              <w:tab w:pos="9874" w:val="left" w:leader="dot"/>
            </w:tabs>
            <w:spacing w:line="229" w:lineRule="exact" w:before="0" w:after="0"/>
            <w:ind w:left="1270" w:right="0" w:hanging="397"/>
            <w:jc w:val="left"/>
          </w:pPr>
          <w:hyperlink w:history="true" w:anchor="_TOC_250070">
            <w:r>
              <w:rPr/>
              <w:t>Dispositions particulières aux achats hors marchés et marchés de</w:t>
            </w:r>
            <w:r>
              <w:rPr>
                <w:spacing w:val="-13"/>
              </w:rPr>
              <w:t> </w:t>
            </w:r>
            <w:r>
              <w:rPr/>
              <w:t>prestations</w:t>
            </w:r>
            <w:r>
              <w:rPr>
                <w:spacing w:val="-3"/>
              </w:rPr>
              <w:t> </w:t>
            </w:r>
            <w:r>
              <w:rPr/>
              <w:t>intellectuelles</w:t>
              <w:tab/>
              <w:t>64</w:t>
            </w:r>
          </w:hyperlink>
        </w:p>
        <w:p>
          <w:pPr>
            <w:pStyle w:val="TOC5"/>
            <w:numPr>
              <w:ilvl w:val="2"/>
              <w:numId w:val="2"/>
            </w:numPr>
            <w:tabs>
              <w:tab w:pos="1633" w:val="left" w:leader="none"/>
              <w:tab w:pos="9874" w:val="left" w:leader="dot"/>
            </w:tabs>
            <w:spacing w:line="240" w:lineRule="auto" w:before="0" w:after="0"/>
            <w:ind w:left="1632" w:right="0" w:hanging="540"/>
            <w:jc w:val="left"/>
          </w:pPr>
          <w:hyperlink w:history="true" w:anchor="_TOC_250069">
            <w:r>
              <w:rPr/>
              <w:t>Modes</w:t>
            </w:r>
            <w:r>
              <w:rPr>
                <w:spacing w:val="-12"/>
              </w:rPr>
              <w:t> </w:t>
            </w:r>
            <w:r>
              <w:rPr/>
              <w:t>de</w:t>
            </w:r>
            <w:r>
              <w:rPr>
                <w:spacing w:val="-9"/>
              </w:rPr>
              <w:t> </w:t>
            </w:r>
            <w:r>
              <w:rPr/>
              <w:t>sélection</w:t>
            </w:r>
            <w:r>
              <w:rPr>
                <w:spacing w:val="-11"/>
              </w:rPr>
              <w:t> </w:t>
            </w:r>
            <w:r>
              <w:rPr/>
              <w:t>pour</w:t>
            </w:r>
            <w:r>
              <w:rPr>
                <w:spacing w:val="-8"/>
              </w:rPr>
              <w:t> </w:t>
            </w:r>
            <w:r>
              <w:rPr/>
              <w:t>prestations</w:t>
            </w:r>
            <w:r>
              <w:rPr>
                <w:spacing w:val="-10"/>
              </w:rPr>
              <w:t> </w:t>
            </w:r>
            <w:r>
              <w:rPr/>
              <w:t>intellectuelles</w:t>
              <w:tab/>
              <w:t>65</w:t>
            </w:r>
          </w:hyperlink>
        </w:p>
        <w:p>
          <w:pPr>
            <w:pStyle w:val="TOC5"/>
            <w:numPr>
              <w:ilvl w:val="2"/>
              <w:numId w:val="2"/>
            </w:numPr>
            <w:tabs>
              <w:tab w:pos="1640" w:val="left" w:leader="none"/>
              <w:tab w:pos="9874" w:val="left" w:leader="dot"/>
            </w:tabs>
            <w:spacing w:line="240" w:lineRule="auto" w:before="1" w:after="0"/>
            <w:ind w:left="1639" w:right="0" w:hanging="547"/>
            <w:jc w:val="left"/>
          </w:pPr>
          <w:hyperlink w:history="true" w:anchor="_TOC_250068">
            <w:r>
              <w:rPr/>
              <w:t>Modes de rémunération</w:t>
            </w:r>
            <w:r>
              <w:rPr>
                <w:spacing w:val="-22"/>
              </w:rPr>
              <w:t> </w:t>
            </w:r>
            <w:r>
              <w:rPr/>
              <w:t>des</w:t>
            </w:r>
            <w:r>
              <w:rPr>
                <w:spacing w:val="-7"/>
              </w:rPr>
              <w:t> </w:t>
            </w:r>
            <w:r>
              <w:rPr/>
              <w:t>consultants</w:t>
              <w:tab/>
              <w:t>69</w:t>
            </w:r>
          </w:hyperlink>
        </w:p>
        <w:p>
          <w:pPr>
            <w:pStyle w:val="TOC2"/>
            <w:tabs>
              <w:tab w:pos="9874" w:val="left" w:leader="dot"/>
            </w:tabs>
          </w:pPr>
          <w:hyperlink w:history="true" w:anchor="_TOC_250067">
            <w:r>
              <w:rPr/>
              <w:t>Chapitre 3. PROCEDURES D'ACHATS DES MATIERES PREMIERES ET DES PRODUITS DESTINÉS À ETRE VENDUS EN L'ÉTAT</w:t>
            </w:r>
            <w:r>
              <w:rPr>
                <w:spacing w:val="-8"/>
              </w:rPr>
              <w:t> </w:t>
            </w:r>
            <w:r>
              <w:rPr/>
              <w:t>OU</w:t>
            </w:r>
            <w:r>
              <w:rPr>
                <w:spacing w:val="-2"/>
              </w:rPr>
              <w:t> </w:t>
            </w:r>
            <w:r>
              <w:rPr/>
              <w:t>CONDITIONNÉS</w:t>
              <w:tab/>
            </w:r>
            <w:r>
              <w:rPr>
                <w:spacing w:val="-8"/>
              </w:rPr>
              <w:t>71</w:t>
            </w:r>
          </w:hyperlink>
        </w:p>
        <w:p>
          <w:pPr>
            <w:pStyle w:val="TOC3"/>
            <w:numPr>
              <w:ilvl w:val="0"/>
              <w:numId w:val="4"/>
            </w:numPr>
            <w:tabs>
              <w:tab w:pos="832" w:val="left" w:leader="none"/>
              <w:tab w:pos="9874" w:val="left" w:leader="dot"/>
            </w:tabs>
            <w:spacing w:line="229" w:lineRule="exact" w:before="1" w:after="0"/>
            <w:ind w:left="831" w:right="0" w:hanging="178"/>
            <w:jc w:val="left"/>
          </w:pPr>
          <w:hyperlink w:history="true" w:anchor="_TOC_250066">
            <w:r>
              <w:rPr/>
              <w:t>Détermination</w:t>
            </w:r>
            <w:r>
              <w:rPr>
                <w:spacing w:val="-3"/>
              </w:rPr>
              <w:t> </w:t>
            </w:r>
            <w:r>
              <w:rPr/>
              <w:t>des</w:t>
            </w:r>
            <w:r>
              <w:rPr>
                <w:spacing w:val="-2"/>
              </w:rPr>
              <w:t> </w:t>
            </w:r>
            <w:r>
              <w:rPr/>
              <w:t>besoins</w:t>
              <w:tab/>
              <w:t>71</w:t>
            </w:r>
          </w:hyperlink>
        </w:p>
        <w:p>
          <w:pPr>
            <w:pStyle w:val="TOC3"/>
            <w:numPr>
              <w:ilvl w:val="0"/>
              <w:numId w:val="4"/>
            </w:numPr>
            <w:tabs>
              <w:tab w:pos="909" w:val="left" w:leader="none"/>
              <w:tab w:pos="9874" w:val="left" w:leader="dot"/>
            </w:tabs>
            <w:spacing w:line="240" w:lineRule="auto" w:before="0" w:after="0"/>
            <w:ind w:left="654" w:right="748" w:firstLine="0"/>
            <w:jc w:val="left"/>
          </w:pPr>
          <w:hyperlink w:history="true" w:anchor="_TOC_250065">
            <w:r>
              <w:rPr/>
              <w:t>Modes et Procédures de passation des marchés des matières premières et des produits destinés à être vendus en l'état</w:t>
            </w:r>
            <w:r>
              <w:rPr>
                <w:spacing w:val="-5"/>
              </w:rPr>
              <w:t> </w:t>
            </w:r>
            <w:r>
              <w:rPr/>
              <w:t>ou</w:t>
            </w:r>
            <w:r>
              <w:rPr>
                <w:spacing w:val="-2"/>
              </w:rPr>
              <w:t> </w:t>
            </w:r>
            <w:r>
              <w:rPr/>
              <w:t>conditionnés</w:t>
              <w:tab/>
            </w:r>
            <w:r>
              <w:rPr>
                <w:spacing w:val="-8"/>
              </w:rPr>
              <w:t>71</w:t>
            </w:r>
          </w:hyperlink>
        </w:p>
        <w:p>
          <w:pPr>
            <w:pStyle w:val="TOC4"/>
            <w:numPr>
              <w:ilvl w:val="1"/>
              <w:numId w:val="4"/>
            </w:numPr>
            <w:tabs>
              <w:tab w:pos="1210" w:val="left" w:leader="none"/>
              <w:tab w:pos="9874" w:val="left" w:leader="dot"/>
            </w:tabs>
            <w:spacing w:line="240" w:lineRule="auto" w:before="0" w:after="0"/>
            <w:ind w:left="874" w:right="748" w:firstLine="0"/>
            <w:jc w:val="left"/>
          </w:pPr>
          <w:hyperlink w:history="true" w:anchor="_TOC_250064">
            <w:r>
              <w:rPr/>
              <w:t>Modes de passation des marchés des matières premières et des produits destinés à être vendus en l'état ou conditionnés</w:t>
              <w:tab/>
            </w:r>
            <w:r>
              <w:rPr>
                <w:spacing w:val="-8"/>
              </w:rPr>
              <w:t>71</w:t>
            </w:r>
          </w:hyperlink>
        </w:p>
        <w:p>
          <w:pPr>
            <w:pStyle w:val="TOC5"/>
            <w:numPr>
              <w:ilvl w:val="2"/>
              <w:numId w:val="4"/>
            </w:numPr>
            <w:tabs>
              <w:tab w:pos="1577" w:val="left" w:leader="none"/>
              <w:tab w:pos="9874" w:val="left" w:leader="dot"/>
            </w:tabs>
            <w:spacing w:line="240" w:lineRule="auto" w:before="0" w:after="0"/>
            <w:ind w:left="1576" w:right="0" w:hanging="484"/>
            <w:jc w:val="left"/>
          </w:pPr>
          <w:hyperlink w:history="true" w:anchor="_TOC_250063">
            <w:r>
              <w:rPr/>
              <w:t>Contrats</w:t>
            </w:r>
            <w:r>
              <w:rPr>
                <w:spacing w:val="-3"/>
              </w:rPr>
              <w:t> </w:t>
            </w:r>
            <w:r>
              <w:rPr/>
              <w:t>cadres</w:t>
              <w:tab/>
              <w:t>71</w:t>
            </w:r>
          </w:hyperlink>
        </w:p>
        <w:p>
          <w:pPr>
            <w:pStyle w:val="TOC5"/>
            <w:numPr>
              <w:ilvl w:val="2"/>
              <w:numId w:val="4"/>
            </w:numPr>
            <w:tabs>
              <w:tab w:pos="1577" w:val="left" w:leader="none"/>
              <w:tab w:pos="9874" w:val="left" w:leader="dot"/>
            </w:tabs>
            <w:spacing w:line="229" w:lineRule="exact" w:before="0" w:after="0"/>
            <w:ind w:left="1576" w:right="0" w:hanging="484"/>
            <w:jc w:val="left"/>
          </w:pPr>
          <w:hyperlink w:history="true" w:anchor="_TOC_250062">
            <w:r>
              <w:rPr/>
              <w:t>Achats</w:t>
            </w:r>
            <w:r>
              <w:rPr>
                <w:spacing w:val="-3"/>
              </w:rPr>
              <w:t> </w:t>
            </w:r>
            <w:r>
              <w:rPr/>
              <w:t>SPOTS</w:t>
              <w:tab/>
              <w:t>72</w:t>
            </w:r>
          </w:hyperlink>
        </w:p>
        <w:p>
          <w:pPr>
            <w:pStyle w:val="TOC4"/>
            <w:numPr>
              <w:ilvl w:val="1"/>
              <w:numId w:val="5"/>
            </w:numPr>
            <w:tabs>
              <w:tab w:pos="1258" w:val="left" w:leader="none"/>
              <w:tab w:pos="9874" w:val="left" w:leader="dot"/>
            </w:tabs>
            <w:spacing w:line="229" w:lineRule="exact" w:before="0" w:after="0"/>
            <w:ind w:left="1257" w:right="0" w:hanging="384"/>
            <w:jc w:val="left"/>
          </w:pPr>
          <w:hyperlink w:history="true" w:anchor="_TOC_250061">
            <w:r>
              <w:rPr/>
              <w:t>Procédures de passation des marchés de</w:t>
            </w:r>
            <w:r>
              <w:rPr>
                <w:spacing w:val="-9"/>
              </w:rPr>
              <w:t> </w:t>
            </w:r>
            <w:r>
              <w:rPr/>
              <w:t>matières</w:t>
            </w:r>
            <w:r>
              <w:rPr>
                <w:spacing w:val="-3"/>
              </w:rPr>
              <w:t> </w:t>
            </w:r>
            <w:r>
              <w:rPr/>
              <w:t>premières</w:t>
              <w:tab/>
              <w:t>72</w:t>
            </w:r>
          </w:hyperlink>
        </w:p>
        <w:p>
          <w:pPr>
            <w:pStyle w:val="TOC5"/>
            <w:numPr>
              <w:ilvl w:val="2"/>
              <w:numId w:val="5"/>
            </w:numPr>
            <w:tabs>
              <w:tab w:pos="1627" w:val="left" w:leader="none"/>
              <w:tab w:pos="9874" w:val="left" w:leader="dot"/>
            </w:tabs>
            <w:spacing w:line="240" w:lineRule="auto" w:before="0" w:after="0"/>
            <w:ind w:left="1626" w:right="0" w:hanging="534"/>
            <w:jc w:val="left"/>
          </w:pPr>
          <w:hyperlink w:history="true" w:anchor="_TOC_250060">
            <w:r>
              <w:rPr/>
              <w:t>Passation des contrats-cadres par</w:t>
            </w:r>
            <w:r>
              <w:rPr>
                <w:spacing w:val="-8"/>
              </w:rPr>
              <w:t> </w:t>
            </w:r>
            <w:r>
              <w:rPr/>
              <w:t>négociation</w:t>
            </w:r>
            <w:r>
              <w:rPr>
                <w:spacing w:val="-2"/>
              </w:rPr>
              <w:t> </w:t>
            </w:r>
            <w:r>
              <w:rPr/>
              <w:t>directe</w:t>
              <w:tab/>
              <w:t>72</w:t>
            </w:r>
          </w:hyperlink>
        </w:p>
        <w:p>
          <w:pPr>
            <w:pStyle w:val="TOC5"/>
            <w:numPr>
              <w:ilvl w:val="2"/>
              <w:numId w:val="5"/>
            </w:numPr>
            <w:tabs>
              <w:tab w:pos="1628" w:val="left" w:leader="none"/>
              <w:tab w:pos="9874" w:val="left" w:leader="dot"/>
            </w:tabs>
            <w:spacing w:line="240" w:lineRule="auto" w:before="0" w:after="0"/>
            <w:ind w:left="1627" w:right="0" w:hanging="535"/>
            <w:jc w:val="left"/>
          </w:pPr>
          <w:hyperlink w:history="true" w:anchor="_TOC_250059">
            <w:r>
              <w:rPr/>
              <w:t>Procédures de Passation des marchés ponctuels (SPOT) par</w:t>
            </w:r>
            <w:r>
              <w:rPr>
                <w:spacing w:val="-15"/>
              </w:rPr>
              <w:t> </w:t>
            </w:r>
            <w:r>
              <w:rPr/>
              <w:t>négociation</w:t>
            </w:r>
            <w:r>
              <w:rPr>
                <w:spacing w:val="-3"/>
              </w:rPr>
              <w:t> </w:t>
            </w:r>
            <w:r>
              <w:rPr/>
              <w:t>directe</w:t>
              <w:tab/>
              <w:t>75</w:t>
            </w:r>
          </w:hyperlink>
        </w:p>
        <w:p>
          <w:pPr>
            <w:pStyle w:val="TOC4"/>
            <w:numPr>
              <w:ilvl w:val="1"/>
              <w:numId w:val="5"/>
            </w:numPr>
            <w:tabs>
              <w:tab w:pos="1260" w:val="left" w:leader="none"/>
              <w:tab w:pos="9874" w:val="left" w:leader="dot"/>
            </w:tabs>
            <w:spacing w:line="240" w:lineRule="auto" w:before="0" w:after="0"/>
            <w:ind w:left="874" w:right="748" w:firstLine="0"/>
            <w:jc w:val="left"/>
          </w:pPr>
          <w:hyperlink w:history="true" w:anchor="_TOC_250058">
            <w:r>
              <w:rPr/>
              <w:t>Mode et Procédures de passation des marchés spécifiques d'acide sulfurique et des produits destinés à être vendus en l'état</w:t>
            </w:r>
            <w:r>
              <w:rPr>
                <w:spacing w:val="-7"/>
              </w:rPr>
              <w:t> </w:t>
            </w:r>
            <w:r>
              <w:rPr/>
              <w:t>ou</w:t>
            </w:r>
            <w:r>
              <w:rPr>
                <w:spacing w:val="-2"/>
              </w:rPr>
              <w:t> </w:t>
            </w:r>
            <w:r>
              <w:rPr/>
              <w:t>conditionnés</w:t>
              <w:tab/>
            </w:r>
            <w:r>
              <w:rPr>
                <w:spacing w:val="-8"/>
              </w:rPr>
              <w:t>77</w:t>
            </w:r>
          </w:hyperlink>
        </w:p>
        <w:p>
          <w:pPr>
            <w:pStyle w:val="TOC5"/>
            <w:numPr>
              <w:ilvl w:val="2"/>
              <w:numId w:val="5"/>
            </w:numPr>
            <w:tabs>
              <w:tab w:pos="1627" w:val="left" w:leader="none"/>
              <w:tab w:pos="9874" w:val="left" w:leader="dot"/>
            </w:tabs>
            <w:spacing w:line="229" w:lineRule="exact" w:before="0" w:after="0"/>
            <w:ind w:left="1626" w:right="0" w:hanging="534"/>
            <w:jc w:val="left"/>
          </w:pPr>
          <w:hyperlink w:history="true" w:anchor="_TOC_250057">
            <w:r>
              <w:rPr/>
              <w:t>Elaboration des cahiers</w:t>
            </w:r>
            <w:r>
              <w:rPr>
                <w:spacing w:val="-7"/>
              </w:rPr>
              <w:t> </w:t>
            </w:r>
            <w:r>
              <w:rPr/>
              <w:t>des</w:t>
            </w:r>
            <w:r>
              <w:rPr>
                <w:spacing w:val="-3"/>
              </w:rPr>
              <w:t> </w:t>
            </w:r>
            <w:r>
              <w:rPr/>
              <w:t>charges</w:t>
              <w:tab/>
              <w:t>77</w:t>
            </w:r>
          </w:hyperlink>
        </w:p>
        <w:p>
          <w:pPr>
            <w:pStyle w:val="TOC5"/>
            <w:numPr>
              <w:ilvl w:val="2"/>
              <w:numId w:val="5"/>
            </w:numPr>
            <w:tabs>
              <w:tab w:pos="1627" w:val="left" w:leader="none"/>
              <w:tab w:pos="9874" w:val="left" w:leader="dot"/>
            </w:tabs>
            <w:spacing w:line="229" w:lineRule="exact" w:before="0" w:after="0"/>
            <w:ind w:left="1626" w:right="0" w:hanging="534"/>
            <w:jc w:val="left"/>
          </w:pPr>
          <w:hyperlink w:history="true" w:anchor="_TOC_250056">
            <w:r>
              <w:rPr/>
              <w:t>Passation des</w:t>
            </w:r>
            <w:r>
              <w:rPr>
                <w:spacing w:val="-5"/>
              </w:rPr>
              <w:t> </w:t>
            </w:r>
            <w:r>
              <w:rPr/>
              <w:t>marchés</w:t>
            </w:r>
            <w:r>
              <w:rPr>
                <w:spacing w:val="-1"/>
              </w:rPr>
              <w:t> </w:t>
            </w:r>
            <w:r>
              <w:rPr/>
              <w:t>spécifiques</w:t>
              <w:tab/>
              <w:t>77</w:t>
            </w:r>
          </w:hyperlink>
        </w:p>
        <w:p>
          <w:pPr>
            <w:pStyle w:val="TOC5"/>
            <w:numPr>
              <w:ilvl w:val="2"/>
              <w:numId w:val="5"/>
            </w:numPr>
            <w:tabs>
              <w:tab w:pos="1628" w:val="left" w:leader="none"/>
              <w:tab w:pos="9874" w:val="left" w:leader="dot"/>
            </w:tabs>
            <w:spacing w:line="240" w:lineRule="auto" w:before="0" w:after="0"/>
            <w:ind w:left="1628" w:right="0" w:hanging="535"/>
            <w:jc w:val="left"/>
          </w:pPr>
          <w:hyperlink w:history="true" w:anchor="_TOC_250055">
            <w:r>
              <w:rPr/>
              <w:t>Etablissement</w:t>
            </w:r>
            <w:r>
              <w:rPr>
                <w:spacing w:val="-3"/>
              </w:rPr>
              <w:t> </w:t>
            </w:r>
            <w:r>
              <w:rPr/>
              <w:t>du</w:t>
            </w:r>
            <w:r>
              <w:rPr>
                <w:spacing w:val="-3"/>
              </w:rPr>
              <w:t> </w:t>
            </w:r>
            <w:r>
              <w:rPr/>
              <w:t>contrat</w:t>
              <w:tab/>
              <w:t>79</w:t>
            </w:r>
          </w:hyperlink>
        </w:p>
        <w:p>
          <w:pPr>
            <w:pStyle w:val="TOC1"/>
            <w:tabs>
              <w:tab w:pos="9874" w:val="left" w:leader="dot"/>
            </w:tabs>
            <w:spacing w:before="4"/>
          </w:pPr>
          <w:hyperlink w:history="true" w:anchor="_TOC_250054">
            <w:r>
              <w:rPr/>
              <w:t>Chapitre 4. PROCEDURES D'ACHAT DES SERVICES D'AFFRETEMENT</w:t>
            </w:r>
            <w:r>
              <w:rPr>
                <w:spacing w:val="-13"/>
              </w:rPr>
              <w:t> </w:t>
            </w:r>
            <w:r>
              <w:rPr/>
              <w:t>DES</w:t>
            </w:r>
            <w:r>
              <w:rPr>
                <w:spacing w:val="4"/>
              </w:rPr>
              <w:t> </w:t>
            </w:r>
            <w:r>
              <w:rPr/>
              <w:t>NAVIRES</w:t>
              <w:tab/>
              <w:t>81</w:t>
            </w:r>
          </w:hyperlink>
        </w:p>
        <w:p>
          <w:pPr>
            <w:pStyle w:val="TOC3"/>
            <w:tabs>
              <w:tab w:pos="9874" w:val="left" w:leader="dot"/>
            </w:tabs>
            <w:spacing w:before="1"/>
          </w:pPr>
          <w:hyperlink w:history="true" w:anchor="_TOC_250053">
            <w:r>
              <w:rPr/>
              <w:t>I. Déclenchement de</w:t>
            </w:r>
            <w:r>
              <w:rPr>
                <w:spacing w:val="-12"/>
              </w:rPr>
              <w:t> </w:t>
            </w:r>
            <w:r>
              <w:rPr/>
              <w:t>l'opération</w:t>
            </w:r>
            <w:r>
              <w:rPr>
                <w:spacing w:val="-5"/>
              </w:rPr>
              <w:t> </w:t>
            </w:r>
            <w:r>
              <w:rPr/>
              <w:t>d’affrètement</w:t>
              <w:tab/>
              <w:t>81</w:t>
            </w:r>
          </w:hyperlink>
        </w:p>
        <w:p>
          <w:pPr>
            <w:pStyle w:val="TOC3"/>
            <w:tabs>
              <w:tab w:pos="9874" w:val="left" w:leader="dot"/>
            </w:tabs>
            <w:spacing w:line="229" w:lineRule="exact"/>
          </w:pPr>
          <w:hyperlink w:history="true" w:anchor="_TOC_250052">
            <w:r>
              <w:rPr/>
              <w:t>II Établissement des termes</w:t>
            </w:r>
            <w:r>
              <w:rPr>
                <w:spacing w:val="-7"/>
              </w:rPr>
              <w:t> </w:t>
            </w:r>
            <w:r>
              <w:rPr/>
              <w:t>de</w:t>
            </w:r>
            <w:r>
              <w:rPr>
                <w:spacing w:val="-1"/>
              </w:rPr>
              <w:t> </w:t>
            </w:r>
            <w:r>
              <w:rPr/>
              <w:t>référence</w:t>
              <w:tab/>
              <w:t>81</w:t>
            </w:r>
          </w:hyperlink>
        </w:p>
        <w:p>
          <w:pPr>
            <w:pStyle w:val="TOC3"/>
            <w:numPr>
              <w:ilvl w:val="0"/>
              <w:numId w:val="6"/>
            </w:numPr>
            <w:tabs>
              <w:tab w:pos="986" w:val="left" w:leader="none"/>
              <w:tab w:pos="9874" w:val="left" w:leader="dot"/>
            </w:tabs>
            <w:spacing w:line="229" w:lineRule="exact" w:before="0" w:after="0"/>
            <w:ind w:left="985" w:right="0" w:hanging="332"/>
            <w:jc w:val="left"/>
          </w:pPr>
          <w:hyperlink w:history="true" w:anchor="_TOC_250051">
            <w:r>
              <w:rPr/>
              <w:t>Préparation du</w:t>
            </w:r>
            <w:r>
              <w:rPr>
                <w:spacing w:val="-9"/>
              </w:rPr>
              <w:t> </w:t>
            </w:r>
            <w:r>
              <w:rPr/>
              <w:t>dossier</w:t>
            </w:r>
            <w:r>
              <w:rPr>
                <w:spacing w:val="-3"/>
              </w:rPr>
              <w:t> </w:t>
            </w:r>
            <w:r>
              <w:rPr/>
              <w:t>d’affrètement</w:t>
              <w:tab/>
              <w:t>81</w:t>
            </w:r>
          </w:hyperlink>
        </w:p>
        <w:p>
          <w:pPr>
            <w:pStyle w:val="TOC3"/>
            <w:numPr>
              <w:ilvl w:val="0"/>
              <w:numId w:val="6"/>
            </w:numPr>
            <w:tabs>
              <w:tab w:pos="976" w:val="left" w:leader="none"/>
              <w:tab w:pos="9874" w:val="left" w:leader="dot"/>
            </w:tabs>
            <w:spacing w:line="228" w:lineRule="exact" w:before="0" w:after="0"/>
            <w:ind w:left="975" w:right="0" w:hanging="322"/>
            <w:jc w:val="left"/>
          </w:pPr>
          <w:hyperlink w:history="true" w:anchor="_TOC_250050">
            <w:r>
              <w:rPr/>
              <w:t>Procédure de passation des Achats d’affrètement</w:t>
            </w:r>
            <w:r>
              <w:rPr>
                <w:spacing w:val="-25"/>
              </w:rPr>
              <w:t> </w:t>
            </w:r>
            <w:r>
              <w:rPr/>
              <w:t>hors</w:t>
            </w:r>
            <w:r>
              <w:rPr>
                <w:spacing w:val="-2"/>
              </w:rPr>
              <w:t> </w:t>
            </w:r>
            <w:r>
              <w:rPr/>
              <w:t>marchés</w:t>
              <w:tab/>
              <w:t>82</w:t>
            </w:r>
          </w:hyperlink>
        </w:p>
        <w:p>
          <w:pPr>
            <w:pStyle w:val="TOC4"/>
            <w:numPr>
              <w:ilvl w:val="1"/>
              <w:numId w:val="6"/>
            </w:numPr>
            <w:tabs>
              <w:tab w:pos="1338" w:val="left" w:leader="none"/>
              <w:tab w:pos="9874" w:val="left" w:leader="dot"/>
            </w:tabs>
            <w:spacing w:line="228" w:lineRule="exact" w:before="0" w:after="0"/>
            <w:ind w:left="1337" w:right="0" w:hanging="464"/>
            <w:jc w:val="left"/>
          </w:pPr>
          <w:hyperlink w:history="true" w:anchor="_TOC_250049">
            <w:r>
              <w:rPr/>
              <w:t>Choix du mode</w:t>
            </w:r>
            <w:r>
              <w:rPr>
                <w:spacing w:val="-4"/>
              </w:rPr>
              <w:t> </w:t>
            </w:r>
            <w:r>
              <w:rPr/>
              <w:t>de</w:t>
            </w:r>
            <w:r>
              <w:rPr>
                <w:spacing w:val="-1"/>
              </w:rPr>
              <w:t> </w:t>
            </w:r>
            <w:r>
              <w:rPr/>
              <w:t>passation</w:t>
              <w:tab/>
              <w:t>82</w:t>
            </w:r>
          </w:hyperlink>
        </w:p>
        <w:p>
          <w:pPr>
            <w:pStyle w:val="TOC4"/>
            <w:numPr>
              <w:ilvl w:val="1"/>
              <w:numId w:val="7"/>
            </w:numPr>
            <w:tabs>
              <w:tab w:pos="1287" w:val="left" w:leader="none"/>
              <w:tab w:pos="9874" w:val="left" w:leader="dot"/>
            </w:tabs>
            <w:spacing w:line="240" w:lineRule="auto" w:before="1" w:after="0"/>
            <w:ind w:left="874" w:right="748" w:firstLine="0"/>
            <w:jc w:val="left"/>
          </w:pPr>
          <w:hyperlink w:history="true" w:anchor="_TOC_250048">
            <w:r>
              <w:rPr/>
              <w:t>Procédure de passation des achats d’affrètement hors marchés par voie d’Appel d’Offres mixte (via TUNEPS et hors TUNEPS à</w:t>
            </w:r>
            <w:r>
              <w:rPr>
                <w:spacing w:val="-6"/>
              </w:rPr>
              <w:t> </w:t>
            </w:r>
            <w:r>
              <w:rPr/>
              <w:t>la</w:t>
            </w:r>
            <w:r>
              <w:rPr>
                <w:spacing w:val="-1"/>
              </w:rPr>
              <w:t> </w:t>
            </w:r>
            <w:r>
              <w:rPr/>
              <w:t>fois)</w:t>
              <w:tab/>
            </w:r>
            <w:r>
              <w:rPr>
                <w:spacing w:val="-8"/>
              </w:rPr>
              <w:t>82</w:t>
            </w:r>
          </w:hyperlink>
        </w:p>
        <w:p>
          <w:pPr>
            <w:pStyle w:val="TOC5"/>
            <w:numPr>
              <w:ilvl w:val="2"/>
              <w:numId w:val="7"/>
            </w:numPr>
            <w:tabs>
              <w:tab w:pos="1707" w:val="left" w:leader="none"/>
              <w:tab w:pos="9874" w:val="left" w:leader="dot"/>
            </w:tabs>
            <w:spacing w:line="229" w:lineRule="exact" w:before="1" w:after="0"/>
            <w:ind w:left="1706" w:right="0" w:hanging="614"/>
            <w:jc w:val="left"/>
          </w:pPr>
          <w:hyperlink w:history="true" w:anchor="_TOC_250047">
            <w:r>
              <w:rPr/>
              <w:t>Lancement de</w:t>
            </w:r>
            <w:r>
              <w:rPr>
                <w:spacing w:val="-7"/>
              </w:rPr>
              <w:t> </w:t>
            </w:r>
            <w:r>
              <w:rPr/>
              <w:t>l’appel</w:t>
            </w:r>
            <w:r>
              <w:rPr>
                <w:spacing w:val="-2"/>
              </w:rPr>
              <w:t> </w:t>
            </w:r>
            <w:r>
              <w:rPr/>
              <w:t>d’offres</w:t>
              <w:tab/>
              <w:t>82</w:t>
            </w:r>
          </w:hyperlink>
        </w:p>
        <w:p>
          <w:pPr>
            <w:pStyle w:val="TOC5"/>
            <w:numPr>
              <w:ilvl w:val="2"/>
              <w:numId w:val="7"/>
            </w:numPr>
            <w:tabs>
              <w:tab w:pos="1707" w:val="left" w:leader="none"/>
              <w:tab w:pos="9874" w:val="left" w:leader="dot"/>
            </w:tabs>
            <w:spacing w:line="229" w:lineRule="exact" w:before="0" w:after="0"/>
            <w:ind w:left="1706" w:right="0" w:hanging="614"/>
            <w:jc w:val="left"/>
          </w:pPr>
          <w:hyperlink w:history="true" w:anchor="_TOC_250046">
            <w:r>
              <w:rPr/>
              <w:t>Réception</w:t>
            </w:r>
            <w:r>
              <w:rPr>
                <w:spacing w:val="-3"/>
              </w:rPr>
              <w:t> </w:t>
            </w:r>
            <w:r>
              <w:rPr/>
              <w:t>des</w:t>
            </w:r>
            <w:r>
              <w:rPr>
                <w:spacing w:val="-3"/>
              </w:rPr>
              <w:t> </w:t>
            </w:r>
            <w:r>
              <w:rPr/>
              <w:t>offres</w:t>
              <w:tab/>
              <w:t>83</w:t>
            </w:r>
          </w:hyperlink>
        </w:p>
        <w:p>
          <w:pPr>
            <w:pStyle w:val="TOC5"/>
            <w:numPr>
              <w:ilvl w:val="2"/>
              <w:numId w:val="7"/>
            </w:numPr>
            <w:tabs>
              <w:tab w:pos="1707" w:val="left" w:leader="none"/>
              <w:tab w:pos="9874" w:val="left" w:leader="dot"/>
            </w:tabs>
            <w:spacing w:line="240" w:lineRule="auto" w:before="0" w:after="0"/>
            <w:ind w:left="1706" w:right="0" w:hanging="614"/>
            <w:jc w:val="left"/>
          </w:pPr>
          <w:hyperlink w:history="true" w:anchor="_TOC_250045">
            <w:r>
              <w:rPr/>
              <w:t>Ouverture</w:t>
            </w:r>
            <w:r>
              <w:rPr>
                <w:spacing w:val="-3"/>
              </w:rPr>
              <w:t> </w:t>
            </w:r>
            <w:r>
              <w:rPr/>
              <w:t>des</w:t>
            </w:r>
            <w:r>
              <w:rPr>
                <w:spacing w:val="-3"/>
              </w:rPr>
              <w:t> </w:t>
            </w:r>
            <w:r>
              <w:rPr/>
              <w:t>offres</w:t>
              <w:tab/>
              <w:t>84</w:t>
            </w:r>
          </w:hyperlink>
        </w:p>
        <w:p>
          <w:pPr>
            <w:pStyle w:val="TOC5"/>
            <w:numPr>
              <w:ilvl w:val="2"/>
              <w:numId w:val="7"/>
            </w:numPr>
            <w:tabs>
              <w:tab w:pos="1707" w:val="left" w:leader="none"/>
              <w:tab w:pos="9874" w:val="left" w:leader="dot"/>
            </w:tabs>
            <w:spacing w:line="240" w:lineRule="auto" w:before="0" w:after="0"/>
            <w:ind w:left="1706" w:right="0" w:hanging="614"/>
            <w:jc w:val="left"/>
          </w:pPr>
          <w:hyperlink w:history="true" w:anchor="_TOC_250044">
            <w:r>
              <w:rPr/>
              <w:t>Évaluation</w:t>
            </w:r>
            <w:r>
              <w:rPr>
                <w:spacing w:val="-3"/>
              </w:rPr>
              <w:t> </w:t>
            </w:r>
            <w:r>
              <w:rPr/>
              <w:t>des</w:t>
            </w:r>
            <w:r>
              <w:rPr>
                <w:spacing w:val="-3"/>
              </w:rPr>
              <w:t> </w:t>
            </w:r>
            <w:r>
              <w:rPr/>
              <w:t>offres</w:t>
              <w:tab/>
              <w:t>85</w:t>
            </w:r>
          </w:hyperlink>
        </w:p>
        <w:p>
          <w:pPr>
            <w:pStyle w:val="TOC5"/>
            <w:numPr>
              <w:ilvl w:val="2"/>
              <w:numId w:val="7"/>
            </w:numPr>
            <w:tabs>
              <w:tab w:pos="1707" w:val="left" w:leader="none"/>
              <w:tab w:pos="9874" w:val="left" w:leader="dot"/>
            </w:tabs>
            <w:spacing w:line="240" w:lineRule="auto" w:before="1" w:after="0"/>
            <w:ind w:left="1706" w:right="0" w:hanging="614"/>
            <w:jc w:val="left"/>
          </w:pPr>
          <w:hyperlink w:history="true" w:anchor="_TOC_250043">
            <w:r>
              <w:rPr/>
              <w:t>Avis de la Commission</w:t>
            </w:r>
            <w:r>
              <w:rPr>
                <w:spacing w:val="-11"/>
              </w:rPr>
              <w:t> </w:t>
            </w:r>
            <w:r>
              <w:rPr/>
              <w:t>des</w:t>
            </w:r>
            <w:r>
              <w:rPr>
                <w:spacing w:val="-3"/>
              </w:rPr>
              <w:t> </w:t>
            </w:r>
            <w:r>
              <w:rPr/>
              <w:t>affrètements</w:t>
              <w:tab/>
              <w:t>85</w:t>
            </w:r>
          </w:hyperlink>
        </w:p>
        <w:p>
          <w:pPr>
            <w:pStyle w:val="TOC5"/>
            <w:numPr>
              <w:ilvl w:val="2"/>
              <w:numId w:val="7"/>
            </w:numPr>
            <w:tabs>
              <w:tab w:pos="1707" w:val="left" w:leader="none"/>
              <w:tab w:pos="9874" w:val="left" w:leader="dot"/>
            </w:tabs>
            <w:spacing w:line="240" w:lineRule="auto" w:before="0" w:after="0"/>
            <w:ind w:left="1706" w:right="0" w:hanging="614"/>
            <w:jc w:val="left"/>
          </w:pPr>
          <w:hyperlink w:history="true" w:anchor="_TOC_250042">
            <w:r>
              <w:rPr/>
              <w:t>Confirmation</w:t>
            </w:r>
            <w:r>
              <w:rPr>
                <w:spacing w:val="-5"/>
              </w:rPr>
              <w:t> </w:t>
            </w:r>
            <w:r>
              <w:rPr/>
              <w:t>de</w:t>
            </w:r>
            <w:r>
              <w:rPr>
                <w:spacing w:val="-3"/>
              </w:rPr>
              <w:t> </w:t>
            </w:r>
            <w:r>
              <w:rPr/>
              <w:t>l’affrètement</w:t>
              <w:tab/>
              <w:t>85</w:t>
            </w:r>
          </w:hyperlink>
        </w:p>
        <w:p>
          <w:pPr>
            <w:pStyle w:val="TOC4"/>
            <w:numPr>
              <w:ilvl w:val="1"/>
              <w:numId w:val="7"/>
            </w:numPr>
            <w:tabs>
              <w:tab w:pos="1287" w:val="left" w:leader="none"/>
              <w:tab w:pos="9874" w:val="left" w:leader="dot"/>
            </w:tabs>
            <w:spacing w:line="229" w:lineRule="exact" w:before="1" w:after="0"/>
            <w:ind w:left="1286" w:right="0" w:hanging="413"/>
            <w:jc w:val="left"/>
          </w:pPr>
          <w:hyperlink w:history="true" w:anchor="_TOC_250041">
            <w:r>
              <w:rPr/>
              <w:t>Procédure de passation des achats d’affrètement par voie de</w:t>
            </w:r>
            <w:r>
              <w:rPr>
                <w:spacing w:val="-24"/>
              </w:rPr>
              <w:t> </w:t>
            </w:r>
            <w:r>
              <w:rPr/>
              <w:t>consultation</w:t>
            </w:r>
            <w:r>
              <w:rPr>
                <w:spacing w:val="-3"/>
              </w:rPr>
              <w:t> </w:t>
            </w:r>
            <w:r>
              <w:rPr/>
              <w:t>restreinte</w:t>
              <w:tab/>
              <w:t>86</w:t>
            </w:r>
          </w:hyperlink>
        </w:p>
        <w:p>
          <w:pPr>
            <w:pStyle w:val="TOC4"/>
            <w:numPr>
              <w:ilvl w:val="1"/>
              <w:numId w:val="7"/>
            </w:numPr>
            <w:tabs>
              <w:tab w:pos="1287" w:val="left" w:leader="none"/>
              <w:tab w:pos="9874" w:val="left" w:leader="dot"/>
            </w:tabs>
            <w:spacing w:line="229" w:lineRule="exact" w:before="0" w:after="0"/>
            <w:ind w:left="1286" w:right="0" w:hanging="413"/>
            <w:jc w:val="left"/>
          </w:pPr>
          <w:hyperlink w:history="true" w:anchor="_TOC_250040">
            <w:r>
              <w:rPr/>
              <w:t>Procédure de passation des achats d’affrètement hors marchés en cas de non-utilisation</w:t>
            </w:r>
            <w:r>
              <w:rPr>
                <w:spacing w:val="-22"/>
              </w:rPr>
              <w:t> </w:t>
            </w:r>
            <w:r>
              <w:rPr/>
              <w:t>de</w:t>
            </w:r>
            <w:r>
              <w:rPr>
                <w:spacing w:val="-1"/>
              </w:rPr>
              <w:t> </w:t>
            </w:r>
            <w:r>
              <w:rPr/>
              <w:t>TUNEPS</w:t>
              <w:tab/>
              <w:t>87</w:t>
            </w:r>
          </w:hyperlink>
        </w:p>
        <w:p>
          <w:pPr>
            <w:pStyle w:val="TOC4"/>
            <w:numPr>
              <w:ilvl w:val="1"/>
              <w:numId w:val="7"/>
            </w:numPr>
            <w:tabs>
              <w:tab w:pos="1287" w:val="left" w:leader="none"/>
              <w:tab w:pos="9874" w:val="left" w:leader="dot"/>
            </w:tabs>
            <w:spacing w:line="240" w:lineRule="auto" w:before="0" w:after="0"/>
            <w:ind w:left="1286" w:right="0" w:hanging="413"/>
            <w:jc w:val="left"/>
          </w:pPr>
          <w:hyperlink w:history="true" w:anchor="_TOC_250039">
            <w:r>
              <w:rPr/>
              <w:t>Procédure de passation des achats d’affrètement hors marchés par voie de</w:t>
            </w:r>
            <w:r>
              <w:rPr>
                <w:spacing w:val="-24"/>
              </w:rPr>
              <w:t> </w:t>
            </w:r>
            <w:r>
              <w:rPr/>
              <w:t>négociation</w:t>
            </w:r>
            <w:r>
              <w:rPr>
                <w:spacing w:val="-1"/>
              </w:rPr>
              <w:t> </w:t>
            </w:r>
            <w:r>
              <w:rPr/>
              <w:t>directe</w:t>
              <w:tab/>
              <w:t>87</w:t>
            </w:r>
          </w:hyperlink>
        </w:p>
        <w:p>
          <w:pPr>
            <w:pStyle w:val="TOC3"/>
            <w:numPr>
              <w:ilvl w:val="0"/>
              <w:numId w:val="6"/>
            </w:numPr>
            <w:tabs>
              <w:tab w:pos="899" w:val="left" w:leader="none"/>
              <w:tab w:pos="9874" w:val="left" w:leader="dot"/>
            </w:tabs>
            <w:spacing w:line="240" w:lineRule="auto" w:before="6" w:after="0"/>
            <w:ind w:left="898" w:right="0" w:hanging="245"/>
            <w:jc w:val="left"/>
          </w:pPr>
          <w:hyperlink w:history="true" w:anchor="_TOC_250038">
            <w:r>
              <w:rPr/>
              <w:t>Procédure de passation des</w:t>
            </w:r>
            <w:r>
              <w:rPr>
                <w:spacing w:val="-15"/>
              </w:rPr>
              <w:t> </w:t>
            </w:r>
            <w:r>
              <w:rPr/>
              <w:t>marchés</w:t>
            </w:r>
            <w:r>
              <w:rPr>
                <w:spacing w:val="-5"/>
              </w:rPr>
              <w:t> </w:t>
            </w:r>
            <w:r>
              <w:rPr/>
              <w:t>d’affrètement</w:t>
              <w:tab/>
              <w:t>88</w:t>
            </w:r>
          </w:hyperlink>
        </w:p>
        <w:p>
          <w:pPr>
            <w:pStyle w:val="TOC1"/>
            <w:tabs>
              <w:tab w:pos="9874" w:val="left" w:leader="dot"/>
            </w:tabs>
          </w:pPr>
          <w:hyperlink w:history="true" w:anchor="_TOC_250037">
            <w:r>
              <w:rPr/>
              <w:t>Chapitre 5. GOUVERNANCE DES ACHATS</w:t>
            </w:r>
            <w:r>
              <w:rPr>
                <w:spacing w:val="-12"/>
              </w:rPr>
              <w:t> </w:t>
            </w:r>
            <w:r>
              <w:rPr/>
              <w:t>DU GCT</w:t>
              <w:tab/>
              <w:t>89</w:t>
            </w:r>
          </w:hyperlink>
        </w:p>
        <w:p>
          <w:pPr>
            <w:pStyle w:val="TOC3"/>
            <w:numPr>
              <w:ilvl w:val="0"/>
              <w:numId w:val="8"/>
            </w:numPr>
            <w:tabs>
              <w:tab w:pos="832" w:val="left" w:leader="none"/>
              <w:tab w:pos="9874" w:val="left" w:leader="dot"/>
            </w:tabs>
            <w:spacing w:line="227" w:lineRule="exact" w:before="1" w:after="0"/>
            <w:ind w:left="831" w:right="0" w:hanging="178"/>
            <w:jc w:val="left"/>
          </w:pPr>
          <w:hyperlink w:history="true" w:anchor="_TOC_250036">
            <w:r>
              <w:rPr/>
              <w:t>Système de contrôle des achats</w:t>
            </w:r>
            <w:r>
              <w:rPr>
                <w:spacing w:val="-7"/>
              </w:rPr>
              <w:t> </w:t>
            </w:r>
            <w:r>
              <w:rPr/>
              <w:t>du</w:t>
            </w:r>
            <w:r>
              <w:rPr>
                <w:spacing w:val="-2"/>
              </w:rPr>
              <w:t> </w:t>
            </w:r>
            <w:r>
              <w:rPr/>
              <w:t>GCT</w:t>
              <w:tab/>
              <w:t>89</w:t>
            </w:r>
          </w:hyperlink>
        </w:p>
        <w:p>
          <w:pPr>
            <w:pStyle w:val="TOC4"/>
            <w:numPr>
              <w:ilvl w:val="1"/>
              <w:numId w:val="8"/>
            </w:numPr>
            <w:tabs>
              <w:tab w:pos="1193" w:val="left" w:leader="none"/>
              <w:tab w:pos="9874" w:val="left" w:leader="dot"/>
            </w:tabs>
            <w:spacing w:line="227" w:lineRule="exact" w:before="0" w:after="0"/>
            <w:ind w:left="1193" w:right="0" w:hanging="319"/>
            <w:jc w:val="left"/>
          </w:pPr>
          <w:hyperlink w:history="true" w:anchor="_TOC_250035">
            <w:r>
              <w:rPr/>
              <w:t>Les commissions de contrôles des achats hors marchés et</w:t>
            </w:r>
            <w:r>
              <w:rPr>
                <w:spacing w:val="-21"/>
              </w:rPr>
              <w:t> </w:t>
            </w:r>
            <w:r>
              <w:rPr/>
              <w:t>des marchés</w:t>
              <w:tab/>
              <w:t>89</w:t>
            </w:r>
          </w:hyperlink>
        </w:p>
        <w:p>
          <w:pPr>
            <w:pStyle w:val="TOC4"/>
            <w:numPr>
              <w:ilvl w:val="1"/>
              <w:numId w:val="8"/>
            </w:numPr>
            <w:tabs>
              <w:tab w:pos="1193" w:val="left" w:leader="none"/>
              <w:tab w:pos="9874" w:val="left" w:leader="dot"/>
            </w:tabs>
            <w:spacing w:line="240" w:lineRule="auto" w:before="0" w:after="0"/>
            <w:ind w:left="1193" w:right="0" w:hanging="319"/>
            <w:jc w:val="left"/>
          </w:pPr>
          <w:hyperlink w:history="true" w:anchor="_TOC_250034">
            <w:r>
              <w:rPr/>
              <w:t>L’audit</w:t>
            </w:r>
            <w:r>
              <w:rPr>
                <w:spacing w:val="-5"/>
              </w:rPr>
              <w:t> </w:t>
            </w:r>
            <w:r>
              <w:rPr/>
              <w:t>interne</w:t>
              <w:tab/>
              <w:t>89</w:t>
            </w:r>
          </w:hyperlink>
        </w:p>
        <w:p>
          <w:pPr>
            <w:pStyle w:val="TOC4"/>
            <w:numPr>
              <w:ilvl w:val="1"/>
              <w:numId w:val="8"/>
            </w:numPr>
            <w:tabs>
              <w:tab w:pos="1193" w:val="left" w:leader="none"/>
              <w:tab w:pos="9874" w:val="left" w:leader="dot"/>
            </w:tabs>
            <w:spacing w:line="240" w:lineRule="auto" w:before="0" w:after="20"/>
            <w:ind w:left="1193" w:right="0" w:hanging="319"/>
            <w:jc w:val="left"/>
          </w:pPr>
          <w:hyperlink w:history="true" w:anchor="_TOC_250033">
            <w:r>
              <w:rPr/>
              <w:t>L’inspection</w:t>
              <w:tab/>
              <w:t>89</w:t>
            </w:r>
          </w:hyperlink>
        </w:p>
        <w:p>
          <w:pPr>
            <w:pStyle w:val="TOC4"/>
            <w:numPr>
              <w:ilvl w:val="1"/>
              <w:numId w:val="8"/>
            </w:numPr>
            <w:tabs>
              <w:tab w:pos="1193" w:val="left" w:leader="none"/>
              <w:tab w:pos="9874" w:val="left" w:leader="dot"/>
            </w:tabs>
            <w:spacing w:line="240" w:lineRule="auto" w:before="276" w:after="0"/>
            <w:ind w:left="1193" w:right="0" w:hanging="319"/>
            <w:jc w:val="left"/>
          </w:pPr>
          <w:hyperlink w:history="true" w:anchor="_TOC_250032">
            <w:r>
              <w:rPr/>
              <w:t>Le</w:t>
            </w:r>
            <w:r>
              <w:rPr>
                <w:spacing w:val="-3"/>
              </w:rPr>
              <w:t> </w:t>
            </w:r>
            <w:r>
              <w:rPr/>
              <w:t>contrôleur</w:t>
            </w:r>
            <w:r>
              <w:rPr>
                <w:spacing w:val="-3"/>
              </w:rPr>
              <w:t> </w:t>
            </w:r>
            <w:r>
              <w:rPr/>
              <w:t>d'état</w:t>
              <w:tab/>
              <w:t>89</w:t>
            </w:r>
          </w:hyperlink>
        </w:p>
        <w:p>
          <w:pPr>
            <w:pStyle w:val="TOC3"/>
            <w:numPr>
              <w:ilvl w:val="0"/>
              <w:numId w:val="8"/>
            </w:numPr>
            <w:tabs>
              <w:tab w:pos="909" w:val="left" w:leader="none"/>
              <w:tab w:pos="9874" w:val="left" w:leader="dot"/>
            </w:tabs>
            <w:spacing w:line="240" w:lineRule="auto" w:before="5" w:after="0"/>
            <w:ind w:left="908" w:right="0" w:hanging="255"/>
            <w:jc w:val="left"/>
          </w:pPr>
          <w:hyperlink w:history="true" w:anchor="_TOC_250031">
            <w:r>
              <w:rPr/>
              <w:t>Intégrité</w:t>
              <w:tab/>
              <w:t>90</w:t>
            </w:r>
          </w:hyperlink>
        </w:p>
        <w:p>
          <w:pPr>
            <w:pStyle w:val="TOC3"/>
            <w:numPr>
              <w:ilvl w:val="0"/>
              <w:numId w:val="8"/>
            </w:numPr>
            <w:tabs>
              <w:tab w:pos="986" w:val="left" w:leader="none"/>
              <w:tab w:pos="9874" w:val="left" w:leader="dot"/>
            </w:tabs>
            <w:spacing w:line="228" w:lineRule="exact" w:before="1" w:after="0"/>
            <w:ind w:left="985" w:right="0" w:hanging="332"/>
            <w:jc w:val="left"/>
          </w:pPr>
          <w:hyperlink w:history="true" w:anchor="_TOC_250030">
            <w:r>
              <w:rPr/>
              <w:t>Règlement des différends et examen</w:t>
            </w:r>
            <w:r>
              <w:rPr>
                <w:spacing w:val="-7"/>
              </w:rPr>
              <w:t> </w:t>
            </w:r>
            <w:r>
              <w:rPr/>
              <w:t>des</w:t>
            </w:r>
            <w:r>
              <w:rPr>
                <w:spacing w:val="-2"/>
              </w:rPr>
              <w:t> </w:t>
            </w:r>
            <w:r>
              <w:rPr/>
              <w:t>plaintes</w:t>
              <w:tab/>
              <w:t>91</w:t>
            </w:r>
          </w:hyperlink>
        </w:p>
        <w:p>
          <w:pPr>
            <w:pStyle w:val="TOC4"/>
            <w:numPr>
              <w:ilvl w:val="1"/>
              <w:numId w:val="8"/>
            </w:numPr>
            <w:tabs>
              <w:tab w:pos="1325" w:val="left" w:leader="none"/>
              <w:tab w:pos="9874" w:val="left" w:leader="dot"/>
            </w:tabs>
            <w:spacing w:line="227" w:lineRule="exact" w:before="0" w:after="0"/>
            <w:ind w:left="1324" w:right="0" w:hanging="451"/>
            <w:jc w:val="left"/>
          </w:pPr>
          <w:hyperlink w:history="true" w:anchor="_TOC_250029">
            <w:r>
              <w:rPr/>
              <w:t>Le</w:t>
            </w:r>
            <w:r>
              <w:rPr>
                <w:spacing w:val="-2"/>
              </w:rPr>
              <w:t> </w:t>
            </w:r>
            <w:r>
              <w:rPr/>
              <w:t>recours</w:t>
              <w:tab/>
              <w:t>91</w:t>
            </w:r>
          </w:hyperlink>
        </w:p>
        <w:p>
          <w:pPr>
            <w:pStyle w:val="TOC5"/>
            <w:numPr>
              <w:ilvl w:val="2"/>
              <w:numId w:val="8"/>
            </w:numPr>
            <w:tabs>
              <w:tab w:pos="1694" w:val="left" w:leader="none"/>
              <w:tab w:pos="9874" w:val="left" w:leader="dot"/>
            </w:tabs>
            <w:spacing w:line="229" w:lineRule="exact" w:before="0" w:after="0"/>
            <w:ind w:left="1693" w:right="0" w:hanging="601"/>
            <w:jc w:val="left"/>
          </w:pPr>
          <w:hyperlink w:history="true" w:anchor="_TOC_250028">
            <w:r>
              <w:rPr/>
              <w:t>Le recours gracieux pour les achats</w:t>
            </w:r>
            <w:r>
              <w:rPr>
                <w:spacing w:val="-14"/>
              </w:rPr>
              <w:t> </w:t>
            </w:r>
            <w:r>
              <w:rPr/>
              <w:t>du</w:t>
            </w:r>
            <w:r>
              <w:rPr>
                <w:spacing w:val="-3"/>
              </w:rPr>
              <w:t> </w:t>
            </w:r>
            <w:r>
              <w:rPr/>
              <w:t>GCT</w:t>
              <w:tab/>
              <w:t>91</w:t>
            </w:r>
          </w:hyperlink>
        </w:p>
        <w:p>
          <w:pPr>
            <w:pStyle w:val="TOC5"/>
            <w:numPr>
              <w:ilvl w:val="2"/>
              <w:numId w:val="8"/>
            </w:numPr>
            <w:tabs>
              <w:tab w:pos="1694" w:val="left" w:leader="none"/>
              <w:tab w:pos="9874" w:val="left" w:leader="dot"/>
            </w:tabs>
            <w:spacing w:line="240" w:lineRule="auto" w:before="0" w:after="0"/>
            <w:ind w:left="1693" w:right="0" w:hanging="601"/>
            <w:jc w:val="left"/>
          </w:pPr>
          <w:hyperlink w:history="true" w:anchor="_TOC_250027">
            <w:r>
              <w:rPr/>
              <w:t>Le recours auprès de la commission de recours et d’intégrité pour les marchés</w:t>
            </w:r>
            <w:r>
              <w:rPr>
                <w:spacing w:val="-23"/>
              </w:rPr>
              <w:t> </w:t>
            </w:r>
            <w:r>
              <w:rPr/>
              <w:t>du</w:t>
            </w:r>
            <w:r>
              <w:rPr>
                <w:spacing w:val="-1"/>
              </w:rPr>
              <w:t> </w:t>
            </w:r>
            <w:r>
              <w:rPr/>
              <w:t>GCT</w:t>
              <w:tab/>
              <w:t>91</w:t>
            </w:r>
          </w:hyperlink>
        </w:p>
        <w:p>
          <w:pPr>
            <w:pStyle w:val="TOC4"/>
            <w:numPr>
              <w:ilvl w:val="1"/>
              <w:numId w:val="8"/>
            </w:numPr>
            <w:tabs>
              <w:tab w:pos="1325" w:val="left" w:leader="none"/>
              <w:tab w:pos="9874" w:val="left" w:leader="dot"/>
            </w:tabs>
            <w:spacing w:line="240" w:lineRule="auto" w:before="1" w:after="0"/>
            <w:ind w:left="1324" w:right="0" w:hanging="451"/>
            <w:jc w:val="left"/>
          </w:pPr>
          <w:hyperlink w:history="true" w:anchor="_TOC_250026">
            <w:r>
              <w:rPr/>
              <w:t>Le</w:t>
            </w:r>
            <w:r>
              <w:rPr>
                <w:spacing w:val="-2"/>
              </w:rPr>
              <w:t> </w:t>
            </w:r>
            <w:r>
              <w:rPr/>
              <w:t>règlement</w:t>
            </w:r>
            <w:r>
              <w:rPr>
                <w:spacing w:val="-3"/>
              </w:rPr>
              <w:t> </w:t>
            </w:r>
            <w:r>
              <w:rPr/>
              <w:t>amiable</w:t>
              <w:tab/>
              <w:t>92</w:t>
            </w:r>
          </w:hyperlink>
        </w:p>
        <w:p>
          <w:pPr>
            <w:pStyle w:val="TOC4"/>
            <w:numPr>
              <w:ilvl w:val="1"/>
              <w:numId w:val="8"/>
            </w:numPr>
            <w:tabs>
              <w:tab w:pos="1325" w:val="left" w:leader="none"/>
              <w:tab w:pos="9874" w:val="left" w:leader="dot"/>
            </w:tabs>
            <w:spacing w:line="240" w:lineRule="auto" w:before="0" w:after="0"/>
            <w:ind w:left="1324" w:right="0" w:hanging="451"/>
            <w:jc w:val="left"/>
          </w:pPr>
          <w:hyperlink w:history="true" w:anchor="_TOC_250025">
            <w:r>
              <w:rPr/>
              <w:t>Le</w:t>
            </w:r>
            <w:r>
              <w:rPr>
                <w:spacing w:val="-4"/>
              </w:rPr>
              <w:t> </w:t>
            </w:r>
            <w:r>
              <w:rPr/>
              <w:t>recours</w:t>
            </w:r>
            <w:r>
              <w:rPr>
                <w:spacing w:val="-4"/>
              </w:rPr>
              <w:t> </w:t>
            </w:r>
            <w:r>
              <w:rPr/>
              <w:t>juridictionnel</w:t>
              <w:tab/>
              <w:t>93</w:t>
            </w:r>
          </w:hyperlink>
        </w:p>
        <w:p>
          <w:pPr>
            <w:pStyle w:val="TOC3"/>
            <w:numPr>
              <w:ilvl w:val="0"/>
              <w:numId w:val="8"/>
            </w:numPr>
            <w:tabs>
              <w:tab w:pos="976" w:val="left" w:leader="none"/>
              <w:tab w:pos="9874" w:val="left" w:leader="dot"/>
            </w:tabs>
            <w:spacing w:line="240" w:lineRule="auto" w:before="5" w:after="0"/>
            <w:ind w:left="975" w:right="0" w:hanging="322"/>
            <w:jc w:val="left"/>
          </w:pPr>
          <w:hyperlink w:history="true" w:anchor="_TOC_250024">
            <w:r>
              <w:rPr/>
              <w:t>Exclusion des</w:t>
            </w:r>
            <w:r>
              <w:rPr>
                <w:spacing w:val="-7"/>
              </w:rPr>
              <w:t> </w:t>
            </w:r>
            <w:r>
              <w:rPr/>
              <w:t>opérateurs</w:t>
            </w:r>
            <w:r>
              <w:rPr>
                <w:spacing w:val="-1"/>
              </w:rPr>
              <w:t> </w:t>
            </w:r>
            <w:r>
              <w:rPr/>
              <w:t>économiques</w:t>
              <w:tab/>
              <w:t>93</w:t>
            </w:r>
          </w:hyperlink>
        </w:p>
        <w:p>
          <w:pPr>
            <w:pStyle w:val="TOC3"/>
            <w:numPr>
              <w:ilvl w:val="0"/>
              <w:numId w:val="8"/>
            </w:numPr>
            <w:tabs>
              <w:tab w:pos="899" w:val="left" w:leader="none"/>
              <w:tab w:pos="9874" w:val="left" w:leader="dot"/>
            </w:tabs>
            <w:spacing w:line="229" w:lineRule="exact" w:before="1" w:after="0"/>
            <w:ind w:left="898" w:right="0" w:hanging="245"/>
            <w:jc w:val="left"/>
          </w:pPr>
          <w:hyperlink w:history="true" w:anchor="_TOC_250023">
            <w:r>
              <w:rPr/>
              <w:t>Sanctions</w:t>
            </w:r>
            <w:r>
              <w:rPr>
                <w:spacing w:val="-3"/>
              </w:rPr>
              <w:t> </w:t>
            </w:r>
            <w:r>
              <w:rPr/>
              <w:t>et</w:t>
            </w:r>
            <w:r>
              <w:rPr>
                <w:spacing w:val="-1"/>
              </w:rPr>
              <w:t> </w:t>
            </w:r>
            <w:r>
              <w:rPr/>
              <w:t>primes</w:t>
              <w:tab/>
              <w:t>93</w:t>
            </w:r>
          </w:hyperlink>
        </w:p>
        <w:p>
          <w:pPr>
            <w:pStyle w:val="TOC3"/>
            <w:numPr>
              <w:ilvl w:val="0"/>
              <w:numId w:val="8"/>
            </w:numPr>
            <w:tabs>
              <w:tab w:pos="976" w:val="left" w:leader="none"/>
              <w:tab w:pos="9874" w:val="left" w:leader="dot"/>
            </w:tabs>
            <w:spacing w:line="229" w:lineRule="exact" w:before="0" w:after="0"/>
            <w:ind w:left="975" w:right="0" w:hanging="322"/>
            <w:jc w:val="left"/>
          </w:pPr>
          <w:hyperlink w:history="true" w:anchor="_TOC_250022">
            <w:r>
              <w:rPr/>
              <w:t>Annulation</w:t>
            </w:r>
            <w:r>
              <w:rPr>
                <w:spacing w:val="-3"/>
              </w:rPr>
              <w:t> </w:t>
            </w:r>
            <w:r>
              <w:rPr/>
              <w:t>des</w:t>
            </w:r>
            <w:r>
              <w:rPr>
                <w:spacing w:val="-2"/>
              </w:rPr>
              <w:t> </w:t>
            </w:r>
            <w:r>
              <w:rPr/>
              <w:t>procédures</w:t>
              <w:tab/>
              <w:t>93</w:t>
            </w:r>
          </w:hyperlink>
        </w:p>
        <w:p>
          <w:pPr>
            <w:pStyle w:val="TOC3"/>
            <w:numPr>
              <w:ilvl w:val="0"/>
              <w:numId w:val="8"/>
            </w:numPr>
            <w:tabs>
              <w:tab w:pos="1053" w:val="left" w:leader="none"/>
              <w:tab w:pos="9874" w:val="left" w:leader="dot"/>
            </w:tabs>
            <w:spacing w:line="240" w:lineRule="auto" w:before="1" w:after="0"/>
            <w:ind w:left="1052" w:right="0" w:hanging="399"/>
            <w:jc w:val="left"/>
          </w:pPr>
          <w:hyperlink w:history="true" w:anchor="_TOC_250021">
            <w:r>
              <w:rPr/>
              <w:t>Résiliation</w:t>
              <w:tab/>
              <w:t>94</w:t>
            </w:r>
          </w:hyperlink>
        </w:p>
        <w:p>
          <w:pPr>
            <w:pStyle w:val="TOC1"/>
            <w:tabs>
              <w:tab w:pos="10018" w:val="left" w:leader="dot"/>
            </w:tabs>
          </w:pPr>
          <w:hyperlink w:history="true" w:anchor="_TOC_250020">
            <w:r>
              <w:rPr/>
              <w:t>ANNEXES</w:t>
              <w:tab/>
              <w:t>i</w:t>
            </w:r>
          </w:hyperlink>
        </w:p>
        <w:p>
          <w:pPr>
            <w:pStyle w:val="TOC3"/>
            <w:tabs>
              <w:tab w:pos="9963" w:val="left" w:leader="dot"/>
            </w:tabs>
            <w:spacing w:before="1"/>
          </w:pPr>
          <w:hyperlink w:history="true" w:anchor="_TOC_250019">
            <w:r>
              <w:rPr/>
              <w:t>Annexe n°1 : Fiche identification Commission d'Approbation des Cahiers des</w:t>
            </w:r>
            <w:r>
              <w:rPr>
                <w:spacing w:val="-15"/>
              </w:rPr>
              <w:t> </w:t>
            </w:r>
            <w:r>
              <w:rPr/>
              <w:t>Charges</w:t>
            </w:r>
            <w:r>
              <w:rPr>
                <w:spacing w:val="-2"/>
              </w:rPr>
              <w:t> </w:t>
            </w:r>
            <w:r>
              <w:rPr/>
              <w:t>(CACC)</w:t>
              <w:tab/>
              <w:t>ii</w:t>
            </w:r>
          </w:hyperlink>
        </w:p>
        <w:p>
          <w:pPr>
            <w:pStyle w:val="TOC3"/>
            <w:tabs>
              <w:tab w:pos="9907" w:val="left" w:leader="dot"/>
            </w:tabs>
            <w:ind w:right="750"/>
          </w:pPr>
          <w:hyperlink w:history="true" w:anchor="_TOC_250018">
            <w:r>
              <w:rPr/>
              <w:t>Annexe n°2 : Fiche d’identification Commissions Régionales d’Ouverture des Offres des Achats hors marchés (CROOA Tunis, CROOA Gabes, CROOA Gafsa,</w:t>
            </w:r>
            <w:r>
              <w:rPr>
                <w:spacing w:val="-14"/>
              </w:rPr>
              <w:t> </w:t>
            </w:r>
            <w:r>
              <w:rPr/>
              <w:t>CROOA</w:t>
            </w:r>
            <w:r>
              <w:rPr>
                <w:spacing w:val="-2"/>
              </w:rPr>
              <w:t> </w:t>
            </w:r>
            <w:r>
              <w:rPr/>
              <w:t>Sfax)</w:t>
              <w:tab/>
            </w:r>
            <w:r>
              <w:rPr>
                <w:spacing w:val="-6"/>
              </w:rPr>
              <w:t>iii</w:t>
            </w:r>
          </w:hyperlink>
        </w:p>
        <w:p>
          <w:pPr>
            <w:pStyle w:val="TOC3"/>
            <w:tabs>
              <w:tab w:pos="9917" w:val="left" w:leader="dot"/>
            </w:tabs>
            <w:ind w:right="752"/>
          </w:pPr>
          <w:hyperlink w:history="true" w:anchor="_TOC_250017">
            <w:r>
              <w:rPr/>
              <w:t>Annexe n°3 : Fiche d’identification Commissions Régionales d’Ouverture des Offres des Marchés (CROOM Tunis, CROOM Gabes, CROOM Gafsa,</w:t>
            </w:r>
            <w:r>
              <w:rPr>
                <w:spacing w:val="-8"/>
              </w:rPr>
              <w:t> </w:t>
            </w:r>
            <w:r>
              <w:rPr/>
              <w:t>CROOM Sfax)</w:t>
              <w:tab/>
            </w:r>
            <w:r>
              <w:rPr>
                <w:spacing w:val="-9"/>
              </w:rPr>
              <w:t>iv</w:t>
            </w:r>
          </w:hyperlink>
        </w:p>
        <w:p>
          <w:pPr>
            <w:pStyle w:val="TOC3"/>
            <w:tabs>
              <w:tab w:pos="9917" w:val="left" w:leader="dot"/>
            </w:tabs>
            <w:ind w:right="749"/>
          </w:pPr>
          <w:r>
            <w:rPr/>
            <w:t>Annexe</w:t>
          </w:r>
          <w:r>
            <w:rPr>
              <w:spacing w:val="-4"/>
            </w:rPr>
            <w:t> </w:t>
          </w:r>
          <w:r>
            <w:rPr/>
            <w:t>n°4</w:t>
          </w:r>
          <w:r>
            <w:rPr>
              <w:spacing w:val="-3"/>
            </w:rPr>
            <w:t> </w:t>
          </w:r>
          <w:r>
            <w:rPr/>
            <w:t>:</w:t>
          </w:r>
          <w:r>
            <w:rPr>
              <w:spacing w:val="-4"/>
            </w:rPr>
            <w:t> </w:t>
          </w:r>
          <w:r>
            <w:rPr/>
            <w:t>Fiche</w:t>
          </w:r>
          <w:r>
            <w:rPr>
              <w:spacing w:val="-4"/>
            </w:rPr>
            <w:t> </w:t>
          </w:r>
          <w:r>
            <w:rPr/>
            <w:t>d’identification</w:t>
          </w:r>
          <w:r>
            <w:rPr>
              <w:spacing w:val="-5"/>
            </w:rPr>
            <w:t> </w:t>
          </w:r>
          <w:r>
            <w:rPr/>
            <w:t>Commission</w:t>
          </w:r>
          <w:r>
            <w:rPr>
              <w:spacing w:val="-2"/>
            </w:rPr>
            <w:t> </w:t>
          </w:r>
          <w:r>
            <w:rPr/>
            <w:t>d’Ouverture</w:t>
          </w:r>
          <w:r>
            <w:rPr>
              <w:spacing w:val="-3"/>
            </w:rPr>
            <w:t> </w:t>
          </w:r>
          <w:r>
            <w:rPr/>
            <w:t>des</w:t>
          </w:r>
          <w:r>
            <w:rPr>
              <w:spacing w:val="-5"/>
            </w:rPr>
            <w:t> </w:t>
          </w:r>
          <w:r>
            <w:rPr/>
            <w:t>Offres</w:t>
          </w:r>
          <w:r>
            <w:rPr>
              <w:spacing w:val="-5"/>
            </w:rPr>
            <w:t> </w:t>
          </w:r>
          <w:r>
            <w:rPr/>
            <w:t>d’Affrètement</w:t>
          </w:r>
          <w:r>
            <w:rPr>
              <w:spacing w:val="-4"/>
            </w:rPr>
            <w:t> </w:t>
          </w:r>
          <w:r>
            <w:rPr/>
            <w:t>des</w:t>
          </w:r>
          <w:r>
            <w:rPr>
              <w:spacing w:val="-5"/>
            </w:rPr>
            <w:t> </w:t>
          </w:r>
          <w:r>
            <w:rPr/>
            <w:t>navires</w:t>
          </w:r>
          <w:r>
            <w:rPr>
              <w:spacing w:val="-4"/>
            </w:rPr>
            <w:t> </w:t>
          </w:r>
          <w:r>
            <w:rPr/>
            <w:t>(COOA)</w:t>
          </w:r>
          <w:r>
            <w:rPr>
              <w:spacing w:val="-3"/>
            </w:rPr>
            <w:t> </w:t>
          </w:r>
          <w:r>
            <w:rPr/>
            <w:t>.</w:t>
          </w:r>
          <w:r>
            <w:rPr>
              <w:spacing w:val="-17"/>
            </w:rPr>
            <w:t> </w:t>
          </w:r>
          <w:r>
            <w:rPr/>
            <w:t>v Annexe n°5 : Fiche d’identification Commissions ad-hoc d’évaluation</w:t>
          </w:r>
          <w:r>
            <w:rPr>
              <w:spacing w:val="-23"/>
            </w:rPr>
            <w:t> </w:t>
          </w:r>
          <w:r>
            <w:rPr/>
            <w:t>des</w:t>
          </w:r>
          <w:r>
            <w:rPr>
              <w:spacing w:val="-4"/>
            </w:rPr>
            <w:t> </w:t>
          </w:r>
          <w:r>
            <w:rPr/>
            <w:t>Offres</w:t>
            <w:tab/>
          </w:r>
          <w:r>
            <w:rPr>
              <w:spacing w:val="-8"/>
            </w:rPr>
            <w:t>vi</w:t>
          </w:r>
        </w:p>
        <w:p>
          <w:pPr>
            <w:pStyle w:val="TOC3"/>
            <w:tabs>
              <w:tab w:pos="9862" w:val="left" w:leader="dot"/>
            </w:tabs>
            <w:spacing w:line="229" w:lineRule="exact"/>
          </w:pPr>
          <w:hyperlink w:history="true" w:anchor="_TOC_250016">
            <w:r>
              <w:rPr/>
              <w:t>Annexe n°6 : Fiche identification Commission d’Evaluation des Offres d’Affrètements</w:t>
            </w:r>
            <w:r>
              <w:rPr>
                <w:spacing w:val="-34"/>
              </w:rPr>
              <w:t> </w:t>
            </w:r>
            <w:r>
              <w:rPr/>
              <w:t>des</w:t>
            </w:r>
            <w:r>
              <w:rPr>
                <w:spacing w:val="-4"/>
              </w:rPr>
              <w:t> </w:t>
            </w:r>
            <w:r>
              <w:rPr/>
              <w:t>navires</w:t>
              <w:tab/>
              <w:t>vii</w:t>
            </w:r>
          </w:hyperlink>
        </w:p>
        <w:p>
          <w:pPr>
            <w:pStyle w:val="TOC3"/>
            <w:tabs>
              <w:tab w:pos="9807" w:val="left" w:leader="dot"/>
            </w:tabs>
            <w:ind w:right="750"/>
          </w:pPr>
          <w:hyperlink w:history="true" w:anchor="_TOC_250015">
            <w:r>
              <w:rPr/>
              <w:t>Annexe n°7 : Fiche d’identification Commissions Régionales des Achats (CRA Tunis, CRA Gabes, CRA Gafsa,</w:t>
            </w:r>
            <w:r>
              <w:rPr>
                <w:spacing w:val="-2"/>
              </w:rPr>
              <w:t> </w:t>
            </w:r>
            <w:r>
              <w:rPr/>
              <w:t>CRA</w:t>
            </w:r>
            <w:r>
              <w:rPr>
                <w:spacing w:val="-2"/>
              </w:rPr>
              <w:t> </w:t>
            </w:r>
            <w:r>
              <w:rPr/>
              <w:t>Sfax)</w:t>
              <w:tab/>
            </w:r>
            <w:r>
              <w:rPr>
                <w:spacing w:val="-5"/>
              </w:rPr>
              <w:t>viii</w:t>
            </w:r>
          </w:hyperlink>
        </w:p>
        <w:p>
          <w:pPr>
            <w:pStyle w:val="TOC3"/>
            <w:tabs>
              <w:tab w:pos="9917" w:val="left" w:leader="dot"/>
            </w:tabs>
          </w:pPr>
          <w:hyperlink w:history="true" w:anchor="_TOC_250014">
            <w:r>
              <w:rPr/>
              <w:t>Annexe n°8 : Fiche d’identification Commission des Achats de</w:t>
            </w:r>
            <w:r>
              <w:rPr>
                <w:spacing w:val="-28"/>
              </w:rPr>
              <w:t> </w:t>
            </w:r>
            <w:r>
              <w:rPr/>
              <w:t>l’Entreprise</w:t>
            </w:r>
            <w:r>
              <w:rPr>
                <w:spacing w:val="-4"/>
              </w:rPr>
              <w:t> </w:t>
            </w:r>
            <w:r>
              <w:rPr/>
              <w:t>(CAE)</w:t>
              <w:tab/>
              <w:t>ix</w:t>
            </w:r>
          </w:hyperlink>
        </w:p>
        <w:p>
          <w:pPr>
            <w:pStyle w:val="TOC3"/>
            <w:tabs>
              <w:tab w:pos="9972" w:val="left" w:leader="dot"/>
            </w:tabs>
            <w:spacing w:before="1"/>
          </w:pPr>
          <w:hyperlink w:history="true" w:anchor="_TOC_250013">
            <w:r>
              <w:rPr/>
              <w:t>Annexe n°9 : Fiche d’identification Commission des</w:t>
            </w:r>
            <w:r>
              <w:rPr>
                <w:spacing w:val="-19"/>
              </w:rPr>
              <w:t> </w:t>
            </w:r>
            <w:r>
              <w:rPr/>
              <w:t>Affrètements</w:t>
            </w:r>
            <w:r>
              <w:rPr>
                <w:spacing w:val="-4"/>
              </w:rPr>
              <w:t> </w:t>
            </w:r>
            <w:r>
              <w:rPr/>
              <w:t>(CAff)</w:t>
              <w:tab/>
              <w:t>x</w:t>
            </w:r>
          </w:hyperlink>
        </w:p>
        <w:p>
          <w:pPr>
            <w:pStyle w:val="TOC3"/>
            <w:tabs>
              <w:tab w:pos="9917" w:val="left" w:leader="dot"/>
            </w:tabs>
          </w:pPr>
          <w:hyperlink w:history="true" w:anchor="_TOC_250012">
            <w:r>
              <w:rPr/>
              <w:t>Annexe n°10 : Fiche d’identification Commission des Marchés de</w:t>
            </w:r>
            <w:r>
              <w:rPr>
                <w:spacing w:val="-28"/>
              </w:rPr>
              <w:t> </w:t>
            </w:r>
            <w:r>
              <w:rPr/>
              <w:t>l’Entreprise</w:t>
            </w:r>
            <w:r>
              <w:rPr>
                <w:spacing w:val="-3"/>
              </w:rPr>
              <w:t> </w:t>
            </w:r>
            <w:r>
              <w:rPr/>
              <w:t>(CME)</w:t>
              <w:tab/>
              <w:t>xi</w:t>
            </w:r>
          </w:hyperlink>
        </w:p>
        <w:p>
          <w:pPr>
            <w:pStyle w:val="TOC3"/>
            <w:tabs>
              <w:tab w:pos="9862" w:val="left" w:leader="dot"/>
            </w:tabs>
            <w:spacing w:before="1"/>
            <w:ind w:right="752"/>
          </w:pPr>
          <w:hyperlink w:history="true" w:anchor="_TOC_250011">
            <w:r>
              <w:rPr/>
              <w:t>Annexe n°11 : Seuils de compétences des commissions de contrôle des achats hors marchés et des marchés du GCT</w:t>
              <w:tab/>
            </w:r>
            <w:r>
              <w:rPr>
                <w:spacing w:val="-7"/>
              </w:rPr>
              <w:t>xii</w:t>
            </w:r>
          </w:hyperlink>
        </w:p>
        <w:p>
          <w:pPr>
            <w:pStyle w:val="TOC3"/>
            <w:tabs>
              <w:tab w:pos="9807" w:val="left" w:leader="dot"/>
            </w:tabs>
            <w:spacing w:line="228" w:lineRule="exact"/>
          </w:pPr>
          <w:hyperlink w:history="true" w:anchor="_TOC_250010">
            <w:r>
              <w:rPr/>
              <w:t>Annexe n°12 : Commission de Recours</w:t>
            </w:r>
            <w:r>
              <w:rPr>
                <w:spacing w:val="-16"/>
              </w:rPr>
              <w:t> </w:t>
            </w:r>
            <w:r>
              <w:rPr/>
              <w:t>et</w:t>
            </w:r>
            <w:r>
              <w:rPr>
                <w:spacing w:val="-2"/>
              </w:rPr>
              <w:t> </w:t>
            </w:r>
            <w:r>
              <w:rPr/>
              <w:t>d’Intégrité</w:t>
              <w:tab/>
              <w:t>xiii</w:t>
            </w:r>
          </w:hyperlink>
        </w:p>
        <w:p>
          <w:pPr>
            <w:pStyle w:val="TOC3"/>
            <w:tabs>
              <w:tab w:pos="9819" w:val="left" w:leader="dot"/>
            </w:tabs>
            <w:ind w:right="751"/>
          </w:pPr>
          <w:hyperlink w:history="true" w:anchor="_TOC_250009">
            <w:r>
              <w:rPr/>
              <w:t>Annexe n°13 : Entités d’ouverture, d’évaluation et de contrôle pour chaque seuil de compétence (Achat hors matières</w:t>
            </w:r>
            <w:r>
              <w:rPr>
                <w:spacing w:val="-1"/>
              </w:rPr>
              <w:t> </w:t>
            </w:r>
            <w:r>
              <w:rPr/>
              <w:t>premières)</w:t>
              <w:tab/>
            </w:r>
            <w:r>
              <w:rPr>
                <w:spacing w:val="-7"/>
              </w:rPr>
              <w:t>xiv</w:t>
            </w:r>
          </w:hyperlink>
        </w:p>
        <w:p>
          <w:pPr>
            <w:pStyle w:val="TOC3"/>
            <w:tabs>
              <w:tab w:pos="9874" w:val="left" w:leader="dot"/>
            </w:tabs>
            <w:spacing w:before="1"/>
          </w:pPr>
          <w:hyperlink w:history="true" w:anchor="_TOC_250008">
            <w:r>
              <w:rPr/>
              <w:t>Annexe n°14 : Délais de passation des achats hors</w:t>
            </w:r>
            <w:r>
              <w:rPr>
                <w:spacing w:val="-15"/>
              </w:rPr>
              <w:t> </w:t>
            </w:r>
            <w:r>
              <w:rPr/>
              <w:t>matières</w:t>
            </w:r>
            <w:r>
              <w:rPr>
                <w:spacing w:val="-3"/>
              </w:rPr>
              <w:t> </w:t>
            </w:r>
            <w:r>
              <w:rPr/>
              <w:t>premières</w:t>
              <w:tab/>
              <w:t>xv</w:t>
            </w:r>
          </w:hyperlink>
        </w:p>
        <w:p>
          <w:pPr>
            <w:pStyle w:val="TOC3"/>
            <w:tabs>
              <w:tab w:pos="9819" w:val="left" w:leader="dot"/>
            </w:tabs>
            <w:spacing w:line="229" w:lineRule="exact"/>
          </w:pPr>
          <w:hyperlink w:history="true" w:anchor="_TOC_250007">
            <w:r>
              <w:rPr/>
              <w:t>Annexe n°15 : Contenu du PV d’ouverture</w:t>
            </w:r>
            <w:r>
              <w:rPr>
                <w:spacing w:val="-17"/>
              </w:rPr>
              <w:t> </w:t>
            </w:r>
            <w:r>
              <w:rPr/>
              <w:t>des</w:t>
            </w:r>
            <w:r>
              <w:rPr>
                <w:spacing w:val="-4"/>
              </w:rPr>
              <w:t> </w:t>
            </w:r>
            <w:r>
              <w:rPr/>
              <w:t>offres</w:t>
              <w:tab/>
              <w:t>xvi</w:t>
            </w:r>
          </w:hyperlink>
        </w:p>
        <w:p>
          <w:pPr>
            <w:pStyle w:val="TOC3"/>
            <w:tabs>
              <w:tab w:pos="9819" w:val="left" w:leader="dot"/>
            </w:tabs>
            <w:spacing w:line="229" w:lineRule="exact"/>
          </w:pPr>
          <w:hyperlink w:history="true" w:anchor="_TOC_250006">
            <w:r>
              <w:rPr/>
              <w:t>Annexe n°16 : Contenu du rapport d’évaluation</w:t>
            </w:r>
            <w:r>
              <w:rPr>
                <w:spacing w:val="-13"/>
              </w:rPr>
              <w:t> </w:t>
            </w:r>
            <w:r>
              <w:rPr/>
              <w:t>des</w:t>
            </w:r>
            <w:r>
              <w:rPr>
                <w:spacing w:val="-3"/>
              </w:rPr>
              <w:t> </w:t>
            </w:r>
            <w:r>
              <w:rPr/>
              <w:t>offres</w:t>
              <w:tab/>
              <w:t>xvi</w:t>
            </w:r>
          </w:hyperlink>
        </w:p>
        <w:p>
          <w:pPr>
            <w:pStyle w:val="TOC3"/>
            <w:tabs>
              <w:tab w:pos="9761" w:val="left" w:leader="dot"/>
            </w:tabs>
            <w:spacing w:before="1"/>
          </w:pPr>
          <w:hyperlink w:history="true" w:anchor="_TOC_250005">
            <w:r>
              <w:rPr/>
              <w:t>Annexe n°17 : Contenu de la note de présentation du dossier à soumettre à</w:t>
            </w:r>
            <w:r>
              <w:rPr>
                <w:spacing w:val="-21"/>
              </w:rPr>
              <w:t> </w:t>
            </w:r>
            <w:r>
              <w:rPr/>
              <w:t>la CME</w:t>
              <w:tab/>
              <w:t>xvii</w:t>
            </w:r>
          </w:hyperlink>
        </w:p>
        <w:p>
          <w:pPr>
            <w:pStyle w:val="TOC3"/>
            <w:tabs>
              <w:tab w:pos="9761" w:val="left" w:leader="dot"/>
            </w:tabs>
          </w:pPr>
          <w:hyperlink w:history="true" w:anchor="_TOC_250004">
            <w:r>
              <w:rPr/>
              <w:t>Annexe n°18 : Contenu</w:t>
            </w:r>
            <w:r>
              <w:rPr>
                <w:spacing w:val="-5"/>
              </w:rPr>
              <w:t> </w:t>
            </w:r>
            <w:r>
              <w:rPr/>
              <w:t>des</w:t>
            </w:r>
            <w:r>
              <w:rPr>
                <w:spacing w:val="-2"/>
              </w:rPr>
              <w:t> </w:t>
            </w:r>
            <w:r>
              <w:rPr/>
              <w:t>contrats</w:t>
              <w:tab/>
              <w:t>xvii</w:t>
            </w:r>
          </w:hyperlink>
        </w:p>
        <w:p>
          <w:pPr>
            <w:pStyle w:val="TOC3"/>
            <w:tabs>
              <w:tab w:pos="9706" w:val="left" w:leader="dot"/>
            </w:tabs>
            <w:spacing w:before="1"/>
          </w:pPr>
          <w:hyperlink w:history="true" w:anchor="_TOC_250003">
            <w:r>
              <w:rPr/>
              <w:t>Annexe n°19 : Logigramme récapitulatif des procédures d’achat</w:t>
            </w:r>
            <w:r>
              <w:rPr>
                <w:spacing w:val="-19"/>
              </w:rPr>
              <w:t> </w:t>
            </w:r>
            <w:r>
              <w:rPr/>
              <w:t>du</w:t>
            </w:r>
            <w:r>
              <w:rPr>
                <w:spacing w:val="-4"/>
              </w:rPr>
              <w:t> </w:t>
            </w:r>
            <w:r>
              <w:rPr/>
              <w:t>GCT</w:t>
              <w:tab/>
              <w:t>xviii</w:t>
            </w:r>
          </w:hyperlink>
        </w:p>
        <w:p>
          <w:pPr>
            <w:pStyle w:val="TOC3"/>
            <w:tabs>
              <w:tab w:pos="9819" w:val="left" w:leader="dot"/>
            </w:tabs>
            <w:spacing w:line="229" w:lineRule="exact"/>
          </w:pPr>
          <w:hyperlink w:history="true" w:anchor="_TOC_250002">
            <w:r>
              <w:rPr/>
              <w:t>Annexe n°20 : Procédure d’actualisation de la liste des Armateurs/Courtiers</w:t>
            </w:r>
            <w:r>
              <w:rPr>
                <w:spacing w:val="-26"/>
              </w:rPr>
              <w:t> </w:t>
            </w:r>
            <w:r>
              <w:rPr/>
              <w:t>du</w:t>
            </w:r>
            <w:r>
              <w:rPr>
                <w:spacing w:val="-2"/>
              </w:rPr>
              <w:t> </w:t>
            </w:r>
            <w:r>
              <w:rPr/>
              <w:t>GCT</w:t>
              <w:tab/>
              <w:t>xix</w:t>
            </w:r>
          </w:hyperlink>
        </w:p>
        <w:p>
          <w:pPr>
            <w:pStyle w:val="TOC3"/>
            <w:tabs>
              <w:tab w:pos="9874" w:val="left" w:leader="dot"/>
            </w:tabs>
            <w:ind w:right="753"/>
          </w:pPr>
          <w:hyperlink w:history="true" w:anchor="_TOC_250001">
            <w:r>
              <w:rPr/>
              <w:t>Annexe n°21 : Formulaire de lettre d'insertion d'un nouvel armateur/courtier Tunisien à la liste des Armateurs/Courtiers</w:t>
            </w:r>
            <w:r>
              <w:rPr>
                <w:spacing w:val="-1"/>
              </w:rPr>
              <w:t> </w:t>
            </w:r>
            <w:r>
              <w:rPr/>
              <w:t>du</w:t>
            </w:r>
            <w:r>
              <w:rPr>
                <w:spacing w:val="-2"/>
              </w:rPr>
              <w:t> </w:t>
            </w:r>
            <w:r>
              <w:rPr/>
              <w:t>GCT</w:t>
              <w:tab/>
            </w:r>
            <w:r>
              <w:rPr>
                <w:spacing w:val="-10"/>
              </w:rPr>
              <w:t>xx</w:t>
            </w:r>
          </w:hyperlink>
        </w:p>
        <w:p>
          <w:pPr>
            <w:pStyle w:val="TOC3"/>
            <w:tabs>
              <w:tab w:pos="9819" w:val="left" w:leader="dot"/>
            </w:tabs>
            <w:ind w:right="754"/>
          </w:pPr>
          <w:hyperlink w:history="true" w:anchor="_TOC_250000">
            <w:r>
              <w:rPr/>
              <w:t>Annexe n°22 : Formulaire d'insertion d'un nouvel armateur/courtier Etranger à la liste des Armateurs/Courtiers</w:t>
            </w:r>
            <w:r>
              <w:rPr>
                <w:spacing w:val="-1"/>
              </w:rPr>
              <w:t> </w:t>
            </w:r>
            <w:r>
              <w:rPr/>
              <w:t>du</w:t>
            </w:r>
            <w:r>
              <w:rPr>
                <w:spacing w:val="-2"/>
              </w:rPr>
              <w:t> </w:t>
            </w:r>
            <w:r>
              <w:rPr/>
              <w:t>GCT</w:t>
              <w:tab/>
            </w:r>
            <w:r>
              <w:rPr>
                <w:spacing w:val="-8"/>
              </w:rPr>
              <w:t>xxi</w:t>
            </w:r>
          </w:hyperlink>
        </w:p>
      </w:sdtContent>
    </w:sdt>
    <w:p>
      <w:pPr>
        <w:spacing w:after="0"/>
        <w:sectPr>
          <w:type w:val="continuous"/>
          <w:pgSz w:w="11910" w:h="16840"/>
          <w:pgMar w:top="1869" w:bottom="1333" w:left="700" w:right="380"/>
        </w:sectPr>
      </w:pPr>
    </w:p>
    <w:p>
      <w:pPr>
        <w:spacing w:line="209" w:lineRule="exact" w:before="281"/>
        <w:ind w:left="433" w:right="0" w:firstLine="0"/>
        <w:jc w:val="left"/>
        <w:rPr>
          <w:b/>
          <w:sz w:val="20"/>
        </w:rPr>
      </w:pPr>
      <w:r>
        <w:rPr>
          <w:b/>
          <w:sz w:val="20"/>
        </w:rPr>
        <w:t>LISTE DES TABLEAUX</w:t>
      </w:r>
    </w:p>
    <w:p>
      <w:pPr>
        <w:tabs>
          <w:tab w:pos="9864" w:val="left" w:leader="dot"/>
        </w:tabs>
        <w:spacing w:line="232" w:lineRule="exact" w:before="0"/>
        <w:ind w:left="433" w:right="0" w:firstLine="0"/>
        <w:jc w:val="left"/>
        <w:rPr>
          <w:sz w:val="20"/>
        </w:rPr>
      </w:pPr>
      <w:hyperlink w:history="true" w:anchor="_bookmark0">
        <w:r>
          <w:rPr>
            <w:sz w:val="20"/>
          </w:rPr>
          <w:t>T</w:t>
        </w:r>
        <w:r>
          <w:rPr>
            <w:sz w:val="16"/>
          </w:rPr>
          <w:t>ABLEAU </w:t>
        </w:r>
        <w:r>
          <w:rPr>
            <w:sz w:val="20"/>
          </w:rPr>
          <w:t>1 :</w:t>
        </w:r>
        <w:r>
          <w:rPr>
            <w:spacing w:val="-35"/>
            <w:sz w:val="20"/>
          </w:rPr>
          <w:t> </w:t>
        </w:r>
        <w:r>
          <w:rPr>
            <w:sz w:val="20"/>
          </w:rPr>
          <w:t>R</w:t>
        </w:r>
        <w:r>
          <w:rPr>
            <w:sz w:val="16"/>
          </w:rPr>
          <w:t>ESPONSABLE HABILITE A SIGNER LA NOTE D</w:t>
        </w:r>
        <w:r>
          <w:rPr>
            <w:sz w:val="20"/>
          </w:rPr>
          <w:t>’</w:t>
        </w:r>
        <w:r>
          <w:rPr>
            <w:sz w:val="16"/>
          </w:rPr>
          <w:t>OPPORTUNITE</w:t>
        </w:r>
        <w:r>
          <w:rPr>
            <w:sz w:val="20"/>
          </w:rPr>
          <w:t>/</w:t>
        </w:r>
        <w:r>
          <w:rPr>
            <w:sz w:val="16"/>
          </w:rPr>
          <w:t>DE RECOURS A LA</w:t>
        </w:r>
        <w:r>
          <w:rPr>
            <w:spacing w:val="-2"/>
            <w:sz w:val="16"/>
          </w:rPr>
          <w:t> </w:t>
        </w:r>
        <w:r>
          <w:rPr>
            <w:sz w:val="16"/>
          </w:rPr>
          <w:t>NEGOCIATION</w:t>
          <w:tab/>
        </w:r>
        <w:r>
          <w:rPr>
            <w:sz w:val="20"/>
          </w:rPr>
          <w:t>24</w:t>
        </w:r>
      </w:hyperlink>
    </w:p>
    <w:p>
      <w:pPr>
        <w:tabs>
          <w:tab w:pos="9864" w:val="left" w:leader="dot"/>
        </w:tabs>
        <w:spacing w:line="253" w:lineRule="exact" w:before="0"/>
        <w:ind w:left="433" w:right="0" w:firstLine="0"/>
        <w:jc w:val="left"/>
        <w:rPr>
          <w:sz w:val="20"/>
        </w:rPr>
      </w:pPr>
      <w:hyperlink w:history="true" w:anchor="_bookmark1">
        <w:r>
          <w:rPr>
            <w:sz w:val="20"/>
          </w:rPr>
          <w:t>T</w:t>
        </w:r>
        <w:r>
          <w:rPr>
            <w:sz w:val="16"/>
          </w:rPr>
          <w:t>ABLEAU </w:t>
        </w:r>
        <w:r>
          <w:rPr>
            <w:sz w:val="20"/>
          </w:rPr>
          <w:t>2: A</w:t>
        </w:r>
        <w:r>
          <w:rPr>
            <w:sz w:val="16"/>
          </w:rPr>
          <w:t>PPROBATION DES</w:t>
        </w:r>
        <w:r>
          <w:rPr>
            <w:spacing w:val="-17"/>
            <w:sz w:val="16"/>
          </w:rPr>
          <w:t> </w:t>
        </w:r>
        <w:r>
          <w:rPr>
            <w:sz w:val="16"/>
          </w:rPr>
          <w:t>DEMANDES</w:t>
        </w:r>
        <w:r>
          <w:rPr>
            <w:spacing w:val="-3"/>
            <w:sz w:val="16"/>
          </w:rPr>
          <w:t> </w:t>
        </w:r>
        <w:r>
          <w:rPr>
            <w:sz w:val="16"/>
          </w:rPr>
          <w:t>D</w:t>
        </w:r>
        <w:r>
          <w:rPr>
            <w:sz w:val="20"/>
          </w:rPr>
          <w:t>'</w:t>
        </w:r>
        <w:r>
          <w:rPr>
            <w:sz w:val="16"/>
          </w:rPr>
          <w:t>ACHATS</w:t>
          <w:tab/>
        </w:r>
        <w:r>
          <w:rPr>
            <w:sz w:val="20"/>
          </w:rPr>
          <w:t>24</w:t>
        </w:r>
      </w:hyperlink>
    </w:p>
    <w:p>
      <w:pPr>
        <w:spacing w:after="0" w:line="253" w:lineRule="exact"/>
        <w:jc w:val="left"/>
        <w:rPr>
          <w:sz w:val="20"/>
        </w:rPr>
        <w:sectPr>
          <w:pgSz w:w="11910" w:h="16840"/>
          <w:pgMar w:header="722" w:footer="0" w:top="1860" w:bottom="280" w:left="700" w:right="380"/>
        </w:sectPr>
      </w:pPr>
    </w:p>
    <w:p>
      <w:pPr>
        <w:pStyle w:val="Heading1"/>
        <w:spacing w:before="282"/>
      </w:pPr>
      <w:bookmarkStart w:name="_TOC_250140" w:id="1"/>
      <w:bookmarkEnd w:id="1"/>
      <w:r>
        <w:rPr/>
        <w:t>LISTE DES ABREVIATIONS</w:t>
      </w:r>
    </w:p>
    <w:p>
      <w:pPr>
        <w:tabs>
          <w:tab w:pos="1568" w:val="left" w:leader="none"/>
        </w:tabs>
        <w:spacing w:before="112"/>
        <w:ind w:left="433" w:right="0" w:firstLine="0"/>
        <w:jc w:val="left"/>
        <w:rPr>
          <w:sz w:val="24"/>
        </w:rPr>
      </w:pPr>
      <w:r>
        <w:rPr>
          <w:b/>
          <w:sz w:val="24"/>
        </w:rPr>
        <w:t>AED</w:t>
      </w:r>
      <w:r>
        <w:rPr>
          <w:b/>
          <w:spacing w:val="-2"/>
          <w:sz w:val="24"/>
        </w:rPr>
        <w:t> </w:t>
      </w:r>
      <w:r>
        <w:rPr>
          <w:sz w:val="24"/>
        </w:rPr>
        <w:t>:</w:t>
        <w:tab/>
        <w:t>Autorisation d'Engagement des Dépenses</w:t>
      </w:r>
    </w:p>
    <w:p>
      <w:pPr>
        <w:tabs>
          <w:tab w:pos="1568" w:val="left" w:leader="none"/>
        </w:tabs>
        <w:spacing w:before="0"/>
        <w:ind w:left="433" w:right="0" w:firstLine="0"/>
        <w:jc w:val="left"/>
        <w:rPr>
          <w:sz w:val="24"/>
        </w:rPr>
      </w:pPr>
      <w:r>
        <w:rPr>
          <w:b/>
          <w:sz w:val="24"/>
        </w:rPr>
        <w:t>ASN</w:t>
      </w:r>
      <w:r>
        <w:rPr>
          <w:b/>
          <w:spacing w:val="-1"/>
          <w:sz w:val="24"/>
        </w:rPr>
        <w:t> </w:t>
      </w:r>
      <w:r>
        <w:rPr>
          <w:sz w:val="24"/>
        </w:rPr>
        <w:t>:</w:t>
        <w:tab/>
        <w:t>Ammonium Sulfate Nitrate</w:t>
      </w:r>
    </w:p>
    <w:p>
      <w:pPr>
        <w:tabs>
          <w:tab w:pos="1568" w:val="left" w:leader="none"/>
        </w:tabs>
        <w:spacing w:before="0"/>
        <w:ind w:left="433" w:right="0" w:firstLine="0"/>
        <w:jc w:val="left"/>
        <w:rPr>
          <w:sz w:val="24"/>
        </w:rPr>
      </w:pPr>
      <w:r>
        <w:rPr>
          <w:b/>
          <w:sz w:val="24"/>
        </w:rPr>
        <w:t>BPU</w:t>
      </w:r>
      <w:r>
        <w:rPr>
          <w:b/>
          <w:spacing w:val="-2"/>
          <w:sz w:val="24"/>
        </w:rPr>
        <w:t> </w:t>
      </w:r>
      <w:r>
        <w:rPr>
          <w:sz w:val="24"/>
        </w:rPr>
        <w:t>:</w:t>
        <w:tab/>
        <w:t>Bordereau des Prix</w:t>
      </w:r>
      <w:r>
        <w:rPr>
          <w:spacing w:val="2"/>
          <w:sz w:val="24"/>
        </w:rPr>
        <w:t> </w:t>
      </w:r>
      <w:r>
        <w:rPr>
          <w:sz w:val="24"/>
        </w:rPr>
        <w:t>Unitaires</w:t>
      </w:r>
    </w:p>
    <w:p>
      <w:pPr>
        <w:tabs>
          <w:tab w:pos="1568" w:val="left" w:leader="none"/>
        </w:tabs>
        <w:spacing w:before="0"/>
        <w:ind w:left="433" w:right="0" w:firstLine="0"/>
        <w:jc w:val="left"/>
        <w:rPr>
          <w:sz w:val="24"/>
        </w:rPr>
      </w:pPr>
      <w:r>
        <w:rPr>
          <w:b/>
          <w:sz w:val="24"/>
        </w:rPr>
        <w:t>CACC</w:t>
      </w:r>
      <w:r>
        <w:rPr>
          <w:b/>
          <w:spacing w:val="-2"/>
          <w:sz w:val="24"/>
        </w:rPr>
        <w:t> </w:t>
      </w:r>
      <w:r>
        <w:rPr>
          <w:sz w:val="24"/>
        </w:rPr>
        <w:t>:</w:t>
        <w:tab/>
        <w:t>Commission d’Approbation des Cahier des</w:t>
      </w:r>
      <w:r>
        <w:rPr>
          <w:spacing w:val="-5"/>
          <w:sz w:val="24"/>
        </w:rPr>
        <w:t> </w:t>
      </w:r>
      <w:r>
        <w:rPr>
          <w:sz w:val="24"/>
        </w:rPr>
        <w:t>Charges</w:t>
      </w:r>
    </w:p>
    <w:p>
      <w:pPr>
        <w:tabs>
          <w:tab w:pos="1568" w:val="left" w:leader="none"/>
        </w:tabs>
        <w:spacing w:before="0"/>
        <w:ind w:left="433" w:right="0" w:firstLine="0"/>
        <w:jc w:val="left"/>
        <w:rPr>
          <w:sz w:val="24"/>
        </w:rPr>
      </w:pPr>
      <w:r>
        <w:rPr>
          <w:b/>
          <w:sz w:val="24"/>
        </w:rPr>
        <w:t>CAE</w:t>
      </w:r>
      <w:r>
        <w:rPr>
          <w:b/>
          <w:spacing w:val="-1"/>
          <w:sz w:val="24"/>
        </w:rPr>
        <w:t> </w:t>
      </w:r>
      <w:r>
        <w:rPr>
          <w:sz w:val="24"/>
        </w:rPr>
        <w:t>:</w:t>
        <w:tab/>
        <w:t>Commission des Achats de l'Entreprise</w:t>
      </w:r>
    </w:p>
    <w:p>
      <w:pPr>
        <w:tabs>
          <w:tab w:pos="1568" w:val="left" w:leader="none"/>
        </w:tabs>
        <w:spacing w:before="0"/>
        <w:ind w:left="433" w:right="0" w:firstLine="0"/>
        <w:jc w:val="left"/>
        <w:rPr>
          <w:sz w:val="24"/>
        </w:rPr>
      </w:pPr>
      <w:r>
        <w:rPr>
          <w:b/>
          <w:sz w:val="24"/>
        </w:rPr>
        <w:t>CAFF</w:t>
      </w:r>
      <w:r>
        <w:rPr>
          <w:b/>
          <w:spacing w:val="-3"/>
          <w:sz w:val="24"/>
        </w:rPr>
        <w:t> </w:t>
      </w:r>
      <w:r>
        <w:rPr>
          <w:sz w:val="24"/>
        </w:rPr>
        <w:t>:</w:t>
        <w:tab/>
        <w:t>Commission des Affrètements</w:t>
      </w:r>
    </w:p>
    <w:p>
      <w:pPr>
        <w:tabs>
          <w:tab w:pos="1568" w:val="left" w:leader="none"/>
        </w:tabs>
        <w:spacing w:before="0"/>
        <w:ind w:left="433" w:right="0" w:firstLine="0"/>
        <w:jc w:val="left"/>
        <w:rPr>
          <w:sz w:val="24"/>
        </w:rPr>
      </w:pPr>
      <w:r>
        <w:rPr>
          <w:b/>
          <w:sz w:val="24"/>
        </w:rPr>
        <w:t>C&amp;F</w:t>
      </w:r>
      <w:r>
        <w:rPr>
          <w:b/>
          <w:spacing w:val="-4"/>
          <w:sz w:val="24"/>
        </w:rPr>
        <w:t> </w:t>
      </w:r>
      <w:r>
        <w:rPr>
          <w:sz w:val="24"/>
        </w:rPr>
        <w:t>:</w:t>
        <w:tab/>
        <w:t>Coût et Fret</w:t>
      </w:r>
    </w:p>
    <w:p>
      <w:pPr>
        <w:tabs>
          <w:tab w:pos="1568" w:val="left" w:leader="none"/>
        </w:tabs>
        <w:spacing w:before="1"/>
        <w:ind w:left="433" w:right="4579" w:firstLine="0"/>
        <w:jc w:val="left"/>
        <w:rPr>
          <w:sz w:val="24"/>
        </w:rPr>
      </w:pPr>
      <w:r>
        <w:rPr>
          <w:b/>
          <w:sz w:val="24"/>
        </w:rPr>
        <w:t>CCAG</w:t>
      </w:r>
      <w:r>
        <w:rPr>
          <w:b/>
          <w:spacing w:val="-3"/>
          <w:sz w:val="24"/>
        </w:rPr>
        <w:t> </w:t>
      </w:r>
      <w:r>
        <w:rPr>
          <w:sz w:val="24"/>
        </w:rPr>
        <w:t>:</w:t>
        <w:tab/>
        <w:t>Cahier des Clauses Administratives Générales </w:t>
      </w:r>
      <w:r>
        <w:rPr>
          <w:b/>
          <w:sz w:val="24"/>
        </w:rPr>
        <w:t>CCAP</w:t>
      </w:r>
      <w:r>
        <w:rPr>
          <w:b/>
          <w:spacing w:val="-4"/>
          <w:sz w:val="24"/>
        </w:rPr>
        <w:t> </w:t>
      </w:r>
      <w:r>
        <w:rPr>
          <w:sz w:val="24"/>
        </w:rPr>
        <w:t>:</w:t>
        <w:tab/>
        <w:t>Cahier des Clauses Administratives Particulières </w:t>
      </w:r>
      <w:r>
        <w:rPr>
          <w:b/>
          <w:sz w:val="24"/>
        </w:rPr>
        <w:t>CCT</w:t>
      </w:r>
      <w:r>
        <w:rPr>
          <w:b/>
          <w:spacing w:val="-1"/>
          <w:sz w:val="24"/>
        </w:rPr>
        <w:t> </w:t>
      </w:r>
      <w:r>
        <w:rPr>
          <w:sz w:val="24"/>
        </w:rPr>
        <w:t>:</w:t>
        <w:tab/>
        <w:t>Cahier des Charges</w:t>
      </w:r>
      <w:r>
        <w:rPr>
          <w:spacing w:val="-2"/>
          <w:sz w:val="24"/>
        </w:rPr>
        <w:t> </w:t>
      </w:r>
      <w:r>
        <w:rPr>
          <w:sz w:val="24"/>
        </w:rPr>
        <w:t>Techniques</w:t>
      </w:r>
    </w:p>
    <w:p>
      <w:pPr>
        <w:tabs>
          <w:tab w:pos="1568" w:val="left" w:leader="none"/>
        </w:tabs>
        <w:spacing w:before="0"/>
        <w:ind w:left="433" w:right="0" w:firstLine="0"/>
        <w:jc w:val="left"/>
        <w:rPr>
          <w:sz w:val="24"/>
        </w:rPr>
      </w:pPr>
      <w:r>
        <w:rPr>
          <w:b/>
          <w:sz w:val="24"/>
        </w:rPr>
        <w:t>CCTG</w:t>
      </w:r>
      <w:r>
        <w:rPr>
          <w:b/>
          <w:spacing w:val="-3"/>
          <w:sz w:val="24"/>
        </w:rPr>
        <w:t> </w:t>
      </w:r>
      <w:r>
        <w:rPr>
          <w:sz w:val="24"/>
        </w:rPr>
        <w:t>:</w:t>
        <w:tab/>
        <w:t>Cahier des Clauses Techniques</w:t>
      </w:r>
      <w:r>
        <w:rPr>
          <w:spacing w:val="-1"/>
          <w:sz w:val="24"/>
        </w:rPr>
        <w:t> </w:t>
      </w:r>
      <w:r>
        <w:rPr>
          <w:sz w:val="24"/>
        </w:rPr>
        <w:t>Générales</w:t>
      </w:r>
    </w:p>
    <w:p>
      <w:pPr>
        <w:tabs>
          <w:tab w:pos="1568" w:val="left" w:leader="none"/>
        </w:tabs>
        <w:spacing w:before="0"/>
        <w:ind w:left="433" w:right="0" w:firstLine="0"/>
        <w:jc w:val="left"/>
        <w:rPr>
          <w:sz w:val="24"/>
        </w:rPr>
      </w:pPr>
      <w:r>
        <w:rPr>
          <w:b/>
          <w:sz w:val="24"/>
        </w:rPr>
        <w:t>CIF</w:t>
      </w:r>
      <w:r>
        <w:rPr>
          <w:b/>
          <w:spacing w:val="-4"/>
          <w:sz w:val="24"/>
        </w:rPr>
        <w:t> </w:t>
      </w:r>
      <w:r>
        <w:rPr>
          <w:sz w:val="24"/>
        </w:rPr>
        <w:t>:</w:t>
        <w:tab/>
        <w:t>Cost, Insurance,</w:t>
      </w:r>
      <w:r>
        <w:rPr>
          <w:spacing w:val="5"/>
          <w:sz w:val="24"/>
        </w:rPr>
        <w:t> </w:t>
      </w:r>
      <w:r>
        <w:rPr>
          <w:sz w:val="24"/>
        </w:rPr>
        <w:t>Freight</w:t>
      </w:r>
    </w:p>
    <w:p>
      <w:pPr>
        <w:tabs>
          <w:tab w:pos="1568" w:val="left" w:leader="none"/>
        </w:tabs>
        <w:spacing w:before="0"/>
        <w:ind w:left="433" w:right="0" w:firstLine="0"/>
        <w:jc w:val="left"/>
        <w:rPr>
          <w:sz w:val="24"/>
        </w:rPr>
      </w:pPr>
      <w:r>
        <w:rPr>
          <w:b/>
          <w:sz w:val="24"/>
        </w:rPr>
        <w:t>CME</w:t>
      </w:r>
      <w:r>
        <w:rPr>
          <w:b/>
          <w:spacing w:val="-1"/>
          <w:sz w:val="24"/>
        </w:rPr>
        <w:t> </w:t>
      </w:r>
      <w:r>
        <w:rPr>
          <w:sz w:val="24"/>
        </w:rPr>
        <w:t>:</w:t>
        <w:tab/>
        <w:t>Commission des Marchés</w:t>
      </w:r>
      <w:r>
        <w:rPr>
          <w:spacing w:val="-1"/>
          <w:sz w:val="24"/>
        </w:rPr>
        <w:t> </w:t>
      </w:r>
      <w:r>
        <w:rPr>
          <w:sz w:val="24"/>
        </w:rPr>
        <w:t>d’Entreprise</w:t>
      </w:r>
    </w:p>
    <w:p>
      <w:pPr>
        <w:tabs>
          <w:tab w:pos="1568" w:val="left" w:leader="none"/>
        </w:tabs>
        <w:spacing w:before="0"/>
        <w:ind w:left="433" w:right="5907" w:firstLine="0"/>
        <w:jc w:val="left"/>
        <w:rPr>
          <w:sz w:val="24"/>
        </w:rPr>
      </w:pPr>
      <w:r>
        <w:rPr>
          <w:b/>
          <w:sz w:val="24"/>
        </w:rPr>
        <w:t>COT</w:t>
      </w:r>
      <w:r>
        <w:rPr>
          <w:b/>
          <w:spacing w:val="-1"/>
          <w:sz w:val="24"/>
        </w:rPr>
        <w:t> </w:t>
      </w:r>
      <w:r>
        <w:rPr>
          <w:sz w:val="24"/>
        </w:rPr>
        <w:t>:</w:t>
        <w:tab/>
        <w:t>Contenu de l'Offre Technique </w:t>
      </w:r>
      <w:r>
        <w:rPr>
          <w:b/>
          <w:sz w:val="24"/>
        </w:rPr>
        <w:t>CPG</w:t>
      </w:r>
      <w:r>
        <w:rPr>
          <w:b/>
          <w:spacing w:val="-3"/>
          <w:sz w:val="24"/>
        </w:rPr>
        <w:t> </w:t>
      </w:r>
      <w:r>
        <w:rPr>
          <w:sz w:val="24"/>
        </w:rPr>
        <w:t>:</w:t>
        <w:tab/>
        <w:t>Compagnie de Phosphate Gafsa </w:t>
      </w:r>
      <w:r>
        <w:rPr>
          <w:b/>
          <w:sz w:val="24"/>
        </w:rPr>
        <w:t>CRA</w:t>
      </w:r>
      <w:r>
        <w:rPr>
          <w:b/>
          <w:spacing w:val="-2"/>
          <w:sz w:val="24"/>
        </w:rPr>
        <w:t> </w:t>
      </w:r>
      <w:r>
        <w:rPr>
          <w:sz w:val="24"/>
        </w:rPr>
        <w:t>:</w:t>
        <w:tab/>
        <w:t>Commission Régionale des</w:t>
      </w:r>
      <w:r>
        <w:rPr>
          <w:spacing w:val="2"/>
          <w:sz w:val="24"/>
        </w:rPr>
        <w:t> </w:t>
      </w:r>
      <w:r>
        <w:rPr>
          <w:spacing w:val="-4"/>
          <w:sz w:val="24"/>
        </w:rPr>
        <w:t>Achats</w:t>
      </w:r>
    </w:p>
    <w:p>
      <w:pPr>
        <w:spacing w:before="0"/>
        <w:ind w:left="433" w:right="0" w:firstLine="0"/>
        <w:jc w:val="left"/>
        <w:rPr>
          <w:sz w:val="24"/>
        </w:rPr>
      </w:pPr>
      <w:r>
        <w:rPr>
          <w:b/>
          <w:sz w:val="24"/>
        </w:rPr>
        <w:t>CROOA </w:t>
      </w:r>
      <w:r>
        <w:rPr>
          <w:sz w:val="24"/>
        </w:rPr>
        <w:t>: Commission Régionale d’Ouverture des Offres des Achats hors marchés</w:t>
      </w:r>
    </w:p>
    <w:p>
      <w:pPr>
        <w:spacing w:before="0"/>
        <w:ind w:left="433" w:right="0" w:firstLine="0"/>
        <w:jc w:val="left"/>
        <w:rPr>
          <w:sz w:val="24"/>
        </w:rPr>
      </w:pPr>
      <w:r>
        <w:rPr>
          <w:b/>
          <w:sz w:val="24"/>
        </w:rPr>
        <w:t>CROOM </w:t>
      </w:r>
      <w:r>
        <w:rPr>
          <w:sz w:val="24"/>
        </w:rPr>
        <w:t>: Commission Régionale d’Ouverture des Offres des Marchés</w:t>
      </w:r>
    </w:p>
    <w:p>
      <w:pPr>
        <w:tabs>
          <w:tab w:pos="1568" w:val="left" w:leader="none"/>
        </w:tabs>
        <w:spacing w:before="0"/>
        <w:ind w:left="433" w:right="0" w:firstLine="0"/>
        <w:jc w:val="left"/>
        <w:rPr>
          <w:sz w:val="24"/>
        </w:rPr>
      </w:pPr>
      <w:r>
        <w:rPr>
          <w:b/>
          <w:sz w:val="24"/>
        </w:rPr>
        <w:t>DAR</w:t>
      </w:r>
      <w:r>
        <w:rPr>
          <w:b/>
          <w:spacing w:val="-2"/>
          <w:sz w:val="24"/>
        </w:rPr>
        <w:t> </w:t>
      </w:r>
      <w:r>
        <w:rPr>
          <w:sz w:val="24"/>
        </w:rPr>
        <w:t>:</w:t>
        <w:tab/>
        <w:t>Direction d’Achat de la Région</w:t>
      </w:r>
    </w:p>
    <w:p>
      <w:pPr>
        <w:tabs>
          <w:tab w:pos="1568" w:val="left" w:leader="none"/>
        </w:tabs>
        <w:spacing w:before="1"/>
        <w:ind w:left="433" w:right="3266" w:firstLine="0"/>
        <w:jc w:val="left"/>
        <w:rPr>
          <w:sz w:val="24"/>
        </w:rPr>
      </w:pPr>
      <w:r>
        <w:rPr>
          <w:b/>
          <w:sz w:val="24"/>
        </w:rPr>
        <w:t>D</w:t>
      </w:r>
      <w:r>
        <w:rPr>
          <w:b/>
          <w:spacing w:val="-1"/>
          <w:sz w:val="24"/>
        </w:rPr>
        <w:t> </w:t>
      </w:r>
      <w:r>
        <w:rPr>
          <w:b/>
          <w:sz w:val="24"/>
        </w:rPr>
        <w:t>App</w:t>
      </w:r>
      <w:r>
        <w:rPr>
          <w:b/>
          <w:spacing w:val="1"/>
          <w:sz w:val="24"/>
        </w:rPr>
        <w:t> </w:t>
      </w:r>
      <w:r>
        <w:rPr>
          <w:sz w:val="24"/>
        </w:rPr>
        <w:t>:</w:t>
        <w:tab/>
        <w:t>Direction d’Approvisionnement (de Gabes, de Gafsa, de Sfax) </w:t>
      </w:r>
      <w:r>
        <w:rPr>
          <w:b/>
          <w:sz w:val="24"/>
        </w:rPr>
        <w:t>DMG</w:t>
      </w:r>
      <w:r>
        <w:rPr>
          <w:b/>
          <w:spacing w:val="-3"/>
          <w:sz w:val="24"/>
        </w:rPr>
        <w:t> </w:t>
      </w:r>
      <w:r>
        <w:rPr>
          <w:sz w:val="24"/>
        </w:rPr>
        <w:t>:</w:t>
        <w:tab/>
        <w:t>Direction des Moyens Généraux de Tunis </w:t>
      </w:r>
      <w:r>
        <w:rPr>
          <w:b/>
          <w:sz w:val="24"/>
        </w:rPr>
        <w:t>DCAHMP</w:t>
      </w:r>
      <w:r>
        <w:rPr>
          <w:sz w:val="24"/>
        </w:rPr>
        <w:t>:Direction Centrale des Achats Hors Matières Premières </w:t>
      </w:r>
      <w:r>
        <w:rPr>
          <w:b/>
          <w:sz w:val="24"/>
        </w:rPr>
        <w:t>DCAMP</w:t>
      </w:r>
      <w:r>
        <w:rPr>
          <w:sz w:val="24"/>
        </w:rPr>
        <w:t>: Direction Centrale des Achats de Matières</w:t>
      </w:r>
      <w:r>
        <w:rPr>
          <w:spacing w:val="-9"/>
          <w:sz w:val="24"/>
        </w:rPr>
        <w:t> </w:t>
      </w:r>
      <w:r>
        <w:rPr>
          <w:sz w:val="24"/>
        </w:rPr>
        <w:t>Premières</w:t>
      </w:r>
    </w:p>
    <w:p>
      <w:pPr>
        <w:tabs>
          <w:tab w:pos="1568" w:val="left" w:leader="none"/>
        </w:tabs>
        <w:spacing w:before="0"/>
        <w:ind w:left="433" w:right="0" w:firstLine="0"/>
        <w:jc w:val="left"/>
        <w:rPr>
          <w:sz w:val="24"/>
        </w:rPr>
      </w:pPr>
      <w:r>
        <w:rPr>
          <w:b/>
          <w:sz w:val="24"/>
        </w:rPr>
        <w:t>DCCG</w:t>
      </w:r>
      <w:r>
        <w:rPr>
          <w:b/>
          <w:spacing w:val="-3"/>
          <w:sz w:val="24"/>
        </w:rPr>
        <w:t> </w:t>
      </w:r>
      <w:r>
        <w:rPr>
          <w:sz w:val="24"/>
        </w:rPr>
        <w:t>:</w:t>
        <w:tab/>
        <w:t>Direction Centrale de Contrôle de</w:t>
      </w:r>
      <w:r>
        <w:rPr>
          <w:spacing w:val="-4"/>
          <w:sz w:val="24"/>
        </w:rPr>
        <w:t> </w:t>
      </w:r>
      <w:r>
        <w:rPr>
          <w:sz w:val="24"/>
        </w:rPr>
        <w:t>Gestion</w:t>
      </w:r>
    </w:p>
    <w:p>
      <w:pPr>
        <w:tabs>
          <w:tab w:pos="1568" w:val="left" w:leader="none"/>
        </w:tabs>
        <w:spacing w:before="0"/>
        <w:ind w:left="433" w:right="0" w:firstLine="0"/>
        <w:jc w:val="left"/>
        <w:rPr>
          <w:sz w:val="24"/>
        </w:rPr>
      </w:pPr>
      <w:r>
        <w:rPr>
          <w:b/>
          <w:sz w:val="24"/>
        </w:rPr>
        <w:t>DE</w:t>
      </w:r>
      <w:r>
        <w:rPr>
          <w:b/>
          <w:spacing w:val="-1"/>
          <w:sz w:val="24"/>
        </w:rPr>
        <w:t> </w:t>
      </w:r>
      <w:r>
        <w:rPr>
          <w:sz w:val="24"/>
        </w:rPr>
        <w:t>:</w:t>
        <w:tab/>
        <w:t>Détail Estimatif</w:t>
      </w:r>
    </w:p>
    <w:p>
      <w:pPr>
        <w:tabs>
          <w:tab w:pos="1568" w:val="left" w:leader="none"/>
        </w:tabs>
        <w:spacing w:before="0"/>
        <w:ind w:left="433" w:right="0" w:firstLine="0"/>
        <w:jc w:val="left"/>
        <w:rPr>
          <w:sz w:val="24"/>
        </w:rPr>
      </w:pPr>
      <w:r>
        <w:rPr>
          <w:b/>
          <w:sz w:val="24"/>
        </w:rPr>
        <w:t>DGAT</w:t>
      </w:r>
      <w:r>
        <w:rPr>
          <w:b/>
          <w:spacing w:val="-1"/>
          <w:sz w:val="24"/>
        </w:rPr>
        <w:t> </w:t>
      </w:r>
      <w:r>
        <w:rPr>
          <w:sz w:val="24"/>
        </w:rPr>
        <w:t>:</w:t>
        <w:tab/>
        <w:t>Directeur Général Adjoint</w:t>
      </w:r>
      <w:r>
        <w:rPr>
          <w:spacing w:val="-1"/>
          <w:sz w:val="24"/>
        </w:rPr>
        <w:t> </w:t>
      </w:r>
      <w:r>
        <w:rPr>
          <w:sz w:val="24"/>
        </w:rPr>
        <w:t>Technique</w:t>
      </w:r>
    </w:p>
    <w:p>
      <w:pPr>
        <w:tabs>
          <w:tab w:pos="1568" w:val="left" w:leader="none"/>
        </w:tabs>
        <w:spacing w:before="0"/>
        <w:ind w:left="433" w:right="0" w:firstLine="0"/>
        <w:jc w:val="left"/>
        <w:rPr>
          <w:sz w:val="24"/>
        </w:rPr>
      </w:pPr>
      <w:r>
        <w:rPr>
          <w:b/>
          <w:sz w:val="24"/>
        </w:rPr>
        <w:t>DG</w:t>
      </w:r>
      <w:r>
        <w:rPr>
          <w:b/>
          <w:spacing w:val="-3"/>
          <w:sz w:val="24"/>
        </w:rPr>
        <w:t> </w:t>
      </w:r>
      <w:r>
        <w:rPr>
          <w:sz w:val="24"/>
        </w:rPr>
        <w:t>:</w:t>
        <w:tab/>
        <w:t>Directeur Général</w:t>
      </w:r>
    </w:p>
    <w:p>
      <w:pPr>
        <w:tabs>
          <w:tab w:pos="1568" w:val="left" w:leader="none"/>
        </w:tabs>
        <w:spacing w:before="0"/>
        <w:ind w:left="433" w:right="0" w:firstLine="0"/>
        <w:jc w:val="left"/>
        <w:rPr>
          <w:sz w:val="24"/>
        </w:rPr>
      </w:pPr>
      <w:r>
        <w:rPr>
          <w:b/>
          <w:sz w:val="24"/>
        </w:rPr>
        <w:t>DGC</w:t>
      </w:r>
      <w:r>
        <w:rPr>
          <w:b/>
          <w:spacing w:val="-2"/>
          <w:sz w:val="24"/>
        </w:rPr>
        <w:t> </w:t>
      </w:r>
      <w:r>
        <w:rPr>
          <w:sz w:val="24"/>
        </w:rPr>
        <w:t>:</w:t>
        <w:tab/>
        <w:t>Directeur Général</w:t>
      </w:r>
      <w:r>
        <w:rPr>
          <w:spacing w:val="-1"/>
          <w:sz w:val="24"/>
        </w:rPr>
        <w:t> </w:t>
      </w:r>
      <w:r>
        <w:rPr>
          <w:sz w:val="24"/>
        </w:rPr>
        <w:t>Commercial</w:t>
      </w:r>
    </w:p>
    <w:p>
      <w:pPr>
        <w:tabs>
          <w:tab w:pos="1568" w:val="left" w:leader="none"/>
        </w:tabs>
        <w:spacing w:before="0"/>
        <w:ind w:left="433" w:right="0" w:firstLine="0"/>
        <w:jc w:val="left"/>
        <w:rPr>
          <w:sz w:val="24"/>
        </w:rPr>
      </w:pPr>
      <w:r>
        <w:rPr>
          <w:b/>
          <w:sz w:val="24"/>
        </w:rPr>
        <w:t>DPGF</w:t>
      </w:r>
      <w:r>
        <w:rPr>
          <w:b/>
          <w:spacing w:val="-4"/>
          <w:sz w:val="24"/>
        </w:rPr>
        <w:t> </w:t>
      </w:r>
      <w:r>
        <w:rPr>
          <w:sz w:val="24"/>
        </w:rPr>
        <w:t>:</w:t>
        <w:tab/>
        <w:t>Décomposition du Prix Global</w:t>
      </w:r>
      <w:r>
        <w:rPr>
          <w:spacing w:val="-1"/>
          <w:sz w:val="24"/>
        </w:rPr>
        <w:t> </w:t>
      </w:r>
      <w:r>
        <w:rPr>
          <w:sz w:val="24"/>
        </w:rPr>
        <w:t>Forfaitaire</w:t>
      </w:r>
    </w:p>
    <w:p>
      <w:pPr>
        <w:tabs>
          <w:tab w:pos="1568" w:val="left" w:leader="none"/>
        </w:tabs>
        <w:spacing w:before="0"/>
        <w:ind w:left="433" w:right="0" w:firstLine="0"/>
        <w:jc w:val="left"/>
        <w:rPr>
          <w:sz w:val="24"/>
        </w:rPr>
      </w:pPr>
      <w:r>
        <w:rPr>
          <w:b/>
          <w:sz w:val="24"/>
        </w:rPr>
        <w:t>DRU</w:t>
      </w:r>
      <w:r>
        <w:rPr>
          <w:b/>
          <w:spacing w:val="-2"/>
          <w:sz w:val="24"/>
        </w:rPr>
        <w:t> </w:t>
      </w:r>
      <w:r>
        <w:rPr>
          <w:sz w:val="24"/>
        </w:rPr>
        <w:t>:</w:t>
        <w:tab/>
        <w:t>Directeur Régional des Usines</w:t>
      </w:r>
    </w:p>
    <w:p>
      <w:pPr>
        <w:tabs>
          <w:tab w:pos="1568" w:val="left" w:leader="none"/>
        </w:tabs>
        <w:spacing w:before="0"/>
        <w:ind w:left="433" w:right="0" w:firstLine="0"/>
        <w:jc w:val="left"/>
        <w:rPr>
          <w:sz w:val="24"/>
        </w:rPr>
      </w:pPr>
      <w:r>
        <w:rPr>
          <w:b/>
          <w:sz w:val="24"/>
        </w:rPr>
        <w:t>FOB </w:t>
      </w:r>
      <w:r>
        <w:rPr>
          <w:sz w:val="24"/>
        </w:rPr>
        <w:t>:</w:t>
        <w:tab/>
        <w:t>Free On Board</w:t>
      </w:r>
    </w:p>
    <w:p>
      <w:pPr>
        <w:tabs>
          <w:tab w:pos="1568" w:val="left" w:leader="none"/>
        </w:tabs>
        <w:spacing w:before="0"/>
        <w:ind w:left="433" w:right="6130" w:firstLine="0"/>
        <w:jc w:val="left"/>
        <w:rPr>
          <w:sz w:val="24"/>
        </w:rPr>
      </w:pPr>
      <w:r>
        <w:rPr>
          <w:b/>
          <w:sz w:val="24"/>
        </w:rPr>
        <w:t>GCT</w:t>
      </w:r>
      <w:r>
        <w:rPr>
          <w:b/>
          <w:spacing w:val="-1"/>
          <w:sz w:val="24"/>
        </w:rPr>
        <w:t> </w:t>
      </w:r>
      <w:r>
        <w:rPr>
          <w:sz w:val="24"/>
        </w:rPr>
        <w:t>:</w:t>
        <w:tab/>
        <w:t>Groupe Chimique Tunisien </w:t>
      </w:r>
      <w:r>
        <w:rPr>
          <w:b/>
          <w:sz w:val="24"/>
        </w:rPr>
        <w:t>HTVA</w:t>
      </w:r>
      <w:r>
        <w:rPr>
          <w:b/>
          <w:spacing w:val="-2"/>
          <w:sz w:val="24"/>
        </w:rPr>
        <w:t> </w:t>
      </w:r>
      <w:r>
        <w:rPr>
          <w:sz w:val="24"/>
        </w:rPr>
        <w:t>:</w:t>
        <w:tab/>
        <w:t>Hors Taxe sur la Valeur Ajoutée </w:t>
      </w:r>
      <w:r>
        <w:rPr>
          <w:b/>
          <w:sz w:val="24"/>
        </w:rPr>
        <w:t>mDT</w:t>
      </w:r>
      <w:r>
        <w:rPr>
          <w:b/>
          <w:spacing w:val="-1"/>
          <w:sz w:val="24"/>
        </w:rPr>
        <w:t> </w:t>
      </w:r>
      <w:r>
        <w:rPr>
          <w:sz w:val="24"/>
        </w:rPr>
        <w:t>:</w:t>
        <w:tab/>
        <w:t>mille Dinars</w:t>
      </w:r>
      <w:r>
        <w:rPr>
          <w:spacing w:val="-1"/>
          <w:sz w:val="24"/>
        </w:rPr>
        <w:t> </w:t>
      </w:r>
      <w:r>
        <w:rPr>
          <w:sz w:val="24"/>
        </w:rPr>
        <w:t>Tunisien</w:t>
      </w:r>
    </w:p>
    <w:p>
      <w:pPr>
        <w:tabs>
          <w:tab w:pos="1568" w:val="left" w:leader="none"/>
        </w:tabs>
        <w:spacing w:before="0"/>
        <w:ind w:left="433" w:right="6474" w:firstLine="0"/>
        <w:jc w:val="both"/>
        <w:rPr>
          <w:sz w:val="24"/>
        </w:rPr>
      </w:pPr>
      <w:r>
        <w:rPr>
          <w:b/>
          <w:sz w:val="24"/>
        </w:rPr>
        <w:t>MOF </w:t>
      </w:r>
      <w:r>
        <w:rPr>
          <w:sz w:val="24"/>
        </w:rPr>
        <w:t>: Modèle de l'Offre Financière </w:t>
      </w:r>
      <w:r>
        <w:rPr>
          <w:b/>
          <w:sz w:val="24"/>
        </w:rPr>
        <w:t>MOT </w:t>
      </w:r>
      <w:r>
        <w:rPr>
          <w:sz w:val="24"/>
        </w:rPr>
        <w:t>:  Modèle de l'Offre Technique </w:t>
      </w:r>
      <w:r>
        <w:rPr>
          <w:b/>
          <w:sz w:val="24"/>
        </w:rPr>
        <w:t>SG</w:t>
      </w:r>
      <w:r>
        <w:rPr>
          <w:b/>
          <w:spacing w:val="-2"/>
          <w:sz w:val="24"/>
        </w:rPr>
        <w:t> </w:t>
      </w:r>
      <w:r>
        <w:rPr>
          <w:sz w:val="24"/>
        </w:rPr>
        <w:t>:</w:t>
        <w:tab/>
        <w:t>Secrétaire</w:t>
      </w:r>
      <w:r>
        <w:rPr>
          <w:spacing w:val="-2"/>
          <w:sz w:val="24"/>
        </w:rPr>
        <w:t> </w:t>
      </w:r>
      <w:r>
        <w:rPr>
          <w:sz w:val="24"/>
        </w:rPr>
        <w:t>Général</w:t>
      </w:r>
    </w:p>
    <w:p>
      <w:pPr>
        <w:spacing w:before="1"/>
        <w:ind w:left="433" w:right="0" w:firstLine="0"/>
        <w:jc w:val="both"/>
        <w:rPr>
          <w:sz w:val="24"/>
        </w:rPr>
      </w:pPr>
      <w:r>
        <w:rPr>
          <w:b/>
          <w:sz w:val="24"/>
        </w:rPr>
        <w:t>SPCM </w:t>
      </w:r>
      <w:r>
        <w:rPr>
          <w:sz w:val="24"/>
        </w:rPr>
        <w:t>: Secrétariat Permanant des Commissions des Marchés de l’Entreprise</w:t>
      </w:r>
    </w:p>
    <w:p>
      <w:pPr>
        <w:spacing w:before="0"/>
        <w:ind w:left="433" w:right="0" w:firstLine="0"/>
        <w:jc w:val="both"/>
        <w:rPr>
          <w:sz w:val="24"/>
        </w:rPr>
      </w:pPr>
      <w:r>
        <w:rPr>
          <w:b/>
          <w:sz w:val="24"/>
        </w:rPr>
        <w:t>SPCA </w:t>
      </w:r>
      <w:r>
        <w:rPr>
          <w:sz w:val="24"/>
        </w:rPr>
        <w:t>: Secrétariat de la Commission des Achats de l’Entreprise</w:t>
      </w:r>
    </w:p>
    <w:p>
      <w:pPr>
        <w:spacing w:before="0"/>
        <w:ind w:left="433" w:right="0" w:firstLine="0"/>
        <w:jc w:val="both"/>
        <w:rPr>
          <w:sz w:val="24"/>
        </w:rPr>
      </w:pPr>
      <w:r>
        <w:rPr>
          <w:b/>
          <w:sz w:val="24"/>
        </w:rPr>
        <w:t>TUNEPS</w:t>
      </w:r>
      <w:r>
        <w:rPr>
          <w:sz w:val="24"/>
        </w:rPr>
        <w:t>: TUNisia on line E-Procurement System</w:t>
      </w:r>
    </w:p>
    <w:p>
      <w:pPr>
        <w:spacing w:after="0"/>
        <w:jc w:val="both"/>
        <w:rPr>
          <w:sz w:val="24"/>
        </w:rPr>
        <w:sectPr>
          <w:pgSz w:w="11910" w:h="16840"/>
          <w:pgMar w:header="722" w:footer="0" w:top="1860" w:bottom="280" w:left="700" w:right="380"/>
        </w:sectPr>
      </w:pPr>
    </w:p>
    <w:p>
      <w:pPr>
        <w:pStyle w:val="BodyText"/>
        <w:ind w:left="0" w:firstLine="0"/>
        <w:jc w:val="left"/>
        <w:rPr>
          <w:sz w:val="17"/>
        </w:rPr>
      </w:pPr>
    </w:p>
    <w:p>
      <w:pPr>
        <w:pStyle w:val="Heading1"/>
      </w:pPr>
      <w:bookmarkStart w:name="_TOC_250139" w:id="2"/>
      <w:bookmarkEnd w:id="2"/>
      <w:r>
        <w:rPr/>
        <w:t>PRÉAMBULE</w:t>
      </w:r>
    </w:p>
    <w:p>
      <w:pPr>
        <w:pStyle w:val="BodyText"/>
        <w:spacing w:before="114"/>
        <w:ind w:right="754"/>
      </w:pPr>
      <w:r>
        <w:rPr/>
        <w:t>Le</w:t>
      </w:r>
      <w:r>
        <w:rPr>
          <w:spacing w:val="-18"/>
        </w:rPr>
        <w:t> </w:t>
      </w:r>
      <w:r>
        <w:rPr/>
        <w:t>Groupe</w:t>
      </w:r>
      <w:r>
        <w:rPr>
          <w:spacing w:val="-18"/>
        </w:rPr>
        <w:t> </w:t>
      </w:r>
      <w:r>
        <w:rPr/>
        <w:t>Chimique</w:t>
      </w:r>
      <w:r>
        <w:rPr>
          <w:spacing w:val="-20"/>
        </w:rPr>
        <w:t> </w:t>
      </w:r>
      <w:r>
        <w:rPr/>
        <w:t>Tunisien</w:t>
      </w:r>
      <w:r>
        <w:rPr>
          <w:spacing w:val="-17"/>
        </w:rPr>
        <w:t> </w:t>
      </w:r>
      <w:r>
        <w:rPr/>
        <w:t>est</w:t>
      </w:r>
      <w:r>
        <w:rPr>
          <w:spacing w:val="-17"/>
        </w:rPr>
        <w:t> </w:t>
      </w:r>
      <w:r>
        <w:rPr/>
        <w:t>une</w:t>
      </w:r>
      <w:r>
        <w:rPr>
          <w:spacing w:val="-18"/>
        </w:rPr>
        <w:t> </w:t>
      </w:r>
      <w:r>
        <w:rPr/>
        <w:t>entreprise</w:t>
      </w:r>
      <w:r>
        <w:rPr>
          <w:spacing w:val="-20"/>
        </w:rPr>
        <w:t> </w:t>
      </w:r>
      <w:r>
        <w:rPr/>
        <w:t>publique</w:t>
      </w:r>
      <w:r>
        <w:rPr>
          <w:spacing w:val="-18"/>
        </w:rPr>
        <w:t> </w:t>
      </w:r>
      <w:r>
        <w:rPr/>
        <w:t>concernée</w:t>
      </w:r>
      <w:r>
        <w:rPr>
          <w:spacing w:val="-20"/>
        </w:rPr>
        <w:t> </w:t>
      </w:r>
      <w:r>
        <w:rPr/>
        <w:t>par</w:t>
      </w:r>
      <w:r>
        <w:rPr>
          <w:spacing w:val="-17"/>
        </w:rPr>
        <w:t> </w:t>
      </w:r>
      <w:r>
        <w:rPr/>
        <w:t>le</w:t>
      </w:r>
      <w:r>
        <w:rPr>
          <w:spacing w:val="-18"/>
        </w:rPr>
        <w:t> </w:t>
      </w:r>
      <w:r>
        <w:rPr/>
        <w:t>Décret gouvernemental n° 2020-1061 du 30 décembre 2020, portant application de l’article 22 (ter) de la loi n° 89-9 du 1er février 1989 relative aux participations, entreprises et établissements publics à certaines entreprises</w:t>
      </w:r>
      <w:r>
        <w:rPr>
          <w:spacing w:val="-1"/>
        </w:rPr>
        <w:t> </w:t>
      </w:r>
      <w:r>
        <w:rPr/>
        <w:t>publiques.</w:t>
      </w:r>
    </w:p>
    <w:p>
      <w:pPr>
        <w:pStyle w:val="BodyText"/>
        <w:spacing w:before="1"/>
        <w:ind w:right="749"/>
      </w:pPr>
      <w:r>
        <w:rPr/>
        <w:t>Dans le cadre d'application dudit décret, le Groupe Chimique Tunisien établi le présent manuel de procédures fixant les conditions de l’élaboration, de la conclusion, de l’exécution, du paiement et de la clôture de ses achats hors marchés et de ses marchés selon les principes de l’égalité, de la concurrence et de la transparence dans l'objectif d'assurer les règles d'efficacité et de la bonne gouvernance.</w:t>
      </w:r>
    </w:p>
    <w:p>
      <w:pPr>
        <w:pStyle w:val="BodyText"/>
        <w:spacing w:before="1"/>
        <w:ind w:right="763"/>
      </w:pPr>
      <w:r>
        <w:rPr/>
        <w:t>Le présent manuel annule et remplace les manuels actuels ainsi que les notes d’application qui y sont</w:t>
      </w:r>
      <w:r>
        <w:rPr>
          <w:spacing w:val="-7"/>
        </w:rPr>
        <w:t> </w:t>
      </w:r>
      <w:r>
        <w:rPr/>
        <w:t>contradictoires.</w:t>
      </w:r>
    </w:p>
    <w:p>
      <w:pPr>
        <w:pStyle w:val="BodyText"/>
        <w:ind w:right="748"/>
      </w:pPr>
      <w:r>
        <w:rPr/>
        <w:t>Le traitement des dossiers d’achats qui sont déjà lancés et non encore clôturés à la date d’entrée en application du présent manuel se poursuit conformément aux dispositions du présent manuel. Cependant, les dossiers en cours relevant de la compétence de la Commission Supérieure de Contrôle et d’Audit des Marchés pour lesquels</w:t>
      </w:r>
      <w:r>
        <w:rPr>
          <w:spacing w:val="-13"/>
        </w:rPr>
        <w:t> </w:t>
      </w:r>
      <w:r>
        <w:rPr/>
        <w:t>les</w:t>
      </w:r>
      <w:r>
        <w:rPr>
          <w:spacing w:val="-12"/>
        </w:rPr>
        <w:t> </w:t>
      </w:r>
      <w:r>
        <w:rPr/>
        <w:t>appels</w:t>
      </w:r>
      <w:r>
        <w:rPr>
          <w:spacing w:val="-13"/>
        </w:rPr>
        <w:t> </w:t>
      </w:r>
      <w:r>
        <w:rPr/>
        <w:t>à</w:t>
      </w:r>
      <w:r>
        <w:rPr>
          <w:spacing w:val="-12"/>
        </w:rPr>
        <w:t> </w:t>
      </w:r>
      <w:r>
        <w:rPr/>
        <w:t>la</w:t>
      </w:r>
      <w:r>
        <w:rPr>
          <w:spacing w:val="-12"/>
        </w:rPr>
        <w:t> </w:t>
      </w:r>
      <w:r>
        <w:rPr/>
        <w:t>concurrence</w:t>
      </w:r>
      <w:r>
        <w:rPr>
          <w:spacing w:val="-13"/>
        </w:rPr>
        <w:t> </w:t>
      </w:r>
      <w:r>
        <w:rPr/>
        <w:t>ont</w:t>
      </w:r>
      <w:r>
        <w:rPr>
          <w:spacing w:val="-12"/>
        </w:rPr>
        <w:t> </w:t>
      </w:r>
      <w:r>
        <w:rPr/>
        <w:t>été</w:t>
      </w:r>
      <w:r>
        <w:rPr>
          <w:spacing w:val="-13"/>
        </w:rPr>
        <w:t> </w:t>
      </w:r>
      <w:r>
        <w:rPr/>
        <w:t>publiés</w:t>
      </w:r>
      <w:r>
        <w:rPr>
          <w:spacing w:val="-12"/>
        </w:rPr>
        <w:t> </w:t>
      </w:r>
      <w:r>
        <w:rPr/>
        <w:t>avant</w:t>
      </w:r>
      <w:r>
        <w:rPr>
          <w:spacing w:val="-12"/>
        </w:rPr>
        <w:t> </w:t>
      </w:r>
      <w:r>
        <w:rPr/>
        <w:t>l’entrée</w:t>
      </w:r>
      <w:r>
        <w:rPr>
          <w:spacing w:val="-16"/>
        </w:rPr>
        <w:t> </w:t>
      </w:r>
      <w:r>
        <w:rPr/>
        <w:t>en</w:t>
      </w:r>
      <w:r>
        <w:rPr>
          <w:spacing w:val="-11"/>
        </w:rPr>
        <w:t> </w:t>
      </w:r>
      <w:r>
        <w:rPr/>
        <w:t>vigueur</w:t>
      </w:r>
      <w:r>
        <w:rPr>
          <w:spacing w:val="-13"/>
        </w:rPr>
        <w:t> </w:t>
      </w:r>
      <w:r>
        <w:rPr/>
        <w:t>du</w:t>
      </w:r>
      <w:r>
        <w:rPr>
          <w:spacing w:val="-12"/>
        </w:rPr>
        <w:t> </w:t>
      </w:r>
      <w:r>
        <w:rPr/>
        <w:t>présent manuel, sont traités conformément à la réglementation en vigueur à la date de la publication de l’appel à la</w:t>
      </w:r>
      <w:r>
        <w:rPr>
          <w:spacing w:val="-6"/>
        </w:rPr>
        <w:t> </w:t>
      </w:r>
      <w:r>
        <w:rPr/>
        <w:t>concurrence.</w:t>
      </w:r>
    </w:p>
    <w:p>
      <w:pPr>
        <w:pStyle w:val="BodyText"/>
        <w:ind w:right="749"/>
      </w:pPr>
      <w:r>
        <w:rPr/>
        <w:t>Le</w:t>
      </w:r>
      <w:r>
        <w:rPr>
          <w:spacing w:val="-10"/>
        </w:rPr>
        <w:t> </w:t>
      </w:r>
      <w:r>
        <w:rPr/>
        <w:t>présent</w:t>
      </w:r>
      <w:r>
        <w:rPr>
          <w:spacing w:val="-11"/>
        </w:rPr>
        <w:t> </w:t>
      </w:r>
      <w:r>
        <w:rPr/>
        <w:t>manuel</w:t>
      </w:r>
      <w:r>
        <w:rPr>
          <w:spacing w:val="-11"/>
        </w:rPr>
        <w:t> </w:t>
      </w:r>
      <w:r>
        <w:rPr/>
        <w:t>entre</w:t>
      </w:r>
      <w:r>
        <w:rPr>
          <w:spacing w:val="-9"/>
        </w:rPr>
        <w:t> </w:t>
      </w:r>
      <w:r>
        <w:rPr/>
        <w:t>en</w:t>
      </w:r>
      <w:r>
        <w:rPr>
          <w:spacing w:val="-12"/>
        </w:rPr>
        <w:t> </w:t>
      </w:r>
      <w:r>
        <w:rPr/>
        <w:t>vigueur</w:t>
      </w:r>
      <w:r>
        <w:rPr>
          <w:spacing w:val="-9"/>
        </w:rPr>
        <w:t> </w:t>
      </w:r>
      <w:r>
        <w:rPr/>
        <w:t>à</w:t>
      </w:r>
      <w:r>
        <w:rPr>
          <w:spacing w:val="-12"/>
        </w:rPr>
        <w:t> </w:t>
      </w:r>
      <w:r>
        <w:rPr/>
        <w:t>partir</w:t>
      </w:r>
      <w:r>
        <w:rPr>
          <w:spacing w:val="-11"/>
        </w:rPr>
        <w:t> </w:t>
      </w:r>
      <w:r>
        <w:rPr/>
        <w:t>du</w:t>
      </w:r>
      <w:r>
        <w:rPr>
          <w:spacing w:val="-11"/>
        </w:rPr>
        <w:t> </w:t>
      </w:r>
      <w:r>
        <w:rPr/>
        <w:t>1</w:t>
      </w:r>
      <w:r>
        <w:rPr>
          <w:position w:val="10"/>
          <w:sz w:val="18"/>
        </w:rPr>
        <w:t>er</w:t>
      </w:r>
      <w:r>
        <w:rPr>
          <w:spacing w:val="13"/>
          <w:position w:val="10"/>
          <w:sz w:val="18"/>
        </w:rPr>
        <w:t> </w:t>
      </w:r>
      <w:r>
        <w:rPr/>
        <w:t>Janvier</w:t>
      </w:r>
      <w:r>
        <w:rPr>
          <w:spacing w:val="-11"/>
        </w:rPr>
        <w:t> </w:t>
      </w:r>
      <w:r>
        <w:rPr/>
        <w:t>2023</w:t>
      </w:r>
      <w:r>
        <w:rPr>
          <w:spacing w:val="-11"/>
        </w:rPr>
        <w:t> </w:t>
      </w:r>
      <w:r>
        <w:rPr/>
        <w:t>via</w:t>
      </w:r>
      <w:r>
        <w:rPr>
          <w:spacing w:val="-10"/>
        </w:rPr>
        <w:t> </w:t>
      </w:r>
      <w:r>
        <w:rPr/>
        <w:t>une</w:t>
      </w:r>
      <w:r>
        <w:rPr>
          <w:spacing w:val="-12"/>
        </w:rPr>
        <w:t> </w:t>
      </w:r>
      <w:r>
        <w:rPr/>
        <w:t>note</w:t>
      </w:r>
      <w:r>
        <w:rPr>
          <w:spacing w:val="-9"/>
        </w:rPr>
        <w:t> </w:t>
      </w:r>
      <w:r>
        <w:rPr/>
        <w:t>émise par la Direction Générale, et ce, après obtention de l’approbation du Conseil d’Administration.</w:t>
      </w:r>
    </w:p>
    <w:p>
      <w:pPr>
        <w:pStyle w:val="BodyText"/>
        <w:ind w:right="760"/>
      </w:pPr>
      <w:r>
        <w:rPr/>
        <w:t>L'approbation des amendements au présent manuel de procédures des achats du GCT est du ressort exclusif du Conseil d'Administration.</w:t>
      </w:r>
    </w:p>
    <w:p>
      <w:pPr>
        <w:spacing w:after="0"/>
        <w:sectPr>
          <w:pgSz w:w="11910" w:h="16840"/>
          <w:pgMar w:header="722" w:footer="0" w:top="186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rPr>
                <w:sz w:val="25"/>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9/94</w:t>
            </w:r>
          </w:p>
        </w:tc>
      </w:tr>
    </w:tbl>
    <w:p>
      <w:pPr>
        <w:pStyle w:val="BodyText"/>
        <w:spacing w:before="6"/>
        <w:ind w:left="0" w:firstLine="0"/>
        <w:jc w:val="left"/>
        <w:rPr>
          <w:sz w:val="14"/>
        </w:rPr>
      </w:pPr>
    </w:p>
    <w:p>
      <w:pPr>
        <w:pStyle w:val="Heading1"/>
      </w:pPr>
      <w:bookmarkStart w:name="_TOC_250138" w:id="3"/>
      <w:bookmarkEnd w:id="3"/>
      <w:r>
        <w:rPr/>
        <w:t>Chapitre 1. DISPOSITIONS GENERALES</w:t>
      </w:r>
    </w:p>
    <w:p>
      <w:pPr>
        <w:pStyle w:val="Heading2"/>
        <w:numPr>
          <w:ilvl w:val="0"/>
          <w:numId w:val="9"/>
        </w:numPr>
        <w:tabs>
          <w:tab w:pos="683" w:val="left" w:leader="none"/>
        </w:tabs>
        <w:spacing w:line="321" w:lineRule="exact" w:before="118" w:after="0"/>
        <w:ind w:left="682" w:right="0" w:hanging="250"/>
        <w:jc w:val="both"/>
      </w:pPr>
      <w:bookmarkStart w:name="_TOC_250137" w:id="4"/>
      <w:r>
        <w:rPr/>
        <w:t>Cadre</w:t>
      </w:r>
      <w:r>
        <w:rPr>
          <w:spacing w:val="-4"/>
        </w:rPr>
        <w:t> </w:t>
      </w:r>
      <w:bookmarkEnd w:id="4"/>
      <w:r>
        <w:rPr/>
        <w:t>Juridique</w:t>
      </w:r>
    </w:p>
    <w:p>
      <w:pPr>
        <w:pStyle w:val="BodyText"/>
        <w:spacing w:line="320" w:lineRule="exact"/>
        <w:ind w:left="999" w:firstLine="0"/>
      </w:pPr>
      <w:r>
        <w:rPr/>
        <w:t>Les achats du GCT sont régis par les textes réglementaires suivants :</w:t>
      </w:r>
    </w:p>
    <w:p>
      <w:pPr>
        <w:pStyle w:val="ListParagraph"/>
        <w:numPr>
          <w:ilvl w:val="1"/>
          <w:numId w:val="9"/>
        </w:numPr>
        <w:tabs>
          <w:tab w:pos="1000" w:val="left" w:leader="none"/>
        </w:tabs>
        <w:spacing w:line="240" w:lineRule="auto" w:before="0" w:after="0"/>
        <w:ind w:left="999" w:right="768" w:hanging="284"/>
        <w:jc w:val="both"/>
        <w:rPr>
          <w:sz w:val="28"/>
        </w:rPr>
      </w:pPr>
      <w:r>
        <w:rPr>
          <w:sz w:val="28"/>
        </w:rPr>
        <w:t>Loi n°62-13 du 24 avril 1962, portant promulgation du Code de Commerce Maritime</w:t>
      </w:r>
      <w:r>
        <w:rPr>
          <w:spacing w:val="-1"/>
          <w:sz w:val="28"/>
        </w:rPr>
        <w:t> </w:t>
      </w:r>
      <w:r>
        <w:rPr>
          <w:sz w:val="28"/>
        </w:rPr>
        <w:t>;</w:t>
      </w:r>
    </w:p>
    <w:p>
      <w:pPr>
        <w:pStyle w:val="ListParagraph"/>
        <w:numPr>
          <w:ilvl w:val="1"/>
          <w:numId w:val="9"/>
        </w:numPr>
        <w:tabs>
          <w:tab w:pos="1000" w:val="left" w:leader="none"/>
        </w:tabs>
        <w:spacing w:line="240" w:lineRule="auto" w:before="0" w:after="0"/>
        <w:ind w:left="999" w:right="759" w:hanging="284"/>
        <w:jc w:val="both"/>
        <w:rPr>
          <w:sz w:val="28"/>
        </w:rPr>
      </w:pPr>
      <w:r>
        <w:rPr>
          <w:sz w:val="28"/>
        </w:rPr>
        <w:t>Loi n°89-9 du 1er février 1989 relative aux participations, entreprises et établissements publics et textes subséquents</w:t>
      </w:r>
      <w:r>
        <w:rPr>
          <w:spacing w:val="3"/>
          <w:sz w:val="28"/>
        </w:rPr>
        <w:t> </w:t>
      </w:r>
      <w:r>
        <w:rPr>
          <w:sz w:val="28"/>
        </w:rPr>
        <w:t>;</w:t>
      </w:r>
    </w:p>
    <w:p>
      <w:pPr>
        <w:pStyle w:val="ListParagraph"/>
        <w:numPr>
          <w:ilvl w:val="1"/>
          <w:numId w:val="9"/>
        </w:numPr>
        <w:tabs>
          <w:tab w:pos="1000" w:val="left" w:leader="none"/>
        </w:tabs>
        <w:spacing w:line="240" w:lineRule="auto" w:before="0" w:after="0"/>
        <w:ind w:left="999" w:right="750" w:hanging="284"/>
        <w:jc w:val="both"/>
        <w:rPr>
          <w:sz w:val="28"/>
        </w:rPr>
      </w:pPr>
      <w:r>
        <w:rPr>
          <w:sz w:val="28"/>
        </w:rPr>
        <w:t>Loi n°2008-44 du 21 juillet 2008, portant organisation des professions de la Marine Marchande</w:t>
      </w:r>
      <w:r>
        <w:rPr>
          <w:spacing w:val="-4"/>
          <w:sz w:val="28"/>
        </w:rPr>
        <w:t> </w:t>
      </w:r>
      <w:r>
        <w:rPr>
          <w:sz w:val="28"/>
        </w:rPr>
        <w:t>;</w:t>
      </w:r>
    </w:p>
    <w:p>
      <w:pPr>
        <w:pStyle w:val="ListParagraph"/>
        <w:numPr>
          <w:ilvl w:val="1"/>
          <w:numId w:val="9"/>
        </w:numPr>
        <w:tabs>
          <w:tab w:pos="947" w:val="left" w:leader="none"/>
        </w:tabs>
        <w:spacing w:line="240" w:lineRule="auto" w:before="0" w:after="0"/>
        <w:ind w:left="946" w:right="760" w:hanging="231"/>
        <w:jc w:val="both"/>
        <w:rPr>
          <w:sz w:val="28"/>
        </w:rPr>
      </w:pPr>
      <w:r>
        <w:rPr>
          <w:sz w:val="28"/>
        </w:rPr>
        <w:t>Décret-loi n°2022-68 du 19 octobre 2022, fixant les dispositions spéciales pour l'amélioration de l'efficacité de la réalisation des projets publics et privés</w:t>
      </w:r>
      <w:r>
        <w:rPr>
          <w:spacing w:val="-14"/>
          <w:sz w:val="28"/>
        </w:rPr>
        <w:t> </w:t>
      </w:r>
      <w:r>
        <w:rPr>
          <w:sz w:val="28"/>
        </w:rPr>
        <w:t>;</w:t>
      </w:r>
    </w:p>
    <w:p>
      <w:pPr>
        <w:pStyle w:val="ListParagraph"/>
        <w:numPr>
          <w:ilvl w:val="1"/>
          <w:numId w:val="9"/>
        </w:numPr>
        <w:tabs>
          <w:tab w:pos="947" w:val="left" w:leader="none"/>
        </w:tabs>
        <w:spacing w:line="240" w:lineRule="auto" w:before="0" w:after="0"/>
        <w:ind w:left="946" w:right="751" w:hanging="231"/>
        <w:jc w:val="both"/>
        <w:rPr>
          <w:sz w:val="28"/>
        </w:rPr>
      </w:pPr>
      <w:r>
        <w:rPr>
          <w:sz w:val="28"/>
        </w:rPr>
        <w:t>Décret gouvernemental n° 2018-417 du 11 mai 2018 relatif à la publication de la liste exclusive des activités économiques soumises à autorisation et de la liste des autorisations administratives requises pour la réalisation de projets, les dispositions y afférentes et leur simplification et textes subséquents</w:t>
      </w:r>
      <w:r>
        <w:rPr>
          <w:spacing w:val="-4"/>
          <w:sz w:val="28"/>
        </w:rPr>
        <w:t> </w:t>
      </w:r>
      <w:r>
        <w:rPr>
          <w:sz w:val="28"/>
        </w:rPr>
        <w:t>;</w:t>
      </w:r>
    </w:p>
    <w:p>
      <w:pPr>
        <w:pStyle w:val="ListParagraph"/>
        <w:numPr>
          <w:ilvl w:val="1"/>
          <w:numId w:val="9"/>
        </w:numPr>
        <w:tabs>
          <w:tab w:pos="1000" w:val="left" w:leader="none"/>
        </w:tabs>
        <w:spacing w:line="240" w:lineRule="auto" w:before="0" w:after="0"/>
        <w:ind w:left="999" w:right="758" w:hanging="284"/>
        <w:jc w:val="both"/>
        <w:rPr>
          <w:sz w:val="28"/>
        </w:rPr>
      </w:pPr>
      <w:r>
        <w:rPr>
          <w:sz w:val="28"/>
        </w:rPr>
        <w:t>Décret n°89-877 du 05 juillet 1989 portant règlementation des ventes en matière de commerce extérieur</w:t>
      </w:r>
      <w:r>
        <w:rPr>
          <w:spacing w:val="1"/>
          <w:sz w:val="28"/>
        </w:rPr>
        <w:t> </w:t>
      </w:r>
      <w:r>
        <w:rPr>
          <w:sz w:val="28"/>
        </w:rPr>
        <w:t>;</w:t>
      </w:r>
    </w:p>
    <w:p>
      <w:pPr>
        <w:pStyle w:val="ListParagraph"/>
        <w:numPr>
          <w:ilvl w:val="1"/>
          <w:numId w:val="9"/>
        </w:numPr>
        <w:tabs>
          <w:tab w:pos="1000" w:val="left" w:leader="none"/>
        </w:tabs>
        <w:spacing w:line="240" w:lineRule="auto" w:before="0" w:after="0"/>
        <w:ind w:left="999" w:right="756" w:hanging="284"/>
        <w:jc w:val="both"/>
        <w:rPr>
          <w:sz w:val="28"/>
        </w:rPr>
      </w:pPr>
      <w:r>
        <w:rPr>
          <w:sz w:val="28"/>
        </w:rPr>
        <w:t>Décret gouvernemental n° 2016-498 du 8 avril 2016, fixant les conditions et procédures d’exclusion de la participation aux marchés publics</w:t>
      </w:r>
      <w:r>
        <w:rPr>
          <w:spacing w:val="-7"/>
          <w:sz w:val="28"/>
        </w:rPr>
        <w:t> </w:t>
      </w:r>
      <w:r>
        <w:rPr>
          <w:sz w:val="28"/>
        </w:rPr>
        <w:t>;</w:t>
      </w:r>
    </w:p>
    <w:p>
      <w:pPr>
        <w:pStyle w:val="ListParagraph"/>
        <w:numPr>
          <w:ilvl w:val="1"/>
          <w:numId w:val="9"/>
        </w:numPr>
        <w:tabs>
          <w:tab w:pos="1000" w:val="left" w:leader="none"/>
        </w:tabs>
        <w:spacing w:line="240" w:lineRule="auto" w:before="0" w:after="0"/>
        <w:ind w:left="999" w:right="753" w:hanging="284"/>
        <w:jc w:val="both"/>
        <w:rPr>
          <w:sz w:val="28"/>
        </w:rPr>
      </w:pPr>
      <w:r>
        <w:rPr>
          <w:sz w:val="28"/>
        </w:rPr>
        <w:t>Décret gouvernemental n° 2020-1061 du 30 décembre 2020, portant application de</w:t>
      </w:r>
      <w:r>
        <w:rPr>
          <w:spacing w:val="-15"/>
          <w:sz w:val="28"/>
        </w:rPr>
        <w:t> </w:t>
      </w:r>
      <w:r>
        <w:rPr>
          <w:sz w:val="28"/>
        </w:rPr>
        <w:t>l’article</w:t>
      </w:r>
      <w:r>
        <w:rPr>
          <w:spacing w:val="-17"/>
          <w:sz w:val="28"/>
        </w:rPr>
        <w:t> </w:t>
      </w:r>
      <w:r>
        <w:rPr>
          <w:sz w:val="28"/>
        </w:rPr>
        <w:t>22</w:t>
      </w:r>
      <w:r>
        <w:rPr>
          <w:spacing w:val="-14"/>
          <w:sz w:val="28"/>
        </w:rPr>
        <w:t> </w:t>
      </w:r>
      <w:r>
        <w:rPr>
          <w:sz w:val="28"/>
        </w:rPr>
        <w:t>(ter)</w:t>
      </w:r>
      <w:r>
        <w:rPr>
          <w:spacing w:val="-17"/>
          <w:sz w:val="28"/>
        </w:rPr>
        <w:t> </w:t>
      </w:r>
      <w:r>
        <w:rPr>
          <w:sz w:val="28"/>
        </w:rPr>
        <w:t>de</w:t>
      </w:r>
      <w:r>
        <w:rPr>
          <w:spacing w:val="-16"/>
          <w:sz w:val="28"/>
        </w:rPr>
        <w:t> </w:t>
      </w:r>
      <w:r>
        <w:rPr>
          <w:sz w:val="28"/>
        </w:rPr>
        <w:t>la</w:t>
      </w:r>
      <w:r>
        <w:rPr>
          <w:spacing w:val="-15"/>
          <w:sz w:val="28"/>
        </w:rPr>
        <w:t> </w:t>
      </w:r>
      <w:r>
        <w:rPr>
          <w:sz w:val="28"/>
        </w:rPr>
        <w:t>loi</w:t>
      </w:r>
      <w:r>
        <w:rPr>
          <w:spacing w:val="-14"/>
          <w:sz w:val="28"/>
        </w:rPr>
        <w:t> </w:t>
      </w:r>
      <w:r>
        <w:rPr>
          <w:sz w:val="28"/>
        </w:rPr>
        <w:t>n°</w:t>
      </w:r>
      <w:r>
        <w:rPr>
          <w:spacing w:val="-17"/>
          <w:sz w:val="28"/>
        </w:rPr>
        <w:t> </w:t>
      </w:r>
      <w:r>
        <w:rPr>
          <w:sz w:val="28"/>
        </w:rPr>
        <w:t>89-9</w:t>
      </w:r>
      <w:r>
        <w:rPr>
          <w:spacing w:val="-14"/>
          <w:sz w:val="28"/>
        </w:rPr>
        <w:t> </w:t>
      </w:r>
      <w:r>
        <w:rPr>
          <w:sz w:val="28"/>
        </w:rPr>
        <w:t>du</w:t>
      </w:r>
      <w:r>
        <w:rPr>
          <w:spacing w:val="-13"/>
          <w:sz w:val="28"/>
        </w:rPr>
        <w:t> </w:t>
      </w:r>
      <w:r>
        <w:rPr>
          <w:sz w:val="28"/>
        </w:rPr>
        <w:t>1er</w:t>
      </w:r>
      <w:r>
        <w:rPr>
          <w:spacing w:val="-15"/>
          <w:sz w:val="28"/>
        </w:rPr>
        <w:t> </w:t>
      </w:r>
      <w:r>
        <w:rPr>
          <w:sz w:val="28"/>
        </w:rPr>
        <w:t>février</w:t>
      </w:r>
      <w:r>
        <w:rPr>
          <w:spacing w:val="-17"/>
          <w:sz w:val="28"/>
        </w:rPr>
        <w:t> </w:t>
      </w:r>
      <w:r>
        <w:rPr>
          <w:sz w:val="28"/>
        </w:rPr>
        <w:t>1989</w:t>
      </w:r>
      <w:r>
        <w:rPr>
          <w:spacing w:val="-14"/>
          <w:sz w:val="28"/>
        </w:rPr>
        <w:t> </w:t>
      </w:r>
      <w:r>
        <w:rPr>
          <w:sz w:val="28"/>
        </w:rPr>
        <w:t>relative</w:t>
      </w:r>
      <w:r>
        <w:rPr>
          <w:spacing w:val="-15"/>
          <w:sz w:val="28"/>
        </w:rPr>
        <w:t> </w:t>
      </w:r>
      <w:r>
        <w:rPr>
          <w:sz w:val="28"/>
        </w:rPr>
        <w:t>aux</w:t>
      </w:r>
      <w:r>
        <w:rPr>
          <w:spacing w:val="-15"/>
          <w:sz w:val="28"/>
        </w:rPr>
        <w:t> </w:t>
      </w:r>
      <w:r>
        <w:rPr>
          <w:sz w:val="28"/>
        </w:rPr>
        <w:t>participations, entreprises et établissements publics à certaines entreprises publiques</w:t>
      </w:r>
      <w:r>
        <w:rPr>
          <w:spacing w:val="-2"/>
          <w:sz w:val="28"/>
        </w:rPr>
        <w:t> </w:t>
      </w:r>
      <w:r>
        <w:rPr>
          <w:sz w:val="28"/>
        </w:rPr>
        <w:t>;</w:t>
      </w:r>
    </w:p>
    <w:p>
      <w:pPr>
        <w:pStyle w:val="ListParagraph"/>
        <w:numPr>
          <w:ilvl w:val="1"/>
          <w:numId w:val="9"/>
        </w:numPr>
        <w:tabs>
          <w:tab w:pos="947" w:val="left" w:leader="none"/>
        </w:tabs>
        <w:spacing w:line="240" w:lineRule="auto" w:before="0" w:after="0"/>
        <w:ind w:left="946" w:right="754" w:hanging="231"/>
        <w:jc w:val="both"/>
        <w:rPr>
          <w:sz w:val="28"/>
        </w:rPr>
      </w:pPr>
      <w:r>
        <w:rPr>
          <w:sz w:val="28"/>
        </w:rPr>
        <w:t>Décret</w:t>
      </w:r>
      <w:r>
        <w:rPr>
          <w:spacing w:val="-12"/>
          <w:sz w:val="28"/>
        </w:rPr>
        <w:t> </w:t>
      </w:r>
      <w:r>
        <w:rPr>
          <w:sz w:val="28"/>
        </w:rPr>
        <w:t>n°2022-764</w:t>
      </w:r>
      <w:r>
        <w:rPr>
          <w:spacing w:val="-13"/>
          <w:sz w:val="28"/>
        </w:rPr>
        <w:t> </w:t>
      </w:r>
      <w:r>
        <w:rPr>
          <w:sz w:val="28"/>
        </w:rPr>
        <w:t>du</w:t>
      </w:r>
      <w:r>
        <w:rPr>
          <w:spacing w:val="-13"/>
          <w:sz w:val="28"/>
        </w:rPr>
        <w:t> </w:t>
      </w:r>
      <w:r>
        <w:rPr>
          <w:sz w:val="28"/>
        </w:rPr>
        <w:t>19</w:t>
      </w:r>
      <w:r>
        <w:rPr>
          <w:spacing w:val="-13"/>
          <w:sz w:val="28"/>
        </w:rPr>
        <w:t> </w:t>
      </w:r>
      <w:r>
        <w:rPr>
          <w:sz w:val="28"/>
        </w:rPr>
        <w:t>octobre</w:t>
      </w:r>
      <w:r>
        <w:rPr>
          <w:spacing w:val="-12"/>
          <w:sz w:val="28"/>
        </w:rPr>
        <w:t> </w:t>
      </w:r>
      <w:r>
        <w:rPr>
          <w:sz w:val="28"/>
        </w:rPr>
        <w:t>2022</w:t>
      </w:r>
      <w:r>
        <w:rPr>
          <w:spacing w:val="-10"/>
          <w:sz w:val="28"/>
        </w:rPr>
        <w:t> </w:t>
      </w:r>
      <w:r>
        <w:rPr>
          <w:sz w:val="28"/>
        </w:rPr>
        <w:t>relatif</w:t>
      </w:r>
      <w:r>
        <w:rPr>
          <w:spacing w:val="-11"/>
          <w:sz w:val="28"/>
        </w:rPr>
        <w:t> </w:t>
      </w:r>
      <w:r>
        <w:rPr>
          <w:sz w:val="28"/>
        </w:rPr>
        <w:t>à</w:t>
      </w:r>
      <w:r>
        <w:rPr>
          <w:spacing w:val="-13"/>
          <w:sz w:val="28"/>
        </w:rPr>
        <w:t> </w:t>
      </w:r>
      <w:r>
        <w:rPr>
          <w:sz w:val="28"/>
        </w:rPr>
        <w:t>la</w:t>
      </w:r>
      <w:r>
        <w:rPr>
          <w:spacing w:val="-11"/>
          <w:sz w:val="28"/>
        </w:rPr>
        <w:t> </w:t>
      </w:r>
      <w:r>
        <w:rPr>
          <w:sz w:val="28"/>
        </w:rPr>
        <w:t>révision</w:t>
      </w:r>
      <w:r>
        <w:rPr>
          <w:spacing w:val="-12"/>
          <w:sz w:val="28"/>
        </w:rPr>
        <w:t> </w:t>
      </w:r>
      <w:r>
        <w:rPr>
          <w:sz w:val="28"/>
        </w:rPr>
        <w:t>exceptionnelle</w:t>
      </w:r>
      <w:r>
        <w:rPr>
          <w:spacing w:val="-12"/>
          <w:sz w:val="28"/>
        </w:rPr>
        <w:t> </w:t>
      </w:r>
      <w:r>
        <w:rPr>
          <w:sz w:val="28"/>
        </w:rPr>
        <w:t>des</w:t>
      </w:r>
      <w:r>
        <w:rPr>
          <w:spacing w:val="-12"/>
          <w:sz w:val="28"/>
        </w:rPr>
        <w:t> </w:t>
      </w:r>
      <w:r>
        <w:rPr>
          <w:sz w:val="28"/>
        </w:rPr>
        <w:t>prix des marchés publics de travaux</w:t>
      </w:r>
      <w:r>
        <w:rPr>
          <w:spacing w:val="2"/>
          <w:sz w:val="28"/>
        </w:rPr>
        <w:t> </w:t>
      </w:r>
      <w:r>
        <w:rPr>
          <w:sz w:val="28"/>
        </w:rPr>
        <w:t>;</w:t>
      </w:r>
    </w:p>
    <w:p>
      <w:pPr>
        <w:pStyle w:val="ListParagraph"/>
        <w:numPr>
          <w:ilvl w:val="1"/>
          <w:numId w:val="9"/>
        </w:numPr>
        <w:tabs>
          <w:tab w:pos="1000" w:val="left" w:leader="none"/>
        </w:tabs>
        <w:spacing w:line="240" w:lineRule="auto" w:before="0" w:after="0"/>
        <w:ind w:left="999" w:right="754" w:hanging="284"/>
        <w:jc w:val="both"/>
        <w:rPr>
          <w:sz w:val="28"/>
        </w:rPr>
      </w:pPr>
      <w:r>
        <w:rPr>
          <w:sz w:val="28"/>
        </w:rPr>
        <w:t>Arrêté du ministre de la fonction publique et de la gouvernance du 23 décembre 2016, portant approbation du manuel de procédures de passation des achats publics hors marchés à travers TUNEPS du système d’achat public en ligne TUNEPS</w:t>
      </w:r>
      <w:r>
        <w:rPr>
          <w:spacing w:val="-2"/>
          <w:sz w:val="28"/>
        </w:rPr>
        <w:t> </w:t>
      </w:r>
      <w:r>
        <w:rPr>
          <w:sz w:val="28"/>
        </w:rPr>
        <w:t>;</w:t>
      </w:r>
    </w:p>
    <w:p>
      <w:pPr>
        <w:pStyle w:val="ListParagraph"/>
        <w:numPr>
          <w:ilvl w:val="1"/>
          <w:numId w:val="9"/>
        </w:numPr>
        <w:tabs>
          <w:tab w:pos="1000" w:val="left" w:leader="none"/>
        </w:tabs>
        <w:spacing w:line="240" w:lineRule="auto" w:before="0" w:after="0"/>
        <w:ind w:left="999" w:right="761" w:hanging="284"/>
        <w:jc w:val="both"/>
        <w:rPr>
          <w:sz w:val="28"/>
        </w:rPr>
      </w:pPr>
      <w:r>
        <w:rPr>
          <w:sz w:val="28"/>
        </w:rPr>
        <w:t>Arrêté du président du gouvernement du 31 août 2018, portant approbation du manuel de procédures de passation des marchés publics à travers le système d’achat public en ligne</w:t>
      </w:r>
      <w:r>
        <w:rPr>
          <w:spacing w:val="3"/>
          <w:sz w:val="28"/>
        </w:rPr>
        <w:t> </w:t>
      </w:r>
      <w:r>
        <w:rPr>
          <w:sz w:val="28"/>
        </w:rPr>
        <w:t>;</w:t>
      </w:r>
    </w:p>
    <w:p>
      <w:pPr>
        <w:pStyle w:val="ListParagraph"/>
        <w:numPr>
          <w:ilvl w:val="1"/>
          <w:numId w:val="9"/>
        </w:numPr>
        <w:tabs>
          <w:tab w:pos="1000" w:val="left" w:leader="none"/>
        </w:tabs>
        <w:spacing w:line="240" w:lineRule="auto" w:before="0" w:after="0"/>
        <w:ind w:left="999" w:right="758" w:hanging="284"/>
        <w:jc w:val="both"/>
        <w:rPr>
          <w:sz w:val="28"/>
        </w:rPr>
      </w:pPr>
      <w:r>
        <w:rPr>
          <w:sz w:val="28"/>
        </w:rPr>
        <w:t>Circulaire de la BCT n°94-07 du 31 mai 1994 relative aux transferts au titre des opérations courantes relatives au transport international</w:t>
      </w:r>
      <w:r>
        <w:rPr>
          <w:spacing w:val="-1"/>
          <w:sz w:val="28"/>
        </w:rPr>
        <w:t> </w:t>
      </w:r>
      <w:r>
        <w:rPr>
          <w:sz w:val="28"/>
        </w:rPr>
        <w:t>;</w:t>
      </w:r>
    </w:p>
    <w:p>
      <w:pPr>
        <w:pStyle w:val="BodyText"/>
        <w:spacing w:before="110"/>
        <w:ind w:right="754"/>
      </w:pPr>
      <w:r>
        <w:rPr/>
        <w:t>Le décret n° 2014-1039 du 13 mars 2014 portant réglementation des marchés publics s’applique pour tous ce qui n’est pas cité au présent manuel et qui n’est pas contradictoire aux dispositions du présent manuel.</w:t>
      </w:r>
    </w:p>
    <w:p>
      <w:pPr>
        <w:pStyle w:val="Heading2"/>
        <w:numPr>
          <w:ilvl w:val="0"/>
          <w:numId w:val="9"/>
        </w:numPr>
        <w:tabs>
          <w:tab w:pos="794" w:val="left" w:leader="none"/>
        </w:tabs>
        <w:spacing w:line="240" w:lineRule="auto" w:before="244" w:after="0"/>
        <w:ind w:left="793" w:right="0" w:hanging="361"/>
        <w:jc w:val="left"/>
      </w:pPr>
      <w:bookmarkStart w:name="_TOC_250136" w:id="5"/>
      <w:bookmarkEnd w:id="5"/>
      <w:r>
        <w:rPr/>
        <w:t>Principes et règles généraux</w:t>
      </w:r>
    </w:p>
    <w:p>
      <w:pPr>
        <w:pStyle w:val="BodyText"/>
        <w:spacing w:line="321" w:lineRule="exact" w:before="117"/>
        <w:ind w:left="999" w:firstLine="0"/>
        <w:jc w:val="left"/>
      </w:pPr>
      <w:r>
        <w:rPr/>
        <w:t>La passation des achats du GCT est régie par les principes suivants :</w:t>
      </w:r>
    </w:p>
    <w:p>
      <w:pPr>
        <w:pStyle w:val="ListParagraph"/>
        <w:numPr>
          <w:ilvl w:val="1"/>
          <w:numId w:val="9"/>
        </w:numPr>
        <w:tabs>
          <w:tab w:pos="1153" w:val="left" w:leader="none"/>
          <w:tab w:pos="1154" w:val="left" w:leader="none"/>
        </w:tabs>
        <w:spacing w:line="342" w:lineRule="exact" w:before="0" w:after="0"/>
        <w:ind w:left="1153" w:right="0" w:hanging="361"/>
        <w:jc w:val="left"/>
        <w:rPr>
          <w:sz w:val="28"/>
        </w:rPr>
      </w:pPr>
      <w:r>
        <w:rPr>
          <w:sz w:val="28"/>
        </w:rPr>
        <w:t>Le recours à la</w:t>
      </w:r>
      <w:r>
        <w:rPr>
          <w:spacing w:val="-4"/>
          <w:sz w:val="28"/>
        </w:rPr>
        <w:t> </w:t>
      </w:r>
      <w:r>
        <w:rPr>
          <w:sz w:val="28"/>
        </w:rPr>
        <w:t>concurrence</w:t>
      </w:r>
    </w:p>
    <w:p>
      <w:pPr>
        <w:spacing w:after="0" w:line="342" w:lineRule="exact"/>
        <w:jc w:val="left"/>
        <w:rPr>
          <w:sz w:val="28"/>
        </w:rPr>
        <w:sectPr>
          <w:headerReference w:type="default" r:id="rId6"/>
          <w:pgSz w:w="11910" w:h="16840"/>
          <w:pgMar w:header="522" w:footer="0" w:top="72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rPr>
                <w:sz w:val="25"/>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10/94</w:t>
            </w:r>
          </w:p>
        </w:tc>
      </w:tr>
    </w:tbl>
    <w:p>
      <w:pPr>
        <w:pStyle w:val="BodyText"/>
        <w:spacing w:before="7"/>
        <w:ind w:left="0" w:firstLine="0"/>
        <w:jc w:val="left"/>
        <w:rPr>
          <w:sz w:val="12"/>
        </w:rPr>
      </w:pPr>
    </w:p>
    <w:p>
      <w:pPr>
        <w:pStyle w:val="ListParagraph"/>
        <w:numPr>
          <w:ilvl w:val="1"/>
          <w:numId w:val="9"/>
        </w:numPr>
        <w:tabs>
          <w:tab w:pos="1153" w:val="left" w:leader="none"/>
          <w:tab w:pos="1154" w:val="left" w:leader="none"/>
        </w:tabs>
        <w:spacing w:line="240" w:lineRule="auto" w:before="101" w:after="0"/>
        <w:ind w:left="1153" w:right="0" w:hanging="361"/>
        <w:jc w:val="left"/>
        <w:rPr>
          <w:sz w:val="28"/>
        </w:rPr>
      </w:pPr>
      <w:r>
        <w:rPr>
          <w:sz w:val="28"/>
        </w:rPr>
        <w:t>L'équité</w:t>
      </w:r>
    </w:p>
    <w:p>
      <w:pPr>
        <w:pStyle w:val="ListParagraph"/>
        <w:numPr>
          <w:ilvl w:val="1"/>
          <w:numId w:val="9"/>
        </w:numPr>
        <w:tabs>
          <w:tab w:pos="1153" w:val="left" w:leader="none"/>
          <w:tab w:pos="1154" w:val="left" w:leader="none"/>
        </w:tabs>
        <w:spacing w:line="342" w:lineRule="exact" w:before="0" w:after="0"/>
        <w:ind w:left="1153" w:right="0" w:hanging="361"/>
        <w:jc w:val="left"/>
        <w:rPr>
          <w:sz w:val="28"/>
        </w:rPr>
      </w:pPr>
      <w:r>
        <w:rPr>
          <w:sz w:val="28"/>
        </w:rPr>
        <w:t>La transparence et l’intégrité des procédures</w:t>
      </w:r>
    </w:p>
    <w:p>
      <w:pPr>
        <w:pStyle w:val="ListParagraph"/>
        <w:numPr>
          <w:ilvl w:val="1"/>
          <w:numId w:val="9"/>
        </w:numPr>
        <w:tabs>
          <w:tab w:pos="1153" w:val="left" w:leader="none"/>
          <w:tab w:pos="1154" w:val="left" w:leader="none"/>
        </w:tabs>
        <w:spacing w:line="342" w:lineRule="exact" w:before="0" w:after="0"/>
        <w:ind w:left="1153" w:right="0" w:hanging="361"/>
        <w:jc w:val="left"/>
        <w:rPr>
          <w:sz w:val="28"/>
        </w:rPr>
      </w:pPr>
      <w:r>
        <w:rPr>
          <w:sz w:val="28"/>
        </w:rPr>
        <w:t>La bonne</w:t>
      </w:r>
      <w:r>
        <w:rPr>
          <w:spacing w:val="-2"/>
          <w:sz w:val="28"/>
        </w:rPr>
        <w:t> </w:t>
      </w:r>
      <w:r>
        <w:rPr>
          <w:sz w:val="28"/>
        </w:rPr>
        <w:t>gouvernance</w:t>
      </w:r>
    </w:p>
    <w:p>
      <w:pPr>
        <w:pStyle w:val="BodyText"/>
        <w:spacing w:before="121"/>
        <w:jc w:val="left"/>
      </w:pPr>
      <w:r>
        <w:rPr/>
        <w:t>Les achats du GCT tiennent compte également des exigences du développement durable.</w:t>
      </w:r>
    </w:p>
    <w:p>
      <w:pPr>
        <w:pStyle w:val="BodyText"/>
        <w:spacing w:before="120"/>
        <w:ind w:right="748"/>
        <w:jc w:val="left"/>
      </w:pPr>
      <w:r>
        <w:rPr/>
        <w:t>Ces principes sont appliqués conformément aux règles fixées par le présent manuel et notamment :</w:t>
      </w:r>
    </w:p>
    <w:p>
      <w:pPr>
        <w:pStyle w:val="ListParagraph"/>
        <w:numPr>
          <w:ilvl w:val="1"/>
          <w:numId w:val="9"/>
        </w:numPr>
        <w:tabs>
          <w:tab w:pos="1147" w:val="left" w:leader="none"/>
        </w:tabs>
        <w:spacing w:line="240" w:lineRule="auto" w:before="0" w:after="0"/>
        <w:ind w:left="1146" w:right="759" w:hanging="356"/>
        <w:jc w:val="both"/>
        <w:rPr>
          <w:sz w:val="28"/>
        </w:rPr>
      </w:pPr>
      <w:r>
        <w:rPr>
          <w:sz w:val="28"/>
        </w:rPr>
        <w:t>L’optimisation des ressources qui implique un emploi efficace, efficient, et économique des ressources qui passe par une estimation des coûts et avantages assortie</w:t>
      </w:r>
      <w:r>
        <w:rPr>
          <w:spacing w:val="-17"/>
          <w:sz w:val="28"/>
        </w:rPr>
        <w:t> </w:t>
      </w:r>
      <w:r>
        <w:rPr>
          <w:sz w:val="28"/>
        </w:rPr>
        <w:t>d’une</w:t>
      </w:r>
      <w:r>
        <w:rPr>
          <w:spacing w:val="-16"/>
          <w:sz w:val="28"/>
        </w:rPr>
        <w:t> </w:t>
      </w:r>
      <w:r>
        <w:rPr>
          <w:sz w:val="28"/>
        </w:rPr>
        <w:t>évaluation</w:t>
      </w:r>
      <w:r>
        <w:rPr>
          <w:spacing w:val="-16"/>
          <w:sz w:val="28"/>
        </w:rPr>
        <w:t> </w:t>
      </w:r>
      <w:r>
        <w:rPr>
          <w:sz w:val="28"/>
        </w:rPr>
        <w:t>des</w:t>
      </w:r>
      <w:r>
        <w:rPr>
          <w:spacing w:val="-15"/>
          <w:sz w:val="28"/>
        </w:rPr>
        <w:t> </w:t>
      </w:r>
      <w:r>
        <w:rPr>
          <w:sz w:val="28"/>
        </w:rPr>
        <w:t>risques</w:t>
      </w:r>
      <w:r>
        <w:rPr>
          <w:spacing w:val="-16"/>
          <w:sz w:val="28"/>
        </w:rPr>
        <w:t> </w:t>
      </w:r>
      <w:r>
        <w:rPr>
          <w:sz w:val="28"/>
        </w:rPr>
        <w:t>des</w:t>
      </w:r>
      <w:r>
        <w:rPr>
          <w:spacing w:val="-16"/>
          <w:sz w:val="28"/>
        </w:rPr>
        <w:t> </w:t>
      </w:r>
      <w:r>
        <w:rPr>
          <w:sz w:val="28"/>
        </w:rPr>
        <w:t>caractéristiques</w:t>
      </w:r>
      <w:r>
        <w:rPr>
          <w:spacing w:val="-15"/>
          <w:sz w:val="28"/>
        </w:rPr>
        <w:t> </w:t>
      </w:r>
      <w:r>
        <w:rPr>
          <w:sz w:val="28"/>
        </w:rPr>
        <w:t>monétaires</w:t>
      </w:r>
      <w:r>
        <w:rPr>
          <w:spacing w:val="-16"/>
          <w:sz w:val="28"/>
        </w:rPr>
        <w:t> </w:t>
      </w:r>
      <w:r>
        <w:rPr>
          <w:sz w:val="28"/>
        </w:rPr>
        <w:t>et</w:t>
      </w:r>
      <w:r>
        <w:rPr>
          <w:spacing w:val="-15"/>
          <w:sz w:val="28"/>
        </w:rPr>
        <w:t> </w:t>
      </w:r>
      <w:r>
        <w:rPr>
          <w:sz w:val="28"/>
        </w:rPr>
        <w:t>des</w:t>
      </w:r>
      <w:r>
        <w:rPr>
          <w:spacing w:val="-16"/>
          <w:sz w:val="28"/>
        </w:rPr>
        <w:t> </w:t>
      </w:r>
      <w:r>
        <w:rPr>
          <w:sz w:val="28"/>
        </w:rPr>
        <w:t>coûts de cycle de vie le cas échéant. L’élément prix ne marque pas nécessairement à lui seul l’optimisation des</w:t>
      </w:r>
      <w:r>
        <w:rPr>
          <w:spacing w:val="3"/>
          <w:sz w:val="28"/>
        </w:rPr>
        <w:t> </w:t>
      </w:r>
      <w:r>
        <w:rPr>
          <w:sz w:val="28"/>
        </w:rPr>
        <w:t>ressources.</w:t>
      </w:r>
    </w:p>
    <w:p>
      <w:pPr>
        <w:pStyle w:val="ListParagraph"/>
        <w:numPr>
          <w:ilvl w:val="1"/>
          <w:numId w:val="9"/>
        </w:numPr>
        <w:tabs>
          <w:tab w:pos="1154" w:val="left" w:leader="none"/>
        </w:tabs>
        <w:spacing w:line="240" w:lineRule="auto" w:before="0" w:after="0"/>
        <w:ind w:left="1153" w:right="762" w:hanging="360"/>
        <w:jc w:val="both"/>
        <w:rPr>
          <w:sz w:val="28"/>
        </w:rPr>
      </w:pPr>
      <w:r>
        <w:rPr>
          <w:sz w:val="28"/>
        </w:rPr>
        <w:t>La proportionnalité des procédures en adoptant des procédures adéquates et relative selon l’importance</w:t>
      </w:r>
      <w:r>
        <w:rPr>
          <w:spacing w:val="-3"/>
          <w:sz w:val="28"/>
        </w:rPr>
        <w:t> </w:t>
      </w:r>
      <w:r>
        <w:rPr>
          <w:sz w:val="28"/>
        </w:rPr>
        <w:t>d’achat.</w:t>
      </w:r>
    </w:p>
    <w:p>
      <w:pPr>
        <w:pStyle w:val="ListParagraph"/>
        <w:numPr>
          <w:ilvl w:val="1"/>
          <w:numId w:val="9"/>
        </w:numPr>
        <w:tabs>
          <w:tab w:pos="1154" w:val="left" w:leader="none"/>
        </w:tabs>
        <w:spacing w:line="240" w:lineRule="auto" w:before="0" w:after="0"/>
        <w:ind w:left="1153" w:right="749" w:hanging="360"/>
        <w:jc w:val="both"/>
        <w:rPr>
          <w:sz w:val="28"/>
        </w:rPr>
      </w:pPr>
      <w:r>
        <w:rPr>
          <w:sz w:val="28"/>
        </w:rPr>
        <w:t>La conformité substantielle de l’offre ou </w:t>
      </w:r>
      <w:r>
        <w:rPr>
          <w:spacing w:val="3"/>
          <w:sz w:val="28"/>
        </w:rPr>
        <w:t>la </w:t>
      </w:r>
      <w:r>
        <w:rPr>
          <w:sz w:val="28"/>
        </w:rPr>
        <w:t>proposition la moins-disante qui permet à la commission d’évaluation de tolérer toute non-conformité ou omission qui ne constitue pas une divergence importante par rapport aux conditions de l’appel à proposition ou</w:t>
      </w:r>
      <w:r>
        <w:rPr>
          <w:spacing w:val="-2"/>
          <w:sz w:val="28"/>
        </w:rPr>
        <w:t> </w:t>
      </w:r>
      <w:r>
        <w:rPr>
          <w:sz w:val="28"/>
        </w:rPr>
        <w:t>offres.</w:t>
      </w:r>
    </w:p>
    <w:p>
      <w:pPr>
        <w:pStyle w:val="ListParagraph"/>
        <w:numPr>
          <w:ilvl w:val="1"/>
          <w:numId w:val="9"/>
        </w:numPr>
        <w:tabs>
          <w:tab w:pos="1154" w:val="left" w:leader="none"/>
        </w:tabs>
        <w:spacing w:line="240" w:lineRule="auto" w:before="0" w:after="0"/>
        <w:ind w:left="1153" w:right="756" w:hanging="360"/>
        <w:jc w:val="both"/>
        <w:rPr>
          <w:sz w:val="28"/>
        </w:rPr>
      </w:pPr>
      <w:r>
        <w:rPr>
          <w:sz w:val="28"/>
        </w:rPr>
        <w:t>La continuité du service imposant la primauté de réaliser les achats par le biais du mode et procédures adéquate en vue d’éviter l’interruption brusque ou le retardement des activités</w:t>
      </w:r>
      <w:r>
        <w:rPr>
          <w:spacing w:val="2"/>
          <w:sz w:val="28"/>
        </w:rPr>
        <w:t> </w:t>
      </w:r>
      <w:r>
        <w:rPr>
          <w:sz w:val="28"/>
        </w:rPr>
        <w:t>d’exploitation.</w:t>
      </w:r>
    </w:p>
    <w:p>
      <w:pPr>
        <w:pStyle w:val="ListParagraph"/>
        <w:numPr>
          <w:ilvl w:val="1"/>
          <w:numId w:val="9"/>
        </w:numPr>
        <w:tabs>
          <w:tab w:pos="1154" w:val="left" w:leader="none"/>
        </w:tabs>
        <w:spacing w:line="240" w:lineRule="auto" w:before="0" w:after="0"/>
        <w:ind w:left="1153" w:right="757" w:hanging="360"/>
        <w:jc w:val="both"/>
        <w:rPr>
          <w:sz w:val="28"/>
        </w:rPr>
      </w:pPr>
      <w:r>
        <w:rPr>
          <w:sz w:val="28"/>
        </w:rPr>
        <w:t>Le</w:t>
      </w:r>
      <w:r>
        <w:rPr>
          <w:spacing w:val="-13"/>
          <w:sz w:val="28"/>
        </w:rPr>
        <w:t> </w:t>
      </w:r>
      <w:r>
        <w:rPr>
          <w:sz w:val="28"/>
        </w:rPr>
        <w:t>respect</w:t>
      </w:r>
      <w:r>
        <w:rPr>
          <w:spacing w:val="-14"/>
          <w:sz w:val="28"/>
        </w:rPr>
        <w:t> </w:t>
      </w:r>
      <w:r>
        <w:rPr>
          <w:sz w:val="28"/>
        </w:rPr>
        <w:t>du</w:t>
      </w:r>
      <w:r>
        <w:rPr>
          <w:spacing w:val="-13"/>
          <w:sz w:val="28"/>
        </w:rPr>
        <w:t> </w:t>
      </w:r>
      <w:r>
        <w:rPr>
          <w:sz w:val="28"/>
        </w:rPr>
        <w:t>développement</w:t>
      </w:r>
      <w:r>
        <w:rPr>
          <w:spacing w:val="-13"/>
          <w:sz w:val="28"/>
        </w:rPr>
        <w:t> </w:t>
      </w:r>
      <w:r>
        <w:rPr>
          <w:sz w:val="28"/>
        </w:rPr>
        <w:t>durable</w:t>
      </w:r>
      <w:r>
        <w:rPr>
          <w:spacing w:val="-12"/>
          <w:sz w:val="28"/>
        </w:rPr>
        <w:t> </w:t>
      </w:r>
      <w:r>
        <w:rPr>
          <w:sz w:val="28"/>
        </w:rPr>
        <w:t>qui</w:t>
      </w:r>
      <w:r>
        <w:rPr>
          <w:spacing w:val="-13"/>
          <w:sz w:val="28"/>
        </w:rPr>
        <w:t> </w:t>
      </w:r>
      <w:r>
        <w:rPr>
          <w:sz w:val="28"/>
        </w:rPr>
        <w:t>conduit</w:t>
      </w:r>
      <w:r>
        <w:rPr>
          <w:spacing w:val="-12"/>
          <w:sz w:val="28"/>
        </w:rPr>
        <w:t> </w:t>
      </w:r>
      <w:r>
        <w:rPr>
          <w:sz w:val="28"/>
        </w:rPr>
        <w:t>le</w:t>
      </w:r>
      <w:r>
        <w:rPr>
          <w:spacing w:val="-13"/>
          <w:sz w:val="28"/>
        </w:rPr>
        <w:t> </w:t>
      </w:r>
      <w:r>
        <w:rPr>
          <w:sz w:val="28"/>
        </w:rPr>
        <w:t>GCT</w:t>
      </w:r>
      <w:r>
        <w:rPr>
          <w:spacing w:val="-14"/>
          <w:sz w:val="28"/>
        </w:rPr>
        <w:t> </w:t>
      </w:r>
      <w:r>
        <w:rPr>
          <w:sz w:val="28"/>
        </w:rPr>
        <w:t>à</w:t>
      </w:r>
      <w:r>
        <w:rPr>
          <w:spacing w:val="-16"/>
          <w:sz w:val="28"/>
        </w:rPr>
        <w:t> </w:t>
      </w:r>
      <w:r>
        <w:rPr>
          <w:sz w:val="28"/>
        </w:rPr>
        <w:t>satisfaire</w:t>
      </w:r>
      <w:r>
        <w:rPr>
          <w:spacing w:val="-15"/>
          <w:sz w:val="28"/>
        </w:rPr>
        <w:t> </w:t>
      </w:r>
      <w:r>
        <w:rPr>
          <w:sz w:val="28"/>
        </w:rPr>
        <w:t>ses</w:t>
      </w:r>
      <w:r>
        <w:rPr>
          <w:spacing w:val="-14"/>
          <w:sz w:val="28"/>
        </w:rPr>
        <w:t> </w:t>
      </w:r>
      <w:r>
        <w:rPr>
          <w:sz w:val="28"/>
        </w:rPr>
        <w:t>besoins en biens, services, travaux et prestations diverses en prenant en compte l’approche du cycle de vie ainsi que les bénéfices que peut en tirer tout en minimisant les dommages causés à</w:t>
      </w:r>
      <w:r>
        <w:rPr>
          <w:spacing w:val="-3"/>
          <w:sz w:val="28"/>
        </w:rPr>
        <w:t> </w:t>
      </w:r>
      <w:r>
        <w:rPr>
          <w:sz w:val="28"/>
        </w:rPr>
        <w:t>l’environnement,</w:t>
      </w:r>
    </w:p>
    <w:p>
      <w:pPr>
        <w:pStyle w:val="ListParagraph"/>
        <w:numPr>
          <w:ilvl w:val="1"/>
          <w:numId w:val="9"/>
        </w:numPr>
        <w:tabs>
          <w:tab w:pos="1154" w:val="left" w:leader="none"/>
        </w:tabs>
        <w:spacing w:line="240" w:lineRule="auto" w:before="0" w:after="0"/>
        <w:ind w:left="1153" w:right="750" w:hanging="360"/>
        <w:jc w:val="both"/>
        <w:rPr>
          <w:sz w:val="28"/>
        </w:rPr>
      </w:pPr>
      <w:r>
        <w:rPr>
          <w:sz w:val="28"/>
        </w:rPr>
        <w:t>L’impartialité</w:t>
      </w:r>
      <w:r>
        <w:rPr>
          <w:spacing w:val="-20"/>
          <w:sz w:val="28"/>
        </w:rPr>
        <w:t> </w:t>
      </w:r>
      <w:r>
        <w:rPr>
          <w:sz w:val="28"/>
        </w:rPr>
        <w:t>:</w:t>
      </w:r>
      <w:r>
        <w:rPr>
          <w:spacing w:val="-19"/>
          <w:sz w:val="28"/>
        </w:rPr>
        <w:t> </w:t>
      </w:r>
      <w:r>
        <w:rPr>
          <w:sz w:val="28"/>
        </w:rPr>
        <w:t>afin</w:t>
      </w:r>
      <w:r>
        <w:rPr>
          <w:spacing w:val="-21"/>
          <w:sz w:val="28"/>
        </w:rPr>
        <w:t> </w:t>
      </w:r>
      <w:r>
        <w:rPr>
          <w:sz w:val="28"/>
        </w:rPr>
        <w:t>d’éviter</w:t>
      </w:r>
      <w:r>
        <w:rPr>
          <w:spacing w:val="-20"/>
          <w:sz w:val="28"/>
        </w:rPr>
        <w:t> </w:t>
      </w:r>
      <w:r>
        <w:rPr>
          <w:sz w:val="28"/>
        </w:rPr>
        <w:t>toute</w:t>
      </w:r>
      <w:r>
        <w:rPr>
          <w:spacing w:val="-20"/>
          <w:sz w:val="28"/>
        </w:rPr>
        <w:t> </w:t>
      </w:r>
      <w:r>
        <w:rPr>
          <w:sz w:val="28"/>
        </w:rPr>
        <w:t>situation</w:t>
      </w:r>
      <w:r>
        <w:rPr>
          <w:spacing w:val="-19"/>
          <w:sz w:val="28"/>
        </w:rPr>
        <w:t> </w:t>
      </w:r>
      <w:r>
        <w:rPr>
          <w:sz w:val="28"/>
        </w:rPr>
        <w:t>de</w:t>
      </w:r>
      <w:r>
        <w:rPr>
          <w:spacing w:val="-20"/>
          <w:sz w:val="28"/>
        </w:rPr>
        <w:t> </w:t>
      </w:r>
      <w:r>
        <w:rPr>
          <w:sz w:val="28"/>
        </w:rPr>
        <w:t>conflit</w:t>
      </w:r>
      <w:r>
        <w:rPr>
          <w:spacing w:val="-19"/>
          <w:sz w:val="28"/>
        </w:rPr>
        <w:t> </w:t>
      </w:r>
      <w:r>
        <w:rPr>
          <w:sz w:val="28"/>
        </w:rPr>
        <w:t>d’intérêt</w:t>
      </w:r>
      <w:r>
        <w:rPr>
          <w:spacing w:val="-18"/>
          <w:sz w:val="28"/>
        </w:rPr>
        <w:t> </w:t>
      </w:r>
      <w:r>
        <w:rPr>
          <w:sz w:val="28"/>
        </w:rPr>
        <w:t>les</w:t>
      </w:r>
      <w:r>
        <w:rPr>
          <w:spacing w:val="-21"/>
          <w:sz w:val="28"/>
        </w:rPr>
        <w:t> </w:t>
      </w:r>
      <w:r>
        <w:rPr>
          <w:sz w:val="28"/>
        </w:rPr>
        <w:t>agents</w:t>
      </w:r>
      <w:r>
        <w:rPr>
          <w:spacing w:val="-21"/>
          <w:sz w:val="28"/>
        </w:rPr>
        <w:t> </w:t>
      </w:r>
      <w:r>
        <w:rPr>
          <w:sz w:val="28"/>
        </w:rPr>
        <w:t>du</w:t>
      </w:r>
      <w:r>
        <w:rPr>
          <w:spacing w:val="-19"/>
          <w:sz w:val="28"/>
        </w:rPr>
        <w:t> </w:t>
      </w:r>
      <w:r>
        <w:rPr>
          <w:sz w:val="28"/>
        </w:rPr>
        <w:t>GCT doivent informer par écrit leurs supérieurs de tout lien (actionnaire, lien de parenté ou autre lien personnel) qu’il pourrait avoir avec un candidat à la commande.</w:t>
      </w:r>
    </w:p>
    <w:p>
      <w:pPr>
        <w:pStyle w:val="ListParagraph"/>
        <w:numPr>
          <w:ilvl w:val="1"/>
          <w:numId w:val="9"/>
        </w:numPr>
        <w:tabs>
          <w:tab w:pos="1154" w:val="left" w:leader="none"/>
        </w:tabs>
        <w:spacing w:line="240" w:lineRule="auto" w:before="0" w:after="0"/>
        <w:ind w:left="1153" w:right="751" w:hanging="360"/>
        <w:jc w:val="both"/>
        <w:rPr>
          <w:sz w:val="28"/>
        </w:rPr>
      </w:pPr>
      <w:r>
        <w:rPr>
          <w:sz w:val="28"/>
        </w:rPr>
        <w:t>Les agents du GCT doivent respecter la confidentialité des informations et des données qu’ils</w:t>
      </w:r>
      <w:r>
        <w:rPr>
          <w:spacing w:val="1"/>
          <w:sz w:val="28"/>
        </w:rPr>
        <w:t> </w:t>
      </w:r>
      <w:r>
        <w:rPr>
          <w:sz w:val="28"/>
        </w:rPr>
        <w:t>traitent.</w:t>
      </w:r>
    </w:p>
    <w:p>
      <w:pPr>
        <w:pStyle w:val="ListParagraph"/>
        <w:numPr>
          <w:ilvl w:val="1"/>
          <w:numId w:val="9"/>
        </w:numPr>
        <w:tabs>
          <w:tab w:pos="1154" w:val="left" w:leader="none"/>
        </w:tabs>
        <w:spacing w:line="240" w:lineRule="auto" w:before="0" w:after="0"/>
        <w:ind w:left="1153" w:right="758" w:hanging="360"/>
        <w:jc w:val="both"/>
        <w:rPr>
          <w:sz w:val="28"/>
        </w:rPr>
      </w:pPr>
      <w:r>
        <w:rPr>
          <w:sz w:val="28"/>
        </w:rPr>
        <w:t>Aucun traitement préférentiel n’est réservé aux clients ou actionnaires du GCT lorsqu’ils participent à une</w:t>
      </w:r>
      <w:r>
        <w:rPr>
          <w:spacing w:val="-7"/>
          <w:sz w:val="28"/>
        </w:rPr>
        <w:t> </w:t>
      </w:r>
      <w:r>
        <w:rPr>
          <w:sz w:val="28"/>
        </w:rPr>
        <w:t>commande.</w:t>
      </w:r>
    </w:p>
    <w:p>
      <w:pPr>
        <w:pStyle w:val="Heading2"/>
        <w:numPr>
          <w:ilvl w:val="0"/>
          <w:numId w:val="9"/>
        </w:numPr>
        <w:tabs>
          <w:tab w:pos="902" w:val="left" w:leader="none"/>
        </w:tabs>
        <w:spacing w:line="321" w:lineRule="exact" w:before="238" w:after="0"/>
        <w:ind w:left="901" w:right="0" w:hanging="469"/>
        <w:jc w:val="left"/>
      </w:pPr>
      <w:bookmarkStart w:name="_TOC_250135" w:id="6"/>
      <w:bookmarkEnd w:id="6"/>
      <w:r>
        <w:rPr/>
        <w:t>Champs d'application</w:t>
      </w:r>
    </w:p>
    <w:p>
      <w:pPr>
        <w:pStyle w:val="BodyText"/>
        <w:spacing w:line="320" w:lineRule="exact"/>
        <w:ind w:left="999" w:firstLine="0"/>
        <w:jc w:val="left"/>
      </w:pPr>
      <w:r>
        <w:rPr/>
        <w:t>Le présent manuel décrit les procédures de passation des achats du GCT à savoir :</w:t>
      </w:r>
    </w:p>
    <w:p>
      <w:pPr>
        <w:pStyle w:val="ListParagraph"/>
        <w:numPr>
          <w:ilvl w:val="1"/>
          <w:numId w:val="9"/>
        </w:numPr>
        <w:tabs>
          <w:tab w:pos="946" w:val="left" w:leader="none"/>
          <w:tab w:pos="947" w:val="left" w:leader="none"/>
        </w:tabs>
        <w:spacing w:line="341" w:lineRule="exact" w:before="0" w:after="0"/>
        <w:ind w:left="946" w:right="0" w:hanging="361"/>
        <w:jc w:val="left"/>
        <w:rPr>
          <w:sz w:val="28"/>
        </w:rPr>
      </w:pPr>
      <w:r>
        <w:rPr>
          <w:sz w:val="28"/>
        </w:rPr>
        <w:t>Les Achats Hors Matières Premières</w:t>
      </w:r>
      <w:r>
        <w:rPr>
          <w:spacing w:val="3"/>
          <w:sz w:val="28"/>
        </w:rPr>
        <w:t> </w:t>
      </w:r>
      <w:r>
        <w:rPr>
          <w:sz w:val="28"/>
        </w:rPr>
        <w:t>;</w:t>
      </w:r>
    </w:p>
    <w:p>
      <w:pPr>
        <w:pStyle w:val="ListParagraph"/>
        <w:numPr>
          <w:ilvl w:val="1"/>
          <w:numId w:val="9"/>
        </w:numPr>
        <w:tabs>
          <w:tab w:pos="946" w:val="left" w:leader="none"/>
          <w:tab w:pos="947" w:val="left" w:leader="none"/>
        </w:tabs>
        <w:spacing w:line="240" w:lineRule="auto" w:before="0" w:after="0"/>
        <w:ind w:left="946" w:right="760" w:hanging="360"/>
        <w:jc w:val="left"/>
        <w:rPr>
          <w:sz w:val="28"/>
        </w:rPr>
      </w:pPr>
      <w:r>
        <w:rPr>
          <w:sz w:val="28"/>
        </w:rPr>
        <w:t>Les Achats de matières premières et des produits destinés à être vendus en l'état ou conditionnés</w:t>
      </w:r>
      <w:r>
        <w:rPr>
          <w:spacing w:val="2"/>
          <w:sz w:val="28"/>
        </w:rPr>
        <w:t> </w:t>
      </w:r>
      <w:r>
        <w:rPr>
          <w:sz w:val="28"/>
        </w:rPr>
        <w:t>;</w:t>
      </w:r>
    </w:p>
    <w:p>
      <w:pPr>
        <w:pStyle w:val="ListParagraph"/>
        <w:numPr>
          <w:ilvl w:val="1"/>
          <w:numId w:val="9"/>
        </w:numPr>
        <w:tabs>
          <w:tab w:pos="946" w:val="left" w:leader="none"/>
          <w:tab w:pos="947" w:val="left" w:leader="none"/>
        </w:tabs>
        <w:spacing w:line="343" w:lineRule="exact" w:before="0" w:after="0"/>
        <w:ind w:left="946" w:right="0" w:hanging="361"/>
        <w:jc w:val="left"/>
        <w:rPr>
          <w:sz w:val="28"/>
        </w:rPr>
      </w:pPr>
      <w:r>
        <w:rPr>
          <w:sz w:val="28"/>
        </w:rPr>
        <w:t>Les Achats des services d'Affrètement des</w:t>
      </w:r>
      <w:r>
        <w:rPr>
          <w:spacing w:val="-6"/>
          <w:sz w:val="28"/>
        </w:rPr>
        <w:t> </w:t>
      </w:r>
      <w:r>
        <w:rPr>
          <w:sz w:val="28"/>
        </w:rPr>
        <w:t>navires.</w:t>
      </w:r>
    </w:p>
    <w:p>
      <w:pPr>
        <w:spacing w:after="0" w:line="343" w:lineRule="exact"/>
        <w:jc w:val="left"/>
        <w:rPr>
          <w:sz w:val="28"/>
        </w:rPr>
        <w:sectPr>
          <w:pgSz w:w="11910" w:h="16840"/>
          <w:pgMar w:header="522" w:footer="0" w:top="720" w:bottom="280" w:left="700" w:right="380"/>
        </w:sectPr>
      </w:pPr>
    </w:p>
    <w:p>
      <w:pPr>
        <w:pStyle w:val="BodyText"/>
        <w:spacing w:before="3"/>
        <w:ind w:left="0" w:firstLine="0"/>
        <w:jc w:val="left"/>
        <w:rPr>
          <w:sz w:val="16"/>
        </w:rPr>
      </w:pPr>
    </w:p>
    <w:p>
      <w:pPr>
        <w:pStyle w:val="BodyText"/>
        <w:spacing w:line="322" w:lineRule="exact" w:before="89"/>
        <w:ind w:left="999" w:firstLine="0"/>
        <w:jc w:val="left"/>
      </w:pPr>
      <w:r>
        <w:rPr/>
        <w:t>Il couvre les phases suivantes :</w:t>
      </w:r>
    </w:p>
    <w:p>
      <w:pPr>
        <w:pStyle w:val="ListParagraph"/>
        <w:numPr>
          <w:ilvl w:val="2"/>
          <w:numId w:val="9"/>
        </w:numPr>
        <w:tabs>
          <w:tab w:pos="1000" w:val="left" w:leader="none"/>
        </w:tabs>
        <w:spacing w:line="322" w:lineRule="exact" w:before="0" w:after="0"/>
        <w:ind w:left="999" w:right="0" w:hanging="284"/>
        <w:jc w:val="left"/>
        <w:rPr>
          <w:sz w:val="28"/>
        </w:rPr>
      </w:pPr>
      <w:r>
        <w:rPr>
          <w:sz w:val="28"/>
        </w:rPr>
        <w:t>Expression et détermination des besoins</w:t>
      </w:r>
      <w:r>
        <w:rPr>
          <w:spacing w:val="-2"/>
          <w:sz w:val="28"/>
        </w:rPr>
        <w:t> </w:t>
      </w:r>
      <w:r>
        <w:rPr>
          <w:sz w:val="28"/>
        </w:rPr>
        <w:t>;</w:t>
      </w:r>
    </w:p>
    <w:p>
      <w:pPr>
        <w:pStyle w:val="ListParagraph"/>
        <w:numPr>
          <w:ilvl w:val="2"/>
          <w:numId w:val="9"/>
        </w:numPr>
        <w:tabs>
          <w:tab w:pos="1000" w:val="left" w:leader="none"/>
        </w:tabs>
        <w:spacing w:line="240" w:lineRule="auto" w:before="0" w:after="0"/>
        <w:ind w:left="999" w:right="0" w:hanging="284"/>
        <w:jc w:val="left"/>
        <w:rPr>
          <w:sz w:val="28"/>
        </w:rPr>
      </w:pPr>
      <w:r>
        <w:rPr>
          <w:sz w:val="28"/>
        </w:rPr>
        <w:t>Passation des achats hors marchés et des marchés</w:t>
      </w:r>
      <w:r>
        <w:rPr>
          <w:spacing w:val="-3"/>
          <w:sz w:val="28"/>
        </w:rPr>
        <w:t> </w:t>
      </w:r>
      <w:r>
        <w:rPr>
          <w:sz w:val="28"/>
        </w:rPr>
        <w:t>;</w:t>
      </w:r>
    </w:p>
    <w:p>
      <w:pPr>
        <w:pStyle w:val="ListParagraph"/>
        <w:numPr>
          <w:ilvl w:val="2"/>
          <w:numId w:val="9"/>
        </w:numPr>
        <w:tabs>
          <w:tab w:pos="1000" w:val="left" w:leader="none"/>
        </w:tabs>
        <w:spacing w:line="322" w:lineRule="exact" w:before="2" w:after="0"/>
        <w:ind w:left="999" w:right="0" w:hanging="284"/>
        <w:jc w:val="left"/>
        <w:rPr>
          <w:sz w:val="28"/>
        </w:rPr>
      </w:pPr>
      <w:r>
        <w:rPr>
          <w:sz w:val="28"/>
        </w:rPr>
        <w:t>Suivi de l’exécution des contrats et des commandes</w:t>
      </w:r>
      <w:r>
        <w:rPr>
          <w:spacing w:val="-1"/>
          <w:sz w:val="28"/>
        </w:rPr>
        <w:t> </w:t>
      </w:r>
      <w:r>
        <w:rPr>
          <w:sz w:val="28"/>
        </w:rPr>
        <w:t>;</w:t>
      </w:r>
    </w:p>
    <w:p>
      <w:pPr>
        <w:pStyle w:val="ListParagraph"/>
        <w:numPr>
          <w:ilvl w:val="2"/>
          <w:numId w:val="9"/>
        </w:numPr>
        <w:tabs>
          <w:tab w:pos="1000" w:val="left" w:leader="none"/>
        </w:tabs>
        <w:spacing w:line="240" w:lineRule="auto" w:before="0" w:after="0"/>
        <w:ind w:left="999" w:right="0" w:hanging="284"/>
        <w:jc w:val="left"/>
        <w:rPr>
          <w:sz w:val="28"/>
        </w:rPr>
      </w:pPr>
      <w:r>
        <w:rPr>
          <w:sz w:val="28"/>
        </w:rPr>
        <w:t>Clôture des dossiers des achats hors marchés et des</w:t>
      </w:r>
      <w:r>
        <w:rPr>
          <w:spacing w:val="-11"/>
          <w:sz w:val="28"/>
        </w:rPr>
        <w:t> </w:t>
      </w:r>
      <w:r>
        <w:rPr>
          <w:sz w:val="28"/>
        </w:rPr>
        <w:t>marchés.</w:t>
      </w:r>
    </w:p>
    <w:p>
      <w:pPr>
        <w:pStyle w:val="BodyText"/>
        <w:spacing w:before="119"/>
        <w:ind w:right="748" w:firstLine="0"/>
        <w:jc w:val="left"/>
      </w:pPr>
      <w:r>
        <w:rPr/>
        <w:t>L’annexe n°19 récapitule les procédures des achats du GCT avec les règles d’aiguillages.</w:t>
      </w:r>
    </w:p>
    <w:p>
      <w:pPr>
        <w:pStyle w:val="BodyText"/>
        <w:spacing w:line="322" w:lineRule="exact" w:before="120"/>
        <w:ind w:firstLine="0"/>
        <w:jc w:val="left"/>
      </w:pPr>
      <w:r>
        <w:rPr/>
        <w:t>Ne constituent pas des achats au sens du présent manuel :</w:t>
      </w:r>
    </w:p>
    <w:p>
      <w:pPr>
        <w:pStyle w:val="ListParagraph"/>
        <w:numPr>
          <w:ilvl w:val="0"/>
          <w:numId w:val="10"/>
        </w:numPr>
        <w:tabs>
          <w:tab w:pos="717" w:val="left" w:leader="none"/>
        </w:tabs>
        <w:spacing w:line="240" w:lineRule="auto" w:before="0" w:after="0"/>
        <w:ind w:left="716" w:right="0" w:hanging="284"/>
        <w:jc w:val="left"/>
        <w:rPr>
          <w:sz w:val="28"/>
        </w:rPr>
      </w:pPr>
      <w:r>
        <w:rPr>
          <w:sz w:val="28"/>
        </w:rPr>
        <w:t>Location bâtiment</w:t>
      </w:r>
      <w:r>
        <w:rPr>
          <w:spacing w:val="-3"/>
          <w:sz w:val="28"/>
        </w:rPr>
        <w:t> </w:t>
      </w:r>
      <w:r>
        <w:rPr>
          <w:sz w:val="28"/>
        </w:rPr>
        <w:t>;</w:t>
      </w:r>
    </w:p>
    <w:p>
      <w:pPr>
        <w:pStyle w:val="ListParagraph"/>
        <w:numPr>
          <w:ilvl w:val="0"/>
          <w:numId w:val="10"/>
        </w:numPr>
        <w:tabs>
          <w:tab w:pos="717" w:val="left" w:leader="none"/>
        </w:tabs>
        <w:spacing w:line="240" w:lineRule="auto" w:before="2" w:after="0"/>
        <w:ind w:left="433" w:right="758" w:firstLine="0"/>
        <w:jc w:val="left"/>
        <w:rPr>
          <w:sz w:val="28"/>
        </w:rPr>
      </w:pPr>
      <w:r>
        <w:rPr>
          <w:sz w:val="28"/>
        </w:rPr>
        <w:t>Les</w:t>
      </w:r>
      <w:r>
        <w:rPr>
          <w:spacing w:val="-15"/>
          <w:sz w:val="28"/>
        </w:rPr>
        <w:t> </w:t>
      </w:r>
      <w:r>
        <w:rPr>
          <w:sz w:val="28"/>
        </w:rPr>
        <w:t>procédures</w:t>
      </w:r>
      <w:r>
        <w:rPr>
          <w:spacing w:val="-17"/>
          <w:sz w:val="28"/>
        </w:rPr>
        <w:t> </w:t>
      </w:r>
      <w:r>
        <w:rPr>
          <w:sz w:val="28"/>
        </w:rPr>
        <w:t>du</w:t>
      </w:r>
      <w:r>
        <w:rPr>
          <w:spacing w:val="-15"/>
          <w:sz w:val="28"/>
        </w:rPr>
        <w:t> </w:t>
      </w:r>
      <w:r>
        <w:rPr>
          <w:sz w:val="28"/>
        </w:rPr>
        <w:t>ministère</w:t>
      </w:r>
      <w:r>
        <w:rPr>
          <w:spacing w:val="-18"/>
          <w:sz w:val="28"/>
        </w:rPr>
        <w:t> </w:t>
      </w:r>
      <w:r>
        <w:rPr>
          <w:sz w:val="28"/>
        </w:rPr>
        <w:t>d’avocats</w:t>
      </w:r>
      <w:r>
        <w:rPr>
          <w:spacing w:val="-17"/>
          <w:sz w:val="28"/>
        </w:rPr>
        <w:t> </w:t>
      </w:r>
      <w:r>
        <w:rPr>
          <w:sz w:val="28"/>
        </w:rPr>
        <w:t>pour</w:t>
      </w:r>
      <w:r>
        <w:rPr>
          <w:spacing w:val="-18"/>
          <w:sz w:val="28"/>
        </w:rPr>
        <w:t> </w:t>
      </w:r>
      <w:r>
        <w:rPr>
          <w:sz w:val="28"/>
        </w:rPr>
        <w:t>représenter</w:t>
      </w:r>
      <w:r>
        <w:rPr>
          <w:spacing w:val="-18"/>
          <w:sz w:val="28"/>
        </w:rPr>
        <w:t> </w:t>
      </w:r>
      <w:r>
        <w:rPr>
          <w:sz w:val="28"/>
        </w:rPr>
        <w:t>le</w:t>
      </w:r>
      <w:r>
        <w:rPr>
          <w:spacing w:val="-15"/>
          <w:sz w:val="28"/>
        </w:rPr>
        <w:t> </w:t>
      </w:r>
      <w:r>
        <w:rPr>
          <w:sz w:val="28"/>
        </w:rPr>
        <w:t>GCT</w:t>
      </w:r>
      <w:r>
        <w:rPr>
          <w:spacing w:val="-17"/>
          <w:sz w:val="28"/>
        </w:rPr>
        <w:t> </w:t>
      </w:r>
      <w:r>
        <w:rPr>
          <w:sz w:val="28"/>
        </w:rPr>
        <w:t>auprès</w:t>
      </w:r>
      <w:r>
        <w:rPr>
          <w:spacing w:val="-17"/>
          <w:sz w:val="28"/>
        </w:rPr>
        <w:t> </w:t>
      </w:r>
      <w:r>
        <w:rPr>
          <w:sz w:val="28"/>
        </w:rPr>
        <w:t>des</w:t>
      </w:r>
      <w:r>
        <w:rPr>
          <w:spacing w:val="-15"/>
          <w:sz w:val="28"/>
        </w:rPr>
        <w:t> </w:t>
      </w:r>
      <w:r>
        <w:rPr>
          <w:sz w:val="28"/>
        </w:rPr>
        <w:t>tribunaux et instances judicaires, administratives, militaires, de régulation et arbitrales</w:t>
      </w:r>
      <w:r>
        <w:rPr>
          <w:spacing w:val="-15"/>
          <w:sz w:val="28"/>
        </w:rPr>
        <w:t> </w:t>
      </w:r>
      <w:r>
        <w:rPr>
          <w:sz w:val="28"/>
        </w:rPr>
        <w:t>;</w:t>
      </w:r>
    </w:p>
    <w:p>
      <w:pPr>
        <w:pStyle w:val="ListParagraph"/>
        <w:numPr>
          <w:ilvl w:val="0"/>
          <w:numId w:val="10"/>
        </w:numPr>
        <w:tabs>
          <w:tab w:pos="717" w:val="left" w:leader="none"/>
        </w:tabs>
        <w:spacing w:line="321" w:lineRule="exact" w:before="0" w:after="0"/>
        <w:ind w:left="716" w:right="0" w:hanging="284"/>
        <w:jc w:val="left"/>
        <w:rPr>
          <w:sz w:val="28"/>
        </w:rPr>
      </w:pPr>
      <w:r>
        <w:rPr>
          <w:sz w:val="28"/>
        </w:rPr>
        <w:t>Les dépenses par abonnement (STEG, SONEDE, etc.)</w:t>
      </w:r>
      <w:r>
        <w:rPr>
          <w:spacing w:val="-2"/>
          <w:sz w:val="28"/>
        </w:rPr>
        <w:t> </w:t>
      </w:r>
      <w:r>
        <w:rPr>
          <w:sz w:val="28"/>
        </w:rPr>
        <w:t>;</w:t>
      </w:r>
    </w:p>
    <w:p>
      <w:pPr>
        <w:pStyle w:val="ListParagraph"/>
        <w:numPr>
          <w:ilvl w:val="0"/>
          <w:numId w:val="10"/>
        </w:numPr>
        <w:tabs>
          <w:tab w:pos="717" w:val="left" w:leader="none"/>
        </w:tabs>
        <w:spacing w:line="322" w:lineRule="exact" w:before="0" w:after="0"/>
        <w:ind w:left="716" w:right="0" w:hanging="284"/>
        <w:jc w:val="left"/>
        <w:rPr>
          <w:sz w:val="28"/>
        </w:rPr>
      </w:pPr>
      <w:r>
        <w:rPr>
          <w:sz w:val="28"/>
        </w:rPr>
        <w:t>Les achats de bons de repas et cadeaux ;</w:t>
      </w:r>
    </w:p>
    <w:p>
      <w:pPr>
        <w:pStyle w:val="ListParagraph"/>
        <w:numPr>
          <w:ilvl w:val="0"/>
          <w:numId w:val="10"/>
        </w:numPr>
        <w:tabs>
          <w:tab w:pos="717" w:val="left" w:leader="none"/>
        </w:tabs>
        <w:spacing w:line="322" w:lineRule="exact" w:before="0" w:after="0"/>
        <w:ind w:left="716" w:right="0" w:hanging="284"/>
        <w:jc w:val="left"/>
        <w:rPr>
          <w:sz w:val="28"/>
        </w:rPr>
      </w:pPr>
      <w:r>
        <w:rPr>
          <w:sz w:val="28"/>
        </w:rPr>
        <w:t>Les contrats de concession</w:t>
      </w:r>
      <w:r>
        <w:rPr>
          <w:spacing w:val="-2"/>
          <w:sz w:val="28"/>
        </w:rPr>
        <w:t> </w:t>
      </w:r>
      <w:r>
        <w:rPr>
          <w:sz w:val="28"/>
        </w:rPr>
        <w:t>;</w:t>
      </w:r>
    </w:p>
    <w:p>
      <w:pPr>
        <w:pStyle w:val="ListParagraph"/>
        <w:numPr>
          <w:ilvl w:val="0"/>
          <w:numId w:val="10"/>
        </w:numPr>
        <w:tabs>
          <w:tab w:pos="717" w:val="left" w:leader="none"/>
        </w:tabs>
        <w:spacing w:line="322" w:lineRule="exact" w:before="0" w:after="0"/>
        <w:ind w:left="716" w:right="0" w:hanging="284"/>
        <w:jc w:val="left"/>
        <w:rPr>
          <w:sz w:val="28"/>
        </w:rPr>
      </w:pPr>
      <w:r>
        <w:rPr>
          <w:sz w:val="28"/>
        </w:rPr>
        <w:t>Les contrats de parrainage</w:t>
      </w:r>
      <w:r>
        <w:rPr>
          <w:spacing w:val="-1"/>
          <w:sz w:val="28"/>
        </w:rPr>
        <w:t> </w:t>
      </w:r>
      <w:r>
        <w:rPr>
          <w:sz w:val="28"/>
        </w:rPr>
        <w:t>;</w:t>
      </w:r>
    </w:p>
    <w:p>
      <w:pPr>
        <w:pStyle w:val="ListParagraph"/>
        <w:numPr>
          <w:ilvl w:val="0"/>
          <w:numId w:val="10"/>
        </w:numPr>
        <w:tabs>
          <w:tab w:pos="717" w:val="left" w:leader="none"/>
        </w:tabs>
        <w:spacing w:line="240" w:lineRule="auto" w:before="0" w:after="0"/>
        <w:ind w:left="716" w:right="0" w:hanging="284"/>
        <w:jc w:val="left"/>
        <w:rPr>
          <w:sz w:val="28"/>
        </w:rPr>
      </w:pPr>
      <w:r>
        <w:rPr>
          <w:sz w:val="28"/>
        </w:rPr>
        <w:t>Les contrats de désignation des commissaires aux comptes ;</w:t>
      </w:r>
    </w:p>
    <w:p>
      <w:pPr>
        <w:pStyle w:val="ListParagraph"/>
        <w:numPr>
          <w:ilvl w:val="0"/>
          <w:numId w:val="10"/>
        </w:numPr>
        <w:tabs>
          <w:tab w:pos="717" w:val="left" w:leader="none"/>
        </w:tabs>
        <w:spacing w:line="240" w:lineRule="auto" w:before="2" w:after="0"/>
        <w:ind w:left="716" w:right="0" w:hanging="284"/>
        <w:jc w:val="left"/>
        <w:rPr>
          <w:sz w:val="28"/>
        </w:rPr>
      </w:pPr>
      <w:r>
        <w:rPr>
          <w:sz w:val="28"/>
        </w:rPr>
        <w:t>Le contrat de désignation d’un agent représentant du GCT à</w:t>
      </w:r>
      <w:r>
        <w:rPr>
          <w:spacing w:val="-6"/>
          <w:sz w:val="28"/>
        </w:rPr>
        <w:t> </w:t>
      </w:r>
      <w:r>
        <w:rPr>
          <w:sz w:val="28"/>
        </w:rPr>
        <w:t>l’étranger.</w:t>
      </w:r>
    </w:p>
    <w:p>
      <w:pPr>
        <w:pStyle w:val="Heading2"/>
        <w:numPr>
          <w:ilvl w:val="0"/>
          <w:numId w:val="9"/>
        </w:numPr>
        <w:tabs>
          <w:tab w:pos="885" w:val="left" w:leader="none"/>
        </w:tabs>
        <w:spacing w:line="319" w:lineRule="exact" w:before="245" w:after="0"/>
        <w:ind w:left="884" w:right="0" w:hanging="452"/>
        <w:jc w:val="left"/>
      </w:pPr>
      <w:bookmarkStart w:name="_TOC_250134" w:id="7"/>
      <w:r>
        <w:rPr/>
        <w:t>Conditions de participations aux achats du</w:t>
      </w:r>
      <w:r>
        <w:rPr>
          <w:spacing w:val="-4"/>
        </w:rPr>
        <w:t> </w:t>
      </w:r>
      <w:bookmarkEnd w:id="7"/>
      <w:r>
        <w:rPr/>
        <w:t>GCT</w:t>
      </w:r>
    </w:p>
    <w:p>
      <w:pPr>
        <w:pStyle w:val="BodyText"/>
        <w:ind w:right="750"/>
        <w:jc w:val="right"/>
      </w:pPr>
      <w:r>
        <w:rPr/>
        <w:t>Les achats du GCT ne peuvent être passés qu’avec des personnes physiques ou</w:t>
      </w:r>
      <w:r>
        <w:rPr>
          <w:w w:val="100"/>
        </w:rPr>
        <w:t> </w:t>
      </w:r>
      <w:r>
        <w:rPr/>
        <w:t>morales capables d’honorer leurs engagements et présentant les garanties et capacités</w:t>
      </w:r>
      <w:r>
        <w:rPr>
          <w:w w:val="100"/>
        </w:rPr>
        <w:t> </w:t>
      </w:r>
      <w:r>
        <w:rPr/>
        <w:t>nécessaires tant au plan professionnel que technique et financier mentionnés</w:t>
      </w:r>
      <w:r>
        <w:rPr>
          <w:spacing w:val="68"/>
        </w:rPr>
        <w:t> </w:t>
      </w:r>
      <w:r>
        <w:rPr/>
        <w:t>dans les</w:t>
      </w:r>
      <w:r>
        <w:rPr>
          <w:w w:val="100"/>
        </w:rPr>
        <w:t> </w:t>
      </w:r>
      <w:r>
        <w:rPr/>
        <w:t>documents de mise en concurrence en vue de la bonne exécution de leurs</w:t>
      </w:r>
      <w:r>
        <w:rPr>
          <w:spacing w:val="-51"/>
        </w:rPr>
        <w:t> </w:t>
      </w:r>
      <w:r>
        <w:rPr/>
        <w:t>obligations.</w:t>
      </w:r>
    </w:p>
    <w:p>
      <w:pPr>
        <w:pStyle w:val="BodyText"/>
        <w:ind w:right="750"/>
      </w:pPr>
      <w:r>
        <w:rPr/>
        <w:t>Les</w:t>
      </w:r>
      <w:r>
        <w:rPr>
          <w:spacing w:val="-20"/>
        </w:rPr>
        <w:t> </w:t>
      </w:r>
      <w:r>
        <w:rPr/>
        <w:t>personnes</w:t>
      </w:r>
      <w:r>
        <w:rPr>
          <w:spacing w:val="-21"/>
        </w:rPr>
        <w:t> </w:t>
      </w:r>
      <w:r>
        <w:rPr/>
        <w:t>physiques</w:t>
      </w:r>
      <w:r>
        <w:rPr>
          <w:spacing w:val="-21"/>
        </w:rPr>
        <w:t> </w:t>
      </w:r>
      <w:r>
        <w:rPr/>
        <w:t>ou</w:t>
      </w:r>
      <w:r>
        <w:rPr>
          <w:spacing w:val="-19"/>
        </w:rPr>
        <w:t> </w:t>
      </w:r>
      <w:r>
        <w:rPr/>
        <w:t>morales</w:t>
      </w:r>
      <w:r>
        <w:rPr>
          <w:spacing w:val="-21"/>
        </w:rPr>
        <w:t> </w:t>
      </w:r>
      <w:r>
        <w:rPr/>
        <w:t>qui</w:t>
      </w:r>
      <w:r>
        <w:rPr>
          <w:spacing w:val="-21"/>
        </w:rPr>
        <w:t> </w:t>
      </w:r>
      <w:r>
        <w:rPr/>
        <w:t>sont</w:t>
      </w:r>
      <w:r>
        <w:rPr>
          <w:spacing w:val="-19"/>
        </w:rPr>
        <w:t> </w:t>
      </w:r>
      <w:r>
        <w:rPr/>
        <w:t>en</w:t>
      </w:r>
      <w:r>
        <w:rPr>
          <w:spacing w:val="-21"/>
        </w:rPr>
        <w:t> </w:t>
      </w:r>
      <w:r>
        <w:rPr/>
        <w:t>situation</w:t>
      </w:r>
      <w:r>
        <w:rPr>
          <w:spacing w:val="-21"/>
        </w:rPr>
        <w:t> </w:t>
      </w:r>
      <w:r>
        <w:rPr/>
        <w:t>de</w:t>
      </w:r>
      <w:r>
        <w:rPr>
          <w:spacing w:val="-20"/>
        </w:rPr>
        <w:t> </w:t>
      </w:r>
      <w:r>
        <w:rPr/>
        <w:t>redressement</w:t>
      </w:r>
      <w:r>
        <w:rPr>
          <w:spacing w:val="-19"/>
        </w:rPr>
        <w:t> </w:t>
      </w:r>
      <w:r>
        <w:rPr/>
        <w:t>amiable ou judiciaire conformément à la réglementation en vigueur peuvent contracter avec le GCT pourvu que la bonne exécution du contrat ne soit pas</w:t>
      </w:r>
      <w:r>
        <w:rPr>
          <w:spacing w:val="-12"/>
        </w:rPr>
        <w:t> </w:t>
      </w:r>
      <w:r>
        <w:rPr/>
        <w:t>compromise.</w:t>
      </w:r>
    </w:p>
    <w:p>
      <w:pPr>
        <w:pStyle w:val="BodyText"/>
        <w:ind w:right="749"/>
      </w:pPr>
      <w:r>
        <w:rPr/>
        <w:t>II</w:t>
      </w:r>
      <w:r>
        <w:rPr>
          <w:spacing w:val="-8"/>
        </w:rPr>
        <w:t> </w:t>
      </w:r>
      <w:r>
        <w:rPr/>
        <w:t>ne</w:t>
      </w:r>
      <w:r>
        <w:rPr>
          <w:spacing w:val="-10"/>
        </w:rPr>
        <w:t> </w:t>
      </w:r>
      <w:r>
        <w:rPr/>
        <w:t>peut</w:t>
      </w:r>
      <w:r>
        <w:rPr>
          <w:spacing w:val="-7"/>
        </w:rPr>
        <w:t> </w:t>
      </w:r>
      <w:r>
        <w:rPr/>
        <w:t>être</w:t>
      </w:r>
      <w:r>
        <w:rPr>
          <w:spacing w:val="-10"/>
        </w:rPr>
        <w:t> </w:t>
      </w:r>
      <w:r>
        <w:rPr/>
        <w:t>passé</w:t>
      </w:r>
      <w:r>
        <w:rPr>
          <w:spacing w:val="-10"/>
        </w:rPr>
        <w:t> </w:t>
      </w:r>
      <w:r>
        <w:rPr/>
        <w:t>des</w:t>
      </w:r>
      <w:r>
        <w:rPr>
          <w:spacing w:val="-5"/>
        </w:rPr>
        <w:t> </w:t>
      </w:r>
      <w:r>
        <w:rPr/>
        <w:t>contrats</w:t>
      </w:r>
      <w:r>
        <w:rPr>
          <w:spacing w:val="-7"/>
        </w:rPr>
        <w:t> </w:t>
      </w:r>
      <w:r>
        <w:rPr/>
        <w:t>avec</w:t>
      </w:r>
      <w:r>
        <w:rPr>
          <w:spacing w:val="-10"/>
        </w:rPr>
        <w:t> </w:t>
      </w:r>
      <w:r>
        <w:rPr/>
        <w:t>les</w:t>
      </w:r>
      <w:r>
        <w:rPr>
          <w:spacing w:val="-9"/>
        </w:rPr>
        <w:t> </w:t>
      </w:r>
      <w:r>
        <w:rPr/>
        <w:t>fournisseurs,</w:t>
      </w:r>
      <w:r>
        <w:rPr>
          <w:spacing w:val="-8"/>
        </w:rPr>
        <w:t> </w:t>
      </w:r>
      <w:r>
        <w:rPr/>
        <w:t>les</w:t>
      </w:r>
      <w:r>
        <w:rPr>
          <w:spacing w:val="-9"/>
        </w:rPr>
        <w:t> </w:t>
      </w:r>
      <w:r>
        <w:rPr/>
        <w:t>prestataires</w:t>
      </w:r>
      <w:r>
        <w:rPr>
          <w:spacing w:val="-8"/>
        </w:rPr>
        <w:t> </w:t>
      </w:r>
      <w:r>
        <w:rPr/>
        <w:t>de</w:t>
      </w:r>
      <w:r>
        <w:rPr>
          <w:spacing w:val="-8"/>
        </w:rPr>
        <w:t> </w:t>
      </w:r>
      <w:r>
        <w:rPr/>
        <w:t>services ou</w:t>
      </w:r>
      <w:r>
        <w:rPr>
          <w:spacing w:val="-8"/>
        </w:rPr>
        <w:t> </w:t>
      </w:r>
      <w:r>
        <w:rPr/>
        <w:t>les</w:t>
      </w:r>
      <w:r>
        <w:rPr>
          <w:spacing w:val="-5"/>
        </w:rPr>
        <w:t> </w:t>
      </w:r>
      <w:r>
        <w:rPr/>
        <w:t>représentants</w:t>
      </w:r>
      <w:r>
        <w:rPr>
          <w:spacing w:val="-6"/>
        </w:rPr>
        <w:t> </w:t>
      </w:r>
      <w:r>
        <w:rPr/>
        <w:t>des</w:t>
      </w:r>
      <w:r>
        <w:rPr>
          <w:spacing w:val="-5"/>
        </w:rPr>
        <w:t> </w:t>
      </w:r>
      <w:r>
        <w:rPr/>
        <w:t>fabricants</w:t>
      </w:r>
      <w:r>
        <w:rPr>
          <w:spacing w:val="-8"/>
        </w:rPr>
        <w:t> </w:t>
      </w:r>
      <w:r>
        <w:rPr/>
        <w:t>tunisiens</w:t>
      </w:r>
      <w:r>
        <w:rPr>
          <w:spacing w:val="-6"/>
        </w:rPr>
        <w:t> </w:t>
      </w:r>
      <w:r>
        <w:rPr/>
        <w:t>ou</w:t>
      </w:r>
      <w:r>
        <w:rPr>
          <w:spacing w:val="-6"/>
        </w:rPr>
        <w:t> </w:t>
      </w:r>
      <w:r>
        <w:rPr/>
        <w:t>étrangers</w:t>
      </w:r>
      <w:r>
        <w:rPr>
          <w:spacing w:val="-6"/>
        </w:rPr>
        <w:t> </w:t>
      </w:r>
      <w:r>
        <w:rPr/>
        <w:t>qui</w:t>
      </w:r>
      <w:r>
        <w:rPr>
          <w:spacing w:val="-6"/>
        </w:rPr>
        <w:t> </w:t>
      </w:r>
      <w:r>
        <w:rPr/>
        <w:t>étaient</w:t>
      </w:r>
      <w:r>
        <w:rPr>
          <w:spacing w:val="-7"/>
        </w:rPr>
        <w:t> </w:t>
      </w:r>
      <w:r>
        <w:rPr/>
        <w:t>des</w:t>
      </w:r>
      <w:r>
        <w:rPr>
          <w:spacing w:val="-6"/>
        </w:rPr>
        <w:t> </w:t>
      </w:r>
      <w:r>
        <w:rPr/>
        <w:t>agents</w:t>
      </w:r>
      <w:r>
        <w:rPr>
          <w:spacing w:val="-6"/>
        </w:rPr>
        <w:t> </w:t>
      </w:r>
      <w:r>
        <w:rPr/>
        <w:t>au</w:t>
      </w:r>
      <w:r>
        <w:rPr>
          <w:spacing w:val="-6"/>
        </w:rPr>
        <w:t> </w:t>
      </w:r>
      <w:r>
        <w:rPr/>
        <w:t>sein du GCT ayant cessé leurs activités depuis moins de cinq ans, excepté avec ceux ayant créés</w:t>
      </w:r>
      <w:r>
        <w:rPr>
          <w:spacing w:val="-9"/>
        </w:rPr>
        <w:t> </w:t>
      </w:r>
      <w:r>
        <w:rPr/>
        <w:t>des</w:t>
      </w:r>
      <w:r>
        <w:rPr>
          <w:spacing w:val="-6"/>
        </w:rPr>
        <w:t> </w:t>
      </w:r>
      <w:r>
        <w:rPr/>
        <w:t>entreprises</w:t>
      </w:r>
      <w:r>
        <w:rPr>
          <w:spacing w:val="-8"/>
        </w:rPr>
        <w:t> </w:t>
      </w:r>
      <w:r>
        <w:rPr/>
        <w:t>dans</w:t>
      </w:r>
      <w:r>
        <w:rPr>
          <w:spacing w:val="-6"/>
        </w:rPr>
        <w:t> </w:t>
      </w:r>
      <w:r>
        <w:rPr/>
        <w:t>le</w:t>
      </w:r>
      <w:r>
        <w:rPr>
          <w:spacing w:val="-7"/>
        </w:rPr>
        <w:t> </w:t>
      </w:r>
      <w:r>
        <w:rPr/>
        <w:t>cadre</w:t>
      </w:r>
      <w:r>
        <w:rPr>
          <w:spacing w:val="-6"/>
        </w:rPr>
        <w:t> </w:t>
      </w:r>
      <w:r>
        <w:rPr/>
        <w:t>de</w:t>
      </w:r>
      <w:r>
        <w:rPr>
          <w:spacing w:val="-9"/>
        </w:rPr>
        <w:t> </w:t>
      </w:r>
      <w:r>
        <w:rPr/>
        <w:t>l’essaimage</w:t>
      </w:r>
      <w:r>
        <w:rPr>
          <w:spacing w:val="-7"/>
        </w:rPr>
        <w:t> </w:t>
      </w:r>
      <w:r>
        <w:rPr/>
        <w:t>conformément</w:t>
      </w:r>
      <w:r>
        <w:rPr>
          <w:spacing w:val="-6"/>
        </w:rPr>
        <w:t> </w:t>
      </w:r>
      <w:r>
        <w:rPr/>
        <w:t>à</w:t>
      </w:r>
      <w:r>
        <w:rPr>
          <w:spacing w:val="-7"/>
        </w:rPr>
        <w:t> </w:t>
      </w:r>
      <w:r>
        <w:rPr/>
        <w:t>la</w:t>
      </w:r>
      <w:r>
        <w:rPr>
          <w:spacing w:val="-7"/>
        </w:rPr>
        <w:t> </w:t>
      </w:r>
      <w:r>
        <w:rPr/>
        <w:t>législation</w:t>
      </w:r>
      <w:r>
        <w:rPr>
          <w:spacing w:val="-7"/>
        </w:rPr>
        <w:t> </w:t>
      </w:r>
      <w:r>
        <w:rPr/>
        <w:t>et</w:t>
      </w:r>
      <w:r>
        <w:rPr>
          <w:spacing w:val="-6"/>
        </w:rPr>
        <w:t> </w:t>
      </w:r>
      <w:r>
        <w:rPr/>
        <w:t>à</w:t>
      </w:r>
      <w:r>
        <w:rPr>
          <w:spacing w:val="-7"/>
        </w:rPr>
        <w:t> </w:t>
      </w:r>
      <w:r>
        <w:rPr/>
        <w:t>la réglementation en vigueur dans ce domaine.</w:t>
      </w:r>
    </w:p>
    <w:p>
      <w:pPr>
        <w:pStyle w:val="BodyText"/>
        <w:ind w:right="756"/>
      </w:pPr>
      <w:r>
        <w:rPr/>
        <w:t>Est considéré fournisseur ou représentant du fabricant, le propriétaire de l’entreprise,</w:t>
      </w:r>
      <w:r>
        <w:rPr>
          <w:spacing w:val="-10"/>
        </w:rPr>
        <w:t> </w:t>
      </w:r>
      <w:r>
        <w:rPr/>
        <w:t>son</w:t>
      </w:r>
      <w:r>
        <w:rPr>
          <w:spacing w:val="-10"/>
        </w:rPr>
        <w:t> </w:t>
      </w:r>
      <w:r>
        <w:rPr/>
        <w:t>gérant</w:t>
      </w:r>
      <w:r>
        <w:rPr>
          <w:spacing w:val="-8"/>
        </w:rPr>
        <w:t> </w:t>
      </w:r>
      <w:r>
        <w:rPr/>
        <w:t>et</w:t>
      </w:r>
      <w:r>
        <w:rPr>
          <w:spacing w:val="-9"/>
        </w:rPr>
        <w:t> </w:t>
      </w:r>
      <w:r>
        <w:rPr/>
        <w:t>toute</w:t>
      </w:r>
      <w:r>
        <w:rPr>
          <w:spacing w:val="-9"/>
        </w:rPr>
        <w:t> </w:t>
      </w:r>
      <w:r>
        <w:rPr/>
        <w:t>autre</w:t>
      </w:r>
      <w:r>
        <w:rPr>
          <w:spacing w:val="-8"/>
        </w:rPr>
        <w:t> </w:t>
      </w:r>
      <w:r>
        <w:rPr/>
        <w:t>personne</w:t>
      </w:r>
      <w:r>
        <w:rPr>
          <w:spacing w:val="-10"/>
        </w:rPr>
        <w:t> </w:t>
      </w:r>
      <w:r>
        <w:rPr/>
        <w:t>ayant</w:t>
      </w:r>
      <w:r>
        <w:rPr>
          <w:spacing w:val="-8"/>
        </w:rPr>
        <w:t> </w:t>
      </w:r>
      <w:r>
        <w:rPr/>
        <w:t>une</w:t>
      </w:r>
      <w:r>
        <w:rPr>
          <w:spacing w:val="-9"/>
        </w:rPr>
        <w:t> </w:t>
      </w:r>
      <w:r>
        <w:rPr/>
        <w:t>responsabilité</w:t>
      </w:r>
      <w:r>
        <w:rPr>
          <w:spacing w:val="-10"/>
        </w:rPr>
        <w:t> </w:t>
      </w:r>
      <w:r>
        <w:rPr/>
        <w:t>dans</w:t>
      </w:r>
      <w:r>
        <w:rPr>
          <w:spacing w:val="-8"/>
        </w:rPr>
        <w:t> </w:t>
      </w:r>
      <w:r>
        <w:rPr/>
        <w:t>la</w:t>
      </w:r>
      <w:r>
        <w:rPr>
          <w:spacing w:val="-9"/>
        </w:rPr>
        <w:t> </w:t>
      </w:r>
      <w:r>
        <w:rPr/>
        <w:t>gestion ou la commercialisation dans l’entreprise, le participant au capital à raison de 30% ou plus, ou le concessionnaire du</w:t>
      </w:r>
      <w:r>
        <w:rPr>
          <w:spacing w:val="-8"/>
        </w:rPr>
        <w:t> </w:t>
      </w:r>
      <w:r>
        <w:rPr/>
        <w:t>constructeur.</w:t>
      </w:r>
    </w:p>
    <w:p>
      <w:pPr>
        <w:pStyle w:val="BodyText"/>
        <w:spacing w:before="236"/>
        <w:ind w:right="748"/>
      </w:pPr>
      <w:r>
        <w:rPr/>
        <w:t>Ne peuvent être attributaires d'un marché ou d’un achat hors marchés, les personnes</w:t>
      </w:r>
      <w:r>
        <w:rPr>
          <w:spacing w:val="-13"/>
        </w:rPr>
        <w:t> </w:t>
      </w:r>
      <w:r>
        <w:rPr/>
        <w:t>physiques</w:t>
      </w:r>
      <w:r>
        <w:rPr>
          <w:spacing w:val="-15"/>
        </w:rPr>
        <w:t> </w:t>
      </w:r>
      <w:r>
        <w:rPr/>
        <w:t>ou</w:t>
      </w:r>
      <w:r>
        <w:rPr>
          <w:spacing w:val="-13"/>
        </w:rPr>
        <w:t> </w:t>
      </w:r>
      <w:r>
        <w:rPr/>
        <w:t>morales</w:t>
      </w:r>
      <w:r>
        <w:rPr>
          <w:spacing w:val="-13"/>
        </w:rPr>
        <w:t> </w:t>
      </w:r>
      <w:r>
        <w:rPr/>
        <w:t>y</w:t>
      </w:r>
      <w:r>
        <w:rPr>
          <w:spacing w:val="-17"/>
        </w:rPr>
        <w:t> </w:t>
      </w:r>
      <w:r>
        <w:rPr/>
        <w:t>compris</w:t>
      </w:r>
      <w:r>
        <w:rPr>
          <w:spacing w:val="-13"/>
        </w:rPr>
        <w:t> </w:t>
      </w:r>
      <w:r>
        <w:rPr/>
        <w:t>les</w:t>
      </w:r>
      <w:r>
        <w:rPr>
          <w:spacing w:val="-13"/>
        </w:rPr>
        <w:t> </w:t>
      </w:r>
      <w:r>
        <w:rPr/>
        <w:t>membres</w:t>
      </w:r>
      <w:r>
        <w:rPr>
          <w:spacing w:val="-13"/>
        </w:rPr>
        <w:t> </w:t>
      </w:r>
      <w:r>
        <w:rPr/>
        <w:t>d'un</w:t>
      </w:r>
      <w:r>
        <w:rPr>
          <w:spacing w:val="-15"/>
        </w:rPr>
        <w:t> </w:t>
      </w:r>
      <w:r>
        <w:rPr/>
        <w:t>groupement</w:t>
      </w:r>
      <w:r>
        <w:rPr>
          <w:spacing w:val="-12"/>
        </w:rPr>
        <w:t> </w:t>
      </w:r>
      <w:r>
        <w:rPr/>
        <w:t>et</w:t>
      </w:r>
      <w:r>
        <w:rPr>
          <w:spacing w:val="-13"/>
        </w:rPr>
        <w:t> </w:t>
      </w:r>
      <w:r>
        <w:rPr/>
        <w:t>leurs</w:t>
      </w:r>
      <w:r>
        <w:rPr>
          <w:spacing w:val="-13"/>
        </w:rPr>
        <w:t> </w:t>
      </w:r>
      <w:r>
        <w:rPr/>
        <w:t>sous- traitants éventuels qui</w:t>
      </w:r>
      <w:r>
        <w:rPr>
          <w:spacing w:val="1"/>
        </w:rPr>
        <w:t> </w:t>
      </w:r>
      <w:r>
        <w:rPr/>
        <w:t>:</w:t>
      </w:r>
    </w:p>
    <w:p>
      <w:pPr>
        <w:pStyle w:val="ListParagraph"/>
        <w:numPr>
          <w:ilvl w:val="0"/>
          <w:numId w:val="11"/>
        </w:numPr>
        <w:tabs>
          <w:tab w:pos="1000" w:val="left" w:leader="none"/>
        </w:tabs>
        <w:spacing w:line="240" w:lineRule="auto" w:before="2" w:after="0"/>
        <w:ind w:left="999" w:right="0" w:hanging="284"/>
        <w:jc w:val="both"/>
        <w:rPr>
          <w:sz w:val="28"/>
        </w:rPr>
      </w:pPr>
      <w:r>
        <w:rPr>
          <w:sz w:val="28"/>
        </w:rPr>
        <w:t>Sont en état de faillite, de liquidation ou de cessation</w:t>
      </w:r>
      <w:r>
        <w:rPr>
          <w:spacing w:val="-16"/>
          <w:sz w:val="28"/>
        </w:rPr>
        <w:t> </w:t>
      </w:r>
      <w:r>
        <w:rPr>
          <w:sz w:val="28"/>
        </w:rPr>
        <w:t>d’activité</w:t>
      </w:r>
    </w:p>
    <w:p>
      <w:pPr>
        <w:spacing w:after="0" w:line="240" w:lineRule="auto"/>
        <w:jc w:val="both"/>
        <w:rPr>
          <w:sz w:val="28"/>
        </w:rPr>
        <w:sectPr>
          <w:headerReference w:type="default" r:id="rId7"/>
          <w:pgSz w:w="11910" w:h="16840"/>
          <w:pgMar w:header="722" w:footer="0" w:top="1860" w:bottom="280" w:left="700" w:right="380"/>
          <w:pgNumType w:start="11"/>
        </w:sectPr>
      </w:pPr>
    </w:p>
    <w:p>
      <w:pPr>
        <w:pStyle w:val="BodyText"/>
        <w:spacing w:before="3"/>
        <w:ind w:left="0" w:firstLine="0"/>
        <w:jc w:val="left"/>
        <w:rPr>
          <w:sz w:val="16"/>
        </w:rPr>
      </w:pPr>
    </w:p>
    <w:p>
      <w:pPr>
        <w:pStyle w:val="ListParagraph"/>
        <w:numPr>
          <w:ilvl w:val="0"/>
          <w:numId w:val="11"/>
        </w:numPr>
        <w:tabs>
          <w:tab w:pos="1000" w:val="left" w:leader="none"/>
        </w:tabs>
        <w:spacing w:line="240" w:lineRule="auto" w:before="89" w:after="0"/>
        <w:ind w:left="999" w:right="757" w:hanging="284"/>
        <w:jc w:val="both"/>
        <w:rPr>
          <w:sz w:val="28"/>
        </w:rPr>
      </w:pPr>
      <w:r>
        <w:rPr>
          <w:sz w:val="28"/>
        </w:rPr>
        <w:t>Ayant</w:t>
      </w:r>
      <w:r>
        <w:rPr>
          <w:spacing w:val="-5"/>
          <w:sz w:val="28"/>
        </w:rPr>
        <w:t> </w:t>
      </w:r>
      <w:r>
        <w:rPr>
          <w:sz w:val="28"/>
        </w:rPr>
        <w:t>commis</w:t>
      </w:r>
      <w:r>
        <w:rPr>
          <w:spacing w:val="-6"/>
          <w:sz w:val="28"/>
        </w:rPr>
        <w:t> </w:t>
      </w:r>
      <w:r>
        <w:rPr>
          <w:sz w:val="28"/>
        </w:rPr>
        <w:t>des</w:t>
      </w:r>
      <w:r>
        <w:rPr>
          <w:spacing w:val="-5"/>
          <w:sz w:val="28"/>
        </w:rPr>
        <w:t> </w:t>
      </w:r>
      <w:r>
        <w:rPr>
          <w:sz w:val="28"/>
        </w:rPr>
        <w:t>actes</w:t>
      </w:r>
      <w:r>
        <w:rPr>
          <w:spacing w:val="-7"/>
          <w:sz w:val="28"/>
        </w:rPr>
        <w:t> </w:t>
      </w:r>
      <w:r>
        <w:rPr>
          <w:sz w:val="28"/>
        </w:rPr>
        <w:t>ou</w:t>
      </w:r>
      <w:r>
        <w:rPr>
          <w:spacing w:val="-6"/>
          <w:sz w:val="28"/>
        </w:rPr>
        <w:t> </w:t>
      </w:r>
      <w:r>
        <w:rPr>
          <w:sz w:val="28"/>
        </w:rPr>
        <w:t>agissements</w:t>
      </w:r>
      <w:r>
        <w:rPr>
          <w:spacing w:val="-8"/>
          <w:sz w:val="28"/>
        </w:rPr>
        <w:t> </w:t>
      </w:r>
      <w:r>
        <w:rPr>
          <w:sz w:val="28"/>
        </w:rPr>
        <w:t>portant</w:t>
      </w:r>
      <w:r>
        <w:rPr>
          <w:spacing w:val="-5"/>
          <w:sz w:val="28"/>
        </w:rPr>
        <w:t> </w:t>
      </w:r>
      <w:r>
        <w:rPr>
          <w:sz w:val="28"/>
        </w:rPr>
        <w:t>atteinte</w:t>
      </w:r>
      <w:r>
        <w:rPr>
          <w:spacing w:val="-6"/>
          <w:sz w:val="28"/>
        </w:rPr>
        <w:t> </w:t>
      </w:r>
      <w:r>
        <w:rPr>
          <w:sz w:val="28"/>
        </w:rPr>
        <w:t>à</w:t>
      </w:r>
      <w:r>
        <w:rPr>
          <w:spacing w:val="-6"/>
          <w:sz w:val="28"/>
        </w:rPr>
        <w:t> </w:t>
      </w:r>
      <w:r>
        <w:rPr>
          <w:sz w:val="28"/>
        </w:rPr>
        <w:t>l’intégrité</w:t>
      </w:r>
      <w:r>
        <w:rPr>
          <w:spacing w:val="-6"/>
          <w:sz w:val="28"/>
        </w:rPr>
        <w:t> </w:t>
      </w:r>
      <w:r>
        <w:rPr>
          <w:sz w:val="28"/>
        </w:rPr>
        <w:t>ou</w:t>
      </w:r>
      <w:r>
        <w:rPr>
          <w:spacing w:val="-6"/>
          <w:sz w:val="28"/>
        </w:rPr>
        <w:t> </w:t>
      </w:r>
      <w:r>
        <w:rPr>
          <w:sz w:val="28"/>
        </w:rPr>
        <w:t>la</w:t>
      </w:r>
      <w:r>
        <w:rPr>
          <w:spacing w:val="-6"/>
          <w:sz w:val="28"/>
        </w:rPr>
        <w:t> </w:t>
      </w:r>
      <w:r>
        <w:rPr>
          <w:sz w:val="28"/>
        </w:rPr>
        <w:t>probité professionnelle,</w:t>
      </w:r>
    </w:p>
    <w:p>
      <w:pPr>
        <w:pStyle w:val="ListParagraph"/>
        <w:numPr>
          <w:ilvl w:val="0"/>
          <w:numId w:val="11"/>
        </w:numPr>
        <w:tabs>
          <w:tab w:pos="1000" w:val="left" w:leader="none"/>
        </w:tabs>
        <w:spacing w:line="242" w:lineRule="auto" w:before="0" w:after="0"/>
        <w:ind w:left="999" w:right="750" w:hanging="284"/>
        <w:jc w:val="both"/>
        <w:rPr>
          <w:sz w:val="28"/>
        </w:rPr>
      </w:pPr>
      <w:r>
        <w:rPr>
          <w:sz w:val="28"/>
        </w:rPr>
        <w:t>Ayant</w:t>
      </w:r>
      <w:r>
        <w:rPr>
          <w:spacing w:val="-6"/>
          <w:sz w:val="28"/>
        </w:rPr>
        <w:t> </w:t>
      </w:r>
      <w:r>
        <w:rPr>
          <w:sz w:val="28"/>
        </w:rPr>
        <w:t>fait</w:t>
      </w:r>
      <w:r>
        <w:rPr>
          <w:spacing w:val="-7"/>
          <w:sz w:val="28"/>
        </w:rPr>
        <w:t> </w:t>
      </w:r>
      <w:r>
        <w:rPr>
          <w:sz w:val="28"/>
        </w:rPr>
        <w:t>l’objet</w:t>
      </w:r>
      <w:r>
        <w:rPr>
          <w:spacing w:val="-7"/>
          <w:sz w:val="28"/>
        </w:rPr>
        <w:t> </w:t>
      </w:r>
      <w:r>
        <w:rPr>
          <w:sz w:val="28"/>
        </w:rPr>
        <w:t>d’une</w:t>
      </w:r>
      <w:r>
        <w:rPr>
          <w:spacing w:val="-8"/>
          <w:sz w:val="28"/>
        </w:rPr>
        <w:t> </w:t>
      </w:r>
      <w:r>
        <w:rPr>
          <w:sz w:val="28"/>
        </w:rPr>
        <w:t>décision</w:t>
      </w:r>
      <w:r>
        <w:rPr>
          <w:spacing w:val="-7"/>
          <w:sz w:val="28"/>
        </w:rPr>
        <w:t> </w:t>
      </w:r>
      <w:r>
        <w:rPr>
          <w:sz w:val="28"/>
        </w:rPr>
        <w:t>judiciaire</w:t>
      </w:r>
      <w:r>
        <w:rPr>
          <w:spacing w:val="-10"/>
          <w:sz w:val="28"/>
        </w:rPr>
        <w:t> </w:t>
      </w:r>
      <w:r>
        <w:rPr>
          <w:sz w:val="28"/>
        </w:rPr>
        <w:t>passée</w:t>
      </w:r>
      <w:r>
        <w:rPr>
          <w:spacing w:val="-6"/>
          <w:sz w:val="28"/>
        </w:rPr>
        <w:t> </w:t>
      </w:r>
      <w:r>
        <w:rPr>
          <w:sz w:val="28"/>
        </w:rPr>
        <w:t>en</w:t>
      </w:r>
      <w:r>
        <w:rPr>
          <w:spacing w:val="-7"/>
          <w:sz w:val="28"/>
        </w:rPr>
        <w:t> </w:t>
      </w:r>
      <w:r>
        <w:rPr>
          <w:sz w:val="28"/>
        </w:rPr>
        <w:t>force</w:t>
      </w:r>
      <w:r>
        <w:rPr>
          <w:spacing w:val="-7"/>
          <w:sz w:val="28"/>
        </w:rPr>
        <w:t> </w:t>
      </w:r>
      <w:r>
        <w:rPr>
          <w:sz w:val="28"/>
        </w:rPr>
        <w:t>de la</w:t>
      </w:r>
      <w:r>
        <w:rPr>
          <w:spacing w:val="-8"/>
          <w:sz w:val="28"/>
        </w:rPr>
        <w:t> </w:t>
      </w:r>
      <w:r>
        <w:rPr>
          <w:sz w:val="28"/>
        </w:rPr>
        <w:t>chose</w:t>
      </w:r>
      <w:r>
        <w:rPr>
          <w:spacing w:val="-8"/>
          <w:sz w:val="28"/>
        </w:rPr>
        <w:t> </w:t>
      </w:r>
      <w:r>
        <w:rPr>
          <w:sz w:val="28"/>
        </w:rPr>
        <w:t>jugée</w:t>
      </w:r>
      <w:r>
        <w:rPr>
          <w:spacing w:val="-7"/>
          <w:sz w:val="28"/>
        </w:rPr>
        <w:t> </w:t>
      </w:r>
      <w:r>
        <w:rPr>
          <w:sz w:val="28"/>
        </w:rPr>
        <w:t>pour infractions ayant relation avec l’objet de</w:t>
      </w:r>
      <w:r>
        <w:rPr>
          <w:spacing w:val="2"/>
          <w:sz w:val="28"/>
        </w:rPr>
        <w:t> </w:t>
      </w:r>
      <w:r>
        <w:rPr>
          <w:sz w:val="28"/>
        </w:rPr>
        <w:t>l’achat.</w:t>
      </w:r>
    </w:p>
    <w:p>
      <w:pPr>
        <w:pStyle w:val="ListParagraph"/>
        <w:numPr>
          <w:ilvl w:val="0"/>
          <w:numId w:val="11"/>
        </w:numPr>
        <w:tabs>
          <w:tab w:pos="1000" w:val="left" w:leader="none"/>
        </w:tabs>
        <w:spacing w:line="240" w:lineRule="auto" w:before="0" w:after="0"/>
        <w:ind w:left="999" w:right="756" w:hanging="284"/>
        <w:jc w:val="both"/>
        <w:rPr>
          <w:sz w:val="28"/>
        </w:rPr>
      </w:pPr>
      <w:r>
        <w:rPr>
          <w:sz w:val="28"/>
        </w:rPr>
        <w:t>Ayant fait intentionnellement usage de fausses déclarations ou falsifié des documents</w:t>
      </w:r>
      <w:r>
        <w:rPr>
          <w:spacing w:val="-14"/>
          <w:sz w:val="28"/>
        </w:rPr>
        <w:t> </w:t>
      </w:r>
      <w:r>
        <w:rPr>
          <w:sz w:val="28"/>
        </w:rPr>
        <w:t>ou</w:t>
      </w:r>
      <w:r>
        <w:rPr>
          <w:spacing w:val="-12"/>
          <w:sz w:val="28"/>
        </w:rPr>
        <w:t> </w:t>
      </w:r>
      <w:r>
        <w:rPr>
          <w:sz w:val="28"/>
        </w:rPr>
        <w:t>ayant</w:t>
      </w:r>
      <w:r>
        <w:rPr>
          <w:spacing w:val="-12"/>
          <w:sz w:val="28"/>
        </w:rPr>
        <w:t> </w:t>
      </w:r>
      <w:r>
        <w:rPr>
          <w:sz w:val="28"/>
        </w:rPr>
        <w:t>commis</w:t>
      </w:r>
      <w:r>
        <w:rPr>
          <w:spacing w:val="-12"/>
          <w:sz w:val="28"/>
        </w:rPr>
        <w:t> </w:t>
      </w:r>
      <w:r>
        <w:rPr>
          <w:sz w:val="28"/>
        </w:rPr>
        <w:t>tout</w:t>
      </w:r>
      <w:r>
        <w:rPr>
          <w:spacing w:val="-12"/>
          <w:sz w:val="28"/>
        </w:rPr>
        <w:t> </w:t>
      </w:r>
      <w:r>
        <w:rPr>
          <w:sz w:val="28"/>
        </w:rPr>
        <w:t>autre</w:t>
      </w:r>
      <w:r>
        <w:rPr>
          <w:spacing w:val="-12"/>
          <w:sz w:val="28"/>
        </w:rPr>
        <w:t> </w:t>
      </w:r>
      <w:r>
        <w:rPr>
          <w:sz w:val="28"/>
        </w:rPr>
        <w:t>acte</w:t>
      </w:r>
      <w:r>
        <w:rPr>
          <w:spacing w:val="-15"/>
          <w:sz w:val="28"/>
        </w:rPr>
        <w:t> </w:t>
      </w:r>
      <w:r>
        <w:rPr>
          <w:sz w:val="28"/>
        </w:rPr>
        <w:t>visant</w:t>
      </w:r>
      <w:r>
        <w:rPr>
          <w:spacing w:val="-12"/>
          <w:sz w:val="28"/>
        </w:rPr>
        <w:t> </w:t>
      </w:r>
      <w:r>
        <w:rPr>
          <w:sz w:val="28"/>
        </w:rPr>
        <w:t>à</w:t>
      </w:r>
      <w:r>
        <w:rPr>
          <w:spacing w:val="-15"/>
          <w:sz w:val="28"/>
        </w:rPr>
        <w:t> </w:t>
      </w:r>
      <w:r>
        <w:rPr>
          <w:sz w:val="28"/>
        </w:rPr>
        <w:t>induire</w:t>
      </w:r>
      <w:r>
        <w:rPr>
          <w:spacing w:val="-12"/>
          <w:sz w:val="28"/>
        </w:rPr>
        <w:t> </w:t>
      </w:r>
      <w:r>
        <w:rPr>
          <w:sz w:val="28"/>
        </w:rPr>
        <w:t>le</w:t>
      </w:r>
      <w:r>
        <w:rPr>
          <w:spacing w:val="-12"/>
          <w:sz w:val="28"/>
        </w:rPr>
        <w:t> </w:t>
      </w:r>
      <w:r>
        <w:rPr>
          <w:sz w:val="28"/>
        </w:rPr>
        <w:t>GCT</w:t>
      </w:r>
      <w:r>
        <w:rPr>
          <w:spacing w:val="-13"/>
          <w:sz w:val="28"/>
        </w:rPr>
        <w:t> </w:t>
      </w:r>
      <w:r>
        <w:rPr>
          <w:sz w:val="28"/>
        </w:rPr>
        <w:t>en</w:t>
      </w:r>
      <w:r>
        <w:rPr>
          <w:spacing w:val="-11"/>
          <w:sz w:val="28"/>
        </w:rPr>
        <w:t> </w:t>
      </w:r>
      <w:r>
        <w:rPr>
          <w:sz w:val="28"/>
        </w:rPr>
        <w:t>erreur</w:t>
      </w:r>
      <w:r>
        <w:rPr>
          <w:spacing w:val="-12"/>
          <w:sz w:val="28"/>
        </w:rPr>
        <w:t> </w:t>
      </w:r>
      <w:r>
        <w:rPr>
          <w:sz w:val="28"/>
        </w:rPr>
        <w:t>dans l’évaluation</w:t>
      </w:r>
      <w:r>
        <w:rPr>
          <w:spacing w:val="-14"/>
          <w:sz w:val="28"/>
        </w:rPr>
        <w:t> </w:t>
      </w:r>
      <w:r>
        <w:rPr>
          <w:sz w:val="28"/>
        </w:rPr>
        <w:t>de</w:t>
      </w:r>
      <w:r>
        <w:rPr>
          <w:spacing w:val="-11"/>
          <w:sz w:val="28"/>
        </w:rPr>
        <w:t> </w:t>
      </w:r>
      <w:r>
        <w:rPr>
          <w:sz w:val="28"/>
        </w:rPr>
        <w:t>ses</w:t>
      </w:r>
      <w:r>
        <w:rPr>
          <w:spacing w:val="-13"/>
          <w:sz w:val="28"/>
        </w:rPr>
        <w:t> </w:t>
      </w:r>
      <w:r>
        <w:rPr>
          <w:sz w:val="28"/>
        </w:rPr>
        <w:t>capacités</w:t>
      </w:r>
      <w:r>
        <w:rPr>
          <w:spacing w:val="-10"/>
          <w:sz w:val="28"/>
        </w:rPr>
        <w:t> </w:t>
      </w:r>
      <w:r>
        <w:rPr>
          <w:sz w:val="28"/>
        </w:rPr>
        <w:t>financières,</w:t>
      </w:r>
      <w:r>
        <w:rPr>
          <w:spacing w:val="-15"/>
          <w:sz w:val="28"/>
        </w:rPr>
        <w:t> </w:t>
      </w:r>
      <w:r>
        <w:rPr>
          <w:sz w:val="28"/>
        </w:rPr>
        <w:t>professionnelles</w:t>
      </w:r>
      <w:r>
        <w:rPr>
          <w:spacing w:val="-13"/>
          <w:sz w:val="28"/>
        </w:rPr>
        <w:t> </w:t>
      </w:r>
      <w:r>
        <w:rPr>
          <w:sz w:val="28"/>
        </w:rPr>
        <w:t>ou</w:t>
      </w:r>
      <w:r>
        <w:rPr>
          <w:spacing w:val="-12"/>
          <w:sz w:val="28"/>
        </w:rPr>
        <w:t> </w:t>
      </w:r>
      <w:r>
        <w:rPr>
          <w:sz w:val="28"/>
        </w:rPr>
        <w:t>techniques</w:t>
      </w:r>
      <w:r>
        <w:rPr>
          <w:spacing w:val="-14"/>
          <w:sz w:val="28"/>
        </w:rPr>
        <w:t> </w:t>
      </w:r>
      <w:r>
        <w:rPr>
          <w:sz w:val="28"/>
        </w:rPr>
        <w:t>lors</w:t>
      </w:r>
      <w:r>
        <w:rPr>
          <w:spacing w:val="-13"/>
          <w:sz w:val="28"/>
        </w:rPr>
        <w:t> </w:t>
      </w:r>
      <w:r>
        <w:rPr>
          <w:sz w:val="28"/>
        </w:rPr>
        <w:t>de</w:t>
      </w:r>
      <w:r>
        <w:rPr>
          <w:spacing w:val="-14"/>
          <w:sz w:val="28"/>
        </w:rPr>
        <w:t> </w:t>
      </w:r>
      <w:r>
        <w:rPr>
          <w:sz w:val="28"/>
        </w:rPr>
        <w:t>la participation à une</w:t>
      </w:r>
      <w:r>
        <w:rPr>
          <w:spacing w:val="-4"/>
          <w:sz w:val="28"/>
        </w:rPr>
        <w:t> </w:t>
      </w:r>
      <w:r>
        <w:rPr>
          <w:sz w:val="28"/>
        </w:rPr>
        <w:t>commande.</w:t>
      </w:r>
    </w:p>
    <w:p>
      <w:pPr>
        <w:pStyle w:val="ListParagraph"/>
        <w:numPr>
          <w:ilvl w:val="0"/>
          <w:numId w:val="11"/>
        </w:numPr>
        <w:tabs>
          <w:tab w:pos="1000" w:val="left" w:leader="none"/>
        </w:tabs>
        <w:spacing w:line="321" w:lineRule="exact" w:before="0" w:after="0"/>
        <w:ind w:left="999" w:right="0" w:hanging="284"/>
        <w:jc w:val="both"/>
        <w:rPr>
          <w:sz w:val="28"/>
        </w:rPr>
      </w:pPr>
      <w:r>
        <w:rPr>
          <w:sz w:val="28"/>
        </w:rPr>
        <w:t>Ayant failli à leurs obligations contractuelles à l’égard du</w:t>
      </w:r>
      <w:r>
        <w:rPr>
          <w:spacing w:val="-11"/>
          <w:sz w:val="28"/>
        </w:rPr>
        <w:t> </w:t>
      </w:r>
      <w:r>
        <w:rPr>
          <w:sz w:val="28"/>
        </w:rPr>
        <w:t>GCT</w:t>
      </w:r>
    </w:p>
    <w:p>
      <w:pPr>
        <w:pStyle w:val="ListParagraph"/>
        <w:numPr>
          <w:ilvl w:val="0"/>
          <w:numId w:val="11"/>
        </w:numPr>
        <w:tabs>
          <w:tab w:pos="1000" w:val="left" w:leader="none"/>
        </w:tabs>
        <w:spacing w:line="322" w:lineRule="exact" w:before="0" w:after="0"/>
        <w:ind w:left="999" w:right="0" w:hanging="284"/>
        <w:jc w:val="both"/>
        <w:rPr>
          <w:sz w:val="28"/>
        </w:rPr>
      </w:pPr>
      <w:r>
        <w:rPr>
          <w:sz w:val="28"/>
        </w:rPr>
        <w:t>Se trouvent dans une situation de conflits</w:t>
      </w:r>
      <w:r>
        <w:rPr>
          <w:spacing w:val="-10"/>
          <w:sz w:val="28"/>
        </w:rPr>
        <w:t> </w:t>
      </w:r>
      <w:r>
        <w:rPr>
          <w:sz w:val="28"/>
        </w:rPr>
        <w:t>d’intérêts.</w:t>
      </w:r>
    </w:p>
    <w:p>
      <w:pPr>
        <w:pStyle w:val="BodyText"/>
        <w:ind w:right="757"/>
      </w:pPr>
      <w:r>
        <w:rPr/>
        <w:t>Les opérateurs économiques exclus de la participation aux marchés publics et figurant</w:t>
      </w:r>
      <w:r>
        <w:rPr>
          <w:spacing w:val="-6"/>
        </w:rPr>
        <w:t> </w:t>
      </w:r>
      <w:r>
        <w:rPr/>
        <w:t>sur</w:t>
      </w:r>
      <w:r>
        <w:rPr>
          <w:spacing w:val="-9"/>
        </w:rPr>
        <w:t> </w:t>
      </w:r>
      <w:r>
        <w:rPr/>
        <w:t>le</w:t>
      </w:r>
      <w:r>
        <w:rPr>
          <w:spacing w:val="-9"/>
        </w:rPr>
        <w:t> </w:t>
      </w:r>
      <w:r>
        <w:rPr/>
        <w:t>site</w:t>
      </w:r>
      <w:r>
        <w:rPr>
          <w:spacing w:val="-6"/>
        </w:rPr>
        <w:t> </w:t>
      </w:r>
      <w:r>
        <w:rPr/>
        <w:t>web</w:t>
      </w:r>
      <w:r>
        <w:rPr>
          <w:spacing w:val="-6"/>
        </w:rPr>
        <w:t> </w:t>
      </w:r>
      <w:r>
        <w:rPr/>
        <w:t>de</w:t>
      </w:r>
      <w:r>
        <w:rPr>
          <w:spacing w:val="-6"/>
        </w:rPr>
        <w:t> </w:t>
      </w:r>
      <w:r>
        <w:rPr/>
        <w:t>l’observatoire</w:t>
      </w:r>
      <w:r>
        <w:rPr>
          <w:spacing w:val="-8"/>
        </w:rPr>
        <w:t> </w:t>
      </w:r>
      <w:r>
        <w:rPr/>
        <w:t>national</w:t>
      </w:r>
      <w:r>
        <w:rPr>
          <w:spacing w:val="-8"/>
        </w:rPr>
        <w:t> </w:t>
      </w:r>
      <w:r>
        <w:rPr/>
        <w:t>des</w:t>
      </w:r>
      <w:r>
        <w:rPr>
          <w:spacing w:val="-6"/>
        </w:rPr>
        <w:t> </w:t>
      </w:r>
      <w:r>
        <w:rPr/>
        <w:t>marchés</w:t>
      </w:r>
      <w:r>
        <w:rPr>
          <w:spacing w:val="-8"/>
        </w:rPr>
        <w:t> </w:t>
      </w:r>
      <w:r>
        <w:rPr/>
        <w:t>publics</w:t>
      </w:r>
      <w:r>
        <w:rPr>
          <w:spacing w:val="-6"/>
        </w:rPr>
        <w:t> </w:t>
      </w:r>
      <w:r>
        <w:rPr/>
        <w:t>sont</w:t>
      </w:r>
      <w:r>
        <w:rPr>
          <w:spacing w:val="-8"/>
        </w:rPr>
        <w:t> </w:t>
      </w:r>
      <w:r>
        <w:rPr/>
        <w:t>interdits</w:t>
      </w:r>
      <w:r>
        <w:rPr>
          <w:spacing w:val="-8"/>
        </w:rPr>
        <w:t> </w:t>
      </w:r>
      <w:r>
        <w:rPr/>
        <w:t>de la participation aux achats du</w:t>
      </w:r>
      <w:r>
        <w:rPr>
          <w:spacing w:val="2"/>
        </w:rPr>
        <w:t> </w:t>
      </w:r>
      <w:r>
        <w:rPr/>
        <w:t>GCT.</w:t>
      </w:r>
    </w:p>
    <w:p>
      <w:pPr>
        <w:pStyle w:val="BodyText"/>
        <w:ind w:right="753"/>
      </w:pPr>
      <w:r>
        <w:rPr/>
        <w:t>Les cahiers des charges doivent contenir une déclaration sur l’honneur justifiant que</w:t>
      </w:r>
      <w:r>
        <w:rPr>
          <w:spacing w:val="-3"/>
        </w:rPr>
        <w:t> </w:t>
      </w:r>
      <w:r>
        <w:rPr/>
        <w:t>le</w:t>
      </w:r>
      <w:r>
        <w:rPr>
          <w:spacing w:val="-3"/>
        </w:rPr>
        <w:t> </w:t>
      </w:r>
      <w:r>
        <w:rPr/>
        <w:t>candidat</w:t>
      </w:r>
      <w:r>
        <w:rPr>
          <w:spacing w:val="-4"/>
        </w:rPr>
        <w:t> </w:t>
      </w:r>
      <w:r>
        <w:rPr/>
        <w:t>n’est</w:t>
      </w:r>
      <w:r>
        <w:rPr>
          <w:spacing w:val="-4"/>
        </w:rPr>
        <w:t> </w:t>
      </w:r>
      <w:r>
        <w:rPr/>
        <w:t>pas</w:t>
      </w:r>
      <w:r>
        <w:rPr>
          <w:spacing w:val="-4"/>
        </w:rPr>
        <w:t> </w:t>
      </w:r>
      <w:r>
        <w:rPr/>
        <w:t>exclu</w:t>
      </w:r>
      <w:r>
        <w:rPr>
          <w:spacing w:val="-5"/>
        </w:rPr>
        <w:t> </w:t>
      </w:r>
      <w:r>
        <w:rPr/>
        <w:t>à</w:t>
      </w:r>
      <w:r>
        <w:rPr>
          <w:spacing w:val="-3"/>
        </w:rPr>
        <w:t> </w:t>
      </w:r>
      <w:r>
        <w:rPr/>
        <w:t>la</w:t>
      </w:r>
      <w:r>
        <w:rPr>
          <w:spacing w:val="-5"/>
        </w:rPr>
        <w:t> </w:t>
      </w:r>
      <w:r>
        <w:rPr/>
        <w:t>participation</w:t>
      </w:r>
      <w:r>
        <w:rPr>
          <w:spacing w:val="-2"/>
        </w:rPr>
        <w:t> </w:t>
      </w:r>
      <w:r>
        <w:rPr/>
        <w:t>aux</w:t>
      </w:r>
      <w:r>
        <w:rPr>
          <w:spacing w:val="-1"/>
        </w:rPr>
        <w:t> </w:t>
      </w:r>
      <w:r>
        <w:rPr/>
        <w:t>marchés</w:t>
      </w:r>
      <w:r>
        <w:rPr>
          <w:spacing w:val="-5"/>
        </w:rPr>
        <w:t> </w:t>
      </w:r>
      <w:r>
        <w:rPr/>
        <w:t>publics</w:t>
      </w:r>
      <w:r>
        <w:rPr>
          <w:spacing w:val="-2"/>
        </w:rPr>
        <w:t> </w:t>
      </w:r>
      <w:r>
        <w:rPr/>
        <w:t>et</w:t>
      </w:r>
      <w:r>
        <w:rPr>
          <w:spacing w:val="-4"/>
        </w:rPr>
        <w:t> </w:t>
      </w:r>
      <w:r>
        <w:rPr/>
        <w:t>il</w:t>
      </w:r>
      <w:r>
        <w:rPr>
          <w:spacing w:val="-4"/>
        </w:rPr>
        <w:t> </w:t>
      </w:r>
      <w:r>
        <w:rPr/>
        <w:t>ne</w:t>
      </w:r>
      <w:r>
        <w:rPr>
          <w:spacing w:val="-5"/>
        </w:rPr>
        <w:t> </w:t>
      </w:r>
      <w:r>
        <w:rPr/>
        <w:t>se</w:t>
      </w:r>
      <w:r>
        <w:rPr>
          <w:spacing w:val="-4"/>
        </w:rPr>
        <w:t> </w:t>
      </w:r>
      <w:r>
        <w:rPr/>
        <w:t>trouve pas dans une situation de conflit d’intérêt. Le dossier d’appel d’offres/ proposition ou de négociation doit demander la fourniture de structure de capital de la société ou du bureau du soumissionnaire</w:t>
      </w:r>
      <w:r>
        <w:rPr>
          <w:spacing w:val="1"/>
        </w:rPr>
        <w:t> </w:t>
      </w:r>
      <w:r>
        <w:rPr/>
        <w:t>retenu.</w:t>
      </w:r>
    </w:p>
    <w:p>
      <w:pPr>
        <w:pStyle w:val="Heading2"/>
        <w:numPr>
          <w:ilvl w:val="0"/>
          <w:numId w:val="9"/>
        </w:numPr>
        <w:tabs>
          <w:tab w:pos="775" w:val="left" w:leader="none"/>
        </w:tabs>
        <w:spacing w:line="319" w:lineRule="exact" w:before="241" w:after="0"/>
        <w:ind w:left="774" w:right="0" w:hanging="342"/>
        <w:jc w:val="left"/>
      </w:pPr>
      <w:bookmarkStart w:name="_TOC_250133" w:id="8"/>
      <w:r>
        <w:rPr/>
        <w:t>Terminologies et</w:t>
      </w:r>
      <w:r>
        <w:rPr>
          <w:spacing w:val="-3"/>
        </w:rPr>
        <w:t> </w:t>
      </w:r>
      <w:bookmarkEnd w:id="8"/>
      <w:r>
        <w:rPr/>
        <w:t>définitions</w:t>
      </w:r>
    </w:p>
    <w:p>
      <w:pPr>
        <w:pStyle w:val="BodyText"/>
        <w:spacing w:line="319" w:lineRule="exact"/>
        <w:ind w:firstLine="0"/>
        <w:jc w:val="left"/>
      </w:pPr>
      <w:r>
        <w:rPr/>
        <w:t>Au sens du présent manuel, on entend par les termes suivants :</w:t>
      </w:r>
    </w:p>
    <w:p>
      <w:pPr>
        <w:pStyle w:val="Heading2"/>
        <w:numPr>
          <w:ilvl w:val="1"/>
          <w:numId w:val="12"/>
        </w:numPr>
        <w:tabs>
          <w:tab w:pos="986" w:val="left" w:leader="none"/>
        </w:tabs>
        <w:spacing w:line="319" w:lineRule="exact" w:before="124" w:after="0"/>
        <w:ind w:left="985" w:right="0" w:hanging="553"/>
        <w:jc w:val="left"/>
      </w:pPr>
      <w:bookmarkStart w:name="_TOC_250132" w:id="9"/>
      <w:bookmarkEnd w:id="9"/>
      <w:r>
        <w:rPr/>
        <w:t>Classification des achats du GCT</w:t>
      </w:r>
    </w:p>
    <w:p>
      <w:pPr>
        <w:pStyle w:val="BodyText"/>
        <w:spacing w:line="319" w:lineRule="exact"/>
        <w:ind w:left="999" w:firstLine="0"/>
        <w:jc w:val="left"/>
      </w:pPr>
      <w:r>
        <w:rPr/>
        <w:t>En fonction du montant et de la catégorie des achats, on distingue :</w:t>
      </w:r>
    </w:p>
    <w:p>
      <w:pPr>
        <w:pStyle w:val="ListParagraph"/>
        <w:numPr>
          <w:ilvl w:val="2"/>
          <w:numId w:val="12"/>
        </w:numPr>
        <w:tabs>
          <w:tab w:pos="1000" w:val="left" w:leader="none"/>
        </w:tabs>
        <w:spacing w:line="240" w:lineRule="auto" w:before="1" w:after="0"/>
        <w:ind w:left="999" w:right="751" w:hanging="284"/>
        <w:jc w:val="both"/>
        <w:rPr>
          <w:sz w:val="28"/>
        </w:rPr>
      </w:pPr>
      <w:r>
        <w:rPr>
          <w:b/>
          <w:sz w:val="28"/>
        </w:rPr>
        <w:t>Les</w:t>
      </w:r>
      <w:r>
        <w:rPr>
          <w:b/>
          <w:spacing w:val="-10"/>
          <w:sz w:val="28"/>
        </w:rPr>
        <w:t> </w:t>
      </w:r>
      <w:r>
        <w:rPr>
          <w:b/>
          <w:sz w:val="28"/>
        </w:rPr>
        <w:t>Marchés</w:t>
      </w:r>
      <w:r>
        <w:rPr>
          <w:b/>
          <w:spacing w:val="-8"/>
          <w:sz w:val="28"/>
        </w:rPr>
        <w:t> </w:t>
      </w:r>
      <w:r>
        <w:rPr>
          <w:b/>
          <w:sz w:val="28"/>
        </w:rPr>
        <w:t>:</w:t>
      </w:r>
      <w:r>
        <w:rPr>
          <w:b/>
          <w:spacing w:val="-10"/>
          <w:sz w:val="28"/>
        </w:rPr>
        <w:t> </w:t>
      </w:r>
      <w:r>
        <w:rPr>
          <w:sz w:val="28"/>
        </w:rPr>
        <w:t>Les</w:t>
      </w:r>
      <w:r>
        <w:rPr>
          <w:spacing w:val="-6"/>
          <w:sz w:val="28"/>
        </w:rPr>
        <w:t> </w:t>
      </w:r>
      <w:r>
        <w:rPr>
          <w:sz w:val="28"/>
        </w:rPr>
        <w:t>marchés</w:t>
      </w:r>
      <w:r>
        <w:rPr>
          <w:spacing w:val="-9"/>
          <w:sz w:val="28"/>
        </w:rPr>
        <w:t> </w:t>
      </w:r>
      <w:r>
        <w:rPr>
          <w:sz w:val="28"/>
        </w:rPr>
        <w:t>sont</w:t>
      </w:r>
      <w:r>
        <w:rPr>
          <w:spacing w:val="-12"/>
          <w:sz w:val="28"/>
        </w:rPr>
        <w:t> </w:t>
      </w:r>
      <w:r>
        <w:rPr>
          <w:sz w:val="28"/>
        </w:rPr>
        <w:t>des</w:t>
      </w:r>
      <w:r>
        <w:rPr>
          <w:spacing w:val="-9"/>
          <w:sz w:val="28"/>
        </w:rPr>
        <w:t> </w:t>
      </w:r>
      <w:r>
        <w:rPr>
          <w:sz w:val="28"/>
        </w:rPr>
        <w:t>contrats</w:t>
      </w:r>
      <w:r>
        <w:rPr>
          <w:spacing w:val="-9"/>
          <w:sz w:val="28"/>
        </w:rPr>
        <w:t> </w:t>
      </w:r>
      <w:r>
        <w:rPr>
          <w:sz w:val="28"/>
        </w:rPr>
        <w:t>écrits,</w:t>
      </w:r>
      <w:r>
        <w:rPr>
          <w:spacing w:val="-11"/>
          <w:sz w:val="28"/>
        </w:rPr>
        <w:t> </w:t>
      </w:r>
      <w:r>
        <w:rPr>
          <w:sz w:val="28"/>
        </w:rPr>
        <w:t>conclus</w:t>
      </w:r>
      <w:r>
        <w:rPr>
          <w:spacing w:val="-10"/>
          <w:sz w:val="28"/>
        </w:rPr>
        <w:t> </w:t>
      </w:r>
      <w:r>
        <w:rPr>
          <w:sz w:val="28"/>
        </w:rPr>
        <w:t>à</w:t>
      </w:r>
      <w:r>
        <w:rPr>
          <w:spacing w:val="-10"/>
          <w:sz w:val="28"/>
        </w:rPr>
        <w:t> </w:t>
      </w:r>
      <w:r>
        <w:rPr>
          <w:sz w:val="28"/>
        </w:rPr>
        <w:t>titre</w:t>
      </w:r>
      <w:r>
        <w:rPr>
          <w:spacing w:val="-10"/>
          <w:sz w:val="28"/>
        </w:rPr>
        <w:t> </w:t>
      </w:r>
      <w:r>
        <w:rPr>
          <w:sz w:val="28"/>
        </w:rPr>
        <w:t>onéreux</w:t>
      </w:r>
      <w:r>
        <w:rPr>
          <w:spacing w:val="-9"/>
          <w:sz w:val="28"/>
        </w:rPr>
        <w:t> </w:t>
      </w:r>
      <w:r>
        <w:rPr>
          <w:sz w:val="28"/>
        </w:rPr>
        <w:t>par</w:t>
      </w:r>
      <w:r>
        <w:rPr>
          <w:spacing w:val="-10"/>
          <w:sz w:val="28"/>
        </w:rPr>
        <w:t> </w:t>
      </w:r>
      <w:r>
        <w:rPr>
          <w:sz w:val="28"/>
        </w:rPr>
        <w:t>le GCT,</w:t>
      </w:r>
      <w:r>
        <w:rPr>
          <w:spacing w:val="-12"/>
          <w:sz w:val="28"/>
        </w:rPr>
        <w:t> </w:t>
      </w:r>
      <w:r>
        <w:rPr>
          <w:sz w:val="28"/>
        </w:rPr>
        <w:t>en</w:t>
      </w:r>
      <w:r>
        <w:rPr>
          <w:spacing w:val="-9"/>
          <w:sz w:val="28"/>
        </w:rPr>
        <w:t> </w:t>
      </w:r>
      <w:r>
        <w:rPr>
          <w:sz w:val="28"/>
        </w:rPr>
        <w:t>vue</w:t>
      </w:r>
      <w:r>
        <w:rPr>
          <w:spacing w:val="-10"/>
          <w:sz w:val="28"/>
        </w:rPr>
        <w:t> </w:t>
      </w:r>
      <w:r>
        <w:rPr>
          <w:sz w:val="28"/>
        </w:rPr>
        <w:t>de</w:t>
      </w:r>
      <w:r>
        <w:rPr>
          <w:spacing w:val="-12"/>
          <w:sz w:val="28"/>
        </w:rPr>
        <w:t> </w:t>
      </w:r>
      <w:r>
        <w:rPr>
          <w:sz w:val="28"/>
        </w:rPr>
        <w:t>la</w:t>
      </w:r>
      <w:r>
        <w:rPr>
          <w:spacing w:val="-10"/>
          <w:sz w:val="28"/>
        </w:rPr>
        <w:t> </w:t>
      </w:r>
      <w:r>
        <w:rPr>
          <w:sz w:val="28"/>
        </w:rPr>
        <w:t>réalisation</w:t>
      </w:r>
      <w:r>
        <w:rPr>
          <w:spacing w:val="-13"/>
          <w:sz w:val="28"/>
        </w:rPr>
        <w:t> </w:t>
      </w:r>
      <w:r>
        <w:rPr>
          <w:sz w:val="28"/>
        </w:rPr>
        <w:t>de</w:t>
      </w:r>
      <w:r>
        <w:rPr>
          <w:spacing w:val="-10"/>
          <w:sz w:val="28"/>
        </w:rPr>
        <w:t> </w:t>
      </w:r>
      <w:r>
        <w:rPr>
          <w:sz w:val="28"/>
        </w:rPr>
        <w:t>commandes.</w:t>
      </w:r>
      <w:r>
        <w:rPr>
          <w:spacing w:val="-11"/>
          <w:sz w:val="28"/>
        </w:rPr>
        <w:t> </w:t>
      </w:r>
      <w:r>
        <w:rPr>
          <w:sz w:val="28"/>
        </w:rPr>
        <w:t>Doivent</w:t>
      </w:r>
      <w:r>
        <w:rPr>
          <w:spacing w:val="-9"/>
          <w:sz w:val="28"/>
        </w:rPr>
        <w:t> </w:t>
      </w:r>
      <w:r>
        <w:rPr>
          <w:sz w:val="28"/>
        </w:rPr>
        <w:t>faire</w:t>
      </w:r>
      <w:r>
        <w:rPr>
          <w:spacing w:val="-10"/>
          <w:sz w:val="28"/>
        </w:rPr>
        <w:t> </w:t>
      </w:r>
      <w:r>
        <w:rPr>
          <w:sz w:val="28"/>
        </w:rPr>
        <w:t>l’objet</w:t>
      </w:r>
      <w:r>
        <w:rPr>
          <w:spacing w:val="-10"/>
          <w:sz w:val="28"/>
        </w:rPr>
        <w:t> </w:t>
      </w:r>
      <w:r>
        <w:rPr>
          <w:sz w:val="28"/>
        </w:rPr>
        <w:t>de</w:t>
      </w:r>
      <w:r>
        <w:rPr>
          <w:spacing w:val="-10"/>
          <w:sz w:val="28"/>
        </w:rPr>
        <w:t> </w:t>
      </w:r>
      <w:r>
        <w:rPr>
          <w:sz w:val="28"/>
        </w:rPr>
        <w:t>marchés</w:t>
      </w:r>
      <w:r>
        <w:rPr>
          <w:spacing w:val="-11"/>
          <w:sz w:val="28"/>
        </w:rPr>
        <w:t> </w:t>
      </w:r>
      <w:r>
        <w:rPr>
          <w:sz w:val="28"/>
        </w:rPr>
        <w:t>les achats dont le montant est supérieur ou égal à des seuils déterminés (les achats relevant de la</w:t>
      </w:r>
      <w:r>
        <w:rPr>
          <w:spacing w:val="-4"/>
          <w:sz w:val="28"/>
        </w:rPr>
        <w:t> </w:t>
      </w:r>
      <w:r>
        <w:rPr>
          <w:sz w:val="28"/>
        </w:rPr>
        <w:t>CME).</w:t>
      </w:r>
    </w:p>
    <w:p>
      <w:pPr>
        <w:pStyle w:val="ListParagraph"/>
        <w:numPr>
          <w:ilvl w:val="2"/>
          <w:numId w:val="12"/>
        </w:numPr>
        <w:tabs>
          <w:tab w:pos="1000" w:val="left" w:leader="none"/>
        </w:tabs>
        <w:spacing w:line="240" w:lineRule="auto" w:before="0" w:after="0"/>
        <w:ind w:left="999" w:right="758" w:hanging="284"/>
        <w:jc w:val="both"/>
        <w:rPr>
          <w:sz w:val="28"/>
        </w:rPr>
      </w:pPr>
      <w:r>
        <w:rPr>
          <w:b/>
          <w:sz w:val="28"/>
        </w:rPr>
        <w:t>Les achats hors marchés : </w:t>
      </w:r>
      <w:r>
        <w:rPr>
          <w:sz w:val="28"/>
        </w:rPr>
        <w:t>sont des commandes conclus en dehors des marchés formels lorsque les valeurs estimées des commandes ne dépassent pas des seuils déterminés (Au-dessous du seuil de la</w:t>
      </w:r>
      <w:r>
        <w:rPr>
          <w:spacing w:val="-5"/>
          <w:sz w:val="28"/>
        </w:rPr>
        <w:t> </w:t>
      </w:r>
      <w:r>
        <w:rPr>
          <w:sz w:val="28"/>
        </w:rPr>
        <w:t>CME).</w:t>
      </w:r>
    </w:p>
    <w:p>
      <w:pPr>
        <w:pStyle w:val="Heading2"/>
        <w:numPr>
          <w:ilvl w:val="1"/>
          <w:numId w:val="12"/>
        </w:numPr>
        <w:tabs>
          <w:tab w:pos="986" w:val="left" w:leader="none"/>
        </w:tabs>
        <w:spacing w:line="320" w:lineRule="exact" w:before="123" w:after="0"/>
        <w:ind w:left="985" w:right="0" w:hanging="553"/>
        <w:jc w:val="both"/>
      </w:pPr>
      <w:bookmarkStart w:name="_TOC_250131" w:id="10"/>
      <w:r>
        <w:rPr/>
        <w:t>Catégories des</w:t>
      </w:r>
      <w:r>
        <w:rPr>
          <w:spacing w:val="-3"/>
        </w:rPr>
        <w:t> </w:t>
      </w:r>
      <w:bookmarkEnd w:id="10"/>
      <w:r>
        <w:rPr/>
        <w:t>achats</w:t>
      </w:r>
    </w:p>
    <w:p>
      <w:pPr>
        <w:pStyle w:val="ListParagraph"/>
        <w:numPr>
          <w:ilvl w:val="2"/>
          <w:numId w:val="12"/>
        </w:numPr>
        <w:tabs>
          <w:tab w:pos="1000" w:val="left" w:leader="none"/>
        </w:tabs>
        <w:spacing w:line="240" w:lineRule="auto" w:before="0" w:after="0"/>
        <w:ind w:left="999" w:right="749" w:hanging="284"/>
        <w:jc w:val="both"/>
        <w:rPr>
          <w:sz w:val="28"/>
        </w:rPr>
      </w:pPr>
      <w:r>
        <w:rPr>
          <w:b/>
          <w:sz w:val="28"/>
        </w:rPr>
        <w:t>Réalisation de travaux : </w:t>
      </w:r>
      <w:r>
        <w:rPr>
          <w:sz w:val="28"/>
        </w:rPr>
        <w:t>Achat ayant pour objet soit l’exécution, soit conjointement la conception et l’exécution d’un ouvrage ou des travaux de toute nature. Lorsque l’achat comporte à la fois des services et des travaux, celui-ci est qualifié d'achat de travaux lorsque son objet principal est la réalisation des travaux.</w:t>
      </w:r>
    </w:p>
    <w:p>
      <w:pPr>
        <w:pStyle w:val="ListParagraph"/>
        <w:numPr>
          <w:ilvl w:val="2"/>
          <w:numId w:val="12"/>
        </w:numPr>
        <w:tabs>
          <w:tab w:pos="1000" w:val="left" w:leader="none"/>
        </w:tabs>
        <w:spacing w:line="240" w:lineRule="auto" w:before="0" w:after="0"/>
        <w:ind w:left="999" w:right="753" w:hanging="284"/>
        <w:jc w:val="both"/>
        <w:rPr>
          <w:sz w:val="28"/>
        </w:rPr>
      </w:pPr>
      <w:r>
        <w:rPr>
          <w:b/>
          <w:sz w:val="28"/>
        </w:rPr>
        <w:t>Achats de conception-réalisation : </w:t>
      </w:r>
      <w:r>
        <w:rPr>
          <w:sz w:val="28"/>
        </w:rPr>
        <w:t>Les achats de conception-réalisation est un achat ayant pour objet la conception d’un projet et l’exécution des travaux, ou la conception d’un ouvrage, la fourniture de ses équipements et sa réalisation. On peut recourir à un achat de conception-réalisation pour des motifs d’ordre technique</w:t>
      </w:r>
      <w:r>
        <w:rPr>
          <w:spacing w:val="10"/>
          <w:sz w:val="28"/>
        </w:rPr>
        <w:t> </w:t>
      </w:r>
      <w:r>
        <w:rPr>
          <w:sz w:val="28"/>
        </w:rPr>
        <w:t>nécessitant</w:t>
      </w:r>
      <w:r>
        <w:rPr>
          <w:spacing w:val="13"/>
          <w:sz w:val="28"/>
        </w:rPr>
        <w:t> </w:t>
      </w:r>
      <w:r>
        <w:rPr>
          <w:sz w:val="28"/>
        </w:rPr>
        <w:t>l’association</w:t>
      </w:r>
      <w:r>
        <w:rPr>
          <w:spacing w:val="10"/>
          <w:sz w:val="28"/>
        </w:rPr>
        <w:t> </w:t>
      </w:r>
      <w:r>
        <w:rPr>
          <w:sz w:val="28"/>
        </w:rPr>
        <w:t>du</w:t>
      </w:r>
      <w:r>
        <w:rPr>
          <w:spacing w:val="13"/>
          <w:sz w:val="28"/>
        </w:rPr>
        <w:t> </w:t>
      </w:r>
      <w:r>
        <w:rPr>
          <w:sz w:val="28"/>
        </w:rPr>
        <w:t>concepteur</w:t>
      </w:r>
      <w:r>
        <w:rPr>
          <w:spacing w:val="12"/>
          <w:sz w:val="28"/>
        </w:rPr>
        <w:t> </w:t>
      </w:r>
      <w:r>
        <w:rPr>
          <w:sz w:val="28"/>
        </w:rPr>
        <w:t>et</w:t>
      </w:r>
      <w:r>
        <w:rPr>
          <w:spacing w:val="12"/>
          <w:sz w:val="28"/>
        </w:rPr>
        <w:t> </w:t>
      </w:r>
      <w:r>
        <w:rPr>
          <w:sz w:val="28"/>
        </w:rPr>
        <w:t>du</w:t>
      </w:r>
      <w:r>
        <w:rPr>
          <w:spacing w:val="13"/>
          <w:sz w:val="28"/>
        </w:rPr>
        <w:t> </w:t>
      </w:r>
      <w:r>
        <w:rPr>
          <w:sz w:val="28"/>
        </w:rPr>
        <w:t>réalisateur</w:t>
      </w:r>
      <w:r>
        <w:rPr>
          <w:spacing w:val="10"/>
          <w:sz w:val="28"/>
        </w:rPr>
        <w:t> </w:t>
      </w:r>
      <w:r>
        <w:rPr>
          <w:sz w:val="28"/>
        </w:rPr>
        <w:t>de</w:t>
      </w:r>
      <w:r>
        <w:rPr>
          <w:spacing w:val="10"/>
          <w:sz w:val="28"/>
        </w:rPr>
        <w:t> </w:t>
      </w:r>
      <w:r>
        <w:rPr>
          <w:sz w:val="28"/>
        </w:rPr>
        <w:t>l’ouvrage.</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48" w:firstLine="0"/>
      </w:pPr>
      <w:r>
        <w:rPr/>
        <w:t>Le</w:t>
      </w:r>
      <w:r>
        <w:rPr>
          <w:spacing w:val="-17"/>
        </w:rPr>
        <w:t> </w:t>
      </w:r>
      <w:r>
        <w:rPr/>
        <w:t>GCT</w:t>
      </w:r>
      <w:r>
        <w:rPr>
          <w:spacing w:val="-15"/>
        </w:rPr>
        <w:t> </w:t>
      </w:r>
      <w:r>
        <w:rPr/>
        <w:t>assure</w:t>
      </w:r>
      <w:r>
        <w:rPr>
          <w:spacing w:val="-16"/>
        </w:rPr>
        <w:t> </w:t>
      </w:r>
      <w:r>
        <w:rPr/>
        <w:t>le</w:t>
      </w:r>
      <w:r>
        <w:rPr>
          <w:spacing w:val="-16"/>
        </w:rPr>
        <w:t> </w:t>
      </w:r>
      <w:r>
        <w:rPr/>
        <w:t>contrôle</w:t>
      </w:r>
      <w:r>
        <w:rPr>
          <w:spacing w:val="-16"/>
        </w:rPr>
        <w:t> </w:t>
      </w:r>
      <w:r>
        <w:rPr/>
        <w:t>du</w:t>
      </w:r>
      <w:r>
        <w:rPr>
          <w:spacing w:val="-16"/>
        </w:rPr>
        <w:t> </w:t>
      </w:r>
      <w:r>
        <w:rPr/>
        <w:t>respect</w:t>
      </w:r>
      <w:r>
        <w:rPr>
          <w:spacing w:val="-15"/>
        </w:rPr>
        <w:t> </w:t>
      </w:r>
      <w:r>
        <w:rPr/>
        <w:t>par</w:t>
      </w:r>
      <w:r>
        <w:rPr>
          <w:spacing w:val="-16"/>
        </w:rPr>
        <w:t> </w:t>
      </w:r>
      <w:r>
        <w:rPr/>
        <w:t>le</w:t>
      </w:r>
      <w:r>
        <w:rPr>
          <w:spacing w:val="-14"/>
        </w:rPr>
        <w:t> </w:t>
      </w:r>
      <w:r>
        <w:rPr/>
        <w:t>fournisseur</w:t>
      </w:r>
      <w:r>
        <w:rPr>
          <w:spacing w:val="-17"/>
        </w:rPr>
        <w:t> </w:t>
      </w:r>
      <w:r>
        <w:rPr/>
        <w:t>retenu</w:t>
      </w:r>
      <w:r>
        <w:rPr>
          <w:spacing w:val="-13"/>
        </w:rPr>
        <w:t> </w:t>
      </w:r>
      <w:r>
        <w:rPr/>
        <w:t>de</w:t>
      </w:r>
      <w:r>
        <w:rPr>
          <w:spacing w:val="-16"/>
        </w:rPr>
        <w:t> </w:t>
      </w:r>
      <w:r>
        <w:rPr/>
        <w:t>ses</w:t>
      </w:r>
      <w:r>
        <w:rPr>
          <w:spacing w:val="-15"/>
        </w:rPr>
        <w:t> </w:t>
      </w:r>
      <w:r>
        <w:rPr/>
        <w:t>engagements et le suivi de la bonne exécution des prestations objet de l’achat. Le contrat de l’achat de conception-réalisation détermine les modalités de ce contrôle et sa périodicité.</w:t>
      </w:r>
    </w:p>
    <w:p>
      <w:pPr>
        <w:pStyle w:val="ListParagraph"/>
        <w:numPr>
          <w:ilvl w:val="2"/>
          <w:numId w:val="12"/>
        </w:numPr>
        <w:tabs>
          <w:tab w:pos="1000" w:val="left" w:leader="none"/>
        </w:tabs>
        <w:spacing w:line="240" w:lineRule="auto" w:before="0" w:after="0"/>
        <w:ind w:left="999" w:right="754" w:hanging="284"/>
        <w:jc w:val="both"/>
        <w:rPr>
          <w:sz w:val="28"/>
        </w:rPr>
      </w:pPr>
      <w:r>
        <w:rPr>
          <w:b/>
          <w:sz w:val="28"/>
        </w:rPr>
        <w:t>Fourniture de biens : </w:t>
      </w:r>
      <w:r>
        <w:rPr>
          <w:sz w:val="28"/>
        </w:rPr>
        <w:t>Achat de produits, de matériels ou d'équipements de</w:t>
      </w:r>
      <w:r>
        <w:rPr>
          <w:spacing w:val="-36"/>
          <w:sz w:val="28"/>
        </w:rPr>
        <w:t> </w:t>
      </w:r>
      <w:r>
        <w:rPr>
          <w:sz w:val="28"/>
        </w:rPr>
        <w:t>toute nature ainsi que les services accessoires à la fourniture de ces</w:t>
      </w:r>
      <w:r>
        <w:rPr>
          <w:spacing w:val="-16"/>
          <w:sz w:val="28"/>
        </w:rPr>
        <w:t> </w:t>
      </w:r>
      <w:r>
        <w:rPr>
          <w:sz w:val="28"/>
        </w:rPr>
        <w:t>biens.</w:t>
      </w:r>
    </w:p>
    <w:p>
      <w:pPr>
        <w:pStyle w:val="ListParagraph"/>
        <w:numPr>
          <w:ilvl w:val="2"/>
          <w:numId w:val="12"/>
        </w:numPr>
        <w:tabs>
          <w:tab w:pos="1000" w:val="left" w:leader="none"/>
        </w:tabs>
        <w:spacing w:line="240" w:lineRule="auto" w:before="0" w:after="0"/>
        <w:ind w:left="999" w:right="753" w:hanging="284"/>
        <w:jc w:val="both"/>
        <w:rPr>
          <w:sz w:val="28"/>
        </w:rPr>
      </w:pPr>
      <w:r>
        <w:rPr>
          <w:b/>
          <w:sz w:val="28"/>
        </w:rPr>
        <w:t>Fourniture de services : </w:t>
      </w:r>
      <w:r>
        <w:rPr>
          <w:sz w:val="28"/>
        </w:rPr>
        <w:t>Achat conclu avec des prestataires de services ayant pour</w:t>
      </w:r>
      <w:r>
        <w:rPr>
          <w:spacing w:val="-6"/>
          <w:sz w:val="28"/>
        </w:rPr>
        <w:t> </w:t>
      </w:r>
      <w:r>
        <w:rPr>
          <w:sz w:val="28"/>
        </w:rPr>
        <w:t>objet</w:t>
      </w:r>
      <w:r>
        <w:rPr>
          <w:spacing w:val="-5"/>
          <w:sz w:val="28"/>
        </w:rPr>
        <w:t> </w:t>
      </w:r>
      <w:r>
        <w:rPr>
          <w:sz w:val="28"/>
        </w:rPr>
        <w:t>la</w:t>
      </w:r>
      <w:r>
        <w:rPr>
          <w:spacing w:val="-5"/>
          <w:sz w:val="28"/>
        </w:rPr>
        <w:t> </w:t>
      </w:r>
      <w:r>
        <w:rPr>
          <w:sz w:val="28"/>
        </w:rPr>
        <w:t>réalisation</w:t>
      </w:r>
      <w:r>
        <w:rPr>
          <w:spacing w:val="-5"/>
          <w:sz w:val="28"/>
        </w:rPr>
        <w:t> </w:t>
      </w:r>
      <w:r>
        <w:rPr>
          <w:sz w:val="28"/>
        </w:rPr>
        <w:t>de</w:t>
      </w:r>
      <w:r>
        <w:rPr>
          <w:spacing w:val="-6"/>
          <w:sz w:val="28"/>
        </w:rPr>
        <w:t> </w:t>
      </w:r>
      <w:r>
        <w:rPr>
          <w:sz w:val="28"/>
        </w:rPr>
        <w:t>prestations</w:t>
      </w:r>
      <w:r>
        <w:rPr>
          <w:spacing w:val="-5"/>
          <w:sz w:val="28"/>
        </w:rPr>
        <w:t> </w:t>
      </w:r>
      <w:r>
        <w:rPr>
          <w:sz w:val="28"/>
        </w:rPr>
        <w:t>de</w:t>
      </w:r>
      <w:r>
        <w:rPr>
          <w:spacing w:val="-5"/>
          <w:sz w:val="28"/>
        </w:rPr>
        <w:t> </w:t>
      </w:r>
      <w:r>
        <w:rPr>
          <w:sz w:val="28"/>
        </w:rPr>
        <w:t>services.</w:t>
      </w:r>
      <w:r>
        <w:rPr>
          <w:spacing w:val="-6"/>
          <w:sz w:val="28"/>
        </w:rPr>
        <w:t> </w:t>
      </w:r>
      <w:r>
        <w:rPr>
          <w:sz w:val="28"/>
        </w:rPr>
        <w:t>Comme</w:t>
      </w:r>
      <w:r>
        <w:rPr>
          <w:spacing w:val="-6"/>
          <w:sz w:val="28"/>
        </w:rPr>
        <w:t> </w:t>
      </w:r>
      <w:r>
        <w:rPr>
          <w:sz w:val="28"/>
        </w:rPr>
        <w:t>exemple</w:t>
      </w:r>
      <w:r>
        <w:rPr>
          <w:spacing w:val="-5"/>
          <w:sz w:val="28"/>
        </w:rPr>
        <w:t> </w:t>
      </w:r>
      <w:r>
        <w:rPr>
          <w:sz w:val="28"/>
        </w:rPr>
        <w:t>on</w:t>
      </w:r>
      <w:r>
        <w:rPr>
          <w:spacing w:val="-5"/>
          <w:sz w:val="28"/>
        </w:rPr>
        <w:t> </w:t>
      </w:r>
      <w:r>
        <w:rPr>
          <w:sz w:val="28"/>
        </w:rPr>
        <w:t>peut</w:t>
      </w:r>
      <w:r>
        <w:rPr>
          <w:spacing w:val="-5"/>
          <w:sz w:val="28"/>
        </w:rPr>
        <w:t> </w:t>
      </w:r>
      <w:r>
        <w:rPr>
          <w:sz w:val="28"/>
        </w:rPr>
        <w:t>citer les services courants et la location d’outillages, et d’équipements avec ou sans option d’achat, les services liés à l’achat des matières premières et des produits destinés à être vendus en l'état ou conditionnés (Ensachage, acconnage et assurance)</w:t>
      </w:r>
    </w:p>
    <w:p>
      <w:pPr>
        <w:pStyle w:val="ListParagraph"/>
        <w:numPr>
          <w:ilvl w:val="2"/>
          <w:numId w:val="12"/>
        </w:numPr>
        <w:tabs>
          <w:tab w:pos="1000" w:val="left" w:leader="none"/>
        </w:tabs>
        <w:spacing w:line="240" w:lineRule="auto" w:before="0" w:after="0"/>
        <w:ind w:left="1002" w:right="751" w:hanging="286"/>
        <w:jc w:val="both"/>
        <w:rPr>
          <w:sz w:val="28"/>
        </w:rPr>
      </w:pPr>
      <w:r>
        <w:rPr>
          <w:b/>
          <w:sz w:val="28"/>
        </w:rPr>
        <w:t>Réalisation d’études : </w:t>
      </w:r>
      <w:r>
        <w:rPr>
          <w:sz w:val="28"/>
        </w:rPr>
        <w:t>Achat ayant pour objet des prestations à caractère principalement intellectuel qui ne se traduisent pas par un résultat physiquement mesurable ou quantifiable. Il inclut notamment les travaux de recherche, la formation, la maîtrise d’œuvre et les prestations d’ingénierie, la conduite d’opération,</w:t>
      </w:r>
      <w:r>
        <w:rPr>
          <w:spacing w:val="-15"/>
          <w:sz w:val="28"/>
        </w:rPr>
        <w:t> </w:t>
      </w:r>
      <w:r>
        <w:rPr>
          <w:sz w:val="28"/>
        </w:rPr>
        <w:t>les</w:t>
      </w:r>
      <w:r>
        <w:rPr>
          <w:spacing w:val="-11"/>
          <w:sz w:val="28"/>
        </w:rPr>
        <w:t> </w:t>
      </w:r>
      <w:r>
        <w:rPr>
          <w:sz w:val="28"/>
        </w:rPr>
        <w:t>services</w:t>
      </w:r>
      <w:r>
        <w:rPr>
          <w:spacing w:val="-13"/>
          <w:sz w:val="28"/>
        </w:rPr>
        <w:t> </w:t>
      </w:r>
      <w:r>
        <w:rPr>
          <w:sz w:val="28"/>
        </w:rPr>
        <w:t>de</w:t>
      </w:r>
      <w:r>
        <w:rPr>
          <w:spacing w:val="-12"/>
          <w:sz w:val="28"/>
        </w:rPr>
        <w:t> </w:t>
      </w:r>
      <w:r>
        <w:rPr>
          <w:sz w:val="28"/>
        </w:rPr>
        <w:t>conseil</w:t>
      </w:r>
      <w:r>
        <w:rPr>
          <w:spacing w:val="-11"/>
          <w:sz w:val="28"/>
        </w:rPr>
        <w:t> </w:t>
      </w:r>
      <w:r>
        <w:rPr>
          <w:sz w:val="28"/>
        </w:rPr>
        <w:t>et</w:t>
      </w:r>
      <w:r>
        <w:rPr>
          <w:spacing w:val="-11"/>
          <w:sz w:val="28"/>
        </w:rPr>
        <w:t> </w:t>
      </w:r>
      <w:r>
        <w:rPr>
          <w:sz w:val="28"/>
        </w:rPr>
        <w:t>d’assistance</w:t>
      </w:r>
      <w:r>
        <w:rPr>
          <w:spacing w:val="-14"/>
          <w:sz w:val="28"/>
        </w:rPr>
        <w:t> </w:t>
      </w:r>
      <w:r>
        <w:rPr>
          <w:sz w:val="28"/>
        </w:rPr>
        <w:t>technique</w:t>
      </w:r>
      <w:r>
        <w:rPr>
          <w:spacing w:val="-11"/>
          <w:sz w:val="28"/>
        </w:rPr>
        <w:t> </w:t>
      </w:r>
      <w:r>
        <w:rPr>
          <w:sz w:val="28"/>
        </w:rPr>
        <w:t>et</w:t>
      </w:r>
      <w:r>
        <w:rPr>
          <w:spacing w:val="-11"/>
          <w:sz w:val="28"/>
        </w:rPr>
        <w:t> </w:t>
      </w:r>
      <w:r>
        <w:rPr>
          <w:sz w:val="28"/>
        </w:rPr>
        <w:t>informatique</w:t>
      </w:r>
      <w:r>
        <w:rPr>
          <w:spacing w:val="-12"/>
          <w:sz w:val="28"/>
        </w:rPr>
        <w:t> </w:t>
      </w:r>
      <w:r>
        <w:rPr>
          <w:sz w:val="28"/>
        </w:rPr>
        <w:t>et</w:t>
      </w:r>
      <w:r>
        <w:rPr>
          <w:spacing w:val="-14"/>
          <w:sz w:val="28"/>
        </w:rPr>
        <w:t> </w:t>
      </w:r>
      <w:r>
        <w:rPr>
          <w:sz w:val="28"/>
        </w:rPr>
        <w:t>de maîtrise d’ouvrage</w:t>
      </w:r>
      <w:r>
        <w:rPr>
          <w:spacing w:val="-6"/>
          <w:sz w:val="28"/>
        </w:rPr>
        <w:t> </w:t>
      </w:r>
      <w:r>
        <w:rPr>
          <w:sz w:val="28"/>
        </w:rPr>
        <w:t>déléguée.</w:t>
      </w:r>
    </w:p>
    <w:p>
      <w:pPr>
        <w:pStyle w:val="ListParagraph"/>
        <w:numPr>
          <w:ilvl w:val="2"/>
          <w:numId w:val="12"/>
        </w:numPr>
        <w:tabs>
          <w:tab w:pos="1000" w:val="left" w:leader="none"/>
        </w:tabs>
        <w:spacing w:line="240" w:lineRule="auto" w:before="0" w:after="0"/>
        <w:ind w:left="1002" w:right="758" w:hanging="286"/>
        <w:jc w:val="both"/>
        <w:rPr>
          <w:sz w:val="28"/>
        </w:rPr>
      </w:pPr>
      <w:r>
        <w:rPr>
          <w:b/>
          <w:sz w:val="28"/>
        </w:rPr>
        <w:t>Les achats innovants : </w:t>
      </w:r>
      <w:r>
        <w:rPr>
          <w:sz w:val="28"/>
        </w:rPr>
        <w:t>achats liés à la fourniture de solutions techniques innovantes, non courantes, répondant aux besoins du GCT et permettant l’excellence, la créativité et développement des contenus et des</w:t>
      </w:r>
      <w:r>
        <w:rPr>
          <w:spacing w:val="-14"/>
          <w:sz w:val="28"/>
        </w:rPr>
        <w:t> </w:t>
      </w:r>
      <w:r>
        <w:rPr>
          <w:sz w:val="28"/>
        </w:rPr>
        <w:t>services.</w:t>
      </w:r>
    </w:p>
    <w:p>
      <w:pPr>
        <w:pStyle w:val="Heading2"/>
        <w:numPr>
          <w:ilvl w:val="1"/>
          <w:numId w:val="12"/>
        </w:numPr>
        <w:tabs>
          <w:tab w:pos="986" w:val="left" w:leader="none"/>
        </w:tabs>
        <w:spacing w:line="319" w:lineRule="exact" w:before="122" w:after="0"/>
        <w:ind w:left="985" w:right="0" w:hanging="553"/>
        <w:jc w:val="both"/>
      </w:pPr>
      <w:bookmarkStart w:name="_TOC_250130" w:id="11"/>
      <w:r>
        <w:rPr/>
        <w:t>Documents</w:t>
      </w:r>
      <w:r>
        <w:rPr>
          <w:spacing w:val="-1"/>
        </w:rPr>
        <w:t> </w:t>
      </w:r>
      <w:bookmarkEnd w:id="11"/>
      <w:r>
        <w:rPr/>
        <w:t>d'achat</w:t>
      </w:r>
    </w:p>
    <w:p>
      <w:pPr>
        <w:pStyle w:val="ListParagraph"/>
        <w:numPr>
          <w:ilvl w:val="2"/>
          <w:numId w:val="12"/>
        </w:numPr>
        <w:tabs>
          <w:tab w:pos="1000" w:val="left" w:leader="none"/>
        </w:tabs>
        <w:spacing w:line="240" w:lineRule="auto" w:before="0" w:after="0"/>
        <w:ind w:left="999" w:right="757" w:hanging="284"/>
        <w:jc w:val="both"/>
        <w:rPr>
          <w:sz w:val="28"/>
        </w:rPr>
      </w:pPr>
      <w:r>
        <w:rPr>
          <w:b/>
          <w:sz w:val="28"/>
        </w:rPr>
        <w:t>Les</w:t>
      </w:r>
      <w:r>
        <w:rPr>
          <w:b/>
          <w:spacing w:val="-20"/>
          <w:sz w:val="28"/>
        </w:rPr>
        <w:t> </w:t>
      </w:r>
      <w:r>
        <w:rPr>
          <w:b/>
          <w:sz w:val="28"/>
        </w:rPr>
        <w:t>cahiers</w:t>
      </w:r>
      <w:r>
        <w:rPr>
          <w:b/>
          <w:spacing w:val="-20"/>
          <w:sz w:val="28"/>
        </w:rPr>
        <w:t> </w:t>
      </w:r>
      <w:r>
        <w:rPr>
          <w:b/>
          <w:sz w:val="28"/>
        </w:rPr>
        <w:t>des</w:t>
      </w:r>
      <w:r>
        <w:rPr>
          <w:b/>
          <w:spacing w:val="-20"/>
          <w:sz w:val="28"/>
        </w:rPr>
        <w:t> </w:t>
      </w:r>
      <w:r>
        <w:rPr>
          <w:b/>
          <w:sz w:val="28"/>
        </w:rPr>
        <w:t>charges</w:t>
      </w:r>
      <w:r>
        <w:rPr>
          <w:b/>
          <w:spacing w:val="-20"/>
          <w:sz w:val="28"/>
        </w:rPr>
        <w:t> </w:t>
      </w:r>
      <w:r>
        <w:rPr>
          <w:b/>
          <w:sz w:val="28"/>
        </w:rPr>
        <w:t>:</w:t>
      </w:r>
      <w:r>
        <w:rPr>
          <w:b/>
          <w:spacing w:val="-18"/>
          <w:sz w:val="28"/>
        </w:rPr>
        <w:t> </w:t>
      </w:r>
      <w:r>
        <w:rPr>
          <w:sz w:val="28"/>
        </w:rPr>
        <w:t>Les</w:t>
      </w:r>
      <w:r>
        <w:rPr>
          <w:spacing w:val="-20"/>
          <w:sz w:val="28"/>
        </w:rPr>
        <w:t> </w:t>
      </w:r>
      <w:r>
        <w:rPr>
          <w:sz w:val="28"/>
        </w:rPr>
        <w:t>cahiers</w:t>
      </w:r>
      <w:r>
        <w:rPr>
          <w:spacing w:val="-19"/>
          <w:sz w:val="28"/>
        </w:rPr>
        <w:t> </w:t>
      </w:r>
      <w:r>
        <w:rPr>
          <w:sz w:val="28"/>
        </w:rPr>
        <w:t>des</w:t>
      </w:r>
      <w:r>
        <w:rPr>
          <w:spacing w:val="-20"/>
          <w:sz w:val="28"/>
        </w:rPr>
        <w:t> </w:t>
      </w:r>
      <w:r>
        <w:rPr>
          <w:sz w:val="28"/>
        </w:rPr>
        <w:t>charges</w:t>
      </w:r>
      <w:r>
        <w:rPr>
          <w:spacing w:val="-22"/>
          <w:sz w:val="28"/>
        </w:rPr>
        <w:t> </w:t>
      </w:r>
      <w:r>
        <w:rPr>
          <w:sz w:val="28"/>
        </w:rPr>
        <w:t>déterminent</w:t>
      </w:r>
      <w:r>
        <w:rPr>
          <w:spacing w:val="-20"/>
          <w:sz w:val="28"/>
        </w:rPr>
        <w:t> </w:t>
      </w:r>
      <w:r>
        <w:rPr>
          <w:sz w:val="28"/>
        </w:rPr>
        <w:t>les</w:t>
      </w:r>
      <w:r>
        <w:rPr>
          <w:spacing w:val="-20"/>
          <w:sz w:val="28"/>
        </w:rPr>
        <w:t> </w:t>
      </w:r>
      <w:r>
        <w:rPr>
          <w:sz w:val="28"/>
        </w:rPr>
        <w:t>conditions</w:t>
      </w:r>
      <w:r>
        <w:rPr>
          <w:spacing w:val="-20"/>
          <w:sz w:val="28"/>
        </w:rPr>
        <w:t> </w:t>
      </w:r>
      <w:r>
        <w:rPr>
          <w:sz w:val="28"/>
        </w:rPr>
        <w:t>dans lesquelles les marchés sont passés et exécutés. Ils comprennent les documents généraux et les documents particuliers suivants</w:t>
      </w:r>
      <w:r>
        <w:rPr>
          <w:spacing w:val="-7"/>
          <w:sz w:val="28"/>
        </w:rPr>
        <w:t> </w:t>
      </w:r>
      <w:r>
        <w:rPr>
          <w:sz w:val="28"/>
        </w:rPr>
        <w:t>:</w:t>
      </w:r>
    </w:p>
    <w:p>
      <w:pPr>
        <w:pStyle w:val="ListParagraph"/>
        <w:numPr>
          <w:ilvl w:val="0"/>
          <w:numId w:val="13"/>
        </w:numPr>
        <w:tabs>
          <w:tab w:pos="1348" w:val="left" w:leader="none"/>
        </w:tabs>
        <w:spacing w:line="240" w:lineRule="auto" w:before="0" w:after="0"/>
        <w:ind w:left="999" w:right="750" w:firstLine="0"/>
        <w:jc w:val="both"/>
        <w:rPr>
          <w:sz w:val="28"/>
        </w:rPr>
      </w:pPr>
      <w:r>
        <w:rPr>
          <w:sz w:val="28"/>
        </w:rPr>
        <w:t>Les Cahiers des Clauses Administratives Générales (CCAG) qui fixent les dispositions administratives applicables à tous les achats portant sur une même nature de</w:t>
      </w:r>
      <w:r>
        <w:rPr>
          <w:spacing w:val="-4"/>
          <w:sz w:val="28"/>
        </w:rPr>
        <w:t> </w:t>
      </w:r>
      <w:r>
        <w:rPr>
          <w:sz w:val="28"/>
        </w:rPr>
        <w:t>commandes.</w:t>
      </w:r>
    </w:p>
    <w:p>
      <w:pPr>
        <w:pStyle w:val="ListParagraph"/>
        <w:numPr>
          <w:ilvl w:val="0"/>
          <w:numId w:val="13"/>
        </w:numPr>
        <w:tabs>
          <w:tab w:pos="1401" w:val="left" w:leader="none"/>
        </w:tabs>
        <w:spacing w:line="240" w:lineRule="auto" w:before="0" w:after="0"/>
        <w:ind w:left="999" w:right="751" w:firstLine="0"/>
        <w:jc w:val="both"/>
        <w:rPr>
          <w:sz w:val="28"/>
        </w:rPr>
      </w:pPr>
      <w:r>
        <w:rPr>
          <w:sz w:val="28"/>
        </w:rPr>
        <w:t>Les Cahiers des Clauses Techniques Générales (CCTG) qui fixent les conditions et spécifications techniques applicables à tous les achats de même nature.</w:t>
      </w:r>
    </w:p>
    <w:p>
      <w:pPr>
        <w:pStyle w:val="ListParagraph"/>
        <w:numPr>
          <w:ilvl w:val="0"/>
          <w:numId w:val="13"/>
        </w:numPr>
        <w:tabs>
          <w:tab w:pos="1326" w:val="left" w:leader="none"/>
        </w:tabs>
        <w:spacing w:line="240" w:lineRule="auto" w:before="0" w:after="0"/>
        <w:ind w:left="999" w:right="750" w:firstLine="0"/>
        <w:jc w:val="both"/>
        <w:rPr>
          <w:sz w:val="28"/>
        </w:rPr>
      </w:pPr>
      <w:r>
        <w:rPr>
          <w:sz w:val="28"/>
        </w:rPr>
        <w:t>Les Cahiers des Clauses Administratives Particulières (CCAP) qui fixent les clauses</w:t>
      </w:r>
      <w:r>
        <w:rPr>
          <w:spacing w:val="-9"/>
          <w:sz w:val="28"/>
        </w:rPr>
        <w:t> </w:t>
      </w:r>
      <w:r>
        <w:rPr>
          <w:sz w:val="28"/>
        </w:rPr>
        <w:t>administratives</w:t>
      </w:r>
      <w:r>
        <w:rPr>
          <w:spacing w:val="-10"/>
          <w:sz w:val="28"/>
        </w:rPr>
        <w:t> </w:t>
      </w:r>
      <w:r>
        <w:rPr>
          <w:sz w:val="28"/>
        </w:rPr>
        <w:t>spécifiques</w:t>
      </w:r>
      <w:r>
        <w:rPr>
          <w:spacing w:val="-9"/>
          <w:sz w:val="28"/>
        </w:rPr>
        <w:t> </w:t>
      </w:r>
      <w:r>
        <w:rPr>
          <w:sz w:val="28"/>
        </w:rPr>
        <w:t>à</w:t>
      </w:r>
      <w:r>
        <w:rPr>
          <w:spacing w:val="-12"/>
          <w:sz w:val="28"/>
        </w:rPr>
        <w:t> </w:t>
      </w:r>
      <w:r>
        <w:rPr>
          <w:sz w:val="28"/>
        </w:rPr>
        <w:t>chaque</w:t>
      </w:r>
      <w:r>
        <w:rPr>
          <w:spacing w:val="-3"/>
          <w:sz w:val="28"/>
        </w:rPr>
        <w:t> </w:t>
      </w:r>
      <w:r>
        <w:rPr>
          <w:sz w:val="28"/>
        </w:rPr>
        <w:t>achat</w:t>
      </w:r>
      <w:r>
        <w:rPr>
          <w:spacing w:val="-8"/>
          <w:sz w:val="28"/>
        </w:rPr>
        <w:t> </w:t>
      </w:r>
      <w:r>
        <w:rPr>
          <w:sz w:val="28"/>
        </w:rPr>
        <w:t>et</w:t>
      </w:r>
      <w:r>
        <w:rPr>
          <w:spacing w:val="-9"/>
          <w:sz w:val="28"/>
        </w:rPr>
        <w:t> </w:t>
      </w:r>
      <w:r>
        <w:rPr>
          <w:sz w:val="28"/>
        </w:rPr>
        <w:t>comportent</w:t>
      </w:r>
      <w:r>
        <w:rPr>
          <w:spacing w:val="-9"/>
          <w:sz w:val="28"/>
        </w:rPr>
        <w:t> </w:t>
      </w:r>
      <w:r>
        <w:rPr>
          <w:sz w:val="28"/>
        </w:rPr>
        <w:t>obligatoirement l'indication</w:t>
      </w:r>
      <w:r>
        <w:rPr>
          <w:spacing w:val="-16"/>
          <w:sz w:val="28"/>
        </w:rPr>
        <w:t> </w:t>
      </w:r>
      <w:r>
        <w:rPr>
          <w:sz w:val="28"/>
        </w:rPr>
        <w:t>des</w:t>
      </w:r>
      <w:r>
        <w:rPr>
          <w:spacing w:val="-16"/>
          <w:sz w:val="28"/>
        </w:rPr>
        <w:t> </w:t>
      </w:r>
      <w:r>
        <w:rPr>
          <w:sz w:val="28"/>
        </w:rPr>
        <w:t>articles</w:t>
      </w:r>
      <w:r>
        <w:rPr>
          <w:spacing w:val="-16"/>
          <w:sz w:val="28"/>
        </w:rPr>
        <w:t> </w:t>
      </w:r>
      <w:r>
        <w:rPr>
          <w:sz w:val="28"/>
        </w:rPr>
        <w:t>des</w:t>
      </w:r>
      <w:r>
        <w:rPr>
          <w:spacing w:val="-15"/>
          <w:sz w:val="28"/>
        </w:rPr>
        <w:t> </w:t>
      </w:r>
      <w:r>
        <w:rPr>
          <w:sz w:val="28"/>
        </w:rPr>
        <w:t>cahiers</w:t>
      </w:r>
      <w:r>
        <w:rPr>
          <w:spacing w:val="-18"/>
          <w:sz w:val="28"/>
        </w:rPr>
        <w:t> </w:t>
      </w:r>
      <w:r>
        <w:rPr>
          <w:sz w:val="28"/>
        </w:rPr>
        <w:t>des</w:t>
      </w:r>
      <w:r>
        <w:rPr>
          <w:spacing w:val="-16"/>
          <w:sz w:val="28"/>
        </w:rPr>
        <w:t> </w:t>
      </w:r>
      <w:r>
        <w:rPr>
          <w:sz w:val="28"/>
        </w:rPr>
        <w:t>clauses</w:t>
      </w:r>
      <w:r>
        <w:rPr>
          <w:spacing w:val="-15"/>
          <w:sz w:val="28"/>
        </w:rPr>
        <w:t> </w:t>
      </w:r>
      <w:r>
        <w:rPr>
          <w:sz w:val="28"/>
        </w:rPr>
        <w:t>administratives</w:t>
      </w:r>
      <w:r>
        <w:rPr>
          <w:spacing w:val="-16"/>
          <w:sz w:val="28"/>
        </w:rPr>
        <w:t> </w:t>
      </w:r>
      <w:r>
        <w:rPr>
          <w:sz w:val="28"/>
        </w:rPr>
        <w:t>générales</w:t>
      </w:r>
      <w:r>
        <w:rPr>
          <w:spacing w:val="-16"/>
          <w:sz w:val="28"/>
        </w:rPr>
        <w:t> </w:t>
      </w:r>
      <w:r>
        <w:rPr>
          <w:sz w:val="28"/>
        </w:rPr>
        <w:t>auxquels il est éventuellement dérogé ou pour lesquels il est prévu des dispositions contraires. Ils sont établis par le GCT en vue de compléter, de préciser ou de modifier certaines dispositions du cahier des clauses administratives</w:t>
      </w:r>
      <w:r>
        <w:rPr>
          <w:spacing w:val="-24"/>
          <w:sz w:val="28"/>
        </w:rPr>
        <w:t> </w:t>
      </w:r>
      <w:r>
        <w:rPr>
          <w:sz w:val="28"/>
        </w:rPr>
        <w:t>générales.</w:t>
      </w:r>
    </w:p>
    <w:p>
      <w:pPr>
        <w:pStyle w:val="ListParagraph"/>
        <w:numPr>
          <w:ilvl w:val="0"/>
          <w:numId w:val="13"/>
        </w:numPr>
        <w:tabs>
          <w:tab w:pos="1307" w:val="left" w:leader="none"/>
        </w:tabs>
        <w:spacing w:line="240" w:lineRule="auto" w:before="0" w:after="0"/>
        <w:ind w:left="999" w:right="750" w:firstLine="0"/>
        <w:jc w:val="both"/>
        <w:rPr>
          <w:sz w:val="28"/>
        </w:rPr>
      </w:pPr>
      <w:r>
        <w:rPr>
          <w:sz w:val="28"/>
        </w:rPr>
        <w:t>Les Cahiers des Clauses Techniques Particulières (CCT) qui fixent les clauses techniques spécifiques à chaque achat et qui comportent obligatoirement l'indication des articles des cahiers des clauses techniques générales auxquels il est</w:t>
      </w:r>
      <w:r>
        <w:rPr>
          <w:spacing w:val="-20"/>
          <w:sz w:val="28"/>
        </w:rPr>
        <w:t> </w:t>
      </w:r>
      <w:r>
        <w:rPr>
          <w:sz w:val="28"/>
        </w:rPr>
        <w:t>éventuellement</w:t>
      </w:r>
      <w:r>
        <w:rPr>
          <w:spacing w:val="-21"/>
          <w:sz w:val="28"/>
        </w:rPr>
        <w:t> </w:t>
      </w:r>
      <w:r>
        <w:rPr>
          <w:sz w:val="28"/>
        </w:rPr>
        <w:t>dérogé</w:t>
      </w:r>
      <w:r>
        <w:rPr>
          <w:spacing w:val="-18"/>
          <w:sz w:val="28"/>
        </w:rPr>
        <w:t> </w:t>
      </w:r>
      <w:r>
        <w:rPr>
          <w:sz w:val="28"/>
        </w:rPr>
        <w:t>ou</w:t>
      </w:r>
      <w:r>
        <w:rPr>
          <w:spacing w:val="-21"/>
          <w:sz w:val="28"/>
        </w:rPr>
        <w:t> </w:t>
      </w:r>
      <w:r>
        <w:rPr>
          <w:sz w:val="28"/>
        </w:rPr>
        <w:t>pour</w:t>
      </w:r>
      <w:r>
        <w:rPr>
          <w:spacing w:val="-21"/>
          <w:sz w:val="28"/>
        </w:rPr>
        <w:t> </w:t>
      </w:r>
      <w:r>
        <w:rPr>
          <w:sz w:val="28"/>
        </w:rPr>
        <w:t>lesquels</w:t>
      </w:r>
      <w:r>
        <w:rPr>
          <w:spacing w:val="-21"/>
          <w:sz w:val="28"/>
        </w:rPr>
        <w:t> </w:t>
      </w:r>
      <w:r>
        <w:rPr>
          <w:sz w:val="28"/>
        </w:rPr>
        <w:t>il</w:t>
      </w:r>
      <w:r>
        <w:rPr>
          <w:spacing w:val="-17"/>
          <w:sz w:val="28"/>
        </w:rPr>
        <w:t> </w:t>
      </w:r>
      <w:r>
        <w:rPr>
          <w:sz w:val="28"/>
        </w:rPr>
        <w:t>est</w:t>
      </w:r>
      <w:r>
        <w:rPr>
          <w:spacing w:val="-18"/>
          <w:sz w:val="28"/>
        </w:rPr>
        <w:t> </w:t>
      </w:r>
      <w:r>
        <w:rPr>
          <w:sz w:val="28"/>
        </w:rPr>
        <w:t>prévu</w:t>
      </w:r>
      <w:r>
        <w:rPr>
          <w:spacing w:val="-20"/>
          <w:sz w:val="28"/>
        </w:rPr>
        <w:t> </w:t>
      </w:r>
      <w:r>
        <w:rPr>
          <w:sz w:val="28"/>
        </w:rPr>
        <w:t>des</w:t>
      </w:r>
      <w:r>
        <w:rPr>
          <w:spacing w:val="-18"/>
          <w:sz w:val="28"/>
        </w:rPr>
        <w:t> </w:t>
      </w:r>
      <w:r>
        <w:rPr>
          <w:sz w:val="28"/>
        </w:rPr>
        <w:t>dispositions</w:t>
      </w:r>
      <w:r>
        <w:rPr>
          <w:spacing w:val="-18"/>
          <w:sz w:val="28"/>
        </w:rPr>
        <w:t> </w:t>
      </w:r>
      <w:r>
        <w:rPr>
          <w:sz w:val="28"/>
        </w:rPr>
        <w:t>contraires.</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57" w:firstLine="0"/>
      </w:pPr>
      <w:r>
        <w:rPr/>
        <w:t>Ils sont établis par le GCT et rassemblent les clauses techniques ou stipulations qui donnent une description précise des commandes. Ils permettent l’acheteur public de suivre le déroulement et la bonne exécution du marché.</w:t>
      </w:r>
    </w:p>
    <w:p>
      <w:pPr>
        <w:pStyle w:val="BodyText"/>
        <w:spacing w:before="1"/>
        <w:ind w:left="999" w:right="748" w:firstLine="0"/>
      </w:pPr>
      <w:r>
        <w:rPr/>
        <w:t>Les Cahiers des Clauses Administratives Générales et les Cahiers des Clauses Techniques Générales normalisées en matière de travaux, fournitures courantes de biens et services et prestations intellectuelles sont préparés, évalués et actualisés par le GCT. Ces cahiers sont publiés au site web du GCT. Les cahiers des clauses Administratives Générales et les Cahiers des clauses Techniques Générales publiés par la HAICOP resteront valables jusqu’à la normalisation de ceux du GCT tant qu’elles ne sont pas contraires aux dispositions du présent manuel.</w:t>
      </w:r>
    </w:p>
    <w:p>
      <w:pPr>
        <w:pStyle w:val="ListParagraph"/>
        <w:numPr>
          <w:ilvl w:val="2"/>
          <w:numId w:val="12"/>
        </w:numPr>
        <w:tabs>
          <w:tab w:pos="1000" w:val="left" w:leader="none"/>
        </w:tabs>
        <w:spacing w:line="240" w:lineRule="auto" w:before="0" w:after="0"/>
        <w:ind w:left="999" w:right="751" w:hanging="284"/>
        <w:jc w:val="both"/>
        <w:rPr>
          <w:sz w:val="28"/>
        </w:rPr>
      </w:pPr>
      <w:r>
        <w:rPr>
          <w:b/>
          <w:sz w:val="28"/>
        </w:rPr>
        <w:t>Contrat : </w:t>
      </w:r>
      <w:r>
        <w:rPr>
          <w:sz w:val="28"/>
        </w:rPr>
        <w:t>Convention en vertu de laquelle l’opérateur économique, s'engage à livrer</w:t>
      </w:r>
      <w:r>
        <w:rPr>
          <w:spacing w:val="-17"/>
          <w:sz w:val="28"/>
        </w:rPr>
        <w:t> </w:t>
      </w:r>
      <w:r>
        <w:rPr>
          <w:sz w:val="28"/>
        </w:rPr>
        <w:t>une</w:t>
      </w:r>
      <w:r>
        <w:rPr>
          <w:spacing w:val="-14"/>
          <w:sz w:val="28"/>
        </w:rPr>
        <w:t> </w:t>
      </w:r>
      <w:r>
        <w:rPr>
          <w:sz w:val="28"/>
        </w:rPr>
        <w:t>chose</w:t>
      </w:r>
      <w:r>
        <w:rPr>
          <w:spacing w:val="-15"/>
          <w:sz w:val="28"/>
        </w:rPr>
        <w:t> </w:t>
      </w:r>
      <w:r>
        <w:rPr>
          <w:sz w:val="28"/>
        </w:rPr>
        <w:t>matérielle</w:t>
      </w:r>
      <w:r>
        <w:rPr>
          <w:spacing w:val="-16"/>
          <w:sz w:val="28"/>
        </w:rPr>
        <w:t> </w:t>
      </w:r>
      <w:r>
        <w:rPr>
          <w:sz w:val="28"/>
        </w:rPr>
        <w:t>ou</w:t>
      </w:r>
      <w:r>
        <w:rPr>
          <w:spacing w:val="-16"/>
          <w:sz w:val="28"/>
        </w:rPr>
        <w:t> </w:t>
      </w:r>
      <w:r>
        <w:rPr>
          <w:sz w:val="28"/>
        </w:rPr>
        <w:t>immatérielle</w:t>
      </w:r>
      <w:r>
        <w:rPr>
          <w:spacing w:val="-14"/>
          <w:sz w:val="28"/>
        </w:rPr>
        <w:t> </w:t>
      </w:r>
      <w:r>
        <w:rPr>
          <w:sz w:val="28"/>
        </w:rPr>
        <w:t>au</w:t>
      </w:r>
      <w:r>
        <w:rPr>
          <w:spacing w:val="-14"/>
          <w:sz w:val="28"/>
        </w:rPr>
        <w:t> </w:t>
      </w:r>
      <w:r>
        <w:rPr>
          <w:sz w:val="28"/>
        </w:rPr>
        <w:t>GCT</w:t>
      </w:r>
      <w:r>
        <w:rPr>
          <w:spacing w:val="-15"/>
          <w:sz w:val="28"/>
        </w:rPr>
        <w:t> </w:t>
      </w:r>
      <w:r>
        <w:rPr>
          <w:sz w:val="28"/>
        </w:rPr>
        <w:t>en</w:t>
      </w:r>
      <w:r>
        <w:rPr>
          <w:spacing w:val="-14"/>
          <w:sz w:val="28"/>
        </w:rPr>
        <w:t> </w:t>
      </w:r>
      <w:r>
        <w:rPr>
          <w:sz w:val="28"/>
        </w:rPr>
        <w:t>l'échange</w:t>
      </w:r>
      <w:r>
        <w:rPr>
          <w:spacing w:val="-16"/>
          <w:sz w:val="28"/>
        </w:rPr>
        <w:t> </w:t>
      </w:r>
      <w:r>
        <w:rPr>
          <w:sz w:val="28"/>
        </w:rPr>
        <w:t>du</w:t>
      </w:r>
      <w:r>
        <w:rPr>
          <w:spacing w:val="-16"/>
          <w:sz w:val="28"/>
        </w:rPr>
        <w:t> </w:t>
      </w:r>
      <w:r>
        <w:rPr>
          <w:sz w:val="28"/>
        </w:rPr>
        <w:t>paiement</w:t>
      </w:r>
      <w:r>
        <w:rPr>
          <w:spacing w:val="-13"/>
          <w:sz w:val="28"/>
        </w:rPr>
        <w:t> </w:t>
      </w:r>
      <w:r>
        <w:rPr>
          <w:sz w:val="28"/>
        </w:rPr>
        <w:t>d'un prix</w:t>
      </w:r>
      <w:r>
        <w:rPr>
          <w:spacing w:val="-7"/>
          <w:sz w:val="28"/>
        </w:rPr>
        <w:t> </w:t>
      </w:r>
      <w:r>
        <w:rPr>
          <w:sz w:val="28"/>
        </w:rPr>
        <w:t>par</w:t>
      </w:r>
      <w:r>
        <w:rPr>
          <w:spacing w:val="-5"/>
          <w:sz w:val="28"/>
        </w:rPr>
        <w:t> </w:t>
      </w:r>
      <w:r>
        <w:rPr>
          <w:sz w:val="28"/>
        </w:rPr>
        <w:t>ce</w:t>
      </w:r>
      <w:r>
        <w:rPr>
          <w:spacing w:val="-7"/>
          <w:sz w:val="28"/>
        </w:rPr>
        <w:t> </w:t>
      </w:r>
      <w:r>
        <w:rPr>
          <w:sz w:val="28"/>
        </w:rPr>
        <w:t>dernier.</w:t>
      </w:r>
      <w:r>
        <w:rPr>
          <w:spacing w:val="-5"/>
          <w:sz w:val="28"/>
        </w:rPr>
        <w:t> </w:t>
      </w:r>
      <w:r>
        <w:rPr>
          <w:sz w:val="28"/>
        </w:rPr>
        <w:t>Le</w:t>
      </w:r>
      <w:r>
        <w:rPr>
          <w:spacing w:val="-5"/>
          <w:sz w:val="28"/>
        </w:rPr>
        <w:t> </w:t>
      </w:r>
      <w:r>
        <w:rPr>
          <w:sz w:val="28"/>
        </w:rPr>
        <w:t>contrat</w:t>
      </w:r>
      <w:r>
        <w:rPr>
          <w:spacing w:val="-5"/>
          <w:sz w:val="28"/>
        </w:rPr>
        <w:t> </w:t>
      </w:r>
      <w:r>
        <w:rPr>
          <w:sz w:val="28"/>
        </w:rPr>
        <w:t>arrête</w:t>
      </w:r>
      <w:r>
        <w:rPr>
          <w:spacing w:val="-5"/>
          <w:sz w:val="28"/>
        </w:rPr>
        <w:t> </w:t>
      </w:r>
      <w:r>
        <w:rPr>
          <w:sz w:val="28"/>
        </w:rPr>
        <w:t>les</w:t>
      </w:r>
      <w:r>
        <w:rPr>
          <w:spacing w:val="-4"/>
          <w:sz w:val="28"/>
        </w:rPr>
        <w:t> </w:t>
      </w:r>
      <w:r>
        <w:rPr>
          <w:sz w:val="28"/>
        </w:rPr>
        <w:t>obligations</w:t>
      </w:r>
      <w:r>
        <w:rPr>
          <w:spacing w:val="-5"/>
          <w:sz w:val="28"/>
        </w:rPr>
        <w:t> </w:t>
      </w:r>
      <w:r>
        <w:rPr>
          <w:sz w:val="28"/>
        </w:rPr>
        <w:t>à</w:t>
      </w:r>
      <w:r>
        <w:rPr>
          <w:spacing w:val="-8"/>
          <w:sz w:val="28"/>
        </w:rPr>
        <w:t> </w:t>
      </w:r>
      <w:r>
        <w:rPr>
          <w:sz w:val="28"/>
        </w:rPr>
        <w:t>la</w:t>
      </w:r>
      <w:r>
        <w:rPr>
          <w:spacing w:val="-4"/>
          <w:sz w:val="28"/>
        </w:rPr>
        <w:t> </w:t>
      </w:r>
      <w:r>
        <w:rPr>
          <w:sz w:val="28"/>
        </w:rPr>
        <w:t>charge</w:t>
      </w:r>
      <w:r>
        <w:rPr>
          <w:spacing w:val="-8"/>
          <w:sz w:val="28"/>
        </w:rPr>
        <w:t> </w:t>
      </w:r>
      <w:r>
        <w:rPr>
          <w:sz w:val="28"/>
        </w:rPr>
        <w:t>de</w:t>
      </w:r>
      <w:r>
        <w:rPr>
          <w:spacing w:val="-5"/>
          <w:sz w:val="28"/>
        </w:rPr>
        <w:t> </w:t>
      </w:r>
      <w:r>
        <w:rPr>
          <w:sz w:val="28"/>
        </w:rPr>
        <w:t>chacune</w:t>
      </w:r>
      <w:r>
        <w:rPr>
          <w:spacing w:val="-7"/>
          <w:sz w:val="28"/>
        </w:rPr>
        <w:t> </w:t>
      </w:r>
      <w:r>
        <w:rPr>
          <w:sz w:val="28"/>
        </w:rPr>
        <w:t>de</w:t>
      </w:r>
      <w:r>
        <w:rPr>
          <w:spacing w:val="-5"/>
          <w:sz w:val="28"/>
        </w:rPr>
        <w:t> </w:t>
      </w:r>
      <w:r>
        <w:rPr>
          <w:sz w:val="28"/>
        </w:rPr>
        <w:t>ces parties et les conditions utiles à la bonne exécution de la</w:t>
      </w:r>
      <w:r>
        <w:rPr>
          <w:spacing w:val="-18"/>
          <w:sz w:val="28"/>
        </w:rPr>
        <w:t> </w:t>
      </w:r>
      <w:r>
        <w:rPr>
          <w:sz w:val="28"/>
        </w:rPr>
        <w:t>commande.</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Avenant : </w:t>
      </w:r>
      <w:r>
        <w:rPr>
          <w:sz w:val="28"/>
        </w:rPr>
        <w:t>Acte contractuel modifiant ou complétant certaines clauses </w:t>
      </w:r>
      <w:r>
        <w:rPr>
          <w:spacing w:val="4"/>
          <w:sz w:val="28"/>
        </w:rPr>
        <w:t>du </w:t>
      </w:r>
      <w:r>
        <w:rPr>
          <w:sz w:val="28"/>
        </w:rPr>
        <w:t>contrat initial.</w:t>
      </w:r>
    </w:p>
    <w:p>
      <w:pPr>
        <w:pStyle w:val="ListParagraph"/>
        <w:numPr>
          <w:ilvl w:val="2"/>
          <w:numId w:val="12"/>
        </w:numPr>
        <w:tabs>
          <w:tab w:pos="1000" w:val="left" w:leader="none"/>
        </w:tabs>
        <w:spacing w:line="240" w:lineRule="auto" w:before="0" w:after="0"/>
        <w:ind w:left="999" w:right="757" w:hanging="284"/>
        <w:jc w:val="both"/>
        <w:rPr>
          <w:sz w:val="28"/>
        </w:rPr>
      </w:pPr>
      <w:r>
        <w:rPr>
          <w:b/>
          <w:sz w:val="28"/>
        </w:rPr>
        <w:t>Bon de Commande : </w:t>
      </w:r>
      <w:r>
        <w:rPr>
          <w:sz w:val="28"/>
        </w:rPr>
        <w:t>Un bon de commande est un document établi par le GCT dans lequel il détaille les articles commandés et toutes les conditions utiles à la bonne exécution de la</w:t>
      </w:r>
      <w:r>
        <w:rPr>
          <w:spacing w:val="-6"/>
          <w:sz w:val="28"/>
        </w:rPr>
        <w:t> </w:t>
      </w:r>
      <w:r>
        <w:rPr>
          <w:sz w:val="28"/>
        </w:rPr>
        <w:t>commande.</w:t>
      </w:r>
    </w:p>
    <w:p>
      <w:pPr>
        <w:pStyle w:val="ListParagraph"/>
        <w:numPr>
          <w:ilvl w:val="2"/>
          <w:numId w:val="12"/>
        </w:numPr>
        <w:tabs>
          <w:tab w:pos="1000" w:val="left" w:leader="none"/>
        </w:tabs>
        <w:spacing w:line="240" w:lineRule="auto" w:before="0" w:after="0"/>
        <w:ind w:left="999" w:right="757" w:hanging="284"/>
        <w:jc w:val="both"/>
        <w:rPr>
          <w:sz w:val="28"/>
        </w:rPr>
      </w:pPr>
      <w:r>
        <w:rPr>
          <w:b/>
          <w:sz w:val="28"/>
        </w:rPr>
        <w:t>Bon</w:t>
      </w:r>
      <w:r>
        <w:rPr>
          <w:b/>
          <w:spacing w:val="-15"/>
          <w:sz w:val="28"/>
        </w:rPr>
        <w:t> </w:t>
      </w:r>
      <w:r>
        <w:rPr>
          <w:b/>
          <w:sz w:val="28"/>
        </w:rPr>
        <w:t>de</w:t>
      </w:r>
      <w:r>
        <w:rPr>
          <w:b/>
          <w:spacing w:val="-15"/>
          <w:sz w:val="28"/>
        </w:rPr>
        <w:t> </w:t>
      </w:r>
      <w:r>
        <w:rPr>
          <w:b/>
          <w:sz w:val="28"/>
        </w:rPr>
        <w:t>livraison</w:t>
      </w:r>
      <w:r>
        <w:rPr>
          <w:b/>
          <w:spacing w:val="-14"/>
          <w:sz w:val="28"/>
        </w:rPr>
        <w:t> </w:t>
      </w:r>
      <w:r>
        <w:rPr>
          <w:sz w:val="28"/>
        </w:rPr>
        <w:t>:</w:t>
      </w:r>
      <w:r>
        <w:rPr>
          <w:spacing w:val="-14"/>
          <w:sz w:val="28"/>
        </w:rPr>
        <w:t> </w:t>
      </w:r>
      <w:r>
        <w:rPr>
          <w:sz w:val="28"/>
        </w:rPr>
        <w:t>Un</w:t>
      </w:r>
      <w:r>
        <w:rPr>
          <w:spacing w:val="-14"/>
          <w:sz w:val="28"/>
        </w:rPr>
        <w:t> </w:t>
      </w:r>
      <w:r>
        <w:rPr>
          <w:sz w:val="28"/>
        </w:rPr>
        <w:t>bon</w:t>
      </w:r>
      <w:r>
        <w:rPr>
          <w:spacing w:val="-14"/>
          <w:sz w:val="28"/>
        </w:rPr>
        <w:t> </w:t>
      </w:r>
      <w:r>
        <w:rPr>
          <w:sz w:val="28"/>
        </w:rPr>
        <w:t>de</w:t>
      </w:r>
      <w:r>
        <w:rPr>
          <w:spacing w:val="-15"/>
          <w:sz w:val="28"/>
        </w:rPr>
        <w:t> </w:t>
      </w:r>
      <w:r>
        <w:rPr>
          <w:sz w:val="28"/>
        </w:rPr>
        <w:t>livraison</w:t>
      </w:r>
      <w:r>
        <w:rPr>
          <w:spacing w:val="-14"/>
          <w:sz w:val="28"/>
        </w:rPr>
        <w:t> </w:t>
      </w:r>
      <w:r>
        <w:rPr>
          <w:sz w:val="28"/>
        </w:rPr>
        <w:t>est</w:t>
      </w:r>
      <w:r>
        <w:rPr>
          <w:spacing w:val="-14"/>
          <w:sz w:val="28"/>
        </w:rPr>
        <w:t> </w:t>
      </w:r>
      <w:r>
        <w:rPr>
          <w:sz w:val="28"/>
        </w:rPr>
        <w:t>un</w:t>
      </w:r>
      <w:r>
        <w:rPr>
          <w:spacing w:val="-16"/>
          <w:sz w:val="28"/>
        </w:rPr>
        <w:t> </w:t>
      </w:r>
      <w:r>
        <w:rPr>
          <w:sz w:val="28"/>
        </w:rPr>
        <w:t>document</w:t>
      </w:r>
      <w:r>
        <w:rPr>
          <w:spacing w:val="-14"/>
          <w:sz w:val="28"/>
        </w:rPr>
        <w:t> </w:t>
      </w:r>
      <w:r>
        <w:rPr>
          <w:sz w:val="28"/>
        </w:rPr>
        <w:t>établi</w:t>
      </w:r>
      <w:r>
        <w:rPr>
          <w:spacing w:val="-14"/>
          <w:sz w:val="28"/>
        </w:rPr>
        <w:t> </w:t>
      </w:r>
      <w:r>
        <w:rPr>
          <w:sz w:val="28"/>
        </w:rPr>
        <w:t>pour</w:t>
      </w:r>
      <w:r>
        <w:rPr>
          <w:spacing w:val="-17"/>
          <w:sz w:val="28"/>
        </w:rPr>
        <w:t> </w:t>
      </w:r>
      <w:r>
        <w:rPr>
          <w:sz w:val="28"/>
        </w:rPr>
        <w:t>le</w:t>
      </w:r>
      <w:r>
        <w:rPr>
          <w:spacing w:val="-15"/>
          <w:sz w:val="28"/>
        </w:rPr>
        <w:t> </w:t>
      </w:r>
      <w:r>
        <w:rPr>
          <w:sz w:val="28"/>
        </w:rPr>
        <w:t>fournisseur, l’entrepreneur ou le prestataire de service qui atteste le fait que le client a bien reçu les biens, les services ou les</w:t>
      </w:r>
      <w:r>
        <w:rPr>
          <w:spacing w:val="-10"/>
          <w:sz w:val="28"/>
        </w:rPr>
        <w:t> </w:t>
      </w:r>
      <w:r>
        <w:rPr>
          <w:sz w:val="28"/>
        </w:rPr>
        <w:t>travaux.</w:t>
      </w:r>
    </w:p>
    <w:p>
      <w:pPr>
        <w:pStyle w:val="ListParagraph"/>
        <w:numPr>
          <w:ilvl w:val="2"/>
          <w:numId w:val="12"/>
        </w:numPr>
        <w:tabs>
          <w:tab w:pos="1000" w:val="left" w:leader="none"/>
        </w:tabs>
        <w:spacing w:line="240" w:lineRule="auto" w:before="0" w:after="0"/>
        <w:ind w:left="999" w:right="756" w:hanging="284"/>
        <w:jc w:val="both"/>
        <w:rPr>
          <w:sz w:val="28"/>
        </w:rPr>
      </w:pPr>
      <w:r>
        <w:rPr>
          <w:b/>
          <w:sz w:val="28"/>
        </w:rPr>
        <w:t>Facture : </w:t>
      </w:r>
      <w:r>
        <w:rPr>
          <w:sz w:val="28"/>
        </w:rPr>
        <w:t>Une facture est un document établi pour le fournisseur, l’entrepreneur ou le prestataire de service qui atteste l'achat de biens, de travaux ou services par le client. Elle engage le client à régler le montant</w:t>
      </w:r>
      <w:r>
        <w:rPr>
          <w:spacing w:val="-44"/>
          <w:sz w:val="28"/>
        </w:rPr>
        <w:t> </w:t>
      </w:r>
      <w:r>
        <w:rPr>
          <w:sz w:val="28"/>
        </w:rPr>
        <w:t>déterminé.</w:t>
      </w:r>
    </w:p>
    <w:p>
      <w:pPr>
        <w:pStyle w:val="Heading2"/>
        <w:numPr>
          <w:ilvl w:val="1"/>
          <w:numId w:val="12"/>
        </w:numPr>
        <w:tabs>
          <w:tab w:pos="986" w:val="left" w:leader="none"/>
        </w:tabs>
        <w:spacing w:line="319" w:lineRule="exact" w:before="120" w:after="0"/>
        <w:ind w:left="985" w:right="0" w:hanging="553"/>
        <w:jc w:val="both"/>
      </w:pPr>
      <w:bookmarkStart w:name="_TOC_250129" w:id="12"/>
      <w:r>
        <w:rPr/>
        <w:t>Les formes des</w:t>
      </w:r>
      <w:r>
        <w:rPr>
          <w:spacing w:val="-3"/>
        </w:rPr>
        <w:t> </w:t>
      </w:r>
      <w:bookmarkEnd w:id="12"/>
      <w:r>
        <w:rPr/>
        <w:t>contrats</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Le contrat ordinaire : </w:t>
      </w:r>
      <w:r>
        <w:rPr>
          <w:sz w:val="28"/>
        </w:rPr>
        <w:t>Le GCT a recours à un contrat ordinaire lorsqu'il est en mesure de déterminer avec précision la nature et la consistance des besoins à satisfaire, le montant des prestations y afférentes et leurs délais</w:t>
      </w:r>
      <w:r>
        <w:rPr>
          <w:spacing w:val="-28"/>
          <w:sz w:val="28"/>
        </w:rPr>
        <w:t> </w:t>
      </w:r>
      <w:r>
        <w:rPr>
          <w:sz w:val="28"/>
        </w:rPr>
        <w:t>d’exécution.</w:t>
      </w:r>
    </w:p>
    <w:p>
      <w:pPr>
        <w:pStyle w:val="ListParagraph"/>
        <w:numPr>
          <w:ilvl w:val="2"/>
          <w:numId w:val="12"/>
        </w:numPr>
        <w:tabs>
          <w:tab w:pos="1000" w:val="left" w:leader="none"/>
        </w:tabs>
        <w:spacing w:line="240" w:lineRule="auto" w:before="0" w:after="0"/>
        <w:ind w:left="999" w:right="757" w:hanging="284"/>
        <w:jc w:val="both"/>
        <w:rPr>
          <w:sz w:val="28"/>
        </w:rPr>
      </w:pPr>
      <w:r>
        <w:rPr>
          <w:b/>
          <w:sz w:val="28"/>
        </w:rPr>
        <w:t>Le</w:t>
      </w:r>
      <w:r>
        <w:rPr>
          <w:b/>
          <w:spacing w:val="-5"/>
          <w:sz w:val="28"/>
        </w:rPr>
        <w:t> </w:t>
      </w:r>
      <w:r>
        <w:rPr>
          <w:b/>
          <w:sz w:val="28"/>
        </w:rPr>
        <w:t>contrat</w:t>
      </w:r>
      <w:r>
        <w:rPr>
          <w:b/>
          <w:spacing w:val="-5"/>
          <w:sz w:val="28"/>
        </w:rPr>
        <w:t> </w:t>
      </w:r>
      <w:r>
        <w:rPr>
          <w:b/>
          <w:sz w:val="28"/>
        </w:rPr>
        <w:t>cadre</w:t>
      </w:r>
      <w:r>
        <w:rPr>
          <w:b/>
          <w:spacing w:val="-4"/>
          <w:sz w:val="28"/>
        </w:rPr>
        <w:t> </w:t>
      </w:r>
      <w:r>
        <w:rPr>
          <w:b/>
          <w:sz w:val="28"/>
        </w:rPr>
        <w:t>:</w:t>
      </w:r>
      <w:r>
        <w:rPr>
          <w:b/>
          <w:spacing w:val="-4"/>
          <w:sz w:val="28"/>
        </w:rPr>
        <w:t> </w:t>
      </w:r>
      <w:r>
        <w:rPr>
          <w:sz w:val="28"/>
        </w:rPr>
        <w:t>C'est</w:t>
      </w:r>
      <w:r>
        <w:rPr>
          <w:spacing w:val="-7"/>
          <w:sz w:val="28"/>
        </w:rPr>
        <w:t> </w:t>
      </w:r>
      <w:r>
        <w:rPr>
          <w:sz w:val="28"/>
        </w:rPr>
        <w:t>un</w:t>
      </w:r>
      <w:r>
        <w:rPr>
          <w:spacing w:val="-3"/>
          <w:sz w:val="28"/>
        </w:rPr>
        <w:t> </w:t>
      </w:r>
      <w:r>
        <w:rPr>
          <w:sz w:val="28"/>
        </w:rPr>
        <w:t>contrat</w:t>
      </w:r>
      <w:r>
        <w:rPr>
          <w:spacing w:val="-4"/>
          <w:sz w:val="28"/>
        </w:rPr>
        <w:t> </w:t>
      </w:r>
      <w:r>
        <w:rPr>
          <w:sz w:val="28"/>
        </w:rPr>
        <w:t>ayant</w:t>
      </w:r>
      <w:r>
        <w:rPr>
          <w:spacing w:val="-5"/>
          <w:sz w:val="28"/>
        </w:rPr>
        <w:t> </w:t>
      </w:r>
      <w:r>
        <w:rPr>
          <w:sz w:val="28"/>
        </w:rPr>
        <w:t>pour</w:t>
      </w:r>
      <w:r>
        <w:rPr>
          <w:spacing w:val="-8"/>
          <w:sz w:val="28"/>
        </w:rPr>
        <w:t> </w:t>
      </w:r>
      <w:r>
        <w:rPr>
          <w:sz w:val="28"/>
        </w:rPr>
        <w:t>objet</w:t>
      </w:r>
      <w:r>
        <w:rPr>
          <w:spacing w:val="-4"/>
          <w:sz w:val="28"/>
        </w:rPr>
        <w:t> </w:t>
      </w:r>
      <w:r>
        <w:rPr>
          <w:sz w:val="28"/>
        </w:rPr>
        <w:t>d'établir</w:t>
      </w:r>
      <w:r>
        <w:rPr>
          <w:spacing w:val="-5"/>
          <w:sz w:val="28"/>
        </w:rPr>
        <w:t> </w:t>
      </w:r>
      <w:r>
        <w:rPr>
          <w:sz w:val="28"/>
        </w:rPr>
        <w:t>les</w:t>
      </w:r>
      <w:r>
        <w:rPr>
          <w:spacing w:val="-7"/>
          <w:sz w:val="28"/>
        </w:rPr>
        <w:t> </w:t>
      </w:r>
      <w:r>
        <w:rPr>
          <w:sz w:val="28"/>
        </w:rPr>
        <w:t>termes</w:t>
      </w:r>
      <w:r>
        <w:rPr>
          <w:spacing w:val="-3"/>
          <w:sz w:val="28"/>
        </w:rPr>
        <w:t> </w:t>
      </w:r>
      <w:r>
        <w:rPr>
          <w:sz w:val="28"/>
        </w:rPr>
        <w:t>régissant les commandes à passer au cours d'une période donnée. Le contrat cadre fixe le minimum et le maximum des commandes arrêtées en valeur ou en quantité susceptibles d'être exécutées au cours de la période couverte par le</w:t>
      </w:r>
      <w:r>
        <w:rPr>
          <w:spacing w:val="-19"/>
          <w:sz w:val="28"/>
        </w:rPr>
        <w:t> </w:t>
      </w:r>
      <w:r>
        <w:rPr>
          <w:sz w:val="28"/>
        </w:rPr>
        <w:t>contrat.</w:t>
      </w:r>
    </w:p>
    <w:p>
      <w:pPr>
        <w:pStyle w:val="Heading2"/>
        <w:numPr>
          <w:ilvl w:val="1"/>
          <w:numId w:val="12"/>
        </w:numPr>
        <w:tabs>
          <w:tab w:pos="986" w:val="left" w:leader="none"/>
        </w:tabs>
        <w:spacing w:line="319" w:lineRule="exact" w:before="122" w:after="0"/>
        <w:ind w:left="985" w:right="0" w:hanging="553"/>
        <w:jc w:val="both"/>
      </w:pPr>
      <w:bookmarkStart w:name="_TOC_250128" w:id="13"/>
      <w:r>
        <w:rPr/>
        <w:t>Les prix des</w:t>
      </w:r>
      <w:r>
        <w:rPr>
          <w:spacing w:val="-1"/>
        </w:rPr>
        <w:t> </w:t>
      </w:r>
      <w:bookmarkEnd w:id="13"/>
      <w:r>
        <w:rPr/>
        <w:t>achats</w:t>
      </w:r>
    </w:p>
    <w:p>
      <w:pPr>
        <w:pStyle w:val="BodyText"/>
        <w:ind w:right="753"/>
      </w:pPr>
      <w:r>
        <w:rPr/>
        <w:t>Le prix est la somme du coût estimé de la prestation majorée de la marge bénéficiaire du titulaire il peut être à prix global forfaitaire, à un ou plusieurs prix unitaires ou à prix mixtes. Il peut être passé des achats à prix provisoires ou au pourcentage.</w:t>
      </w:r>
    </w:p>
    <w:p>
      <w:pPr>
        <w:spacing w:after="0"/>
        <w:sectPr>
          <w:pgSz w:w="11910" w:h="16840"/>
          <w:pgMar w:header="722" w:footer="0" w:top="1860" w:bottom="280" w:left="700" w:right="380"/>
        </w:sectPr>
      </w:pPr>
    </w:p>
    <w:p>
      <w:pPr>
        <w:pStyle w:val="BodyText"/>
        <w:spacing w:before="2"/>
        <w:ind w:left="0" w:firstLine="0"/>
        <w:jc w:val="left"/>
        <w:rPr>
          <w:sz w:val="15"/>
        </w:rPr>
      </w:pPr>
    </w:p>
    <w:p>
      <w:pPr>
        <w:pStyle w:val="ListParagraph"/>
        <w:numPr>
          <w:ilvl w:val="2"/>
          <w:numId w:val="12"/>
        </w:numPr>
        <w:tabs>
          <w:tab w:pos="1000" w:val="left" w:leader="none"/>
        </w:tabs>
        <w:spacing w:line="240" w:lineRule="auto" w:before="101" w:after="0"/>
        <w:ind w:left="999" w:right="754" w:hanging="284"/>
        <w:jc w:val="both"/>
        <w:rPr>
          <w:sz w:val="28"/>
        </w:rPr>
      </w:pPr>
      <w:r>
        <w:rPr>
          <w:b/>
          <w:sz w:val="28"/>
        </w:rPr>
        <w:t>Le prix global forfaitaire : </w:t>
      </w:r>
      <w:r>
        <w:rPr>
          <w:sz w:val="28"/>
        </w:rPr>
        <w:t>Le prix est de type global forfaitaire lorsqu'il couvre l'ensemble des prestations objet de l’achat. Ce prix est calculé par décomposition du</w:t>
      </w:r>
      <w:r>
        <w:rPr>
          <w:spacing w:val="-10"/>
          <w:sz w:val="28"/>
        </w:rPr>
        <w:t> </w:t>
      </w:r>
      <w:r>
        <w:rPr>
          <w:sz w:val="28"/>
        </w:rPr>
        <w:t>montant</w:t>
      </w:r>
      <w:r>
        <w:rPr>
          <w:spacing w:val="-10"/>
          <w:sz w:val="28"/>
        </w:rPr>
        <w:t> </w:t>
      </w:r>
      <w:r>
        <w:rPr>
          <w:sz w:val="28"/>
        </w:rPr>
        <w:t>global.</w:t>
      </w:r>
      <w:r>
        <w:rPr>
          <w:spacing w:val="-12"/>
          <w:sz w:val="28"/>
        </w:rPr>
        <w:t> </w:t>
      </w:r>
      <w:r>
        <w:rPr>
          <w:sz w:val="28"/>
        </w:rPr>
        <w:t>Un</w:t>
      </w:r>
      <w:r>
        <w:rPr>
          <w:spacing w:val="-9"/>
          <w:sz w:val="28"/>
        </w:rPr>
        <w:t> </w:t>
      </w:r>
      <w:r>
        <w:rPr>
          <w:sz w:val="28"/>
        </w:rPr>
        <w:t>prix</w:t>
      </w:r>
      <w:r>
        <w:rPr>
          <w:spacing w:val="-10"/>
          <w:sz w:val="28"/>
        </w:rPr>
        <w:t> </w:t>
      </w:r>
      <w:r>
        <w:rPr>
          <w:sz w:val="28"/>
        </w:rPr>
        <w:t>forfaitaire</w:t>
      </w:r>
      <w:r>
        <w:rPr>
          <w:spacing w:val="-11"/>
          <w:sz w:val="28"/>
        </w:rPr>
        <w:t> </w:t>
      </w:r>
      <w:r>
        <w:rPr>
          <w:sz w:val="28"/>
        </w:rPr>
        <w:t>est</w:t>
      </w:r>
      <w:r>
        <w:rPr>
          <w:spacing w:val="-10"/>
          <w:sz w:val="28"/>
        </w:rPr>
        <w:t> </w:t>
      </w:r>
      <w:r>
        <w:rPr>
          <w:sz w:val="28"/>
        </w:rPr>
        <w:t>fixé</w:t>
      </w:r>
      <w:r>
        <w:rPr>
          <w:spacing w:val="-10"/>
          <w:sz w:val="28"/>
        </w:rPr>
        <w:t> </w:t>
      </w:r>
      <w:r>
        <w:rPr>
          <w:sz w:val="28"/>
        </w:rPr>
        <w:t>pour</w:t>
      </w:r>
      <w:r>
        <w:rPr>
          <w:spacing w:val="-11"/>
          <w:sz w:val="28"/>
        </w:rPr>
        <w:t> </w:t>
      </w:r>
      <w:r>
        <w:rPr>
          <w:sz w:val="28"/>
        </w:rPr>
        <w:t>chaque</w:t>
      </w:r>
      <w:r>
        <w:rPr>
          <w:spacing w:val="-11"/>
          <w:sz w:val="28"/>
        </w:rPr>
        <w:t> </w:t>
      </w:r>
      <w:r>
        <w:rPr>
          <w:sz w:val="28"/>
        </w:rPr>
        <w:t>élément</w:t>
      </w:r>
      <w:r>
        <w:rPr>
          <w:spacing w:val="-9"/>
          <w:sz w:val="28"/>
        </w:rPr>
        <w:t> </w:t>
      </w:r>
      <w:r>
        <w:rPr>
          <w:sz w:val="28"/>
        </w:rPr>
        <w:t>résultant</w:t>
      </w:r>
      <w:r>
        <w:rPr>
          <w:spacing w:val="-10"/>
          <w:sz w:val="28"/>
        </w:rPr>
        <w:t> </w:t>
      </w:r>
      <w:r>
        <w:rPr>
          <w:sz w:val="28"/>
        </w:rPr>
        <w:t>de</w:t>
      </w:r>
      <w:r>
        <w:rPr>
          <w:spacing w:val="-11"/>
          <w:sz w:val="28"/>
        </w:rPr>
        <w:t> </w:t>
      </w:r>
      <w:r>
        <w:rPr>
          <w:sz w:val="28"/>
        </w:rPr>
        <w:t>la décomposition</w:t>
      </w:r>
    </w:p>
    <w:p>
      <w:pPr>
        <w:pStyle w:val="ListParagraph"/>
        <w:numPr>
          <w:ilvl w:val="2"/>
          <w:numId w:val="12"/>
        </w:numPr>
        <w:tabs>
          <w:tab w:pos="1000" w:val="left" w:leader="none"/>
        </w:tabs>
        <w:spacing w:line="240" w:lineRule="auto" w:before="0" w:after="0"/>
        <w:ind w:left="999" w:right="760" w:hanging="284"/>
        <w:jc w:val="both"/>
        <w:rPr>
          <w:sz w:val="28"/>
        </w:rPr>
      </w:pPr>
      <w:r>
        <w:rPr>
          <w:b/>
          <w:sz w:val="28"/>
        </w:rPr>
        <w:t>Le prix unitaire : </w:t>
      </w:r>
      <w:r>
        <w:rPr>
          <w:sz w:val="28"/>
        </w:rPr>
        <w:t>Les prix sont de type unitaire lorsque les prestations sont décomposées</w:t>
      </w:r>
      <w:r>
        <w:rPr>
          <w:spacing w:val="-6"/>
          <w:sz w:val="28"/>
        </w:rPr>
        <w:t> </w:t>
      </w:r>
      <w:r>
        <w:rPr>
          <w:sz w:val="28"/>
        </w:rPr>
        <w:t>sur</w:t>
      </w:r>
      <w:r>
        <w:rPr>
          <w:spacing w:val="-6"/>
          <w:sz w:val="28"/>
        </w:rPr>
        <w:t> </w:t>
      </w:r>
      <w:r>
        <w:rPr>
          <w:sz w:val="28"/>
        </w:rPr>
        <w:t>la</w:t>
      </w:r>
      <w:r>
        <w:rPr>
          <w:spacing w:val="-5"/>
          <w:sz w:val="28"/>
        </w:rPr>
        <w:t> </w:t>
      </w:r>
      <w:r>
        <w:rPr>
          <w:sz w:val="28"/>
        </w:rPr>
        <w:t>base</w:t>
      </w:r>
      <w:r>
        <w:rPr>
          <w:spacing w:val="-6"/>
          <w:sz w:val="28"/>
        </w:rPr>
        <w:t> </w:t>
      </w:r>
      <w:r>
        <w:rPr>
          <w:sz w:val="28"/>
        </w:rPr>
        <w:t>d'un</w:t>
      </w:r>
      <w:r>
        <w:rPr>
          <w:spacing w:val="-5"/>
          <w:sz w:val="28"/>
        </w:rPr>
        <w:t> </w:t>
      </w:r>
      <w:r>
        <w:rPr>
          <w:sz w:val="28"/>
        </w:rPr>
        <w:t>détail</w:t>
      </w:r>
      <w:r>
        <w:rPr>
          <w:spacing w:val="-6"/>
          <w:sz w:val="28"/>
        </w:rPr>
        <w:t> </w:t>
      </w:r>
      <w:r>
        <w:rPr>
          <w:sz w:val="28"/>
        </w:rPr>
        <w:t>estimatif,</w:t>
      </w:r>
      <w:r>
        <w:rPr>
          <w:spacing w:val="-6"/>
          <w:sz w:val="28"/>
        </w:rPr>
        <w:t> </w:t>
      </w:r>
      <w:r>
        <w:rPr>
          <w:sz w:val="28"/>
        </w:rPr>
        <w:t>en</w:t>
      </w:r>
      <w:r>
        <w:rPr>
          <w:spacing w:val="-5"/>
          <w:sz w:val="28"/>
        </w:rPr>
        <w:t> </w:t>
      </w:r>
      <w:r>
        <w:rPr>
          <w:sz w:val="28"/>
        </w:rPr>
        <w:t>plusieurs</w:t>
      </w:r>
      <w:r>
        <w:rPr>
          <w:spacing w:val="-5"/>
          <w:sz w:val="28"/>
        </w:rPr>
        <w:t> </w:t>
      </w:r>
      <w:r>
        <w:rPr>
          <w:sz w:val="28"/>
        </w:rPr>
        <w:t>postes</w:t>
      </w:r>
      <w:r>
        <w:rPr>
          <w:spacing w:val="-6"/>
          <w:sz w:val="28"/>
        </w:rPr>
        <w:t> </w:t>
      </w:r>
      <w:r>
        <w:rPr>
          <w:sz w:val="28"/>
        </w:rPr>
        <w:t>affectés</w:t>
      </w:r>
      <w:r>
        <w:rPr>
          <w:spacing w:val="-5"/>
          <w:sz w:val="28"/>
        </w:rPr>
        <w:t> </w:t>
      </w:r>
      <w:r>
        <w:rPr>
          <w:sz w:val="28"/>
        </w:rPr>
        <w:t>chacun d’un prix unitaire</w:t>
      </w:r>
      <w:r>
        <w:rPr>
          <w:spacing w:val="-10"/>
          <w:sz w:val="28"/>
        </w:rPr>
        <w:t> </w:t>
      </w:r>
      <w:r>
        <w:rPr>
          <w:sz w:val="28"/>
        </w:rPr>
        <w:t>proposé.</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Achat à prix mixtes </w:t>
      </w:r>
      <w:r>
        <w:rPr>
          <w:sz w:val="28"/>
        </w:rPr>
        <w:t>: lorsqu’il comprend des prestations rémunérées en partie sur la base d’un prix global forfaitaire et en partie sur la base des prix</w:t>
      </w:r>
      <w:r>
        <w:rPr>
          <w:spacing w:val="-38"/>
          <w:sz w:val="28"/>
        </w:rPr>
        <w:t> </w:t>
      </w:r>
      <w:r>
        <w:rPr>
          <w:sz w:val="28"/>
        </w:rPr>
        <w:t>unitaires.</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Achat</w:t>
      </w:r>
      <w:r>
        <w:rPr>
          <w:b/>
          <w:spacing w:val="-16"/>
          <w:sz w:val="28"/>
        </w:rPr>
        <w:t> </w:t>
      </w:r>
      <w:r>
        <w:rPr>
          <w:b/>
          <w:sz w:val="28"/>
        </w:rPr>
        <w:t>à</w:t>
      </w:r>
      <w:r>
        <w:rPr>
          <w:b/>
          <w:spacing w:val="-14"/>
          <w:sz w:val="28"/>
        </w:rPr>
        <w:t> </w:t>
      </w:r>
      <w:r>
        <w:rPr>
          <w:b/>
          <w:sz w:val="28"/>
        </w:rPr>
        <w:t>prix</w:t>
      </w:r>
      <w:r>
        <w:rPr>
          <w:b/>
          <w:spacing w:val="-14"/>
          <w:sz w:val="28"/>
        </w:rPr>
        <w:t> </w:t>
      </w:r>
      <w:r>
        <w:rPr>
          <w:b/>
          <w:sz w:val="28"/>
        </w:rPr>
        <w:t>provisoires</w:t>
      </w:r>
      <w:r>
        <w:rPr>
          <w:b/>
          <w:spacing w:val="-11"/>
          <w:sz w:val="28"/>
        </w:rPr>
        <w:t> </w:t>
      </w:r>
      <w:r>
        <w:rPr>
          <w:b/>
          <w:sz w:val="28"/>
        </w:rPr>
        <w:t>:</w:t>
      </w:r>
      <w:r>
        <w:rPr>
          <w:b/>
          <w:spacing w:val="-15"/>
          <w:sz w:val="28"/>
        </w:rPr>
        <w:t> </w:t>
      </w:r>
      <w:r>
        <w:rPr>
          <w:sz w:val="28"/>
        </w:rPr>
        <w:t>L’Achat</w:t>
      </w:r>
      <w:r>
        <w:rPr>
          <w:spacing w:val="-13"/>
          <w:sz w:val="28"/>
        </w:rPr>
        <w:t> </w:t>
      </w:r>
      <w:r>
        <w:rPr>
          <w:sz w:val="28"/>
        </w:rPr>
        <w:t>est</w:t>
      </w:r>
      <w:r>
        <w:rPr>
          <w:spacing w:val="-16"/>
          <w:sz w:val="28"/>
        </w:rPr>
        <w:t> </w:t>
      </w:r>
      <w:r>
        <w:rPr>
          <w:sz w:val="28"/>
        </w:rPr>
        <w:t>passé</w:t>
      </w:r>
      <w:r>
        <w:rPr>
          <w:spacing w:val="-15"/>
          <w:sz w:val="28"/>
        </w:rPr>
        <w:t> </w:t>
      </w:r>
      <w:r>
        <w:rPr>
          <w:sz w:val="28"/>
        </w:rPr>
        <w:t>à</w:t>
      </w:r>
      <w:r>
        <w:rPr>
          <w:spacing w:val="-15"/>
          <w:sz w:val="28"/>
        </w:rPr>
        <w:t> </w:t>
      </w:r>
      <w:r>
        <w:rPr>
          <w:sz w:val="28"/>
        </w:rPr>
        <w:t>prix</w:t>
      </w:r>
      <w:r>
        <w:rPr>
          <w:spacing w:val="-16"/>
          <w:sz w:val="28"/>
        </w:rPr>
        <w:t> </w:t>
      </w:r>
      <w:r>
        <w:rPr>
          <w:sz w:val="28"/>
        </w:rPr>
        <w:t>provisoire</w:t>
      </w:r>
      <w:r>
        <w:rPr>
          <w:spacing w:val="-15"/>
          <w:sz w:val="28"/>
        </w:rPr>
        <w:t> </w:t>
      </w:r>
      <w:r>
        <w:rPr>
          <w:sz w:val="28"/>
        </w:rPr>
        <w:t>lorsque</w:t>
      </w:r>
      <w:r>
        <w:rPr>
          <w:spacing w:val="-17"/>
          <w:sz w:val="28"/>
        </w:rPr>
        <w:t> </w:t>
      </w:r>
      <w:r>
        <w:rPr>
          <w:sz w:val="28"/>
        </w:rPr>
        <w:t>l'exécution de</w:t>
      </w:r>
      <w:r>
        <w:rPr>
          <w:spacing w:val="-22"/>
          <w:sz w:val="28"/>
        </w:rPr>
        <w:t> </w:t>
      </w:r>
      <w:r>
        <w:rPr>
          <w:sz w:val="28"/>
        </w:rPr>
        <w:t>la</w:t>
      </w:r>
      <w:r>
        <w:rPr>
          <w:spacing w:val="-21"/>
          <w:sz w:val="28"/>
        </w:rPr>
        <w:t> </w:t>
      </w:r>
      <w:r>
        <w:rPr>
          <w:sz w:val="28"/>
        </w:rPr>
        <w:t>prestation</w:t>
      </w:r>
      <w:r>
        <w:rPr>
          <w:spacing w:val="-20"/>
          <w:sz w:val="28"/>
        </w:rPr>
        <w:t> </w:t>
      </w:r>
      <w:r>
        <w:rPr>
          <w:sz w:val="28"/>
        </w:rPr>
        <w:t>doit</w:t>
      </w:r>
      <w:r>
        <w:rPr>
          <w:spacing w:val="-20"/>
          <w:sz w:val="28"/>
        </w:rPr>
        <w:t> </w:t>
      </w:r>
      <w:r>
        <w:rPr>
          <w:sz w:val="28"/>
        </w:rPr>
        <w:t>être</w:t>
      </w:r>
      <w:r>
        <w:rPr>
          <w:spacing w:val="-20"/>
          <w:sz w:val="28"/>
        </w:rPr>
        <w:t> </w:t>
      </w:r>
      <w:r>
        <w:rPr>
          <w:sz w:val="28"/>
        </w:rPr>
        <w:t>commencée</w:t>
      </w:r>
      <w:r>
        <w:rPr>
          <w:spacing w:val="-20"/>
          <w:sz w:val="28"/>
        </w:rPr>
        <w:t> </w:t>
      </w:r>
      <w:r>
        <w:rPr>
          <w:sz w:val="28"/>
        </w:rPr>
        <w:t>alors</w:t>
      </w:r>
      <w:r>
        <w:rPr>
          <w:spacing w:val="-22"/>
          <w:sz w:val="28"/>
        </w:rPr>
        <w:t> </w:t>
      </w:r>
      <w:r>
        <w:rPr>
          <w:sz w:val="28"/>
        </w:rPr>
        <w:t>que</w:t>
      </w:r>
      <w:r>
        <w:rPr>
          <w:spacing w:val="-21"/>
          <w:sz w:val="28"/>
        </w:rPr>
        <w:t> </w:t>
      </w:r>
      <w:r>
        <w:rPr>
          <w:sz w:val="28"/>
        </w:rPr>
        <w:t>toutes</w:t>
      </w:r>
      <w:r>
        <w:rPr>
          <w:spacing w:val="-22"/>
          <w:sz w:val="28"/>
        </w:rPr>
        <w:t> </w:t>
      </w:r>
      <w:r>
        <w:rPr>
          <w:sz w:val="28"/>
        </w:rPr>
        <w:t>les</w:t>
      </w:r>
      <w:r>
        <w:rPr>
          <w:spacing w:val="-21"/>
          <w:sz w:val="28"/>
        </w:rPr>
        <w:t> </w:t>
      </w:r>
      <w:r>
        <w:rPr>
          <w:sz w:val="28"/>
        </w:rPr>
        <w:t>conditions</w:t>
      </w:r>
      <w:r>
        <w:rPr>
          <w:spacing w:val="-22"/>
          <w:sz w:val="28"/>
        </w:rPr>
        <w:t> </w:t>
      </w:r>
      <w:r>
        <w:rPr>
          <w:sz w:val="28"/>
        </w:rPr>
        <w:t>indispensables à la détermination d'un prix initial définitif ne sont pas réunies en raison de la complexité de la prestation objet de l’achat et de son caractère</w:t>
      </w:r>
      <w:r>
        <w:rPr>
          <w:spacing w:val="-15"/>
          <w:sz w:val="28"/>
        </w:rPr>
        <w:t> </w:t>
      </w:r>
      <w:r>
        <w:rPr>
          <w:sz w:val="28"/>
        </w:rPr>
        <w:t>urgent.</w:t>
      </w:r>
    </w:p>
    <w:p>
      <w:pPr>
        <w:pStyle w:val="BodyText"/>
        <w:ind w:left="999" w:right="749" w:firstLine="0"/>
      </w:pPr>
      <w:r>
        <w:rPr/>
        <w:t>L’achat</w:t>
      </w:r>
      <w:r>
        <w:rPr>
          <w:spacing w:val="-7"/>
        </w:rPr>
        <w:t> </w:t>
      </w:r>
      <w:r>
        <w:rPr/>
        <w:t>ne</w:t>
      </w:r>
      <w:r>
        <w:rPr>
          <w:spacing w:val="-10"/>
        </w:rPr>
        <w:t> </w:t>
      </w:r>
      <w:r>
        <w:rPr/>
        <w:t>peut</w:t>
      </w:r>
      <w:r>
        <w:rPr>
          <w:spacing w:val="-7"/>
        </w:rPr>
        <w:t> </w:t>
      </w:r>
      <w:r>
        <w:rPr/>
        <w:t>être</w:t>
      </w:r>
      <w:r>
        <w:rPr>
          <w:spacing w:val="-8"/>
        </w:rPr>
        <w:t> </w:t>
      </w:r>
      <w:r>
        <w:rPr/>
        <w:t>conclu</w:t>
      </w:r>
      <w:r>
        <w:rPr>
          <w:spacing w:val="-7"/>
        </w:rPr>
        <w:t> </w:t>
      </w:r>
      <w:r>
        <w:rPr/>
        <w:t>à</w:t>
      </w:r>
      <w:r>
        <w:rPr>
          <w:spacing w:val="-8"/>
        </w:rPr>
        <w:t> </w:t>
      </w:r>
      <w:r>
        <w:rPr/>
        <w:t>prix</w:t>
      </w:r>
      <w:r>
        <w:rPr>
          <w:spacing w:val="-8"/>
        </w:rPr>
        <w:t> </w:t>
      </w:r>
      <w:r>
        <w:rPr/>
        <w:t>provisoires</w:t>
      </w:r>
      <w:r>
        <w:rPr>
          <w:spacing w:val="-6"/>
        </w:rPr>
        <w:t> </w:t>
      </w:r>
      <w:r>
        <w:rPr/>
        <w:t>que</w:t>
      </w:r>
      <w:r>
        <w:rPr>
          <w:spacing w:val="-10"/>
        </w:rPr>
        <w:t> </w:t>
      </w:r>
      <w:r>
        <w:rPr/>
        <w:t>pour</w:t>
      </w:r>
      <w:r>
        <w:rPr>
          <w:spacing w:val="-9"/>
        </w:rPr>
        <w:t> </w:t>
      </w:r>
      <w:r>
        <w:rPr/>
        <w:t>des</w:t>
      </w:r>
      <w:r>
        <w:rPr>
          <w:spacing w:val="-9"/>
        </w:rPr>
        <w:t> </w:t>
      </w:r>
      <w:r>
        <w:rPr/>
        <w:t>prestations</w:t>
      </w:r>
      <w:r>
        <w:rPr>
          <w:spacing w:val="-7"/>
        </w:rPr>
        <w:t> </w:t>
      </w:r>
      <w:r>
        <w:rPr/>
        <w:t>complexes ou</w:t>
      </w:r>
      <w:r>
        <w:rPr>
          <w:spacing w:val="-12"/>
        </w:rPr>
        <w:t> </w:t>
      </w:r>
      <w:r>
        <w:rPr/>
        <w:t>faisant</w:t>
      </w:r>
      <w:r>
        <w:rPr>
          <w:spacing w:val="-12"/>
        </w:rPr>
        <w:t> </w:t>
      </w:r>
      <w:r>
        <w:rPr/>
        <w:t>appel</w:t>
      </w:r>
      <w:r>
        <w:rPr>
          <w:spacing w:val="-12"/>
        </w:rPr>
        <w:t> </w:t>
      </w:r>
      <w:r>
        <w:rPr/>
        <w:t>à</w:t>
      </w:r>
      <w:r>
        <w:rPr>
          <w:spacing w:val="-12"/>
        </w:rPr>
        <w:t> </w:t>
      </w:r>
      <w:r>
        <w:rPr/>
        <w:t>une</w:t>
      </w:r>
      <w:r>
        <w:rPr>
          <w:spacing w:val="-15"/>
        </w:rPr>
        <w:t> </w:t>
      </w:r>
      <w:r>
        <w:rPr/>
        <w:t>technique</w:t>
      </w:r>
      <w:r>
        <w:rPr>
          <w:spacing w:val="-12"/>
        </w:rPr>
        <w:t> </w:t>
      </w:r>
      <w:r>
        <w:rPr/>
        <w:t>nouvelle</w:t>
      </w:r>
      <w:r>
        <w:rPr>
          <w:spacing w:val="-12"/>
        </w:rPr>
        <w:t> </w:t>
      </w:r>
      <w:r>
        <w:rPr/>
        <w:t>et</w:t>
      </w:r>
      <w:r>
        <w:rPr>
          <w:spacing w:val="-14"/>
        </w:rPr>
        <w:t> </w:t>
      </w:r>
      <w:r>
        <w:rPr/>
        <w:t>présentant</w:t>
      </w:r>
      <w:r>
        <w:rPr>
          <w:spacing w:val="-12"/>
        </w:rPr>
        <w:t> </w:t>
      </w:r>
      <w:r>
        <w:rPr/>
        <w:t>soit</w:t>
      </w:r>
      <w:r>
        <w:rPr>
          <w:spacing w:val="-12"/>
        </w:rPr>
        <w:t> </w:t>
      </w:r>
      <w:r>
        <w:rPr/>
        <w:t>un</w:t>
      </w:r>
      <w:r>
        <w:rPr>
          <w:spacing w:val="-12"/>
        </w:rPr>
        <w:t> </w:t>
      </w:r>
      <w:r>
        <w:rPr/>
        <w:t>caractère</w:t>
      </w:r>
      <w:r>
        <w:rPr>
          <w:spacing w:val="-12"/>
        </w:rPr>
        <w:t> </w:t>
      </w:r>
      <w:r>
        <w:rPr/>
        <w:t>d'urgence impérieuse, soit des aléas techniques importants, l'exécution </w:t>
      </w:r>
      <w:r>
        <w:rPr>
          <w:spacing w:val="4"/>
        </w:rPr>
        <w:t>de </w:t>
      </w:r>
      <w:r>
        <w:rPr/>
        <w:t>l’achat doit commencer alors que la détermination d'un prix initial définitif n'est pas encore possible</w:t>
      </w:r>
      <w:r>
        <w:rPr>
          <w:spacing w:val="-1"/>
        </w:rPr>
        <w:t> </w:t>
      </w:r>
      <w:r>
        <w:rPr/>
        <w:t>;</w:t>
      </w:r>
    </w:p>
    <w:p>
      <w:pPr>
        <w:pStyle w:val="BodyText"/>
        <w:spacing w:line="321" w:lineRule="exact"/>
        <w:ind w:left="999" w:firstLine="0"/>
      </w:pPr>
      <w:r>
        <w:rPr/>
        <w:t>Les achats conclus à prix provisoires précisent :</w:t>
      </w:r>
    </w:p>
    <w:p>
      <w:pPr>
        <w:pStyle w:val="ListParagraph"/>
        <w:numPr>
          <w:ilvl w:val="0"/>
          <w:numId w:val="14"/>
        </w:numPr>
        <w:tabs>
          <w:tab w:pos="1286" w:val="left" w:leader="none"/>
        </w:tabs>
        <w:spacing w:line="240" w:lineRule="auto" w:before="0" w:after="0"/>
        <w:ind w:left="1285" w:right="760" w:hanging="286"/>
        <w:jc w:val="left"/>
        <w:rPr>
          <w:sz w:val="28"/>
        </w:rPr>
      </w:pPr>
      <w:r>
        <w:rPr>
          <w:sz w:val="28"/>
        </w:rPr>
        <w:t>Les conditions dans lesquelles sera déterminé le prix définitif, dans la limite d'un plafond éventuellement révisé</w:t>
      </w:r>
      <w:r>
        <w:rPr>
          <w:spacing w:val="1"/>
          <w:sz w:val="28"/>
        </w:rPr>
        <w:t> </w:t>
      </w:r>
      <w:r>
        <w:rPr>
          <w:sz w:val="28"/>
        </w:rPr>
        <w:t>;</w:t>
      </w:r>
    </w:p>
    <w:p>
      <w:pPr>
        <w:pStyle w:val="ListParagraph"/>
        <w:numPr>
          <w:ilvl w:val="0"/>
          <w:numId w:val="14"/>
        </w:numPr>
        <w:tabs>
          <w:tab w:pos="1286" w:val="left" w:leader="none"/>
        </w:tabs>
        <w:spacing w:line="321" w:lineRule="exact" w:before="0" w:after="0"/>
        <w:ind w:left="1285" w:right="0" w:hanging="287"/>
        <w:jc w:val="left"/>
        <w:rPr>
          <w:sz w:val="28"/>
        </w:rPr>
      </w:pPr>
      <w:r>
        <w:rPr>
          <w:sz w:val="28"/>
        </w:rPr>
        <w:t>L'échéance à laquelle le prix définitif devra être fixé</w:t>
      </w:r>
      <w:r>
        <w:rPr>
          <w:spacing w:val="-8"/>
          <w:sz w:val="28"/>
        </w:rPr>
        <w:t> </w:t>
      </w:r>
      <w:r>
        <w:rPr>
          <w:sz w:val="28"/>
        </w:rPr>
        <w:t>;</w:t>
      </w:r>
    </w:p>
    <w:p>
      <w:pPr>
        <w:pStyle w:val="ListParagraph"/>
        <w:numPr>
          <w:ilvl w:val="0"/>
          <w:numId w:val="14"/>
        </w:numPr>
        <w:tabs>
          <w:tab w:pos="1286" w:val="left" w:leader="none"/>
        </w:tabs>
        <w:spacing w:line="322" w:lineRule="exact" w:before="0" w:after="0"/>
        <w:ind w:left="1285" w:right="0" w:hanging="287"/>
        <w:jc w:val="left"/>
        <w:rPr>
          <w:sz w:val="28"/>
        </w:rPr>
      </w:pPr>
      <w:r>
        <w:rPr>
          <w:sz w:val="28"/>
        </w:rPr>
        <w:t>Les règles comptables auxquelles le titulaire devra se conformer</w:t>
      </w:r>
      <w:r>
        <w:rPr>
          <w:spacing w:val="-10"/>
          <w:sz w:val="28"/>
        </w:rPr>
        <w:t> </w:t>
      </w:r>
      <w:r>
        <w:rPr>
          <w:sz w:val="28"/>
        </w:rPr>
        <w:t>;</w:t>
      </w:r>
    </w:p>
    <w:p>
      <w:pPr>
        <w:pStyle w:val="ListParagraph"/>
        <w:numPr>
          <w:ilvl w:val="0"/>
          <w:numId w:val="14"/>
        </w:numPr>
        <w:tabs>
          <w:tab w:pos="1286" w:val="left" w:leader="none"/>
        </w:tabs>
        <w:spacing w:line="240" w:lineRule="auto" w:before="0" w:after="0"/>
        <w:ind w:left="1285" w:right="760" w:hanging="286"/>
        <w:jc w:val="left"/>
        <w:rPr>
          <w:sz w:val="28"/>
        </w:rPr>
      </w:pPr>
      <w:r>
        <w:rPr>
          <w:sz w:val="28"/>
        </w:rPr>
        <w:t>Les vérifications sur pièces et sur place que le GCT se réserve d'effectuer sur les éléments techniques et comptables du coût de</w:t>
      </w:r>
      <w:r>
        <w:rPr>
          <w:spacing w:val="-1"/>
          <w:sz w:val="28"/>
        </w:rPr>
        <w:t> </w:t>
      </w:r>
      <w:r>
        <w:rPr>
          <w:sz w:val="28"/>
        </w:rPr>
        <w:t>revient.</w:t>
      </w:r>
    </w:p>
    <w:p>
      <w:pPr>
        <w:pStyle w:val="BodyText"/>
        <w:ind w:left="999" w:right="749" w:firstLine="0"/>
      </w:pPr>
      <w:r>
        <w:rPr/>
        <w:t>Un avenant fixant les clauses définitives du contrat et notamment le prix définitif et les méthodes précises de sa détermination, il doit intervenir au plus tard à la date à laquelle ces conditions sont connues.</w:t>
      </w:r>
    </w:p>
    <w:p>
      <w:pPr>
        <w:pStyle w:val="ListParagraph"/>
        <w:numPr>
          <w:ilvl w:val="0"/>
          <w:numId w:val="1"/>
        </w:numPr>
        <w:tabs>
          <w:tab w:pos="794" w:val="left" w:leader="none"/>
        </w:tabs>
        <w:spacing w:line="240" w:lineRule="auto" w:before="120" w:after="0"/>
        <w:ind w:left="793" w:right="747" w:hanging="360"/>
        <w:jc w:val="both"/>
        <w:rPr>
          <w:rFonts w:ascii="Symbol" w:hAnsi="Symbol"/>
          <w:sz w:val="28"/>
        </w:rPr>
      </w:pPr>
      <w:r>
        <w:rPr>
          <w:b/>
          <w:sz w:val="28"/>
        </w:rPr>
        <w:t>Le</w:t>
      </w:r>
      <w:r>
        <w:rPr>
          <w:b/>
          <w:spacing w:val="-10"/>
          <w:sz w:val="28"/>
        </w:rPr>
        <w:t> </w:t>
      </w:r>
      <w:r>
        <w:rPr>
          <w:b/>
          <w:sz w:val="28"/>
        </w:rPr>
        <w:t>prix</w:t>
      </w:r>
      <w:r>
        <w:rPr>
          <w:b/>
          <w:spacing w:val="-8"/>
          <w:sz w:val="28"/>
        </w:rPr>
        <w:t> </w:t>
      </w:r>
      <w:r>
        <w:rPr>
          <w:b/>
          <w:sz w:val="28"/>
        </w:rPr>
        <w:t>ferme</w:t>
      </w:r>
      <w:r>
        <w:rPr>
          <w:b/>
          <w:spacing w:val="-7"/>
          <w:sz w:val="28"/>
        </w:rPr>
        <w:t> </w:t>
      </w:r>
      <w:r>
        <w:rPr>
          <w:b/>
          <w:sz w:val="28"/>
        </w:rPr>
        <w:t>:</w:t>
      </w:r>
      <w:r>
        <w:rPr>
          <w:b/>
          <w:spacing w:val="-9"/>
          <w:sz w:val="28"/>
        </w:rPr>
        <w:t> </w:t>
      </w:r>
      <w:r>
        <w:rPr>
          <w:sz w:val="28"/>
        </w:rPr>
        <w:t>Le</w:t>
      </w:r>
      <w:r>
        <w:rPr>
          <w:spacing w:val="-10"/>
          <w:sz w:val="28"/>
        </w:rPr>
        <w:t> </w:t>
      </w:r>
      <w:r>
        <w:rPr>
          <w:sz w:val="28"/>
        </w:rPr>
        <w:t>prix</w:t>
      </w:r>
      <w:r>
        <w:rPr>
          <w:spacing w:val="-8"/>
          <w:sz w:val="28"/>
        </w:rPr>
        <w:t> </w:t>
      </w:r>
      <w:r>
        <w:rPr>
          <w:sz w:val="28"/>
        </w:rPr>
        <w:t>est</w:t>
      </w:r>
      <w:r>
        <w:rPr>
          <w:spacing w:val="-8"/>
          <w:sz w:val="28"/>
        </w:rPr>
        <w:t> </w:t>
      </w:r>
      <w:r>
        <w:rPr>
          <w:sz w:val="28"/>
        </w:rPr>
        <w:t>ferme</w:t>
      </w:r>
      <w:r>
        <w:rPr>
          <w:spacing w:val="-9"/>
          <w:sz w:val="28"/>
        </w:rPr>
        <w:t> </w:t>
      </w:r>
      <w:r>
        <w:rPr>
          <w:sz w:val="28"/>
        </w:rPr>
        <w:t>lorsqu'il</w:t>
      </w:r>
      <w:r>
        <w:rPr>
          <w:spacing w:val="-12"/>
          <w:sz w:val="28"/>
        </w:rPr>
        <w:t> </w:t>
      </w:r>
      <w:r>
        <w:rPr>
          <w:sz w:val="28"/>
        </w:rPr>
        <w:t>ne</w:t>
      </w:r>
      <w:r>
        <w:rPr>
          <w:spacing w:val="-9"/>
          <w:sz w:val="28"/>
        </w:rPr>
        <w:t> </w:t>
      </w:r>
      <w:r>
        <w:rPr>
          <w:sz w:val="28"/>
        </w:rPr>
        <w:t>peut</w:t>
      </w:r>
      <w:r>
        <w:rPr>
          <w:spacing w:val="-11"/>
          <w:sz w:val="28"/>
        </w:rPr>
        <w:t> </w:t>
      </w:r>
      <w:r>
        <w:rPr>
          <w:sz w:val="28"/>
        </w:rPr>
        <w:t>pas</w:t>
      </w:r>
      <w:r>
        <w:rPr>
          <w:spacing w:val="-8"/>
          <w:sz w:val="28"/>
        </w:rPr>
        <w:t> </w:t>
      </w:r>
      <w:r>
        <w:rPr>
          <w:sz w:val="28"/>
        </w:rPr>
        <w:t>être</w:t>
      </w:r>
      <w:r>
        <w:rPr>
          <w:spacing w:val="-9"/>
          <w:sz w:val="28"/>
        </w:rPr>
        <w:t> </w:t>
      </w:r>
      <w:r>
        <w:rPr>
          <w:sz w:val="28"/>
        </w:rPr>
        <w:t>modifié</w:t>
      </w:r>
      <w:r>
        <w:rPr>
          <w:spacing w:val="-10"/>
          <w:sz w:val="28"/>
        </w:rPr>
        <w:t> </w:t>
      </w:r>
      <w:r>
        <w:rPr>
          <w:sz w:val="28"/>
        </w:rPr>
        <w:t>pendant</w:t>
      </w:r>
      <w:r>
        <w:rPr>
          <w:spacing w:val="-8"/>
          <w:sz w:val="28"/>
        </w:rPr>
        <w:t> </w:t>
      </w:r>
      <w:r>
        <w:rPr>
          <w:sz w:val="28"/>
        </w:rPr>
        <w:t>le</w:t>
      </w:r>
      <w:r>
        <w:rPr>
          <w:spacing w:val="-9"/>
          <w:sz w:val="28"/>
        </w:rPr>
        <w:t> </w:t>
      </w:r>
      <w:r>
        <w:rPr>
          <w:sz w:val="28"/>
        </w:rPr>
        <w:t>délai d'exécution de la commande. Toutefois, le fournisseur peut demander l’actualisation de son offre financière si la période entre la date de présentation </w:t>
      </w:r>
      <w:r>
        <w:rPr>
          <w:spacing w:val="5"/>
          <w:sz w:val="28"/>
        </w:rPr>
        <w:t>de </w:t>
      </w:r>
      <w:r>
        <w:rPr>
          <w:sz w:val="28"/>
        </w:rPr>
        <w:t>l’offre et de notification de l’achat ou d’émission de l’ordre de service de commencement d’exécution le cas échéant, dépasse le délai de validité des offres. Le cahier des charges doit indiquer les conditions et les formules de l’actualisation ainsi que les modalités de son</w:t>
      </w:r>
      <w:r>
        <w:rPr>
          <w:spacing w:val="-1"/>
          <w:sz w:val="28"/>
        </w:rPr>
        <w:t> </w:t>
      </w:r>
      <w:r>
        <w:rPr>
          <w:sz w:val="28"/>
        </w:rPr>
        <w:t>calcul.</w:t>
      </w:r>
    </w:p>
    <w:p>
      <w:pPr>
        <w:pStyle w:val="ListParagraph"/>
        <w:numPr>
          <w:ilvl w:val="0"/>
          <w:numId w:val="1"/>
        </w:numPr>
        <w:tabs>
          <w:tab w:pos="794" w:val="left" w:leader="none"/>
        </w:tabs>
        <w:spacing w:line="240" w:lineRule="auto" w:before="118" w:after="0"/>
        <w:ind w:left="793" w:right="759" w:hanging="360"/>
        <w:jc w:val="both"/>
        <w:rPr>
          <w:rFonts w:ascii="Symbol" w:hAnsi="Symbol"/>
          <w:sz w:val="28"/>
        </w:rPr>
      </w:pPr>
      <w:r>
        <w:rPr>
          <w:b/>
          <w:sz w:val="28"/>
        </w:rPr>
        <w:t>Le prix révisable : </w:t>
      </w:r>
      <w:r>
        <w:rPr>
          <w:sz w:val="28"/>
        </w:rPr>
        <w:t>Le prix est révisable lorsqu’il peut être modifié en raison des variations économiques au cours de l’exécution de la</w:t>
      </w:r>
      <w:r>
        <w:rPr>
          <w:spacing w:val="-10"/>
          <w:sz w:val="28"/>
        </w:rPr>
        <w:t> </w:t>
      </w:r>
      <w:r>
        <w:rPr>
          <w:sz w:val="28"/>
        </w:rPr>
        <w:t>commande.</w:t>
      </w:r>
    </w:p>
    <w:p>
      <w:pPr>
        <w:pStyle w:val="BodyText"/>
        <w:spacing w:before="1"/>
        <w:ind w:left="999" w:right="751" w:firstLine="0"/>
      </w:pPr>
      <w:r>
        <w:rPr/>
        <w:t>Les prix révisables ne sont applicables que pour les achats dont la durée d’exécution dépasse une année. Toutefois, pour les achats de travaux, de fournitures</w:t>
      </w:r>
      <w:r>
        <w:rPr>
          <w:spacing w:val="-9"/>
        </w:rPr>
        <w:t> </w:t>
      </w:r>
      <w:r>
        <w:rPr/>
        <w:t>de</w:t>
      </w:r>
      <w:r>
        <w:rPr>
          <w:spacing w:val="-6"/>
        </w:rPr>
        <w:t> </w:t>
      </w:r>
      <w:r>
        <w:rPr/>
        <w:t>biens</w:t>
      </w:r>
      <w:r>
        <w:rPr>
          <w:spacing w:val="-8"/>
        </w:rPr>
        <w:t> </w:t>
      </w:r>
      <w:r>
        <w:rPr/>
        <w:t>et</w:t>
      </w:r>
      <w:r>
        <w:rPr>
          <w:spacing w:val="-6"/>
        </w:rPr>
        <w:t> </w:t>
      </w:r>
      <w:r>
        <w:rPr/>
        <w:t>d’équipements</w:t>
      </w:r>
      <w:r>
        <w:rPr>
          <w:spacing w:val="-6"/>
        </w:rPr>
        <w:t> </w:t>
      </w:r>
      <w:r>
        <w:rPr/>
        <w:t>dont</w:t>
      </w:r>
      <w:r>
        <w:rPr>
          <w:spacing w:val="-8"/>
        </w:rPr>
        <w:t> </w:t>
      </w:r>
      <w:r>
        <w:rPr/>
        <w:t>les</w:t>
      </w:r>
      <w:r>
        <w:rPr>
          <w:spacing w:val="-8"/>
        </w:rPr>
        <w:t> </w:t>
      </w:r>
      <w:r>
        <w:rPr/>
        <w:t>principales</w:t>
      </w:r>
      <w:r>
        <w:rPr>
          <w:spacing w:val="-7"/>
        </w:rPr>
        <w:t> </w:t>
      </w:r>
      <w:r>
        <w:rPr/>
        <w:t>composantes</w:t>
      </w:r>
      <w:r>
        <w:rPr>
          <w:spacing w:val="-6"/>
        </w:rPr>
        <w:t> </w:t>
      </w:r>
      <w:r>
        <w:rPr/>
        <w:t>sont</w:t>
      </w:r>
      <w:r>
        <w:rPr>
          <w:spacing w:val="-9"/>
        </w:rPr>
        <w:t> </w:t>
      </w:r>
      <w:r>
        <w:rPr/>
        <w:t>liées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52" w:firstLine="0"/>
      </w:pPr>
      <w:r>
        <w:rPr/>
        <w:t>à des prix à fluctuation rapide les cahiers des charges peuvent prévoir la révision des</w:t>
      </w:r>
      <w:r>
        <w:rPr>
          <w:spacing w:val="-4"/>
        </w:rPr>
        <w:t> </w:t>
      </w:r>
      <w:r>
        <w:rPr/>
        <w:t>prix</w:t>
      </w:r>
      <w:r>
        <w:rPr>
          <w:spacing w:val="-5"/>
        </w:rPr>
        <w:t> </w:t>
      </w:r>
      <w:r>
        <w:rPr/>
        <w:t>des</w:t>
      </w:r>
      <w:r>
        <w:rPr>
          <w:spacing w:val="-2"/>
        </w:rPr>
        <w:t> </w:t>
      </w:r>
      <w:r>
        <w:rPr/>
        <w:t>achats</w:t>
      </w:r>
      <w:r>
        <w:rPr>
          <w:spacing w:val="-3"/>
        </w:rPr>
        <w:t> </w:t>
      </w:r>
      <w:r>
        <w:rPr/>
        <w:t>dont</w:t>
      </w:r>
      <w:r>
        <w:rPr>
          <w:spacing w:val="-4"/>
        </w:rPr>
        <w:t> </w:t>
      </w:r>
      <w:r>
        <w:rPr/>
        <w:t>la</w:t>
      </w:r>
      <w:r>
        <w:rPr>
          <w:spacing w:val="-4"/>
        </w:rPr>
        <w:t> </w:t>
      </w:r>
      <w:r>
        <w:rPr/>
        <w:t>durée</w:t>
      </w:r>
      <w:r>
        <w:rPr>
          <w:spacing w:val="-5"/>
        </w:rPr>
        <w:t> </w:t>
      </w:r>
      <w:r>
        <w:rPr/>
        <w:t>d’exécution</w:t>
      </w:r>
      <w:r>
        <w:rPr>
          <w:spacing w:val="-5"/>
        </w:rPr>
        <w:t> </w:t>
      </w:r>
      <w:r>
        <w:rPr/>
        <w:t>dépasse les</w:t>
      </w:r>
      <w:r>
        <w:rPr>
          <w:spacing w:val="-5"/>
        </w:rPr>
        <w:t> </w:t>
      </w:r>
      <w:r>
        <w:rPr/>
        <w:t>six</w:t>
      </w:r>
      <w:r>
        <w:rPr>
          <w:spacing w:val="-5"/>
        </w:rPr>
        <w:t> </w:t>
      </w:r>
      <w:r>
        <w:rPr/>
        <w:t>(6)</w:t>
      </w:r>
      <w:r>
        <w:rPr>
          <w:spacing w:val="-7"/>
        </w:rPr>
        <w:t> </w:t>
      </w:r>
      <w:r>
        <w:rPr/>
        <w:t>mois.</w:t>
      </w:r>
      <w:r>
        <w:rPr>
          <w:spacing w:val="-6"/>
        </w:rPr>
        <w:t> </w:t>
      </w:r>
      <w:r>
        <w:rPr/>
        <w:t>Lorsque</w:t>
      </w:r>
      <w:r>
        <w:rPr>
          <w:spacing w:val="-4"/>
        </w:rPr>
        <w:t> </w:t>
      </w:r>
      <w:r>
        <w:rPr/>
        <w:t>le prix</w:t>
      </w:r>
      <w:r>
        <w:rPr>
          <w:spacing w:val="-10"/>
        </w:rPr>
        <w:t> </w:t>
      </w:r>
      <w:r>
        <w:rPr/>
        <w:t>est</w:t>
      </w:r>
      <w:r>
        <w:rPr>
          <w:spacing w:val="-10"/>
        </w:rPr>
        <w:t> </w:t>
      </w:r>
      <w:r>
        <w:rPr/>
        <w:t>révisable,</w:t>
      </w:r>
      <w:r>
        <w:rPr>
          <w:spacing w:val="-11"/>
        </w:rPr>
        <w:t> </w:t>
      </w:r>
      <w:r>
        <w:rPr/>
        <w:t>les</w:t>
      </w:r>
      <w:r>
        <w:rPr>
          <w:spacing w:val="-12"/>
        </w:rPr>
        <w:t> </w:t>
      </w:r>
      <w:r>
        <w:rPr/>
        <w:t>conditions</w:t>
      </w:r>
      <w:r>
        <w:rPr>
          <w:spacing w:val="-10"/>
        </w:rPr>
        <w:t> </w:t>
      </w:r>
      <w:r>
        <w:rPr/>
        <w:t>de</w:t>
      </w:r>
      <w:r>
        <w:rPr>
          <w:spacing w:val="-10"/>
        </w:rPr>
        <w:t> </w:t>
      </w:r>
      <w:r>
        <w:rPr/>
        <w:t>sa</w:t>
      </w:r>
      <w:r>
        <w:rPr>
          <w:spacing w:val="-11"/>
        </w:rPr>
        <w:t> </w:t>
      </w:r>
      <w:r>
        <w:rPr/>
        <w:t>révision</w:t>
      </w:r>
      <w:r>
        <w:rPr>
          <w:spacing w:val="-10"/>
        </w:rPr>
        <w:t> </w:t>
      </w:r>
      <w:r>
        <w:rPr/>
        <w:t>doivent</w:t>
      </w:r>
      <w:r>
        <w:rPr>
          <w:spacing w:val="-10"/>
        </w:rPr>
        <w:t> </w:t>
      </w:r>
      <w:r>
        <w:rPr/>
        <w:t>être</w:t>
      </w:r>
      <w:r>
        <w:rPr>
          <w:spacing w:val="-11"/>
        </w:rPr>
        <w:t> </w:t>
      </w:r>
      <w:r>
        <w:rPr/>
        <w:t>prévues</w:t>
      </w:r>
      <w:r>
        <w:rPr>
          <w:spacing w:val="-10"/>
        </w:rPr>
        <w:t> </w:t>
      </w:r>
      <w:r>
        <w:rPr/>
        <w:t>expressément dans</w:t>
      </w:r>
      <w:r>
        <w:rPr>
          <w:spacing w:val="-20"/>
        </w:rPr>
        <w:t> </w:t>
      </w:r>
      <w:r>
        <w:rPr/>
        <w:t>le</w:t>
      </w:r>
      <w:r>
        <w:rPr>
          <w:spacing w:val="-18"/>
        </w:rPr>
        <w:t> </w:t>
      </w:r>
      <w:r>
        <w:rPr/>
        <w:t>contrat</w:t>
      </w:r>
      <w:r>
        <w:rPr>
          <w:spacing w:val="-18"/>
        </w:rPr>
        <w:t> </w:t>
      </w:r>
      <w:r>
        <w:rPr/>
        <w:t>et</w:t>
      </w:r>
      <w:r>
        <w:rPr>
          <w:spacing w:val="-19"/>
        </w:rPr>
        <w:t> </w:t>
      </w:r>
      <w:r>
        <w:rPr/>
        <w:t>notamment</w:t>
      </w:r>
      <w:r>
        <w:rPr>
          <w:spacing w:val="-19"/>
        </w:rPr>
        <w:t> </w:t>
      </w:r>
      <w:r>
        <w:rPr/>
        <w:t>les</w:t>
      </w:r>
      <w:r>
        <w:rPr>
          <w:spacing w:val="-19"/>
        </w:rPr>
        <w:t> </w:t>
      </w:r>
      <w:r>
        <w:rPr/>
        <w:t>formules</w:t>
      </w:r>
      <w:r>
        <w:rPr>
          <w:spacing w:val="-20"/>
        </w:rPr>
        <w:t> </w:t>
      </w:r>
      <w:r>
        <w:rPr/>
        <w:t>détaillées</w:t>
      </w:r>
      <w:r>
        <w:rPr>
          <w:spacing w:val="-19"/>
        </w:rPr>
        <w:t> </w:t>
      </w:r>
      <w:r>
        <w:rPr/>
        <w:t>de</w:t>
      </w:r>
      <w:r>
        <w:rPr>
          <w:spacing w:val="-20"/>
        </w:rPr>
        <w:t> </w:t>
      </w:r>
      <w:r>
        <w:rPr/>
        <w:t>la</w:t>
      </w:r>
      <w:r>
        <w:rPr>
          <w:spacing w:val="-21"/>
        </w:rPr>
        <w:t> </w:t>
      </w:r>
      <w:r>
        <w:rPr/>
        <w:t>révision</w:t>
      </w:r>
      <w:r>
        <w:rPr>
          <w:spacing w:val="-21"/>
        </w:rPr>
        <w:t> </w:t>
      </w:r>
      <w:r>
        <w:rPr/>
        <w:t>et</w:t>
      </w:r>
      <w:r>
        <w:rPr>
          <w:spacing w:val="-19"/>
        </w:rPr>
        <w:t> </w:t>
      </w:r>
      <w:r>
        <w:rPr/>
        <w:t>les</w:t>
      </w:r>
      <w:r>
        <w:rPr>
          <w:spacing w:val="-19"/>
        </w:rPr>
        <w:t> </w:t>
      </w:r>
      <w:r>
        <w:rPr/>
        <w:t>conditions et critères de révision et les documents de</w:t>
      </w:r>
      <w:r>
        <w:rPr>
          <w:spacing w:val="-7"/>
        </w:rPr>
        <w:t> </w:t>
      </w:r>
      <w:r>
        <w:rPr/>
        <w:t>référence.</w:t>
      </w:r>
    </w:p>
    <w:p>
      <w:pPr>
        <w:pStyle w:val="Heading2"/>
        <w:numPr>
          <w:ilvl w:val="1"/>
          <w:numId w:val="12"/>
        </w:numPr>
        <w:tabs>
          <w:tab w:pos="986" w:val="left" w:leader="none"/>
        </w:tabs>
        <w:spacing w:line="319" w:lineRule="exact" w:before="125" w:after="0"/>
        <w:ind w:left="985" w:right="0" w:hanging="553"/>
        <w:jc w:val="both"/>
      </w:pPr>
      <w:bookmarkStart w:name="_TOC_250127" w:id="14"/>
      <w:r>
        <w:rPr/>
        <w:t>Les intervenants externes dans le processus des achats </w:t>
      </w:r>
      <w:bookmarkEnd w:id="14"/>
      <w:r>
        <w:rPr>
          <w:spacing w:val="-2"/>
        </w:rPr>
        <w:t>GCT</w:t>
      </w:r>
    </w:p>
    <w:p>
      <w:pPr>
        <w:pStyle w:val="ListParagraph"/>
        <w:numPr>
          <w:ilvl w:val="0"/>
          <w:numId w:val="15"/>
        </w:numPr>
        <w:tabs>
          <w:tab w:pos="1000" w:val="left" w:leader="none"/>
        </w:tabs>
        <w:spacing w:line="340" w:lineRule="exact" w:before="0" w:after="0"/>
        <w:ind w:left="999" w:right="0" w:hanging="284"/>
        <w:jc w:val="both"/>
        <w:rPr>
          <w:sz w:val="28"/>
        </w:rPr>
      </w:pPr>
      <w:r>
        <w:rPr>
          <w:b/>
          <w:sz w:val="28"/>
        </w:rPr>
        <w:t>Entrepreneur,</w:t>
      </w:r>
      <w:r>
        <w:rPr>
          <w:b/>
          <w:spacing w:val="37"/>
          <w:sz w:val="28"/>
        </w:rPr>
        <w:t> </w:t>
      </w:r>
      <w:r>
        <w:rPr>
          <w:b/>
          <w:sz w:val="28"/>
        </w:rPr>
        <w:t>fournisseur</w:t>
      </w:r>
      <w:r>
        <w:rPr>
          <w:b/>
          <w:spacing w:val="38"/>
          <w:sz w:val="28"/>
        </w:rPr>
        <w:t> </w:t>
      </w:r>
      <w:r>
        <w:rPr>
          <w:b/>
          <w:sz w:val="28"/>
        </w:rPr>
        <w:t>et</w:t>
      </w:r>
      <w:r>
        <w:rPr>
          <w:b/>
          <w:spacing w:val="38"/>
          <w:sz w:val="28"/>
        </w:rPr>
        <w:t> </w:t>
      </w:r>
      <w:r>
        <w:rPr>
          <w:b/>
          <w:sz w:val="28"/>
        </w:rPr>
        <w:t>prestataire</w:t>
      </w:r>
      <w:r>
        <w:rPr>
          <w:b/>
          <w:spacing w:val="38"/>
          <w:sz w:val="28"/>
        </w:rPr>
        <w:t> </w:t>
      </w:r>
      <w:r>
        <w:rPr>
          <w:b/>
          <w:sz w:val="28"/>
        </w:rPr>
        <w:t>de</w:t>
      </w:r>
      <w:r>
        <w:rPr>
          <w:b/>
          <w:spacing w:val="38"/>
          <w:sz w:val="28"/>
        </w:rPr>
        <w:t> </w:t>
      </w:r>
      <w:r>
        <w:rPr>
          <w:b/>
          <w:sz w:val="28"/>
        </w:rPr>
        <w:t>services</w:t>
      </w:r>
      <w:r>
        <w:rPr>
          <w:b/>
          <w:spacing w:val="42"/>
          <w:sz w:val="28"/>
        </w:rPr>
        <w:t> </w:t>
      </w:r>
      <w:r>
        <w:rPr>
          <w:b/>
          <w:sz w:val="28"/>
        </w:rPr>
        <w:t>:</w:t>
      </w:r>
      <w:r>
        <w:rPr>
          <w:b/>
          <w:spacing w:val="38"/>
          <w:sz w:val="28"/>
        </w:rPr>
        <w:t> </w:t>
      </w:r>
      <w:r>
        <w:rPr>
          <w:sz w:val="28"/>
        </w:rPr>
        <w:t>Les</w:t>
      </w:r>
      <w:r>
        <w:rPr>
          <w:spacing w:val="39"/>
          <w:sz w:val="28"/>
        </w:rPr>
        <w:t> </w:t>
      </w:r>
      <w:r>
        <w:rPr>
          <w:sz w:val="28"/>
        </w:rPr>
        <w:t>termes</w:t>
      </w:r>
    </w:p>
    <w:p>
      <w:pPr>
        <w:pStyle w:val="BodyText"/>
        <w:spacing w:before="2"/>
        <w:ind w:left="999" w:right="758" w:firstLine="0"/>
      </w:pPr>
      <w:r>
        <w:rPr/>
        <w:t>«Entrepreneur», «Fournisseur» et «Prestataire de services» désignent toute personne</w:t>
      </w:r>
      <w:r>
        <w:rPr>
          <w:spacing w:val="-7"/>
        </w:rPr>
        <w:t> </w:t>
      </w:r>
      <w:r>
        <w:rPr/>
        <w:t>physique</w:t>
      </w:r>
      <w:r>
        <w:rPr>
          <w:spacing w:val="-6"/>
        </w:rPr>
        <w:t> </w:t>
      </w:r>
      <w:r>
        <w:rPr/>
        <w:t>ou</w:t>
      </w:r>
      <w:r>
        <w:rPr>
          <w:spacing w:val="-4"/>
        </w:rPr>
        <w:t> </w:t>
      </w:r>
      <w:r>
        <w:rPr/>
        <w:t>morale</w:t>
      </w:r>
      <w:r>
        <w:rPr>
          <w:spacing w:val="-6"/>
        </w:rPr>
        <w:t> </w:t>
      </w:r>
      <w:r>
        <w:rPr/>
        <w:t>ou</w:t>
      </w:r>
      <w:r>
        <w:rPr>
          <w:spacing w:val="-6"/>
        </w:rPr>
        <w:t> </w:t>
      </w:r>
      <w:r>
        <w:rPr/>
        <w:t>entité</w:t>
      </w:r>
      <w:r>
        <w:rPr>
          <w:spacing w:val="-6"/>
        </w:rPr>
        <w:t> </w:t>
      </w:r>
      <w:r>
        <w:rPr/>
        <w:t>publique</w:t>
      </w:r>
      <w:r>
        <w:rPr>
          <w:spacing w:val="-6"/>
        </w:rPr>
        <w:t> </w:t>
      </w:r>
      <w:r>
        <w:rPr/>
        <w:t>ou</w:t>
      </w:r>
      <w:r>
        <w:rPr>
          <w:spacing w:val="-6"/>
        </w:rPr>
        <w:t> </w:t>
      </w:r>
      <w:r>
        <w:rPr/>
        <w:t>groupement</w:t>
      </w:r>
      <w:r>
        <w:rPr>
          <w:spacing w:val="-6"/>
        </w:rPr>
        <w:t> </w:t>
      </w:r>
      <w:r>
        <w:rPr/>
        <w:t>de</w:t>
      </w:r>
      <w:r>
        <w:rPr>
          <w:spacing w:val="-7"/>
        </w:rPr>
        <w:t> </w:t>
      </w:r>
      <w:r>
        <w:rPr/>
        <w:t>ces</w:t>
      </w:r>
      <w:r>
        <w:rPr>
          <w:spacing w:val="-5"/>
        </w:rPr>
        <w:t> </w:t>
      </w:r>
      <w:r>
        <w:rPr/>
        <w:t>personnes et/ou organismes qui offre, respectivement, la réalisation de travaux et/ou d'ouvrages,</w:t>
      </w:r>
      <w:r>
        <w:rPr>
          <w:spacing w:val="31"/>
        </w:rPr>
        <w:t> </w:t>
      </w:r>
      <w:r>
        <w:rPr/>
        <w:t>la</w:t>
      </w:r>
      <w:r>
        <w:rPr>
          <w:spacing w:val="31"/>
        </w:rPr>
        <w:t> </w:t>
      </w:r>
      <w:r>
        <w:rPr/>
        <w:t>fourniture</w:t>
      </w:r>
      <w:r>
        <w:rPr>
          <w:spacing w:val="33"/>
        </w:rPr>
        <w:t> </w:t>
      </w:r>
      <w:r>
        <w:rPr/>
        <w:t>des</w:t>
      </w:r>
      <w:r>
        <w:rPr>
          <w:spacing w:val="34"/>
        </w:rPr>
        <w:t> </w:t>
      </w:r>
      <w:r>
        <w:rPr/>
        <w:t>produits</w:t>
      </w:r>
      <w:r>
        <w:rPr>
          <w:spacing w:val="32"/>
        </w:rPr>
        <w:t> </w:t>
      </w:r>
      <w:r>
        <w:rPr/>
        <w:t>ou</w:t>
      </w:r>
      <w:r>
        <w:rPr>
          <w:spacing w:val="31"/>
        </w:rPr>
        <w:t> </w:t>
      </w:r>
      <w:r>
        <w:rPr/>
        <w:t>des</w:t>
      </w:r>
      <w:r>
        <w:rPr>
          <w:spacing w:val="32"/>
        </w:rPr>
        <w:t> </w:t>
      </w:r>
      <w:r>
        <w:rPr/>
        <w:t>services</w:t>
      </w:r>
      <w:r>
        <w:rPr>
          <w:spacing w:val="31"/>
        </w:rPr>
        <w:t> </w:t>
      </w:r>
      <w:r>
        <w:rPr/>
        <w:t>sur</w:t>
      </w:r>
      <w:r>
        <w:rPr>
          <w:spacing w:val="31"/>
        </w:rPr>
        <w:t> </w:t>
      </w:r>
      <w:r>
        <w:rPr/>
        <w:t>le</w:t>
      </w:r>
      <w:r>
        <w:rPr>
          <w:spacing w:val="28"/>
        </w:rPr>
        <w:t> </w:t>
      </w:r>
      <w:r>
        <w:rPr/>
        <w:t>marché.</w:t>
      </w:r>
      <w:r>
        <w:rPr>
          <w:spacing w:val="32"/>
        </w:rPr>
        <w:t> </w:t>
      </w:r>
      <w:r>
        <w:rPr/>
        <w:t>Le</w:t>
      </w:r>
      <w:r>
        <w:rPr>
          <w:spacing w:val="33"/>
        </w:rPr>
        <w:t> </w:t>
      </w:r>
      <w:r>
        <w:rPr/>
        <w:t>terme</w:t>
      </w:r>
    </w:p>
    <w:p>
      <w:pPr>
        <w:pStyle w:val="BodyText"/>
        <w:ind w:left="999" w:right="761" w:firstLine="0"/>
      </w:pPr>
      <w:r>
        <w:rPr/>
        <w:t>«Opérateur économique» couvre à la fois les notions d'entrepreneur, fournisseur et prestataire de services.</w:t>
      </w:r>
    </w:p>
    <w:p>
      <w:pPr>
        <w:pStyle w:val="ListParagraph"/>
        <w:numPr>
          <w:ilvl w:val="0"/>
          <w:numId w:val="15"/>
        </w:numPr>
        <w:tabs>
          <w:tab w:pos="1000" w:val="left" w:leader="none"/>
        </w:tabs>
        <w:spacing w:line="240" w:lineRule="auto" w:before="0" w:after="0"/>
        <w:ind w:left="999" w:right="754" w:hanging="284"/>
        <w:jc w:val="both"/>
        <w:rPr>
          <w:sz w:val="28"/>
        </w:rPr>
      </w:pPr>
      <w:r>
        <w:rPr>
          <w:b/>
          <w:sz w:val="28"/>
        </w:rPr>
        <w:t>Soumissionnaire</w:t>
      </w:r>
      <w:r>
        <w:rPr>
          <w:b/>
          <w:spacing w:val="-4"/>
          <w:sz w:val="28"/>
        </w:rPr>
        <w:t> </w:t>
      </w:r>
      <w:r>
        <w:rPr>
          <w:b/>
          <w:sz w:val="28"/>
        </w:rPr>
        <w:t>:</w:t>
      </w:r>
      <w:r>
        <w:rPr>
          <w:b/>
          <w:spacing w:val="-6"/>
          <w:sz w:val="28"/>
        </w:rPr>
        <w:t> </w:t>
      </w:r>
      <w:r>
        <w:rPr>
          <w:sz w:val="28"/>
        </w:rPr>
        <w:t>L'opérateur</w:t>
      </w:r>
      <w:r>
        <w:rPr>
          <w:spacing w:val="-6"/>
          <w:sz w:val="28"/>
        </w:rPr>
        <w:t> </w:t>
      </w:r>
      <w:r>
        <w:rPr>
          <w:sz w:val="28"/>
        </w:rPr>
        <w:t>économique</w:t>
      </w:r>
      <w:r>
        <w:rPr>
          <w:spacing w:val="-6"/>
          <w:sz w:val="28"/>
        </w:rPr>
        <w:t> </w:t>
      </w:r>
      <w:r>
        <w:rPr>
          <w:sz w:val="28"/>
        </w:rPr>
        <w:t>qui</w:t>
      </w:r>
      <w:r>
        <w:rPr>
          <w:spacing w:val="-7"/>
          <w:sz w:val="28"/>
        </w:rPr>
        <w:t> </w:t>
      </w:r>
      <w:r>
        <w:rPr>
          <w:sz w:val="28"/>
        </w:rPr>
        <w:t>a</w:t>
      </w:r>
      <w:r>
        <w:rPr>
          <w:spacing w:val="-9"/>
          <w:sz w:val="28"/>
        </w:rPr>
        <w:t> </w:t>
      </w:r>
      <w:r>
        <w:rPr>
          <w:sz w:val="28"/>
        </w:rPr>
        <w:t>présenté</w:t>
      </w:r>
      <w:r>
        <w:rPr>
          <w:spacing w:val="-9"/>
          <w:sz w:val="28"/>
        </w:rPr>
        <w:t> </w:t>
      </w:r>
      <w:r>
        <w:rPr>
          <w:sz w:val="28"/>
        </w:rPr>
        <w:t>une</w:t>
      </w:r>
      <w:r>
        <w:rPr>
          <w:spacing w:val="-8"/>
          <w:sz w:val="28"/>
        </w:rPr>
        <w:t> </w:t>
      </w:r>
      <w:r>
        <w:rPr>
          <w:sz w:val="28"/>
        </w:rPr>
        <w:t>offre</w:t>
      </w:r>
      <w:r>
        <w:rPr>
          <w:spacing w:val="-6"/>
          <w:sz w:val="28"/>
        </w:rPr>
        <w:t> </w:t>
      </w:r>
      <w:r>
        <w:rPr>
          <w:sz w:val="28"/>
        </w:rPr>
        <w:t>en</w:t>
      </w:r>
      <w:r>
        <w:rPr>
          <w:spacing w:val="-6"/>
          <w:sz w:val="28"/>
        </w:rPr>
        <w:t> </w:t>
      </w:r>
      <w:r>
        <w:rPr>
          <w:sz w:val="28"/>
        </w:rPr>
        <w:t>réponse</w:t>
      </w:r>
      <w:r>
        <w:rPr>
          <w:spacing w:val="-9"/>
          <w:sz w:val="28"/>
        </w:rPr>
        <w:t> </w:t>
      </w:r>
      <w:r>
        <w:rPr>
          <w:sz w:val="28"/>
        </w:rPr>
        <w:t>à une mise en</w:t>
      </w:r>
      <w:r>
        <w:rPr>
          <w:spacing w:val="-1"/>
          <w:sz w:val="28"/>
        </w:rPr>
        <w:t> </w:t>
      </w:r>
      <w:r>
        <w:rPr>
          <w:sz w:val="28"/>
        </w:rPr>
        <w:t>concurrence.</w:t>
      </w:r>
    </w:p>
    <w:p>
      <w:pPr>
        <w:pStyle w:val="ListParagraph"/>
        <w:numPr>
          <w:ilvl w:val="0"/>
          <w:numId w:val="15"/>
        </w:numPr>
        <w:tabs>
          <w:tab w:pos="1000" w:val="left" w:leader="none"/>
        </w:tabs>
        <w:spacing w:line="240" w:lineRule="auto" w:before="0" w:after="0"/>
        <w:ind w:left="999" w:right="755" w:hanging="284"/>
        <w:jc w:val="both"/>
        <w:rPr>
          <w:sz w:val="28"/>
        </w:rPr>
      </w:pPr>
      <w:r>
        <w:rPr>
          <w:b/>
          <w:sz w:val="28"/>
        </w:rPr>
        <w:t>Titulaire du marché : </w:t>
      </w:r>
      <w:r>
        <w:rPr>
          <w:sz w:val="28"/>
        </w:rPr>
        <w:t>C’est la personne physique ou morale à qui la commande a été faite, et notifiée pour</w:t>
      </w:r>
      <w:r>
        <w:rPr>
          <w:spacing w:val="-5"/>
          <w:sz w:val="28"/>
        </w:rPr>
        <w:t> </w:t>
      </w:r>
      <w:r>
        <w:rPr>
          <w:sz w:val="28"/>
        </w:rPr>
        <w:t>exécution.</w:t>
      </w:r>
    </w:p>
    <w:p>
      <w:pPr>
        <w:pStyle w:val="ListParagraph"/>
        <w:numPr>
          <w:ilvl w:val="0"/>
          <w:numId w:val="15"/>
        </w:numPr>
        <w:tabs>
          <w:tab w:pos="1000" w:val="left" w:leader="none"/>
        </w:tabs>
        <w:spacing w:line="240" w:lineRule="auto" w:before="0" w:after="0"/>
        <w:ind w:left="999" w:right="753" w:hanging="284"/>
        <w:jc w:val="both"/>
        <w:rPr>
          <w:sz w:val="28"/>
        </w:rPr>
      </w:pPr>
      <w:r>
        <w:rPr>
          <w:b/>
          <w:sz w:val="28"/>
        </w:rPr>
        <w:t>Sous-traitant : </w:t>
      </w:r>
      <w:r>
        <w:rPr>
          <w:sz w:val="28"/>
        </w:rPr>
        <w:t>C’est une personne physique ou morale à qui le titulaire du marché confie sous sa responsabilité l’exécution d’une partie des prestations de l’achat conclu avec le</w:t>
      </w:r>
      <w:r>
        <w:rPr>
          <w:spacing w:val="-1"/>
          <w:sz w:val="28"/>
        </w:rPr>
        <w:t> </w:t>
      </w:r>
      <w:r>
        <w:rPr>
          <w:sz w:val="28"/>
        </w:rPr>
        <w:t>GCT.</w:t>
      </w:r>
    </w:p>
    <w:p>
      <w:pPr>
        <w:pStyle w:val="ListParagraph"/>
        <w:numPr>
          <w:ilvl w:val="0"/>
          <w:numId w:val="15"/>
        </w:numPr>
        <w:tabs>
          <w:tab w:pos="1000" w:val="left" w:leader="none"/>
        </w:tabs>
        <w:spacing w:line="237" w:lineRule="auto" w:before="0" w:after="0"/>
        <w:ind w:left="999" w:right="755" w:hanging="284"/>
        <w:jc w:val="both"/>
        <w:rPr>
          <w:sz w:val="18"/>
        </w:rPr>
      </w:pPr>
      <w:r>
        <w:rPr>
          <w:b/>
          <w:sz w:val="28"/>
        </w:rPr>
        <w:t>Fréteur et Affréteur : </w:t>
      </w:r>
      <w:r>
        <w:rPr>
          <w:sz w:val="28"/>
        </w:rPr>
        <w:t>Le fréteur est la personne qui, à un titre quelconque mais régulier,</w:t>
      </w:r>
      <w:r>
        <w:rPr>
          <w:spacing w:val="-16"/>
          <w:sz w:val="28"/>
        </w:rPr>
        <w:t> </w:t>
      </w:r>
      <w:r>
        <w:rPr>
          <w:sz w:val="28"/>
        </w:rPr>
        <w:t>met</w:t>
      </w:r>
      <w:r>
        <w:rPr>
          <w:spacing w:val="-14"/>
          <w:sz w:val="28"/>
        </w:rPr>
        <w:t> </w:t>
      </w:r>
      <w:r>
        <w:rPr>
          <w:sz w:val="28"/>
        </w:rPr>
        <w:t>à</w:t>
      </w:r>
      <w:r>
        <w:rPr>
          <w:spacing w:val="-15"/>
          <w:sz w:val="28"/>
        </w:rPr>
        <w:t> </w:t>
      </w:r>
      <w:r>
        <w:rPr>
          <w:sz w:val="28"/>
        </w:rPr>
        <w:t>la</w:t>
      </w:r>
      <w:r>
        <w:rPr>
          <w:spacing w:val="-15"/>
          <w:sz w:val="28"/>
        </w:rPr>
        <w:t> </w:t>
      </w:r>
      <w:r>
        <w:rPr>
          <w:sz w:val="28"/>
        </w:rPr>
        <w:t>disposition</w:t>
      </w:r>
      <w:r>
        <w:rPr>
          <w:spacing w:val="-14"/>
          <w:sz w:val="28"/>
        </w:rPr>
        <w:t> </w:t>
      </w:r>
      <w:r>
        <w:rPr>
          <w:sz w:val="28"/>
        </w:rPr>
        <w:t>d’une</w:t>
      </w:r>
      <w:r>
        <w:rPr>
          <w:spacing w:val="-15"/>
          <w:sz w:val="28"/>
        </w:rPr>
        <w:t> </w:t>
      </w:r>
      <w:r>
        <w:rPr>
          <w:sz w:val="28"/>
        </w:rPr>
        <w:t>autre</w:t>
      </w:r>
      <w:r>
        <w:rPr>
          <w:spacing w:val="-17"/>
          <w:sz w:val="28"/>
        </w:rPr>
        <w:t> </w:t>
      </w:r>
      <w:r>
        <w:rPr>
          <w:sz w:val="28"/>
        </w:rPr>
        <w:t>personne</w:t>
      </w:r>
      <w:r>
        <w:rPr>
          <w:spacing w:val="-15"/>
          <w:sz w:val="28"/>
        </w:rPr>
        <w:t> </w:t>
      </w:r>
      <w:r>
        <w:rPr>
          <w:sz w:val="28"/>
        </w:rPr>
        <w:t>appelée</w:t>
      </w:r>
      <w:r>
        <w:rPr>
          <w:spacing w:val="-15"/>
          <w:sz w:val="28"/>
        </w:rPr>
        <w:t> </w:t>
      </w:r>
      <w:r>
        <w:rPr>
          <w:sz w:val="28"/>
        </w:rPr>
        <w:t>affréteur,</w:t>
      </w:r>
      <w:r>
        <w:rPr>
          <w:spacing w:val="-15"/>
          <w:sz w:val="28"/>
        </w:rPr>
        <w:t> </w:t>
      </w:r>
      <w:r>
        <w:rPr>
          <w:sz w:val="28"/>
        </w:rPr>
        <w:t>tout</w:t>
      </w:r>
      <w:r>
        <w:rPr>
          <w:spacing w:val="-14"/>
          <w:sz w:val="28"/>
        </w:rPr>
        <w:t> </w:t>
      </w:r>
      <w:r>
        <w:rPr>
          <w:sz w:val="28"/>
        </w:rPr>
        <w:t>ou</w:t>
      </w:r>
      <w:r>
        <w:rPr>
          <w:spacing w:val="-14"/>
          <w:sz w:val="28"/>
        </w:rPr>
        <w:t> </w:t>
      </w:r>
      <w:r>
        <w:rPr>
          <w:sz w:val="28"/>
        </w:rPr>
        <w:t>partie d’un</w:t>
      </w:r>
      <w:r>
        <w:rPr>
          <w:spacing w:val="-9"/>
          <w:sz w:val="28"/>
        </w:rPr>
        <w:t> </w:t>
      </w:r>
      <w:r>
        <w:rPr>
          <w:sz w:val="28"/>
        </w:rPr>
        <w:t>navire,</w:t>
      </w:r>
      <w:r>
        <w:rPr>
          <w:spacing w:val="-7"/>
          <w:sz w:val="28"/>
        </w:rPr>
        <w:t> </w:t>
      </w:r>
      <w:r>
        <w:rPr>
          <w:sz w:val="28"/>
        </w:rPr>
        <w:t>à</w:t>
      </w:r>
      <w:r>
        <w:rPr>
          <w:spacing w:val="-7"/>
          <w:sz w:val="28"/>
        </w:rPr>
        <w:t> </w:t>
      </w:r>
      <w:r>
        <w:rPr>
          <w:sz w:val="28"/>
        </w:rPr>
        <w:t>une</w:t>
      </w:r>
      <w:r>
        <w:rPr>
          <w:spacing w:val="-9"/>
          <w:sz w:val="28"/>
        </w:rPr>
        <w:t> </w:t>
      </w:r>
      <w:r>
        <w:rPr>
          <w:sz w:val="28"/>
        </w:rPr>
        <w:t>date,</w:t>
      </w:r>
      <w:r>
        <w:rPr>
          <w:spacing w:val="-8"/>
          <w:sz w:val="28"/>
        </w:rPr>
        <w:t> </w:t>
      </w:r>
      <w:r>
        <w:rPr>
          <w:sz w:val="28"/>
        </w:rPr>
        <w:t>pour</w:t>
      </w:r>
      <w:r>
        <w:rPr>
          <w:spacing w:val="-9"/>
          <w:sz w:val="28"/>
        </w:rPr>
        <w:t> </w:t>
      </w:r>
      <w:r>
        <w:rPr>
          <w:sz w:val="28"/>
        </w:rPr>
        <w:t>une</w:t>
      </w:r>
      <w:r>
        <w:rPr>
          <w:spacing w:val="-7"/>
          <w:sz w:val="28"/>
        </w:rPr>
        <w:t> </w:t>
      </w:r>
      <w:r>
        <w:rPr>
          <w:sz w:val="28"/>
        </w:rPr>
        <w:t>durée,</w:t>
      </w:r>
      <w:r>
        <w:rPr>
          <w:spacing w:val="-9"/>
          <w:sz w:val="28"/>
        </w:rPr>
        <w:t> </w:t>
      </w:r>
      <w:r>
        <w:rPr>
          <w:sz w:val="28"/>
        </w:rPr>
        <w:t>à</w:t>
      </w:r>
      <w:r>
        <w:rPr>
          <w:spacing w:val="-7"/>
          <w:sz w:val="28"/>
        </w:rPr>
        <w:t> </w:t>
      </w:r>
      <w:r>
        <w:rPr>
          <w:sz w:val="28"/>
        </w:rPr>
        <w:t>des</w:t>
      </w:r>
      <w:r>
        <w:rPr>
          <w:spacing w:val="-6"/>
          <w:sz w:val="28"/>
        </w:rPr>
        <w:t> </w:t>
      </w:r>
      <w:r>
        <w:rPr>
          <w:sz w:val="28"/>
        </w:rPr>
        <w:t>conditions</w:t>
      </w:r>
      <w:r>
        <w:rPr>
          <w:spacing w:val="-6"/>
          <w:sz w:val="28"/>
        </w:rPr>
        <w:t> </w:t>
      </w:r>
      <w:r>
        <w:rPr>
          <w:sz w:val="28"/>
        </w:rPr>
        <w:t>et</w:t>
      </w:r>
      <w:r>
        <w:rPr>
          <w:spacing w:val="-8"/>
          <w:sz w:val="28"/>
        </w:rPr>
        <w:t> </w:t>
      </w:r>
      <w:r>
        <w:rPr>
          <w:sz w:val="28"/>
        </w:rPr>
        <w:t>à</w:t>
      </w:r>
      <w:r>
        <w:rPr>
          <w:spacing w:val="-7"/>
          <w:sz w:val="28"/>
        </w:rPr>
        <w:t> </w:t>
      </w:r>
      <w:r>
        <w:rPr>
          <w:sz w:val="28"/>
        </w:rPr>
        <w:t>des</w:t>
      </w:r>
      <w:r>
        <w:rPr>
          <w:spacing w:val="-8"/>
          <w:sz w:val="28"/>
        </w:rPr>
        <w:t> </w:t>
      </w:r>
      <w:r>
        <w:rPr>
          <w:sz w:val="28"/>
        </w:rPr>
        <w:t>fins</w:t>
      </w:r>
      <w:r>
        <w:rPr>
          <w:spacing w:val="-7"/>
          <w:sz w:val="28"/>
        </w:rPr>
        <w:t> </w:t>
      </w:r>
      <w:r>
        <w:rPr>
          <w:sz w:val="28"/>
        </w:rPr>
        <w:t>fixées</w:t>
      </w:r>
      <w:r>
        <w:rPr>
          <w:spacing w:val="-8"/>
          <w:sz w:val="28"/>
        </w:rPr>
        <w:t> </w:t>
      </w:r>
      <w:r>
        <w:rPr>
          <w:sz w:val="28"/>
        </w:rPr>
        <w:t>par</w:t>
      </w:r>
      <w:r>
        <w:rPr>
          <w:spacing w:val="-9"/>
          <w:sz w:val="28"/>
        </w:rPr>
        <w:t> </w:t>
      </w:r>
      <w:r>
        <w:rPr>
          <w:sz w:val="28"/>
        </w:rPr>
        <w:t>la convention des parties et, en cas d’insuffisance ou d’obscurité, par les usages du</w:t>
      </w:r>
      <w:r>
        <w:rPr>
          <w:position w:val="-9"/>
          <w:sz w:val="28"/>
        </w:rPr>
        <w:t> commerce maritime. </w:t>
      </w:r>
      <w:r>
        <w:rPr>
          <w:sz w:val="18"/>
        </w:rPr>
        <w:t>[Article 165 du code de commerce</w:t>
      </w:r>
      <w:r>
        <w:rPr>
          <w:spacing w:val="1"/>
          <w:sz w:val="18"/>
        </w:rPr>
        <w:t> </w:t>
      </w:r>
      <w:r>
        <w:rPr>
          <w:sz w:val="18"/>
        </w:rPr>
        <w:t>maritime]</w:t>
      </w:r>
    </w:p>
    <w:p>
      <w:pPr>
        <w:pStyle w:val="ListParagraph"/>
        <w:numPr>
          <w:ilvl w:val="0"/>
          <w:numId w:val="15"/>
        </w:numPr>
        <w:tabs>
          <w:tab w:pos="1000" w:val="left" w:leader="none"/>
        </w:tabs>
        <w:spacing w:line="235" w:lineRule="auto" w:before="10" w:after="0"/>
        <w:ind w:left="999" w:right="758" w:hanging="284"/>
        <w:jc w:val="both"/>
        <w:rPr>
          <w:sz w:val="18"/>
        </w:rPr>
      </w:pPr>
      <w:r>
        <w:rPr>
          <w:b/>
          <w:sz w:val="28"/>
        </w:rPr>
        <w:t>Armateur : </w:t>
      </w:r>
      <w:r>
        <w:rPr>
          <w:sz w:val="28"/>
        </w:rPr>
        <w:t>L’armateur est la personne qui assure l'équipement ou l'exploitation d'un navire à des fins lucratives ou autres.</w:t>
      </w:r>
      <w:r>
        <w:rPr>
          <w:spacing w:val="-40"/>
          <w:sz w:val="28"/>
        </w:rPr>
        <w:t> </w:t>
      </w:r>
      <w:r>
        <w:rPr>
          <w:position w:val="10"/>
          <w:sz w:val="18"/>
        </w:rPr>
        <w:t>[Article 130 du code de commerce maritime]</w:t>
      </w:r>
    </w:p>
    <w:p>
      <w:pPr>
        <w:pStyle w:val="ListParagraph"/>
        <w:numPr>
          <w:ilvl w:val="0"/>
          <w:numId w:val="15"/>
        </w:numPr>
        <w:tabs>
          <w:tab w:pos="1000" w:val="left" w:leader="none"/>
        </w:tabs>
        <w:spacing w:line="240" w:lineRule="auto" w:before="2" w:after="0"/>
        <w:ind w:left="999" w:right="753" w:hanging="284"/>
        <w:jc w:val="both"/>
        <w:rPr>
          <w:sz w:val="28"/>
        </w:rPr>
      </w:pPr>
      <w:r>
        <w:rPr>
          <w:b/>
          <w:sz w:val="28"/>
        </w:rPr>
        <w:t>Courtier</w:t>
      </w:r>
      <w:r>
        <w:rPr>
          <w:b/>
          <w:spacing w:val="-15"/>
          <w:sz w:val="28"/>
        </w:rPr>
        <w:t> </w:t>
      </w:r>
      <w:r>
        <w:rPr>
          <w:b/>
          <w:sz w:val="28"/>
        </w:rPr>
        <w:t>d'affrètement</w:t>
      </w:r>
      <w:r>
        <w:rPr>
          <w:b/>
          <w:spacing w:val="-14"/>
          <w:sz w:val="28"/>
        </w:rPr>
        <w:t> </w:t>
      </w:r>
      <w:r>
        <w:rPr>
          <w:b/>
          <w:sz w:val="28"/>
        </w:rPr>
        <w:t>:</w:t>
      </w:r>
      <w:r>
        <w:rPr>
          <w:b/>
          <w:spacing w:val="-15"/>
          <w:sz w:val="28"/>
        </w:rPr>
        <w:t> </w:t>
      </w:r>
      <w:r>
        <w:rPr>
          <w:sz w:val="28"/>
        </w:rPr>
        <w:t>c’est</w:t>
      </w:r>
      <w:r>
        <w:rPr>
          <w:spacing w:val="-14"/>
          <w:sz w:val="28"/>
        </w:rPr>
        <w:t> </w:t>
      </w:r>
      <w:r>
        <w:rPr>
          <w:sz w:val="28"/>
        </w:rPr>
        <w:t>le</w:t>
      </w:r>
      <w:r>
        <w:rPr>
          <w:spacing w:val="-15"/>
          <w:sz w:val="28"/>
        </w:rPr>
        <w:t> </w:t>
      </w:r>
      <w:r>
        <w:rPr>
          <w:sz w:val="28"/>
        </w:rPr>
        <w:t>courtier</w:t>
      </w:r>
      <w:r>
        <w:rPr>
          <w:spacing w:val="-17"/>
          <w:sz w:val="28"/>
        </w:rPr>
        <w:t> </w:t>
      </w:r>
      <w:r>
        <w:rPr>
          <w:sz w:val="28"/>
        </w:rPr>
        <w:t>qui</w:t>
      </w:r>
      <w:r>
        <w:rPr>
          <w:spacing w:val="-16"/>
          <w:sz w:val="28"/>
        </w:rPr>
        <w:t> </w:t>
      </w:r>
      <w:r>
        <w:rPr>
          <w:sz w:val="28"/>
        </w:rPr>
        <w:t>s’engage</w:t>
      </w:r>
      <w:r>
        <w:rPr>
          <w:spacing w:val="-17"/>
          <w:sz w:val="28"/>
        </w:rPr>
        <w:t> </w:t>
      </w:r>
      <w:r>
        <w:rPr>
          <w:sz w:val="28"/>
        </w:rPr>
        <w:t>à</w:t>
      </w:r>
      <w:r>
        <w:rPr>
          <w:spacing w:val="-15"/>
          <w:sz w:val="28"/>
        </w:rPr>
        <w:t> </w:t>
      </w:r>
      <w:r>
        <w:rPr>
          <w:sz w:val="28"/>
        </w:rPr>
        <w:t>rechercher</w:t>
      </w:r>
      <w:r>
        <w:rPr>
          <w:spacing w:val="-17"/>
          <w:sz w:val="28"/>
        </w:rPr>
        <w:t> </w:t>
      </w:r>
      <w:r>
        <w:rPr>
          <w:sz w:val="28"/>
        </w:rPr>
        <w:t>une</w:t>
      </w:r>
      <w:r>
        <w:rPr>
          <w:spacing w:val="-17"/>
          <w:sz w:val="28"/>
        </w:rPr>
        <w:t> </w:t>
      </w:r>
      <w:r>
        <w:rPr>
          <w:sz w:val="28"/>
        </w:rPr>
        <w:t>personne pour la mettre en relation avec une autre, en contrepartie d’une commission, en vue d’accomplir les opérations suivantes</w:t>
      </w:r>
      <w:r>
        <w:rPr>
          <w:spacing w:val="-3"/>
          <w:sz w:val="28"/>
        </w:rPr>
        <w:t> </w:t>
      </w:r>
      <w:r>
        <w:rPr>
          <w:sz w:val="28"/>
        </w:rPr>
        <w:t>:</w:t>
      </w:r>
    </w:p>
    <w:p>
      <w:pPr>
        <w:pStyle w:val="ListParagraph"/>
        <w:numPr>
          <w:ilvl w:val="1"/>
          <w:numId w:val="15"/>
        </w:numPr>
        <w:tabs>
          <w:tab w:pos="2298" w:val="left" w:leader="none"/>
        </w:tabs>
        <w:spacing w:line="320" w:lineRule="exact" w:before="0" w:after="0"/>
        <w:ind w:left="2298" w:right="0" w:hanging="164"/>
        <w:jc w:val="both"/>
        <w:rPr>
          <w:sz w:val="28"/>
        </w:rPr>
      </w:pPr>
      <w:r>
        <w:rPr>
          <w:sz w:val="28"/>
        </w:rPr>
        <w:t>Le transport maritime,</w:t>
      </w:r>
    </w:p>
    <w:p>
      <w:pPr>
        <w:pStyle w:val="ListParagraph"/>
        <w:numPr>
          <w:ilvl w:val="1"/>
          <w:numId w:val="15"/>
        </w:numPr>
        <w:tabs>
          <w:tab w:pos="2298" w:val="left" w:leader="none"/>
        </w:tabs>
        <w:spacing w:line="318" w:lineRule="exact" w:before="2" w:after="0"/>
        <w:ind w:left="2298" w:right="0" w:hanging="164"/>
        <w:jc w:val="both"/>
        <w:rPr>
          <w:sz w:val="28"/>
        </w:rPr>
      </w:pPr>
      <w:r>
        <w:rPr>
          <w:sz w:val="28"/>
        </w:rPr>
        <w:t>La vente et l’affrètement des</w:t>
      </w:r>
      <w:r>
        <w:rPr>
          <w:spacing w:val="1"/>
          <w:sz w:val="28"/>
        </w:rPr>
        <w:t> </w:t>
      </w:r>
      <w:r>
        <w:rPr>
          <w:sz w:val="28"/>
        </w:rPr>
        <w:t>navires</w:t>
      </w:r>
    </w:p>
    <w:p>
      <w:pPr>
        <w:spacing w:line="203" w:lineRule="exact" w:before="0"/>
        <w:ind w:left="999" w:right="0" w:firstLine="0"/>
        <w:jc w:val="both"/>
        <w:rPr>
          <w:sz w:val="18"/>
        </w:rPr>
      </w:pPr>
      <w:r>
        <w:rPr>
          <w:sz w:val="18"/>
        </w:rPr>
        <w:t>[Article 2 de la loi n°44-2008 du 21 juillet 2008 portant organisation des professions maritimes]</w:t>
      </w:r>
    </w:p>
    <w:p>
      <w:pPr>
        <w:pStyle w:val="ListParagraph"/>
        <w:numPr>
          <w:ilvl w:val="0"/>
          <w:numId w:val="15"/>
        </w:numPr>
        <w:tabs>
          <w:tab w:pos="1000" w:val="left" w:leader="none"/>
        </w:tabs>
        <w:spacing w:line="235" w:lineRule="auto" w:before="126" w:after="0"/>
        <w:ind w:left="999" w:right="751" w:hanging="284"/>
        <w:jc w:val="both"/>
        <w:rPr>
          <w:sz w:val="18"/>
        </w:rPr>
      </w:pPr>
      <w:r>
        <w:rPr>
          <w:b/>
          <w:sz w:val="28"/>
        </w:rPr>
        <w:t>Startup : </w:t>
      </w:r>
      <w:r>
        <w:rPr>
          <w:sz w:val="28"/>
        </w:rPr>
        <w:t>est considérée comme Startup, toute société commerciale constituée conformément à la législation en vigueur, ayant obtenu le label Startup conformément aux conditions prévues par la présente loi. </w:t>
      </w:r>
      <w:r>
        <w:rPr>
          <w:position w:val="10"/>
          <w:sz w:val="18"/>
        </w:rPr>
        <w:t>[Loi n° 2018-20 du 17 avril 2018,</w:t>
      </w:r>
      <w:r>
        <w:rPr>
          <w:sz w:val="18"/>
        </w:rPr>
        <w:t> relative aux</w:t>
      </w:r>
      <w:r>
        <w:rPr>
          <w:spacing w:val="-1"/>
          <w:sz w:val="18"/>
        </w:rPr>
        <w:t> </w:t>
      </w:r>
      <w:r>
        <w:rPr>
          <w:sz w:val="18"/>
        </w:rPr>
        <w:t>Startups]</w:t>
      </w:r>
    </w:p>
    <w:p>
      <w:pPr>
        <w:spacing w:after="0" w:line="235" w:lineRule="auto"/>
        <w:jc w:val="both"/>
        <w:rPr>
          <w:sz w:val="18"/>
        </w:rPr>
        <w:sectPr>
          <w:pgSz w:w="11910" w:h="16840"/>
          <w:pgMar w:header="722" w:footer="0" w:top="1860" w:bottom="280" w:left="700" w:right="380"/>
        </w:sectPr>
      </w:pPr>
    </w:p>
    <w:p>
      <w:pPr>
        <w:pStyle w:val="BodyText"/>
        <w:spacing w:before="8"/>
        <w:ind w:left="0" w:firstLine="0"/>
        <w:jc w:val="left"/>
        <w:rPr>
          <w:sz w:val="16"/>
        </w:rPr>
      </w:pPr>
    </w:p>
    <w:p>
      <w:pPr>
        <w:pStyle w:val="Heading2"/>
        <w:numPr>
          <w:ilvl w:val="1"/>
          <w:numId w:val="12"/>
        </w:numPr>
        <w:tabs>
          <w:tab w:pos="986" w:val="left" w:leader="none"/>
        </w:tabs>
        <w:spacing w:line="321" w:lineRule="exact" w:before="89" w:after="0"/>
        <w:ind w:left="985" w:right="0" w:hanging="553"/>
        <w:jc w:val="both"/>
      </w:pPr>
      <w:bookmarkStart w:name="_TOC_250126" w:id="15"/>
      <w:r>
        <w:rPr/>
        <w:t>Les garanties et les</w:t>
      </w:r>
      <w:r>
        <w:rPr>
          <w:spacing w:val="-1"/>
        </w:rPr>
        <w:t> </w:t>
      </w:r>
      <w:bookmarkEnd w:id="15"/>
      <w:r>
        <w:rPr/>
        <w:t>cautionnements</w:t>
      </w:r>
    </w:p>
    <w:p>
      <w:pPr>
        <w:pStyle w:val="ListParagraph"/>
        <w:numPr>
          <w:ilvl w:val="0"/>
          <w:numId w:val="16"/>
        </w:numPr>
        <w:tabs>
          <w:tab w:pos="1000" w:val="left" w:leader="none"/>
        </w:tabs>
        <w:spacing w:line="341" w:lineRule="exact" w:before="0" w:after="0"/>
        <w:ind w:left="999" w:right="0" w:hanging="284"/>
        <w:jc w:val="both"/>
        <w:rPr>
          <w:b/>
          <w:sz w:val="28"/>
        </w:rPr>
      </w:pPr>
      <w:r>
        <w:rPr>
          <w:b/>
          <w:sz w:val="28"/>
        </w:rPr>
        <w:t>Le cautionnement</w:t>
      </w:r>
      <w:r>
        <w:rPr>
          <w:b/>
          <w:spacing w:val="-1"/>
          <w:sz w:val="28"/>
        </w:rPr>
        <w:t> </w:t>
      </w:r>
      <w:r>
        <w:rPr>
          <w:b/>
          <w:sz w:val="28"/>
        </w:rPr>
        <w:t>provisoire</w:t>
      </w:r>
    </w:p>
    <w:p>
      <w:pPr>
        <w:pStyle w:val="BodyText"/>
        <w:ind w:left="999" w:right="750" w:firstLine="568"/>
      </w:pPr>
      <w:r>
        <w:rPr/>
        <w:t>Le cautionnement provisoire est la garantie bancaire à produire par le soumissionnaire au titre de la caution de l’offre. Le GCT fixe dans le cahier des charges</w:t>
      </w:r>
      <w:r>
        <w:rPr>
          <w:spacing w:val="-9"/>
        </w:rPr>
        <w:t> </w:t>
      </w:r>
      <w:r>
        <w:rPr/>
        <w:t>le</w:t>
      </w:r>
      <w:r>
        <w:rPr>
          <w:spacing w:val="-9"/>
        </w:rPr>
        <w:t> </w:t>
      </w:r>
      <w:r>
        <w:rPr/>
        <w:t>montant</w:t>
      </w:r>
      <w:r>
        <w:rPr>
          <w:spacing w:val="-9"/>
        </w:rPr>
        <w:t> </w:t>
      </w:r>
      <w:r>
        <w:rPr/>
        <w:t>du</w:t>
      </w:r>
      <w:r>
        <w:rPr>
          <w:spacing w:val="-10"/>
        </w:rPr>
        <w:t> </w:t>
      </w:r>
      <w:r>
        <w:rPr/>
        <w:t>cautionnement</w:t>
      </w:r>
      <w:r>
        <w:rPr>
          <w:spacing w:val="-9"/>
        </w:rPr>
        <w:t> </w:t>
      </w:r>
      <w:r>
        <w:rPr/>
        <w:t>provisoire</w:t>
      </w:r>
      <w:r>
        <w:rPr>
          <w:spacing w:val="-8"/>
        </w:rPr>
        <w:t> </w:t>
      </w:r>
      <w:r>
        <w:rPr/>
        <w:t>par</w:t>
      </w:r>
      <w:r>
        <w:rPr>
          <w:spacing w:val="-9"/>
        </w:rPr>
        <w:t> </w:t>
      </w:r>
      <w:r>
        <w:rPr/>
        <w:t>application</w:t>
      </w:r>
      <w:r>
        <w:rPr>
          <w:spacing w:val="-8"/>
        </w:rPr>
        <w:t> </w:t>
      </w:r>
      <w:r>
        <w:rPr/>
        <w:t>d'un</w:t>
      </w:r>
      <w:r>
        <w:rPr>
          <w:spacing w:val="-8"/>
        </w:rPr>
        <w:t> </w:t>
      </w:r>
      <w:r>
        <w:rPr/>
        <w:t>pourcentage compris entre 0.5% et 2% du montant estimatif des commandes objet de l’achat. Le GCT peut fixer exceptionnellement le montant du cautionnement provisoire par rapport à un montant forfaitaire qui tient compte de l'importance et de la complexité de</w:t>
      </w:r>
      <w:r>
        <w:rPr>
          <w:spacing w:val="-4"/>
        </w:rPr>
        <w:t> </w:t>
      </w:r>
      <w:r>
        <w:rPr/>
        <w:t>l’achat.</w:t>
      </w:r>
    </w:p>
    <w:p>
      <w:pPr>
        <w:pStyle w:val="BodyText"/>
        <w:ind w:left="999" w:right="748" w:firstLine="568"/>
      </w:pPr>
      <w:r>
        <w:rPr/>
        <w:t>La caution provisoire n’est pas requise pour les commandes à conclure par négociation directe.</w:t>
      </w:r>
    </w:p>
    <w:p>
      <w:pPr>
        <w:pStyle w:val="BodyText"/>
        <w:ind w:left="999" w:right="756" w:firstLine="568"/>
      </w:pPr>
      <w:r>
        <w:rPr/>
        <w:t>Certains achats peuvent être également dispensés de la présentation d’un cautionnement</w:t>
      </w:r>
      <w:r>
        <w:rPr>
          <w:spacing w:val="-12"/>
        </w:rPr>
        <w:t> </w:t>
      </w:r>
      <w:r>
        <w:rPr/>
        <w:t>provisoire,</w:t>
      </w:r>
      <w:r>
        <w:rPr>
          <w:spacing w:val="-13"/>
        </w:rPr>
        <w:t> </w:t>
      </w:r>
      <w:r>
        <w:rPr/>
        <w:t>et</w:t>
      </w:r>
      <w:r>
        <w:rPr>
          <w:spacing w:val="-12"/>
        </w:rPr>
        <w:t> </w:t>
      </w:r>
      <w:r>
        <w:rPr/>
        <w:t>ce</w:t>
      </w:r>
      <w:r>
        <w:rPr>
          <w:spacing w:val="-12"/>
        </w:rPr>
        <w:t> </w:t>
      </w:r>
      <w:r>
        <w:rPr/>
        <w:t>via</w:t>
      </w:r>
      <w:r>
        <w:rPr>
          <w:spacing w:val="-12"/>
        </w:rPr>
        <w:t> </w:t>
      </w:r>
      <w:r>
        <w:rPr/>
        <w:t>une</w:t>
      </w:r>
      <w:r>
        <w:rPr>
          <w:spacing w:val="-12"/>
        </w:rPr>
        <w:t> </w:t>
      </w:r>
      <w:r>
        <w:rPr/>
        <w:t>note</w:t>
      </w:r>
      <w:r>
        <w:rPr>
          <w:spacing w:val="-12"/>
        </w:rPr>
        <w:t> </w:t>
      </w:r>
      <w:r>
        <w:rPr/>
        <w:t>approuvée</w:t>
      </w:r>
      <w:r>
        <w:rPr>
          <w:spacing w:val="-12"/>
        </w:rPr>
        <w:t> </w:t>
      </w:r>
      <w:r>
        <w:rPr/>
        <w:t>par</w:t>
      </w:r>
      <w:r>
        <w:rPr>
          <w:spacing w:val="-12"/>
        </w:rPr>
        <w:t> </w:t>
      </w:r>
      <w:r>
        <w:rPr/>
        <w:t>la</w:t>
      </w:r>
      <w:r>
        <w:rPr>
          <w:spacing w:val="-12"/>
        </w:rPr>
        <w:t> </w:t>
      </w:r>
      <w:r>
        <w:rPr/>
        <w:t>Direction</w:t>
      </w:r>
      <w:r>
        <w:rPr>
          <w:spacing w:val="-12"/>
        </w:rPr>
        <w:t> </w:t>
      </w:r>
      <w:r>
        <w:rPr/>
        <w:t>Générale. Au</w:t>
      </w:r>
      <w:r>
        <w:rPr>
          <w:spacing w:val="-17"/>
        </w:rPr>
        <w:t> </w:t>
      </w:r>
      <w:r>
        <w:rPr/>
        <w:t>titre</w:t>
      </w:r>
      <w:r>
        <w:rPr>
          <w:spacing w:val="-17"/>
        </w:rPr>
        <w:t> </w:t>
      </w:r>
      <w:r>
        <w:rPr/>
        <w:t>de</w:t>
      </w:r>
      <w:r>
        <w:rPr>
          <w:spacing w:val="-17"/>
        </w:rPr>
        <w:t> </w:t>
      </w:r>
      <w:r>
        <w:rPr/>
        <w:t>cette</w:t>
      </w:r>
      <w:r>
        <w:rPr>
          <w:spacing w:val="-17"/>
        </w:rPr>
        <w:t> </w:t>
      </w:r>
      <w:r>
        <w:rPr/>
        <w:t>garantie</w:t>
      </w:r>
      <w:r>
        <w:rPr>
          <w:spacing w:val="-17"/>
        </w:rPr>
        <w:t> </w:t>
      </w:r>
      <w:r>
        <w:rPr/>
        <w:t>ne</w:t>
      </w:r>
      <w:r>
        <w:rPr>
          <w:spacing w:val="-17"/>
        </w:rPr>
        <w:t> </w:t>
      </w:r>
      <w:r>
        <w:rPr/>
        <w:t>sont</w:t>
      </w:r>
      <w:r>
        <w:rPr>
          <w:spacing w:val="-16"/>
        </w:rPr>
        <w:t> </w:t>
      </w:r>
      <w:r>
        <w:rPr/>
        <w:t>acceptées</w:t>
      </w:r>
      <w:r>
        <w:rPr>
          <w:spacing w:val="-17"/>
        </w:rPr>
        <w:t> </w:t>
      </w:r>
      <w:r>
        <w:rPr/>
        <w:t>que</w:t>
      </w:r>
      <w:r>
        <w:rPr>
          <w:spacing w:val="-17"/>
        </w:rPr>
        <w:t> </w:t>
      </w:r>
      <w:r>
        <w:rPr/>
        <w:t>les</w:t>
      </w:r>
      <w:r>
        <w:rPr>
          <w:spacing w:val="-16"/>
        </w:rPr>
        <w:t> </w:t>
      </w:r>
      <w:r>
        <w:rPr/>
        <w:t>cautions</w:t>
      </w:r>
      <w:r>
        <w:rPr>
          <w:spacing w:val="-16"/>
        </w:rPr>
        <w:t> </w:t>
      </w:r>
      <w:r>
        <w:rPr/>
        <w:t>émises</w:t>
      </w:r>
      <w:r>
        <w:rPr>
          <w:spacing w:val="-18"/>
        </w:rPr>
        <w:t> </w:t>
      </w:r>
      <w:r>
        <w:rPr/>
        <w:t>par</w:t>
      </w:r>
      <w:r>
        <w:rPr>
          <w:spacing w:val="-17"/>
        </w:rPr>
        <w:t> </w:t>
      </w:r>
      <w:r>
        <w:rPr/>
        <w:t>les</w:t>
      </w:r>
      <w:r>
        <w:rPr>
          <w:spacing w:val="-16"/>
        </w:rPr>
        <w:t> </w:t>
      </w:r>
      <w:r>
        <w:rPr/>
        <w:t>banques tunisiennes. Si elle est émise par une banque étrangère elle doit être avalisée par une banque</w:t>
      </w:r>
      <w:r>
        <w:rPr>
          <w:spacing w:val="-4"/>
        </w:rPr>
        <w:t> </w:t>
      </w:r>
      <w:r>
        <w:rPr/>
        <w:t>tunisienne.</w:t>
      </w:r>
    </w:p>
    <w:p>
      <w:pPr>
        <w:pStyle w:val="BodyText"/>
        <w:ind w:left="999" w:right="754" w:firstLine="568"/>
      </w:pPr>
      <w:r>
        <w:rPr/>
        <w:t>Au lieu du cautionnement provisoire, le GCT peut demander aux soumissionnaires de signer une déclaration de garantie d’Offre. Par cette déclaration ils reconnaissent que, s’ils retirent ou modifient leur Offre pendant la période</w:t>
      </w:r>
      <w:r>
        <w:rPr>
          <w:spacing w:val="-9"/>
        </w:rPr>
        <w:t> </w:t>
      </w:r>
      <w:r>
        <w:rPr/>
        <w:t>de</w:t>
      </w:r>
      <w:r>
        <w:rPr>
          <w:spacing w:val="-5"/>
        </w:rPr>
        <w:t> </w:t>
      </w:r>
      <w:r>
        <w:rPr/>
        <w:t>validité</w:t>
      </w:r>
      <w:r>
        <w:rPr>
          <w:spacing w:val="-5"/>
        </w:rPr>
        <w:t> </w:t>
      </w:r>
      <w:r>
        <w:rPr/>
        <w:t>ou</w:t>
      </w:r>
      <w:r>
        <w:rPr>
          <w:spacing w:val="-7"/>
        </w:rPr>
        <w:t> </w:t>
      </w:r>
      <w:r>
        <w:rPr/>
        <w:t>bien,</w:t>
      </w:r>
      <w:r>
        <w:rPr>
          <w:spacing w:val="-6"/>
        </w:rPr>
        <w:t> </w:t>
      </w:r>
      <w:r>
        <w:rPr/>
        <w:t>si</w:t>
      </w:r>
      <w:r>
        <w:rPr>
          <w:spacing w:val="-5"/>
        </w:rPr>
        <w:t> </w:t>
      </w:r>
      <w:r>
        <w:rPr/>
        <w:t>l’achat est</w:t>
      </w:r>
      <w:r>
        <w:rPr>
          <w:spacing w:val="-4"/>
        </w:rPr>
        <w:t> </w:t>
      </w:r>
      <w:r>
        <w:rPr/>
        <w:t>attribué</w:t>
      </w:r>
      <w:r>
        <w:rPr>
          <w:spacing w:val="-5"/>
        </w:rPr>
        <w:t> </w:t>
      </w:r>
      <w:r>
        <w:rPr/>
        <w:t>à</w:t>
      </w:r>
      <w:r>
        <w:rPr>
          <w:spacing w:val="-9"/>
        </w:rPr>
        <w:t> </w:t>
      </w:r>
      <w:r>
        <w:rPr/>
        <w:t>l’un</w:t>
      </w:r>
      <w:r>
        <w:rPr>
          <w:spacing w:val="-5"/>
        </w:rPr>
        <w:t> </w:t>
      </w:r>
      <w:r>
        <w:rPr/>
        <w:t>d’entre</w:t>
      </w:r>
      <w:r>
        <w:rPr>
          <w:spacing w:val="-5"/>
        </w:rPr>
        <w:t> </w:t>
      </w:r>
      <w:r>
        <w:rPr/>
        <w:t>eux,</w:t>
      </w:r>
      <w:r>
        <w:rPr>
          <w:spacing w:val="-6"/>
        </w:rPr>
        <w:t> </w:t>
      </w:r>
      <w:r>
        <w:rPr/>
        <w:t>mais</w:t>
      </w:r>
      <w:r>
        <w:rPr>
          <w:spacing w:val="-5"/>
        </w:rPr>
        <w:t> </w:t>
      </w:r>
      <w:r>
        <w:rPr/>
        <w:t>qu’il</w:t>
      </w:r>
      <w:r>
        <w:rPr>
          <w:spacing w:val="-5"/>
        </w:rPr>
        <w:t> </w:t>
      </w:r>
      <w:r>
        <w:rPr/>
        <w:t>ne le signe pas ou ne soumet pas un cautionnement définitif avant la date limite arrêtée dans le dossier d’appel d’offre, alors le Soumissionnaire se verra exclure pour la durée prévue dans ledit dossier pour les achats du</w:t>
      </w:r>
      <w:r>
        <w:rPr>
          <w:spacing w:val="-15"/>
        </w:rPr>
        <w:t> </w:t>
      </w:r>
      <w:r>
        <w:rPr/>
        <w:t>GCT.</w:t>
      </w:r>
    </w:p>
    <w:p>
      <w:pPr>
        <w:pStyle w:val="Heading2"/>
        <w:numPr>
          <w:ilvl w:val="0"/>
          <w:numId w:val="16"/>
        </w:numPr>
        <w:tabs>
          <w:tab w:pos="1000" w:val="left" w:leader="none"/>
        </w:tabs>
        <w:spacing w:line="341" w:lineRule="exact" w:before="122" w:after="0"/>
        <w:ind w:left="999" w:right="0" w:hanging="284"/>
        <w:jc w:val="both"/>
      </w:pPr>
      <w:r>
        <w:rPr/>
        <w:t>La caution définitive ou la garantie de bonne</w:t>
      </w:r>
      <w:r>
        <w:rPr>
          <w:spacing w:val="-3"/>
        </w:rPr>
        <w:t> </w:t>
      </w:r>
      <w:r>
        <w:rPr/>
        <w:t>exécution</w:t>
      </w:r>
    </w:p>
    <w:p>
      <w:pPr>
        <w:pStyle w:val="BodyText"/>
        <w:ind w:left="999" w:right="749" w:firstLine="568"/>
      </w:pPr>
      <w:r>
        <w:rPr/>
        <w:t>Les</w:t>
      </w:r>
      <w:r>
        <w:rPr>
          <w:spacing w:val="-5"/>
        </w:rPr>
        <w:t> </w:t>
      </w:r>
      <w:r>
        <w:rPr/>
        <w:t>cahiers</w:t>
      </w:r>
      <w:r>
        <w:rPr>
          <w:spacing w:val="-6"/>
        </w:rPr>
        <w:t> </w:t>
      </w:r>
      <w:r>
        <w:rPr/>
        <w:t>des</w:t>
      </w:r>
      <w:r>
        <w:rPr>
          <w:spacing w:val="-7"/>
        </w:rPr>
        <w:t> </w:t>
      </w:r>
      <w:r>
        <w:rPr/>
        <w:t>charges</w:t>
      </w:r>
      <w:r>
        <w:rPr>
          <w:spacing w:val="-5"/>
        </w:rPr>
        <w:t> </w:t>
      </w:r>
      <w:r>
        <w:rPr/>
        <w:t>et</w:t>
      </w:r>
      <w:r>
        <w:rPr>
          <w:spacing w:val="-7"/>
        </w:rPr>
        <w:t> </w:t>
      </w:r>
      <w:r>
        <w:rPr/>
        <w:t>les</w:t>
      </w:r>
      <w:r>
        <w:rPr>
          <w:spacing w:val="-8"/>
        </w:rPr>
        <w:t> </w:t>
      </w:r>
      <w:r>
        <w:rPr/>
        <w:t>termes</w:t>
      </w:r>
      <w:r>
        <w:rPr>
          <w:spacing w:val="-5"/>
        </w:rPr>
        <w:t> </w:t>
      </w:r>
      <w:r>
        <w:rPr/>
        <w:t>de</w:t>
      </w:r>
      <w:r>
        <w:rPr>
          <w:spacing w:val="-9"/>
        </w:rPr>
        <w:t> </w:t>
      </w:r>
      <w:r>
        <w:rPr/>
        <w:t>références</w:t>
      </w:r>
      <w:r>
        <w:rPr>
          <w:spacing w:val="-6"/>
        </w:rPr>
        <w:t> </w:t>
      </w:r>
      <w:r>
        <w:rPr/>
        <w:t>déterminent</w:t>
      </w:r>
      <w:r>
        <w:rPr>
          <w:spacing w:val="-7"/>
        </w:rPr>
        <w:t> </w:t>
      </w:r>
      <w:r>
        <w:rPr/>
        <w:t>les</w:t>
      </w:r>
      <w:r>
        <w:rPr>
          <w:spacing w:val="-5"/>
        </w:rPr>
        <w:t> </w:t>
      </w:r>
      <w:r>
        <w:rPr/>
        <w:t>montants des cautions bancaires à produire par le soumissionnaire retenu au titre du cautionnement définitif. Toutefois, pour certains achats de fourniture de biens ou de services, il peut ne pas être exigé de cautionnement définitif lorsque les circonstances ou la nature de l’achat le</w:t>
      </w:r>
      <w:r>
        <w:rPr>
          <w:spacing w:val="1"/>
        </w:rPr>
        <w:t> </w:t>
      </w:r>
      <w:r>
        <w:rPr/>
        <w:t>justifient.</w:t>
      </w:r>
    </w:p>
    <w:p>
      <w:pPr>
        <w:pStyle w:val="BodyText"/>
        <w:ind w:left="999" w:right="749" w:firstLine="0"/>
      </w:pPr>
      <w:r>
        <w:rPr/>
        <w:t>Le montant de la caution bancaire définitif est fixé entre trois (3%) et cinq (5%) pour cent du montant initial de l’achat augmenté, le cas échéant, du montant des avenants.</w:t>
      </w:r>
    </w:p>
    <w:p>
      <w:pPr>
        <w:pStyle w:val="BodyText"/>
        <w:ind w:left="999" w:right="748" w:firstLine="568"/>
      </w:pPr>
      <w:r>
        <w:rPr/>
        <w:t>Le montant du cautionnement bancaire définitif peut être ramené à 10% du montant</w:t>
      </w:r>
      <w:r>
        <w:rPr>
          <w:spacing w:val="-15"/>
        </w:rPr>
        <w:t> </w:t>
      </w:r>
      <w:r>
        <w:rPr/>
        <w:t>initial</w:t>
      </w:r>
      <w:r>
        <w:rPr>
          <w:spacing w:val="-15"/>
        </w:rPr>
        <w:t> </w:t>
      </w:r>
      <w:r>
        <w:rPr/>
        <w:t>de</w:t>
      </w:r>
      <w:r>
        <w:rPr>
          <w:spacing w:val="-16"/>
        </w:rPr>
        <w:t> </w:t>
      </w:r>
      <w:r>
        <w:rPr/>
        <w:t>l’achat</w:t>
      </w:r>
      <w:r>
        <w:rPr>
          <w:spacing w:val="-14"/>
        </w:rPr>
        <w:t> </w:t>
      </w:r>
      <w:r>
        <w:rPr/>
        <w:t>augmenté,</w:t>
      </w:r>
      <w:r>
        <w:rPr>
          <w:spacing w:val="-16"/>
        </w:rPr>
        <w:t> </w:t>
      </w:r>
      <w:r>
        <w:rPr/>
        <w:t>le</w:t>
      </w:r>
      <w:r>
        <w:rPr>
          <w:spacing w:val="-16"/>
        </w:rPr>
        <w:t> </w:t>
      </w:r>
      <w:r>
        <w:rPr/>
        <w:t>cas</w:t>
      </w:r>
      <w:r>
        <w:rPr>
          <w:spacing w:val="-15"/>
        </w:rPr>
        <w:t> </w:t>
      </w:r>
      <w:r>
        <w:rPr/>
        <w:t>échéant,</w:t>
      </w:r>
      <w:r>
        <w:rPr>
          <w:spacing w:val="-15"/>
        </w:rPr>
        <w:t> </w:t>
      </w:r>
      <w:r>
        <w:rPr/>
        <w:t>du</w:t>
      </w:r>
      <w:r>
        <w:rPr>
          <w:spacing w:val="-15"/>
        </w:rPr>
        <w:t> </w:t>
      </w:r>
      <w:r>
        <w:rPr/>
        <w:t>montant</w:t>
      </w:r>
      <w:r>
        <w:rPr>
          <w:spacing w:val="-11"/>
        </w:rPr>
        <w:t> </w:t>
      </w:r>
      <w:r>
        <w:rPr/>
        <w:t>des</w:t>
      </w:r>
      <w:r>
        <w:rPr>
          <w:spacing w:val="-14"/>
        </w:rPr>
        <w:t> </w:t>
      </w:r>
      <w:r>
        <w:rPr/>
        <w:t>avenants,</w:t>
      </w:r>
      <w:r>
        <w:rPr>
          <w:spacing w:val="-16"/>
        </w:rPr>
        <w:t> </w:t>
      </w:r>
      <w:r>
        <w:rPr/>
        <w:t>dans le cas où l’achat est assorti de délai de garantie sans qu’il prévoie une retenue de garantie.</w:t>
      </w:r>
    </w:p>
    <w:p>
      <w:pPr>
        <w:pStyle w:val="BodyText"/>
        <w:ind w:left="999" w:right="749" w:firstLine="0"/>
      </w:pPr>
      <w:r>
        <w:rPr/>
        <w:t>La caution définitive reste affectée à la garantie de la bonne exécution de la commande et au recouvrement des sommes dont le titulaire serait reconnu débiteur au titre de cet achat.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51" w:firstLine="568"/>
      </w:pPr>
      <w:r>
        <w:rPr/>
        <w:t>La caution définitive ou son reliquat est restitué au fournisseur, à condition que ce dernier se soit acquitté de toutes ses obligations, et ce, à l’expiration des délais ci-après :</w:t>
      </w:r>
    </w:p>
    <w:p>
      <w:pPr>
        <w:pStyle w:val="ListParagraph"/>
        <w:numPr>
          <w:ilvl w:val="0"/>
          <w:numId w:val="17"/>
        </w:numPr>
        <w:tabs>
          <w:tab w:pos="1286" w:val="left" w:leader="none"/>
        </w:tabs>
        <w:spacing w:line="240" w:lineRule="auto" w:before="1" w:after="0"/>
        <w:ind w:left="999" w:right="760" w:firstLine="0"/>
        <w:jc w:val="both"/>
        <w:rPr>
          <w:sz w:val="28"/>
        </w:rPr>
      </w:pPr>
      <w:r>
        <w:rPr>
          <w:sz w:val="28"/>
        </w:rPr>
        <w:t>Trois mois à compter de la date de la réception de la commande selon les dispositions du contrat, lorsque l’achat n’est pas assorti d'un délai de</w:t>
      </w:r>
      <w:r>
        <w:rPr>
          <w:spacing w:val="-29"/>
          <w:sz w:val="28"/>
        </w:rPr>
        <w:t> </w:t>
      </w:r>
      <w:r>
        <w:rPr>
          <w:sz w:val="28"/>
        </w:rPr>
        <w:t>garantie.</w:t>
      </w:r>
    </w:p>
    <w:p>
      <w:pPr>
        <w:pStyle w:val="ListParagraph"/>
        <w:numPr>
          <w:ilvl w:val="0"/>
          <w:numId w:val="17"/>
        </w:numPr>
        <w:tabs>
          <w:tab w:pos="1286" w:val="left" w:leader="none"/>
        </w:tabs>
        <w:spacing w:line="240" w:lineRule="auto" w:before="0" w:after="0"/>
        <w:ind w:left="999" w:right="752" w:firstLine="0"/>
        <w:jc w:val="both"/>
        <w:rPr>
          <w:sz w:val="28"/>
        </w:rPr>
      </w:pPr>
      <w:r>
        <w:rPr>
          <w:sz w:val="28"/>
        </w:rPr>
        <w:t>Trois mois à compter de la date de la réception définitive des commandes ou de l’expiration du délai de garantie, lorsque l’achat est assorti d’un délai de garantie sans retenue de</w:t>
      </w:r>
      <w:r>
        <w:rPr>
          <w:spacing w:val="-6"/>
          <w:sz w:val="28"/>
        </w:rPr>
        <w:t> </w:t>
      </w:r>
      <w:r>
        <w:rPr>
          <w:sz w:val="28"/>
        </w:rPr>
        <w:t>garantie.</w:t>
      </w:r>
    </w:p>
    <w:p>
      <w:pPr>
        <w:pStyle w:val="ListParagraph"/>
        <w:numPr>
          <w:ilvl w:val="0"/>
          <w:numId w:val="17"/>
        </w:numPr>
        <w:tabs>
          <w:tab w:pos="1286" w:val="left" w:leader="none"/>
        </w:tabs>
        <w:spacing w:line="242" w:lineRule="auto" w:before="0" w:after="0"/>
        <w:ind w:left="999" w:right="751" w:firstLine="0"/>
        <w:jc w:val="both"/>
        <w:rPr>
          <w:sz w:val="28"/>
        </w:rPr>
      </w:pPr>
      <w:r>
        <w:rPr>
          <w:sz w:val="28"/>
        </w:rPr>
        <w:t>Un mois après la réception provisoire, lorsque l’achat prévoit une retenue de garantie.</w:t>
      </w:r>
    </w:p>
    <w:p>
      <w:pPr>
        <w:pStyle w:val="BodyText"/>
        <w:ind w:left="999" w:right="751" w:firstLine="568"/>
      </w:pPr>
      <w:r>
        <w:rPr/>
        <w:t>Si le fournisseur a été avisé par le GCT, avant l’expiration des délais susvisés, par lettre motivée et recommandée ou par tout autre moyen ayant date certaine qu'il n’a pas honoré tous ses engagements, la caution bancaire définitive n’est pas restituée. Dans ce cas, le GCT doit faire opposition auprès de la banque ayant émis la caution dans les délais susvisés.</w:t>
      </w:r>
    </w:p>
    <w:p>
      <w:pPr>
        <w:pStyle w:val="Heading2"/>
        <w:numPr>
          <w:ilvl w:val="0"/>
          <w:numId w:val="16"/>
        </w:numPr>
        <w:tabs>
          <w:tab w:pos="1000" w:val="left" w:leader="none"/>
        </w:tabs>
        <w:spacing w:line="341" w:lineRule="exact" w:before="116" w:after="0"/>
        <w:ind w:left="999" w:right="0" w:hanging="284"/>
        <w:jc w:val="both"/>
      </w:pPr>
      <w:r>
        <w:rPr/>
        <w:t>La garantie opérationnelle et</w:t>
      </w:r>
      <w:r>
        <w:rPr>
          <w:spacing w:val="-3"/>
        </w:rPr>
        <w:t> </w:t>
      </w:r>
      <w:r>
        <w:rPr/>
        <w:t>technique</w:t>
      </w:r>
    </w:p>
    <w:p>
      <w:pPr>
        <w:pStyle w:val="BodyText"/>
        <w:ind w:left="999" w:right="749" w:firstLine="568"/>
      </w:pPr>
      <w:r>
        <w:rPr/>
        <w:t>Le</w:t>
      </w:r>
      <w:r>
        <w:rPr>
          <w:spacing w:val="-10"/>
        </w:rPr>
        <w:t> </w:t>
      </w:r>
      <w:r>
        <w:rPr/>
        <w:t>cahier</w:t>
      </w:r>
      <w:r>
        <w:rPr>
          <w:spacing w:val="-9"/>
        </w:rPr>
        <w:t> </w:t>
      </w:r>
      <w:r>
        <w:rPr/>
        <w:t>des</w:t>
      </w:r>
      <w:r>
        <w:rPr>
          <w:spacing w:val="-9"/>
        </w:rPr>
        <w:t> </w:t>
      </w:r>
      <w:r>
        <w:rPr/>
        <w:t>charges</w:t>
      </w:r>
      <w:r>
        <w:rPr>
          <w:spacing w:val="-10"/>
        </w:rPr>
        <w:t> </w:t>
      </w:r>
      <w:r>
        <w:rPr/>
        <w:t>peut</w:t>
      </w:r>
      <w:r>
        <w:rPr>
          <w:spacing w:val="-8"/>
        </w:rPr>
        <w:t> </w:t>
      </w:r>
      <w:r>
        <w:rPr/>
        <w:t>exiger</w:t>
      </w:r>
      <w:r>
        <w:rPr>
          <w:spacing w:val="-10"/>
        </w:rPr>
        <w:t> </w:t>
      </w:r>
      <w:r>
        <w:rPr/>
        <w:t>une</w:t>
      </w:r>
      <w:r>
        <w:rPr>
          <w:spacing w:val="-9"/>
        </w:rPr>
        <w:t> </w:t>
      </w:r>
      <w:r>
        <w:rPr/>
        <w:t>garantie</w:t>
      </w:r>
      <w:r>
        <w:rPr>
          <w:spacing w:val="-10"/>
        </w:rPr>
        <w:t> </w:t>
      </w:r>
      <w:r>
        <w:rPr/>
        <w:t>opérationnelle</w:t>
      </w:r>
      <w:r>
        <w:rPr>
          <w:spacing w:val="-9"/>
        </w:rPr>
        <w:t> </w:t>
      </w:r>
      <w:r>
        <w:rPr/>
        <w:t>à</w:t>
      </w:r>
      <w:r>
        <w:rPr>
          <w:spacing w:val="-9"/>
        </w:rPr>
        <w:t> </w:t>
      </w:r>
      <w:r>
        <w:rPr/>
        <w:t>la</w:t>
      </w:r>
      <w:r>
        <w:rPr>
          <w:spacing w:val="-10"/>
        </w:rPr>
        <w:t> </w:t>
      </w:r>
      <w:r>
        <w:rPr/>
        <w:t>place</w:t>
      </w:r>
      <w:r>
        <w:rPr>
          <w:spacing w:val="-9"/>
        </w:rPr>
        <w:t> </w:t>
      </w:r>
      <w:r>
        <w:rPr/>
        <w:t>de</w:t>
      </w:r>
      <w:r>
        <w:rPr>
          <w:spacing w:val="-10"/>
        </w:rPr>
        <w:t> </w:t>
      </w:r>
      <w:r>
        <w:rPr/>
        <w:t>la garantie de bonne exécution dans certains achats spécifiques justifiant le recours à ce type de garantie. Cette garantie est délivrée par le soumissionnaire retenu attestant qu’il doit maintenir le service du prestataire en cas de défaillance ou de disparition et d’assurer sa continuité de service, avec le GCT, jusqu’à l’échéance de la période de garantie prévue dans le</w:t>
      </w:r>
      <w:r>
        <w:rPr>
          <w:spacing w:val="-17"/>
        </w:rPr>
        <w:t> </w:t>
      </w:r>
      <w:r>
        <w:rPr/>
        <w:t>contrat.</w:t>
      </w:r>
    </w:p>
    <w:p>
      <w:pPr>
        <w:pStyle w:val="BodyText"/>
        <w:ind w:left="999" w:right="748" w:firstLine="568"/>
      </w:pPr>
      <w:r>
        <w:rPr/>
        <w:t>La garantie opérationnelle est restituée au soumissionnaire retenu, à condition que le titulaire du marché se soit acquitté de toutes ses obligations, et ce, à l’expiration des délais. Le GCT respecte les mêmes procédures de la restitution de la garantie de bonne exécution.</w:t>
      </w:r>
    </w:p>
    <w:p>
      <w:pPr>
        <w:pStyle w:val="Heading2"/>
        <w:numPr>
          <w:ilvl w:val="0"/>
          <w:numId w:val="16"/>
        </w:numPr>
        <w:tabs>
          <w:tab w:pos="1000" w:val="left" w:leader="none"/>
        </w:tabs>
        <w:spacing w:line="340" w:lineRule="exact" w:before="124" w:after="0"/>
        <w:ind w:left="999" w:right="0" w:hanging="284"/>
        <w:jc w:val="both"/>
      </w:pPr>
      <w:r>
        <w:rPr/>
        <w:t>La retenue de</w:t>
      </w:r>
      <w:r>
        <w:rPr>
          <w:spacing w:val="-3"/>
        </w:rPr>
        <w:t> </w:t>
      </w:r>
      <w:r>
        <w:rPr/>
        <w:t>garantie</w:t>
      </w:r>
    </w:p>
    <w:p>
      <w:pPr>
        <w:pStyle w:val="BodyText"/>
        <w:ind w:left="999" w:right="749" w:firstLine="568"/>
      </w:pPr>
      <w:r>
        <w:rPr/>
        <w:t>Lorsque</w:t>
      </w:r>
      <w:r>
        <w:rPr>
          <w:spacing w:val="-16"/>
        </w:rPr>
        <w:t> </w:t>
      </w:r>
      <w:r>
        <w:rPr/>
        <w:t>les</w:t>
      </w:r>
      <w:r>
        <w:rPr>
          <w:spacing w:val="-14"/>
        </w:rPr>
        <w:t> </w:t>
      </w:r>
      <w:r>
        <w:rPr/>
        <w:t>cahiers</w:t>
      </w:r>
      <w:r>
        <w:rPr>
          <w:spacing w:val="-14"/>
        </w:rPr>
        <w:t> </w:t>
      </w:r>
      <w:r>
        <w:rPr/>
        <w:t>des</w:t>
      </w:r>
      <w:r>
        <w:rPr>
          <w:spacing w:val="-15"/>
        </w:rPr>
        <w:t> </w:t>
      </w:r>
      <w:r>
        <w:rPr/>
        <w:t>charges</w:t>
      </w:r>
      <w:r>
        <w:rPr>
          <w:spacing w:val="-14"/>
        </w:rPr>
        <w:t> </w:t>
      </w:r>
      <w:r>
        <w:rPr/>
        <w:t>et</w:t>
      </w:r>
      <w:r>
        <w:rPr>
          <w:spacing w:val="-14"/>
        </w:rPr>
        <w:t> </w:t>
      </w:r>
      <w:r>
        <w:rPr/>
        <w:t>les</w:t>
      </w:r>
      <w:r>
        <w:rPr>
          <w:spacing w:val="-14"/>
        </w:rPr>
        <w:t> </w:t>
      </w:r>
      <w:r>
        <w:rPr/>
        <w:t>termes</w:t>
      </w:r>
      <w:r>
        <w:rPr>
          <w:spacing w:val="-15"/>
        </w:rPr>
        <w:t> </w:t>
      </w:r>
      <w:r>
        <w:rPr/>
        <w:t>de</w:t>
      </w:r>
      <w:r>
        <w:rPr>
          <w:spacing w:val="-15"/>
        </w:rPr>
        <w:t> </w:t>
      </w:r>
      <w:r>
        <w:rPr/>
        <w:t>références</w:t>
      </w:r>
      <w:r>
        <w:rPr>
          <w:spacing w:val="-14"/>
        </w:rPr>
        <w:t> </w:t>
      </w:r>
      <w:r>
        <w:rPr/>
        <w:t>prévoient</w:t>
      </w:r>
      <w:r>
        <w:rPr>
          <w:spacing w:val="-15"/>
        </w:rPr>
        <w:t> </w:t>
      </w:r>
      <w:r>
        <w:rPr/>
        <w:t>un</w:t>
      </w:r>
      <w:r>
        <w:rPr>
          <w:spacing w:val="-14"/>
        </w:rPr>
        <w:t> </w:t>
      </w:r>
      <w:r>
        <w:rPr/>
        <w:t>délai de garantie, il peut être exigé, outre le cautionnement bancaire définitif, et/ou la garantie opérationnelle et technique une retenue de garantie qui sera prélevée sur les paiements d'acomptes effectués, en garantie de la bonne exécution et du recouvrement des sommes dont le titulaire du marché serait reconnu débiteur au titre de ce</w:t>
      </w:r>
      <w:r>
        <w:rPr>
          <w:spacing w:val="-4"/>
        </w:rPr>
        <w:t> </w:t>
      </w:r>
      <w:r>
        <w:rPr/>
        <w:t>marché.</w:t>
      </w:r>
    </w:p>
    <w:p>
      <w:pPr>
        <w:pStyle w:val="BodyText"/>
        <w:ind w:left="999" w:right="762" w:firstLine="568"/>
      </w:pPr>
      <w:r>
        <w:rPr/>
        <w:t>La retenue de garantie ne doit pas excéder dix pour cent (10%) du montant des acomptes à payer au titre du marché et de ses avenants.</w:t>
      </w:r>
    </w:p>
    <w:p>
      <w:pPr>
        <w:pStyle w:val="BodyText"/>
        <w:ind w:left="999" w:right="756" w:firstLine="0"/>
      </w:pPr>
      <w:r>
        <w:rPr/>
        <w:t>La</w:t>
      </w:r>
      <w:r>
        <w:rPr>
          <w:spacing w:val="-16"/>
        </w:rPr>
        <w:t> </w:t>
      </w:r>
      <w:r>
        <w:rPr/>
        <w:t>retenue</w:t>
      </w:r>
      <w:r>
        <w:rPr>
          <w:spacing w:val="-17"/>
        </w:rPr>
        <w:t> </w:t>
      </w:r>
      <w:r>
        <w:rPr/>
        <w:t>de</w:t>
      </w:r>
      <w:r>
        <w:rPr>
          <w:spacing w:val="-16"/>
        </w:rPr>
        <w:t> </w:t>
      </w:r>
      <w:r>
        <w:rPr/>
        <w:t>garantie</w:t>
      </w:r>
      <w:r>
        <w:rPr>
          <w:spacing w:val="-16"/>
        </w:rPr>
        <w:t> </w:t>
      </w:r>
      <w:r>
        <w:rPr/>
        <w:t>et</w:t>
      </w:r>
      <w:r>
        <w:rPr>
          <w:spacing w:val="-14"/>
        </w:rPr>
        <w:t> </w:t>
      </w:r>
      <w:r>
        <w:rPr/>
        <w:t>la</w:t>
      </w:r>
      <w:r>
        <w:rPr>
          <w:spacing w:val="-17"/>
        </w:rPr>
        <w:t> </w:t>
      </w:r>
      <w:r>
        <w:rPr/>
        <w:t>caution</w:t>
      </w:r>
      <w:r>
        <w:rPr>
          <w:spacing w:val="-14"/>
        </w:rPr>
        <w:t> </w:t>
      </w:r>
      <w:r>
        <w:rPr/>
        <w:t>définitive</w:t>
      </w:r>
      <w:r>
        <w:rPr>
          <w:spacing w:val="-15"/>
        </w:rPr>
        <w:t> </w:t>
      </w:r>
      <w:r>
        <w:rPr/>
        <w:t>ne</w:t>
      </w:r>
      <w:r>
        <w:rPr>
          <w:spacing w:val="-15"/>
        </w:rPr>
        <w:t> </w:t>
      </w:r>
      <w:r>
        <w:rPr/>
        <w:t>peuvent</w:t>
      </w:r>
      <w:r>
        <w:rPr>
          <w:spacing w:val="-14"/>
        </w:rPr>
        <w:t> </w:t>
      </w:r>
      <w:r>
        <w:rPr/>
        <w:t>excéder</w:t>
      </w:r>
      <w:r>
        <w:rPr>
          <w:spacing w:val="-15"/>
        </w:rPr>
        <w:t> </w:t>
      </w:r>
      <w:r>
        <w:rPr/>
        <w:t>20%</w:t>
      </w:r>
      <w:r>
        <w:rPr>
          <w:spacing w:val="-18"/>
        </w:rPr>
        <w:t> </w:t>
      </w:r>
      <w:r>
        <w:rPr/>
        <w:t>du</w:t>
      </w:r>
      <w:r>
        <w:rPr>
          <w:spacing w:val="-14"/>
        </w:rPr>
        <w:t> </w:t>
      </w:r>
      <w:r>
        <w:rPr/>
        <w:t>montant du marché.</w:t>
      </w:r>
    </w:p>
    <w:p>
      <w:pPr>
        <w:pStyle w:val="BodyText"/>
        <w:ind w:left="999" w:right="750" w:firstLine="417"/>
      </w:pPr>
      <w:r>
        <w:rPr/>
        <w:t>Le montant de la retenue de garantie est restitué au titulaire du marché, ou la caution</w:t>
      </w:r>
      <w:r>
        <w:rPr>
          <w:spacing w:val="-13"/>
        </w:rPr>
        <w:t> </w:t>
      </w:r>
      <w:r>
        <w:rPr/>
        <w:t>bancaire</w:t>
      </w:r>
      <w:r>
        <w:rPr>
          <w:spacing w:val="-13"/>
        </w:rPr>
        <w:t> </w:t>
      </w:r>
      <w:r>
        <w:rPr/>
        <w:t>qui</w:t>
      </w:r>
      <w:r>
        <w:rPr>
          <w:spacing w:val="-13"/>
        </w:rPr>
        <w:t> </w:t>
      </w:r>
      <w:r>
        <w:rPr/>
        <w:t>la</w:t>
      </w:r>
      <w:r>
        <w:rPr>
          <w:spacing w:val="-13"/>
        </w:rPr>
        <w:t> </w:t>
      </w:r>
      <w:r>
        <w:rPr/>
        <w:t>remplace</w:t>
      </w:r>
      <w:r>
        <w:rPr>
          <w:spacing w:val="-15"/>
        </w:rPr>
        <w:t> </w:t>
      </w:r>
      <w:r>
        <w:rPr/>
        <w:t>devient</w:t>
      </w:r>
      <w:r>
        <w:rPr>
          <w:spacing w:val="-13"/>
        </w:rPr>
        <w:t> </w:t>
      </w:r>
      <w:r>
        <w:rPr/>
        <w:t>caduque,</w:t>
      </w:r>
      <w:r>
        <w:rPr>
          <w:spacing w:val="-14"/>
        </w:rPr>
        <w:t> </w:t>
      </w:r>
      <w:r>
        <w:rPr/>
        <w:t>après</w:t>
      </w:r>
      <w:r>
        <w:rPr>
          <w:spacing w:val="-14"/>
        </w:rPr>
        <w:t> </w:t>
      </w:r>
      <w:r>
        <w:rPr/>
        <w:t>que</w:t>
      </w:r>
      <w:r>
        <w:rPr>
          <w:spacing w:val="-16"/>
        </w:rPr>
        <w:t> </w:t>
      </w:r>
      <w:r>
        <w:rPr/>
        <w:t>le</w:t>
      </w:r>
      <w:r>
        <w:rPr>
          <w:spacing w:val="-16"/>
        </w:rPr>
        <w:t> </w:t>
      </w:r>
      <w:r>
        <w:rPr/>
        <w:t>titulaire</w:t>
      </w:r>
      <w:r>
        <w:rPr>
          <w:spacing w:val="-15"/>
        </w:rPr>
        <w:t> </w:t>
      </w:r>
      <w:r>
        <w:rPr/>
        <w:t>du</w:t>
      </w:r>
      <w:r>
        <w:rPr>
          <w:spacing w:val="-13"/>
        </w:rPr>
        <w:t> </w:t>
      </w:r>
      <w:r>
        <w:rPr/>
        <w:t>marché ait</w:t>
      </w:r>
      <w:r>
        <w:rPr>
          <w:spacing w:val="23"/>
        </w:rPr>
        <w:t> </w:t>
      </w:r>
      <w:r>
        <w:rPr/>
        <w:t>accompli</w:t>
      </w:r>
      <w:r>
        <w:rPr>
          <w:spacing w:val="29"/>
        </w:rPr>
        <w:t> </w:t>
      </w:r>
      <w:r>
        <w:rPr/>
        <w:t>toutes</w:t>
      </w:r>
      <w:r>
        <w:rPr>
          <w:spacing w:val="24"/>
        </w:rPr>
        <w:t> </w:t>
      </w:r>
      <w:r>
        <w:rPr/>
        <w:t>ses</w:t>
      </w:r>
      <w:r>
        <w:rPr>
          <w:spacing w:val="23"/>
        </w:rPr>
        <w:t> </w:t>
      </w:r>
      <w:r>
        <w:rPr/>
        <w:t>obligations,</w:t>
      </w:r>
      <w:r>
        <w:rPr>
          <w:spacing w:val="25"/>
        </w:rPr>
        <w:t> </w:t>
      </w:r>
      <w:r>
        <w:rPr/>
        <w:t>et</w:t>
      </w:r>
      <w:r>
        <w:rPr>
          <w:spacing w:val="25"/>
        </w:rPr>
        <w:t> </w:t>
      </w:r>
      <w:r>
        <w:rPr/>
        <w:t>ce,</w:t>
      </w:r>
      <w:r>
        <w:rPr>
          <w:spacing w:val="23"/>
        </w:rPr>
        <w:t> </w:t>
      </w:r>
      <w:r>
        <w:rPr/>
        <w:t>à</w:t>
      </w:r>
      <w:r>
        <w:rPr>
          <w:spacing w:val="26"/>
        </w:rPr>
        <w:t> </w:t>
      </w:r>
      <w:r>
        <w:rPr/>
        <w:t>l'expiration</w:t>
      </w:r>
      <w:r>
        <w:rPr>
          <w:spacing w:val="23"/>
        </w:rPr>
        <w:t> </w:t>
      </w:r>
      <w:r>
        <w:rPr/>
        <w:t>du</w:t>
      </w:r>
      <w:r>
        <w:rPr>
          <w:spacing w:val="24"/>
        </w:rPr>
        <w:t> </w:t>
      </w:r>
      <w:r>
        <w:rPr/>
        <w:t>délai</w:t>
      </w:r>
      <w:r>
        <w:rPr>
          <w:spacing w:val="23"/>
        </w:rPr>
        <w:t> </w:t>
      </w:r>
      <w:r>
        <w:rPr/>
        <w:t>de</w:t>
      </w:r>
      <w:r>
        <w:rPr>
          <w:spacing w:val="34"/>
        </w:rPr>
        <w:t> </w:t>
      </w:r>
      <w:r>
        <w:rPr/>
        <w:t>quatre</w:t>
      </w:r>
      <w:r>
        <w:rPr>
          <w:spacing w:val="26"/>
        </w:rPr>
        <w:t> </w:t>
      </w:r>
      <w:r>
        <w:rPr/>
        <w:t>(04)</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62" w:firstLine="0"/>
      </w:pPr>
      <w:r>
        <w:rPr/>
        <w:t>mois à partir de la date de la réception définitive ou à l’expiration du délai de garantie.</w:t>
      </w:r>
    </w:p>
    <w:p>
      <w:pPr>
        <w:pStyle w:val="BodyText"/>
        <w:ind w:left="999" w:right="755" w:firstLine="568"/>
      </w:pPr>
      <w:r>
        <w:rPr/>
        <w:t>Si le titulaire du marché n’a pas honoré ses engagements, le GCT ferait opposition dans les délais susvisés, sur la retenue de garantie ou la caution définitive qui la remplace. Dans ce cas, la retenue de garantie n’est restituée au titulaire du marché que par main levée délivrée par le GCT. Dans tous les cas, le GCT</w:t>
      </w:r>
      <w:r>
        <w:rPr>
          <w:spacing w:val="-11"/>
        </w:rPr>
        <w:t> </w:t>
      </w:r>
      <w:r>
        <w:rPr/>
        <w:t>est</w:t>
      </w:r>
      <w:r>
        <w:rPr>
          <w:spacing w:val="-8"/>
        </w:rPr>
        <w:t> </w:t>
      </w:r>
      <w:r>
        <w:rPr/>
        <w:t>tenu</w:t>
      </w:r>
      <w:r>
        <w:rPr>
          <w:spacing w:val="-11"/>
        </w:rPr>
        <w:t> </w:t>
      </w:r>
      <w:r>
        <w:rPr/>
        <w:t>d'informer,</w:t>
      </w:r>
      <w:r>
        <w:rPr>
          <w:spacing w:val="-9"/>
        </w:rPr>
        <w:t> </w:t>
      </w:r>
      <w:r>
        <w:rPr/>
        <w:t>par</w:t>
      </w:r>
      <w:r>
        <w:rPr>
          <w:spacing w:val="-7"/>
        </w:rPr>
        <w:t> </w:t>
      </w:r>
      <w:r>
        <w:rPr/>
        <w:t>écrit,</w:t>
      </w:r>
      <w:r>
        <w:rPr>
          <w:spacing w:val="-10"/>
        </w:rPr>
        <w:t> </w:t>
      </w:r>
      <w:r>
        <w:rPr/>
        <w:t>la</w:t>
      </w:r>
      <w:r>
        <w:rPr>
          <w:spacing w:val="-9"/>
        </w:rPr>
        <w:t> </w:t>
      </w:r>
      <w:r>
        <w:rPr/>
        <w:t>banque</w:t>
      </w:r>
      <w:r>
        <w:rPr>
          <w:spacing w:val="-9"/>
        </w:rPr>
        <w:t> </w:t>
      </w:r>
      <w:r>
        <w:rPr/>
        <w:t>qui</w:t>
      </w:r>
      <w:r>
        <w:rPr>
          <w:spacing w:val="-11"/>
        </w:rPr>
        <w:t> </w:t>
      </w:r>
      <w:r>
        <w:rPr/>
        <w:t>s'est</w:t>
      </w:r>
      <w:r>
        <w:rPr>
          <w:spacing w:val="-9"/>
        </w:rPr>
        <w:t> </w:t>
      </w:r>
      <w:r>
        <w:rPr/>
        <w:t>portée</w:t>
      </w:r>
      <w:r>
        <w:rPr>
          <w:spacing w:val="-11"/>
        </w:rPr>
        <w:t> </w:t>
      </w:r>
      <w:r>
        <w:rPr/>
        <w:t>garant</w:t>
      </w:r>
      <w:r>
        <w:rPr>
          <w:spacing w:val="-11"/>
        </w:rPr>
        <w:t> </w:t>
      </w:r>
      <w:r>
        <w:rPr/>
        <w:t>du</w:t>
      </w:r>
      <w:r>
        <w:rPr>
          <w:spacing w:val="-11"/>
        </w:rPr>
        <w:t> </w:t>
      </w:r>
      <w:r>
        <w:rPr/>
        <w:t>titulaire</w:t>
      </w:r>
      <w:r>
        <w:rPr>
          <w:spacing w:val="-11"/>
        </w:rPr>
        <w:t> </w:t>
      </w:r>
      <w:r>
        <w:rPr/>
        <w:t>du marché.</w:t>
      </w:r>
    </w:p>
    <w:p>
      <w:pPr>
        <w:pStyle w:val="Heading2"/>
        <w:numPr>
          <w:ilvl w:val="0"/>
          <w:numId w:val="16"/>
        </w:numPr>
        <w:tabs>
          <w:tab w:pos="1000" w:val="left" w:leader="none"/>
        </w:tabs>
        <w:spacing w:line="341" w:lineRule="exact" w:before="124" w:after="0"/>
        <w:ind w:left="999" w:right="0" w:hanging="284"/>
        <w:jc w:val="both"/>
      </w:pPr>
      <w:r>
        <w:rPr/>
        <w:t>Garantie de restitution</w:t>
      </w:r>
      <w:r>
        <w:rPr>
          <w:spacing w:val="-2"/>
        </w:rPr>
        <w:t> </w:t>
      </w:r>
      <w:r>
        <w:rPr/>
        <w:t>d’avance</w:t>
      </w:r>
    </w:p>
    <w:p>
      <w:pPr>
        <w:pStyle w:val="BodyText"/>
        <w:ind w:left="999" w:right="751" w:firstLine="568"/>
      </w:pPr>
      <w:r>
        <w:rPr/>
        <w:t>L’avance à accorder au titulaire du marché doit être remplacée par une garantie de même valeur à première demande ou un cautionnement qui doit être fourni</w:t>
      </w:r>
      <w:r>
        <w:rPr>
          <w:spacing w:val="-13"/>
        </w:rPr>
        <w:t> </w:t>
      </w:r>
      <w:r>
        <w:rPr/>
        <w:t>en</w:t>
      </w:r>
      <w:r>
        <w:rPr>
          <w:spacing w:val="-14"/>
        </w:rPr>
        <w:t> </w:t>
      </w:r>
      <w:r>
        <w:rPr/>
        <w:t>garantie</w:t>
      </w:r>
      <w:r>
        <w:rPr>
          <w:spacing w:val="-15"/>
        </w:rPr>
        <w:t> </w:t>
      </w:r>
      <w:r>
        <w:rPr/>
        <w:t>du</w:t>
      </w:r>
      <w:r>
        <w:rPr>
          <w:spacing w:val="-14"/>
        </w:rPr>
        <w:t> </w:t>
      </w:r>
      <w:r>
        <w:rPr/>
        <w:t>remboursement</w:t>
      </w:r>
      <w:r>
        <w:rPr>
          <w:spacing w:val="-13"/>
        </w:rPr>
        <w:t> </w:t>
      </w:r>
      <w:r>
        <w:rPr/>
        <w:t>des</w:t>
      </w:r>
      <w:r>
        <w:rPr>
          <w:spacing w:val="-12"/>
        </w:rPr>
        <w:t> </w:t>
      </w:r>
      <w:r>
        <w:rPr/>
        <w:t>avances.</w:t>
      </w:r>
      <w:r>
        <w:rPr>
          <w:spacing w:val="-13"/>
        </w:rPr>
        <w:t> </w:t>
      </w:r>
      <w:r>
        <w:rPr/>
        <w:t>Cette</w:t>
      </w:r>
      <w:r>
        <w:rPr>
          <w:spacing w:val="-15"/>
        </w:rPr>
        <w:t> </w:t>
      </w:r>
      <w:r>
        <w:rPr/>
        <w:t>garantie</w:t>
      </w:r>
      <w:r>
        <w:rPr>
          <w:spacing w:val="-15"/>
        </w:rPr>
        <w:t> </w:t>
      </w:r>
      <w:r>
        <w:rPr/>
        <w:t>est</w:t>
      </w:r>
      <w:r>
        <w:rPr>
          <w:spacing w:val="-13"/>
        </w:rPr>
        <w:t> </w:t>
      </w:r>
      <w:r>
        <w:rPr/>
        <w:t>libérée</w:t>
      </w:r>
      <w:r>
        <w:rPr>
          <w:spacing w:val="-14"/>
        </w:rPr>
        <w:t> </w:t>
      </w:r>
      <w:r>
        <w:rPr/>
        <w:t>au</w:t>
      </w:r>
      <w:r>
        <w:rPr>
          <w:spacing w:val="-14"/>
        </w:rPr>
        <w:t> </w:t>
      </w:r>
      <w:r>
        <w:rPr/>
        <w:t>fur et à mesure que les avances sont effectivement</w:t>
      </w:r>
      <w:r>
        <w:rPr>
          <w:spacing w:val="-4"/>
        </w:rPr>
        <w:t> </w:t>
      </w:r>
      <w:r>
        <w:rPr/>
        <w:t>remboursées.</w:t>
      </w:r>
    </w:p>
    <w:p>
      <w:pPr>
        <w:pStyle w:val="BodyText"/>
        <w:ind w:left="999" w:right="748" w:firstLine="568"/>
      </w:pPr>
      <w:r>
        <w:rPr/>
        <w:t>Cette avance est calculée sur la base du montant du douze premier mois marché diminué, le cas échéant, du montant des prestations confiées à des sous- traitants et donnants lieux à paiement direct.</w:t>
      </w:r>
    </w:p>
    <w:p>
      <w:pPr>
        <w:pStyle w:val="BodyText"/>
        <w:ind w:left="999" w:right="750" w:firstLine="0"/>
      </w:pPr>
      <w:r>
        <w:rPr/>
        <w:t>Dans le cas d'un accord-cadre exécuté au moyen de bons de commande, l'avance est accordée en une seule fois chaque année d’exécution sur la base du montant minimum.</w:t>
      </w:r>
    </w:p>
    <w:p>
      <w:pPr>
        <w:pStyle w:val="Heading2"/>
        <w:numPr>
          <w:ilvl w:val="0"/>
          <w:numId w:val="16"/>
        </w:numPr>
        <w:tabs>
          <w:tab w:pos="1000" w:val="left" w:leader="none"/>
        </w:tabs>
        <w:spacing w:line="341" w:lineRule="exact" w:before="121" w:after="0"/>
        <w:ind w:left="999" w:right="0" w:hanging="284"/>
        <w:jc w:val="both"/>
      </w:pPr>
      <w:r>
        <w:rPr/>
        <w:t>Nantissement du</w:t>
      </w:r>
      <w:r>
        <w:rPr>
          <w:spacing w:val="-3"/>
        </w:rPr>
        <w:t> </w:t>
      </w:r>
      <w:r>
        <w:rPr/>
        <w:t>marché</w:t>
      </w:r>
    </w:p>
    <w:p>
      <w:pPr>
        <w:pStyle w:val="BodyText"/>
        <w:ind w:left="999" w:right="748" w:firstLine="568"/>
      </w:pPr>
      <w:r>
        <w:rPr/>
        <w:t>Les créances nées ou à naître, au titre d’un marché passé conformément aux dispositions du présent manuel, peuvent être affectées en nantissement par une convention conclue entre le titulaire du marché et un tiers appelé créancier ou bénéficiaire du nantissement. Sauf autorisation expresse du Ministre chargé des Finances, ce tiers ne peut être qu’une banque ou un établissement financier agréé en Tunisie.</w:t>
      </w:r>
    </w:p>
    <w:p>
      <w:pPr>
        <w:pStyle w:val="BodyText"/>
        <w:ind w:left="999" w:right="758" w:firstLine="568"/>
      </w:pPr>
      <w:r>
        <w:rPr/>
        <w:t>Les</w:t>
      </w:r>
      <w:r>
        <w:rPr>
          <w:spacing w:val="-17"/>
        </w:rPr>
        <w:t> </w:t>
      </w:r>
      <w:r>
        <w:rPr/>
        <w:t>marchés</w:t>
      </w:r>
      <w:r>
        <w:rPr>
          <w:spacing w:val="-18"/>
        </w:rPr>
        <w:t> </w:t>
      </w:r>
      <w:r>
        <w:rPr/>
        <w:t>comportant</w:t>
      </w:r>
      <w:r>
        <w:rPr>
          <w:spacing w:val="-20"/>
        </w:rPr>
        <w:t> </w:t>
      </w:r>
      <w:r>
        <w:rPr/>
        <w:t>une</w:t>
      </w:r>
      <w:r>
        <w:rPr>
          <w:spacing w:val="-19"/>
        </w:rPr>
        <w:t> </w:t>
      </w:r>
      <w:r>
        <w:rPr/>
        <w:t>clause</w:t>
      </w:r>
      <w:r>
        <w:rPr>
          <w:spacing w:val="-19"/>
        </w:rPr>
        <w:t> </w:t>
      </w:r>
      <w:r>
        <w:rPr/>
        <w:t>de</w:t>
      </w:r>
      <w:r>
        <w:rPr>
          <w:spacing w:val="-19"/>
        </w:rPr>
        <w:t> </w:t>
      </w:r>
      <w:r>
        <w:rPr/>
        <w:t>nantissement</w:t>
      </w:r>
      <w:r>
        <w:rPr>
          <w:spacing w:val="-18"/>
        </w:rPr>
        <w:t> </w:t>
      </w:r>
      <w:r>
        <w:rPr/>
        <w:t>doivent</w:t>
      </w:r>
      <w:r>
        <w:rPr>
          <w:spacing w:val="-21"/>
        </w:rPr>
        <w:t> </w:t>
      </w:r>
      <w:r>
        <w:rPr/>
        <w:t>obligatoirement indiquer les modalités du règlement et désigner le comptable du paiement. Ce comptable</w:t>
      </w:r>
      <w:r>
        <w:rPr>
          <w:spacing w:val="-11"/>
        </w:rPr>
        <w:t> </w:t>
      </w:r>
      <w:r>
        <w:rPr/>
        <w:t>sera,</w:t>
      </w:r>
      <w:r>
        <w:rPr>
          <w:spacing w:val="-10"/>
        </w:rPr>
        <w:t> </w:t>
      </w:r>
      <w:r>
        <w:rPr/>
        <w:t>un</w:t>
      </w:r>
      <w:r>
        <w:rPr>
          <w:spacing w:val="-9"/>
        </w:rPr>
        <w:t> </w:t>
      </w:r>
      <w:r>
        <w:rPr/>
        <w:t>établissement</w:t>
      </w:r>
      <w:r>
        <w:rPr>
          <w:spacing w:val="-12"/>
        </w:rPr>
        <w:t> </w:t>
      </w:r>
      <w:r>
        <w:rPr/>
        <w:t>bancaire</w:t>
      </w:r>
      <w:r>
        <w:rPr>
          <w:spacing w:val="-12"/>
        </w:rPr>
        <w:t> </w:t>
      </w:r>
      <w:r>
        <w:rPr/>
        <w:t>où</w:t>
      </w:r>
      <w:r>
        <w:rPr>
          <w:spacing w:val="-12"/>
        </w:rPr>
        <w:t> </w:t>
      </w:r>
      <w:r>
        <w:rPr/>
        <w:t>le</w:t>
      </w:r>
      <w:r>
        <w:rPr>
          <w:spacing w:val="-10"/>
        </w:rPr>
        <w:t> </w:t>
      </w:r>
      <w:r>
        <w:rPr/>
        <w:t>paiement</w:t>
      </w:r>
      <w:r>
        <w:rPr>
          <w:spacing w:val="-12"/>
        </w:rPr>
        <w:t> </w:t>
      </w:r>
      <w:r>
        <w:rPr/>
        <w:t>sera</w:t>
      </w:r>
      <w:r>
        <w:rPr>
          <w:spacing w:val="-10"/>
        </w:rPr>
        <w:t> </w:t>
      </w:r>
      <w:r>
        <w:rPr/>
        <w:t>assigné,</w:t>
      </w:r>
      <w:r>
        <w:rPr>
          <w:spacing w:val="-10"/>
        </w:rPr>
        <w:t> </w:t>
      </w:r>
      <w:r>
        <w:rPr/>
        <w:t>ou</w:t>
      </w:r>
      <w:r>
        <w:rPr>
          <w:spacing w:val="-9"/>
        </w:rPr>
        <w:t> </w:t>
      </w:r>
      <w:r>
        <w:rPr/>
        <w:t>bien</w:t>
      </w:r>
      <w:r>
        <w:rPr>
          <w:spacing w:val="-10"/>
        </w:rPr>
        <w:t> </w:t>
      </w:r>
      <w:r>
        <w:rPr/>
        <w:t>au GCT</w:t>
      </w:r>
      <w:r>
        <w:rPr>
          <w:spacing w:val="-2"/>
        </w:rPr>
        <w:t> </w:t>
      </w:r>
      <w:r>
        <w:rPr/>
        <w:t>lui-même.</w:t>
      </w:r>
    </w:p>
    <w:p>
      <w:pPr>
        <w:pStyle w:val="BodyText"/>
        <w:spacing w:before="240"/>
        <w:ind w:right="760"/>
      </w:pPr>
      <w:r>
        <w:rPr/>
        <w:t>Les procédures de gestion des cautionnements sont arrêtées par des notes approuvées par la Direction Générale.</w:t>
      </w:r>
    </w:p>
    <w:p>
      <w:pPr>
        <w:pStyle w:val="Heading2"/>
        <w:numPr>
          <w:ilvl w:val="1"/>
          <w:numId w:val="12"/>
        </w:numPr>
        <w:tabs>
          <w:tab w:pos="986" w:val="left" w:leader="none"/>
        </w:tabs>
        <w:spacing w:line="319" w:lineRule="exact" w:before="4" w:after="0"/>
        <w:ind w:left="985" w:right="0" w:hanging="553"/>
        <w:jc w:val="both"/>
      </w:pPr>
      <w:bookmarkStart w:name="_TOC_250125" w:id="16"/>
      <w:r>
        <w:rPr/>
        <w:t>Commissions de passation des</w:t>
      </w:r>
      <w:r>
        <w:rPr>
          <w:spacing w:val="1"/>
        </w:rPr>
        <w:t> </w:t>
      </w:r>
      <w:bookmarkEnd w:id="16"/>
      <w:r>
        <w:rPr/>
        <w:t>achats</w:t>
      </w:r>
    </w:p>
    <w:p>
      <w:pPr>
        <w:pStyle w:val="ListParagraph"/>
        <w:numPr>
          <w:ilvl w:val="2"/>
          <w:numId w:val="12"/>
        </w:numPr>
        <w:tabs>
          <w:tab w:pos="1000" w:val="left" w:leader="none"/>
        </w:tabs>
        <w:spacing w:line="240" w:lineRule="auto" w:before="0" w:after="0"/>
        <w:ind w:left="999" w:right="749" w:hanging="284"/>
        <w:jc w:val="both"/>
        <w:rPr>
          <w:sz w:val="28"/>
        </w:rPr>
      </w:pPr>
      <w:r>
        <w:rPr>
          <w:b/>
          <w:sz w:val="28"/>
        </w:rPr>
        <w:t>Commission de contrôle : </w:t>
      </w:r>
      <w:r>
        <w:rPr>
          <w:sz w:val="28"/>
        </w:rPr>
        <w:t>Commission créée par le GCT chargée d’examiner la régularité des procédures de mise en concurrence, de passation des achats et de leurs conditions</w:t>
      </w:r>
      <w:r>
        <w:rPr>
          <w:spacing w:val="1"/>
          <w:sz w:val="28"/>
        </w:rPr>
        <w:t> </w:t>
      </w:r>
      <w:r>
        <w:rPr>
          <w:sz w:val="28"/>
        </w:rPr>
        <w:t>d’exécution.</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Commission d’évaluation des offres : </w:t>
      </w:r>
      <w:r>
        <w:rPr>
          <w:sz w:val="28"/>
        </w:rPr>
        <w:t>Commission créée par le GCT chargée d’évaluer les offres et de présenter une proposition d’attribution de</w:t>
      </w:r>
      <w:r>
        <w:rPr>
          <w:spacing w:val="-15"/>
          <w:sz w:val="28"/>
        </w:rPr>
        <w:t> </w:t>
      </w:r>
      <w:r>
        <w:rPr>
          <w:sz w:val="28"/>
        </w:rPr>
        <w:t>l’achat.</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Commission</w:t>
      </w:r>
      <w:r>
        <w:rPr>
          <w:b/>
          <w:spacing w:val="-6"/>
          <w:sz w:val="28"/>
        </w:rPr>
        <w:t> </w:t>
      </w:r>
      <w:r>
        <w:rPr>
          <w:b/>
          <w:sz w:val="28"/>
        </w:rPr>
        <w:t>d’ouverture</w:t>
      </w:r>
      <w:r>
        <w:rPr>
          <w:b/>
          <w:spacing w:val="-5"/>
          <w:sz w:val="28"/>
        </w:rPr>
        <w:t> </w:t>
      </w:r>
      <w:r>
        <w:rPr>
          <w:b/>
          <w:sz w:val="28"/>
        </w:rPr>
        <w:t>des</w:t>
      </w:r>
      <w:r>
        <w:rPr>
          <w:b/>
          <w:spacing w:val="-7"/>
          <w:sz w:val="28"/>
        </w:rPr>
        <w:t> </w:t>
      </w:r>
      <w:r>
        <w:rPr>
          <w:b/>
          <w:sz w:val="28"/>
        </w:rPr>
        <w:t>offres</w:t>
      </w:r>
      <w:r>
        <w:rPr>
          <w:b/>
          <w:spacing w:val="-5"/>
          <w:sz w:val="28"/>
        </w:rPr>
        <w:t> </w:t>
      </w:r>
      <w:r>
        <w:rPr>
          <w:b/>
          <w:sz w:val="28"/>
        </w:rPr>
        <w:t>:</w:t>
      </w:r>
      <w:r>
        <w:rPr>
          <w:b/>
          <w:spacing w:val="-1"/>
          <w:sz w:val="28"/>
        </w:rPr>
        <w:t> </w:t>
      </w:r>
      <w:r>
        <w:rPr>
          <w:sz w:val="28"/>
        </w:rPr>
        <w:t>Commission</w:t>
      </w:r>
      <w:r>
        <w:rPr>
          <w:spacing w:val="-5"/>
          <w:sz w:val="28"/>
        </w:rPr>
        <w:t> </w:t>
      </w:r>
      <w:r>
        <w:rPr>
          <w:sz w:val="28"/>
        </w:rPr>
        <w:t>créée</w:t>
      </w:r>
      <w:r>
        <w:rPr>
          <w:spacing w:val="-7"/>
          <w:sz w:val="28"/>
        </w:rPr>
        <w:t> </w:t>
      </w:r>
      <w:r>
        <w:rPr>
          <w:sz w:val="28"/>
        </w:rPr>
        <w:t>par</w:t>
      </w:r>
      <w:r>
        <w:rPr>
          <w:spacing w:val="-7"/>
          <w:sz w:val="28"/>
        </w:rPr>
        <w:t> </w:t>
      </w:r>
      <w:r>
        <w:rPr>
          <w:sz w:val="28"/>
        </w:rPr>
        <w:t>le</w:t>
      </w:r>
      <w:r>
        <w:rPr>
          <w:spacing w:val="-8"/>
          <w:sz w:val="28"/>
        </w:rPr>
        <w:t> </w:t>
      </w:r>
      <w:r>
        <w:rPr>
          <w:sz w:val="28"/>
        </w:rPr>
        <w:t>GCT</w:t>
      </w:r>
      <w:r>
        <w:rPr>
          <w:spacing w:val="-8"/>
          <w:sz w:val="28"/>
        </w:rPr>
        <w:t> </w:t>
      </w:r>
      <w:r>
        <w:rPr>
          <w:sz w:val="28"/>
        </w:rPr>
        <w:t>chargée</w:t>
      </w:r>
      <w:r>
        <w:rPr>
          <w:spacing w:val="-7"/>
          <w:sz w:val="28"/>
        </w:rPr>
        <w:t> </w:t>
      </w:r>
      <w:r>
        <w:rPr>
          <w:sz w:val="28"/>
        </w:rPr>
        <w:t>de l’ouverture des offres.</w:t>
      </w:r>
    </w:p>
    <w:p>
      <w:pPr>
        <w:spacing w:after="0" w:line="240" w:lineRule="auto"/>
        <w:jc w:val="both"/>
        <w:rPr>
          <w:sz w:val="28"/>
        </w:rPr>
        <w:sectPr>
          <w:pgSz w:w="11910" w:h="16840"/>
          <w:pgMar w:header="722" w:footer="0" w:top="1860" w:bottom="280" w:left="700" w:right="380"/>
        </w:sectPr>
      </w:pPr>
    </w:p>
    <w:p>
      <w:pPr>
        <w:pStyle w:val="BodyText"/>
        <w:spacing w:before="8"/>
        <w:ind w:left="0" w:firstLine="0"/>
        <w:jc w:val="left"/>
        <w:rPr>
          <w:sz w:val="16"/>
        </w:rPr>
      </w:pPr>
    </w:p>
    <w:p>
      <w:pPr>
        <w:pStyle w:val="Heading2"/>
        <w:numPr>
          <w:ilvl w:val="1"/>
          <w:numId w:val="12"/>
        </w:numPr>
        <w:tabs>
          <w:tab w:pos="986" w:val="left" w:leader="none"/>
        </w:tabs>
        <w:spacing w:line="319" w:lineRule="exact" w:before="89" w:after="0"/>
        <w:ind w:left="985" w:right="0" w:hanging="553"/>
        <w:jc w:val="both"/>
      </w:pPr>
      <w:bookmarkStart w:name="_TOC_250124" w:id="17"/>
      <w:r>
        <w:rPr/>
        <w:t>Le Système</w:t>
      </w:r>
      <w:r>
        <w:rPr>
          <w:spacing w:val="-2"/>
        </w:rPr>
        <w:t> </w:t>
      </w:r>
      <w:bookmarkEnd w:id="17"/>
      <w:r>
        <w:rPr/>
        <w:t>TUNEPS</w:t>
      </w:r>
    </w:p>
    <w:p>
      <w:pPr>
        <w:pStyle w:val="BodyText"/>
        <w:ind w:right="758"/>
      </w:pPr>
      <w:r>
        <w:rPr/>
        <w:t>Le</w:t>
      </w:r>
      <w:r>
        <w:rPr>
          <w:spacing w:val="-19"/>
        </w:rPr>
        <w:t> </w:t>
      </w:r>
      <w:r>
        <w:rPr/>
        <w:t>Système</w:t>
      </w:r>
      <w:r>
        <w:rPr>
          <w:spacing w:val="-18"/>
        </w:rPr>
        <w:t> </w:t>
      </w:r>
      <w:r>
        <w:rPr/>
        <w:t>tunisien</w:t>
      </w:r>
      <w:r>
        <w:rPr>
          <w:spacing w:val="-18"/>
        </w:rPr>
        <w:t> </w:t>
      </w:r>
      <w:r>
        <w:rPr/>
        <w:t>des</w:t>
      </w:r>
      <w:r>
        <w:rPr>
          <w:spacing w:val="-17"/>
        </w:rPr>
        <w:t> </w:t>
      </w:r>
      <w:r>
        <w:rPr/>
        <w:t>achats</w:t>
      </w:r>
      <w:r>
        <w:rPr>
          <w:spacing w:val="-20"/>
        </w:rPr>
        <w:t> </w:t>
      </w:r>
      <w:r>
        <w:rPr/>
        <w:t>publics</w:t>
      </w:r>
      <w:r>
        <w:rPr>
          <w:spacing w:val="-17"/>
        </w:rPr>
        <w:t> </w:t>
      </w:r>
      <w:r>
        <w:rPr/>
        <w:t>en</w:t>
      </w:r>
      <w:r>
        <w:rPr>
          <w:spacing w:val="-18"/>
        </w:rPr>
        <w:t> </w:t>
      </w:r>
      <w:r>
        <w:rPr/>
        <w:t>ligne</w:t>
      </w:r>
      <w:r>
        <w:rPr>
          <w:spacing w:val="-18"/>
        </w:rPr>
        <w:t> </w:t>
      </w:r>
      <w:r>
        <w:rPr/>
        <w:t>(TUNEPS)</w:t>
      </w:r>
      <w:r>
        <w:rPr>
          <w:spacing w:val="-18"/>
        </w:rPr>
        <w:t> </w:t>
      </w:r>
      <w:r>
        <w:rPr/>
        <w:t>comprend</w:t>
      </w:r>
      <w:r>
        <w:rPr>
          <w:spacing w:val="-18"/>
        </w:rPr>
        <w:t> </w:t>
      </w:r>
      <w:r>
        <w:rPr/>
        <w:t>les</w:t>
      </w:r>
      <w:r>
        <w:rPr>
          <w:spacing w:val="-17"/>
        </w:rPr>
        <w:t> </w:t>
      </w:r>
      <w:r>
        <w:rPr/>
        <w:t>modules suivants :</w:t>
      </w:r>
    </w:p>
    <w:p>
      <w:pPr>
        <w:pStyle w:val="ListParagraph"/>
        <w:numPr>
          <w:ilvl w:val="2"/>
          <w:numId w:val="12"/>
        </w:numPr>
        <w:tabs>
          <w:tab w:pos="1000" w:val="left" w:leader="none"/>
        </w:tabs>
        <w:spacing w:line="240" w:lineRule="auto" w:before="0" w:after="0"/>
        <w:ind w:left="999" w:right="755" w:hanging="284"/>
        <w:jc w:val="both"/>
        <w:rPr>
          <w:sz w:val="28"/>
        </w:rPr>
      </w:pPr>
      <w:r>
        <w:rPr>
          <w:b/>
          <w:sz w:val="28"/>
        </w:rPr>
        <w:t>E-SHOPPING MALL : </w:t>
      </w:r>
      <w:r>
        <w:rPr>
          <w:sz w:val="28"/>
        </w:rPr>
        <w:t>C’est un sous-système de TUNEPS, qui gère les achats publics hors</w:t>
      </w:r>
      <w:r>
        <w:rPr>
          <w:spacing w:val="1"/>
          <w:sz w:val="28"/>
        </w:rPr>
        <w:t> </w:t>
      </w:r>
      <w:r>
        <w:rPr>
          <w:sz w:val="28"/>
        </w:rPr>
        <w:t>marchés.</w:t>
      </w:r>
    </w:p>
    <w:p>
      <w:pPr>
        <w:pStyle w:val="ListParagraph"/>
        <w:numPr>
          <w:ilvl w:val="2"/>
          <w:numId w:val="12"/>
        </w:numPr>
        <w:tabs>
          <w:tab w:pos="1000" w:val="left" w:leader="none"/>
        </w:tabs>
        <w:spacing w:line="240" w:lineRule="auto" w:before="0" w:after="0"/>
        <w:ind w:left="999" w:right="757" w:hanging="284"/>
        <w:jc w:val="both"/>
        <w:rPr>
          <w:sz w:val="28"/>
        </w:rPr>
      </w:pPr>
      <w:r>
        <w:rPr>
          <w:b/>
          <w:sz w:val="28"/>
        </w:rPr>
        <w:t>E-BIDDING : </w:t>
      </w:r>
      <w:r>
        <w:rPr>
          <w:sz w:val="28"/>
        </w:rPr>
        <w:t>C’est un sous-système de TUNEPS à travers lequel les marchés publics sont</w:t>
      </w:r>
      <w:r>
        <w:rPr>
          <w:spacing w:val="1"/>
          <w:sz w:val="28"/>
        </w:rPr>
        <w:t> </w:t>
      </w:r>
      <w:r>
        <w:rPr>
          <w:sz w:val="28"/>
        </w:rPr>
        <w:t>conclus.</w:t>
      </w:r>
    </w:p>
    <w:p>
      <w:pPr>
        <w:pStyle w:val="ListParagraph"/>
        <w:numPr>
          <w:ilvl w:val="2"/>
          <w:numId w:val="12"/>
        </w:numPr>
        <w:tabs>
          <w:tab w:pos="1000" w:val="left" w:leader="none"/>
        </w:tabs>
        <w:spacing w:line="240" w:lineRule="auto" w:before="0" w:after="0"/>
        <w:ind w:left="999" w:right="753" w:hanging="284"/>
        <w:jc w:val="both"/>
        <w:rPr>
          <w:sz w:val="28"/>
        </w:rPr>
      </w:pPr>
      <w:r>
        <w:rPr>
          <w:b/>
          <w:sz w:val="28"/>
        </w:rPr>
        <w:t>E-CONTRACTING : </w:t>
      </w:r>
      <w:r>
        <w:rPr>
          <w:sz w:val="28"/>
        </w:rPr>
        <w:t>C’est un sous-système de TUNEPS, qui gère les procédures de notification des marchés et la rédaction des</w:t>
      </w:r>
      <w:r>
        <w:rPr>
          <w:spacing w:val="-5"/>
          <w:sz w:val="28"/>
        </w:rPr>
        <w:t> </w:t>
      </w:r>
      <w:r>
        <w:rPr>
          <w:sz w:val="28"/>
        </w:rPr>
        <w:t>contrats.</w:t>
      </w:r>
    </w:p>
    <w:p>
      <w:pPr>
        <w:pStyle w:val="ListParagraph"/>
        <w:numPr>
          <w:ilvl w:val="2"/>
          <w:numId w:val="12"/>
        </w:numPr>
        <w:tabs>
          <w:tab w:pos="1000" w:val="left" w:leader="none"/>
        </w:tabs>
        <w:spacing w:line="240" w:lineRule="auto" w:before="0" w:after="0"/>
        <w:ind w:left="999" w:right="757" w:hanging="284"/>
        <w:jc w:val="both"/>
        <w:rPr>
          <w:sz w:val="28"/>
        </w:rPr>
      </w:pPr>
      <w:r>
        <w:rPr>
          <w:b/>
          <w:sz w:val="28"/>
        </w:rPr>
        <w:t>E-CATALOG</w:t>
      </w:r>
      <w:r>
        <w:rPr>
          <w:b/>
          <w:spacing w:val="-20"/>
          <w:sz w:val="28"/>
        </w:rPr>
        <w:t> </w:t>
      </w:r>
      <w:r>
        <w:rPr>
          <w:b/>
          <w:sz w:val="28"/>
        </w:rPr>
        <w:t>:</w:t>
      </w:r>
      <w:r>
        <w:rPr>
          <w:b/>
          <w:spacing w:val="-20"/>
          <w:sz w:val="28"/>
        </w:rPr>
        <w:t> </w:t>
      </w:r>
      <w:r>
        <w:rPr>
          <w:sz w:val="28"/>
        </w:rPr>
        <w:t>c’est</w:t>
      </w:r>
      <w:r>
        <w:rPr>
          <w:spacing w:val="-21"/>
          <w:sz w:val="28"/>
        </w:rPr>
        <w:t> </w:t>
      </w:r>
      <w:r>
        <w:rPr>
          <w:sz w:val="28"/>
        </w:rPr>
        <w:t>un</w:t>
      </w:r>
      <w:r>
        <w:rPr>
          <w:spacing w:val="-22"/>
          <w:sz w:val="28"/>
        </w:rPr>
        <w:t> </w:t>
      </w:r>
      <w:r>
        <w:rPr>
          <w:sz w:val="28"/>
        </w:rPr>
        <w:t>catalogue</w:t>
      </w:r>
      <w:r>
        <w:rPr>
          <w:spacing w:val="-22"/>
          <w:sz w:val="28"/>
        </w:rPr>
        <w:t> </w:t>
      </w:r>
      <w:r>
        <w:rPr>
          <w:sz w:val="28"/>
        </w:rPr>
        <w:t>électronique</w:t>
      </w:r>
      <w:r>
        <w:rPr>
          <w:spacing w:val="-22"/>
          <w:sz w:val="28"/>
        </w:rPr>
        <w:t> </w:t>
      </w:r>
      <w:r>
        <w:rPr>
          <w:sz w:val="28"/>
        </w:rPr>
        <w:t>qui</w:t>
      </w:r>
      <w:r>
        <w:rPr>
          <w:spacing w:val="-21"/>
          <w:sz w:val="28"/>
        </w:rPr>
        <w:t> </w:t>
      </w:r>
      <w:r>
        <w:rPr>
          <w:sz w:val="28"/>
        </w:rPr>
        <w:t>gère</w:t>
      </w:r>
      <w:r>
        <w:rPr>
          <w:spacing w:val="-22"/>
          <w:sz w:val="28"/>
        </w:rPr>
        <w:t> </w:t>
      </w:r>
      <w:r>
        <w:rPr>
          <w:sz w:val="28"/>
        </w:rPr>
        <w:t>les</w:t>
      </w:r>
      <w:r>
        <w:rPr>
          <w:spacing w:val="-20"/>
          <w:sz w:val="28"/>
        </w:rPr>
        <w:t> </w:t>
      </w:r>
      <w:r>
        <w:rPr>
          <w:sz w:val="28"/>
        </w:rPr>
        <w:t>produits</w:t>
      </w:r>
      <w:r>
        <w:rPr>
          <w:spacing w:val="-21"/>
          <w:sz w:val="28"/>
        </w:rPr>
        <w:t> </w:t>
      </w:r>
      <w:r>
        <w:rPr>
          <w:sz w:val="28"/>
        </w:rPr>
        <w:t>classés</w:t>
      </w:r>
      <w:r>
        <w:rPr>
          <w:spacing w:val="-21"/>
          <w:sz w:val="28"/>
        </w:rPr>
        <w:t> </w:t>
      </w:r>
      <w:r>
        <w:rPr>
          <w:sz w:val="28"/>
        </w:rPr>
        <w:t>selon une classification standard</w:t>
      </w:r>
      <w:r>
        <w:rPr>
          <w:spacing w:val="-3"/>
          <w:sz w:val="28"/>
        </w:rPr>
        <w:t> </w:t>
      </w:r>
      <w:r>
        <w:rPr>
          <w:sz w:val="28"/>
        </w:rPr>
        <w:t>internationale.</w:t>
      </w:r>
    </w:p>
    <w:p>
      <w:pPr>
        <w:pStyle w:val="BodyText"/>
        <w:spacing w:before="234"/>
        <w:ind w:right="750"/>
      </w:pPr>
      <w:r>
        <w:rPr/>
        <w:t>Le GCT peut utiliser TUNEPS pour la passation de ses achats tenant compte de ses propres procédures. Les nouveaux textes réglementaires publiés et toute révision sur</w:t>
      </w:r>
      <w:r>
        <w:rPr>
          <w:spacing w:val="-7"/>
        </w:rPr>
        <w:t> </w:t>
      </w:r>
      <w:r>
        <w:rPr/>
        <w:t>les</w:t>
      </w:r>
      <w:r>
        <w:rPr>
          <w:spacing w:val="-7"/>
        </w:rPr>
        <w:t> </w:t>
      </w:r>
      <w:r>
        <w:rPr/>
        <w:t>dispositions</w:t>
      </w:r>
      <w:r>
        <w:rPr>
          <w:spacing w:val="-3"/>
        </w:rPr>
        <w:t> </w:t>
      </w:r>
      <w:r>
        <w:rPr/>
        <w:t>en</w:t>
      </w:r>
      <w:r>
        <w:rPr>
          <w:spacing w:val="-7"/>
        </w:rPr>
        <w:t> </w:t>
      </w:r>
      <w:r>
        <w:rPr/>
        <w:t>vigueur</w:t>
      </w:r>
      <w:r>
        <w:rPr>
          <w:spacing w:val="-2"/>
        </w:rPr>
        <w:t> </w:t>
      </w:r>
      <w:r>
        <w:rPr/>
        <w:t>concernant</w:t>
      </w:r>
      <w:r>
        <w:rPr>
          <w:spacing w:val="-7"/>
        </w:rPr>
        <w:t> </w:t>
      </w:r>
      <w:r>
        <w:rPr/>
        <w:t>le</w:t>
      </w:r>
      <w:r>
        <w:rPr>
          <w:spacing w:val="-7"/>
        </w:rPr>
        <w:t> </w:t>
      </w:r>
      <w:r>
        <w:rPr/>
        <w:t>système</w:t>
      </w:r>
      <w:r>
        <w:rPr>
          <w:spacing w:val="-2"/>
        </w:rPr>
        <w:t> </w:t>
      </w:r>
      <w:r>
        <w:rPr/>
        <w:t>TUNEPS</w:t>
      </w:r>
      <w:r>
        <w:rPr>
          <w:spacing w:val="-4"/>
        </w:rPr>
        <w:t> </w:t>
      </w:r>
      <w:r>
        <w:rPr/>
        <w:t>peuvent</w:t>
      </w:r>
      <w:r>
        <w:rPr>
          <w:spacing w:val="-4"/>
        </w:rPr>
        <w:t> </w:t>
      </w:r>
      <w:r>
        <w:rPr/>
        <w:t>être</w:t>
      </w:r>
      <w:r>
        <w:rPr>
          <w:spacing w:val="-5"/>
        </w:rPr>
        <w:t> </w:t>
      </w:r>
      <w:r>
        <w:rPr/>
        <w:t>appliqués tant qu’ils ne sont pas contradictoires aux dispositions du présent</w:t>
      </w:r>
      <w:r>
        <w:rPr>
          <w:spacing w:val="-9"/>
        </w:rPr>
        <w:t> </w:t>
      </w:r>
      <w:r>
        <w:rPr/>
        <w:t>manuel.</w:t>
      </w:r>
    </w:p>
    <w:p>
      <w:pPr>
        <w:pStyle w:val="Heading2"/>
        <w:numPr>
          <w:ilvl w:val="1"/>
          <w:numId w:val="12"/>
        </w:numPr>
        <w:tabs>
          <w:tab w:pos="1127" w:val="left" w:leader="none"/>
        </w:tabs>
        <w:spacing w:line="319" w:lineRule="exact" w:before="125" w:after="0"/>
        <w:ind w:left="1126" w:right="0" w:hanging="694"/>
        <w:jc w:val="both"/>
      </w:pPr>
      <w:bookmarkStart w:name="_TOC_250123" w:id="18"/>
      <w:r>
        <w:rPr/>
        <w:t>Autres</w:t>
      </w:r>
      <w:r>
        <w:rPr>
          <w:spacing w:val="-1"/>
        </w:rPr>
        <w:t> </w:t>
      </w:r>
      <w:bookmarkEnd w:id="18"/>
      <w:r>
        <w:rPr/>
        <w:t>définitions</w:t>
      </w:r>
    </w:p>
    <w:p>
      <w:pPr>
        <w:pStyle w:val="ListParagraph"/>
        <w:numPr>
          <w:ilvl w:val="2"/>
          <w:numId w:val="12"/>
        </w:numPr>
        <w:tabs>
          <w:tab w:pos="1000" w:val="left" w:leader="none"/>
        </w:tabs>
        <w:spacing w:line="240" w:lineRule="auto" w:before="0" w:after="0"/>
        <w:ind w:left="999" w:right="751" w:hanging="284"/>
        <w:jc w:val="both"/>
        <w:rPr>
          <w:sz w:val="28"/>
        </w:rPr>
      </w:pPr>
      <w:r>
        <w:rPr>
          <w:b/>
          <w:sz w:val="28"/>
        </w:rPr>
        <w:t>Allotissement : </w:t>
      </w:r>
      <w:r>
        <w:rPr>
          <w:sz w:val="28"/>
        </w:rPr>
        <w:t>La répartition de la commande objet d'un achat en plusieurs lots pour des raisons économiques, financières, techniques ou sociales. Chaque lot constitue une unité autonome et peut être attribué séparément ou avec d’autres lots.</w:t>
      </w:r>
    </w:p>
    <w:p>
      <w:pPr>
        <w:pStyle w:val="ListParagraph"/>
        <w:numPr>
          <w:ilvl w:val="2"/>
          <w:numId w:val="12"/>
        </w:numPr>
        <w:tabs>
          <w:tab w:pos="1000" w:val="left" w:leader="none"/>
        </w:tabs>
        <w:spacing w:line="240" w:lineRule="auto" w:before="0" w:after="0"/>
        <w:ind w:left="999" w:right="752" w:hanging="284"/>
        <w:jc w:val="both"/>
        <w:rPr>
          <w:sz w:val="28"/>
        </w:rPr>
      </w:pPr>
      <w:r>
        <w:rPr>
          <w:b/>
          <w:sz w:val="28"/>
        </w:rPr>
        <w:t>Sous-traitance</w:t>
      </w:r>
      <w:r>
        <w:rPr>
          <w:b/>
          <w:spacing w:val="-9"/>
          <w:sz w:val="28"/>
        </w:rPr>
        <w:t> </w:t>
      </w:r>
      <w:r>
        <w:rPr>
          <w:b/>
          <w:sz w:val="28"/>
        </w:rPr>
        <w:t>:</w:t>
      </w:r>
      <w:r>
        <w:rPr>
          <w:b/>
          <w:spacing w:val="-6"/>
          <w:sz w:val="28"/>
        </w:rPr>
        <w:t> </w:t>
      </w:r>
      <w:r>
        <w:rPr>
          <w:sz w:val="28"/>
        </w:rPr>
        <w:t>Contrat</w:t>
      </w:r>
      <w:r>
        <w:rPr>
          <w:spacing w:val="-7"/>
          <w:sz w:val="28"/>
        </w:rPr>
        <w:t> </w:t>
      </w:r>
      <w:r>
        <w:rPr>
          <w:sz w:val="28"/>
        </w:rPr>
        <w:t>par</w:t>
      </w:r>
      <w:r>
        <w:rPr>
          <w:spacing w:val="-7"/>
          <w:sz w:val="28"/>
        </w:rPr>
        <w:t> </w:t>
      </w:r>
      <w:r>
        <w:rPr>
          <w:sz w:val="28"/>
        </w:rPr>
        <w:t>lequel</w:t>
      </w:r>
      <w:r>
        <w:rPr>
          <w:spacing w:val="-7"/>
          <w:sz w:val="28"/>
        </w:rPr>
        <w:t> </w:t>
      </w:r>
      <w:r>
        <w:rPr>
          <w:sz w:val="28"/>
        </w:rPr>
        <w:t>le</w:t>
      </w:r>
      <w:r>
        <w:rPr>
          <w:spacing w:val="-6"/>
          <w:sz w:val="28"/>
        </w:rPr>
        <w:t> </w:t>
      </w:r>
      <w:r>
        <w:rPr>
          <w:sz w:val="28"/>
        </w:rPr>
        <w:t>fournisseur</w:t>
      </w:r>
      <w:r>
        <w:rPr>
          <w:spacing w:val="-6"/>
          <w:sz w:val="28"/>
        </w:rPr>
        <w:t> </w:t>
      </w:r>
      <w:r>
        <w:rPr>
          <w:sz w:val="28"/>
        </w:rPr>
        <w:t>confie</w:t>
      </w:r>
      <w:r>
        <w:rPr>
          <w:spacing w:val="-8"/>
          <w:sz w:val="28"/>
        </w:rPr>
        <w:t> </w:t>
      </w:r>
      <w:r>
        <w:rPr>
          <w:sz w:val="28"/>
        </w:rPr>
        <w:t>sous</w:t>
      </w:r>
      <w:r>
        <w:rPr>
          <w:spacing w:val="-7"/>
          <w:sz w:val="28"/>
        </w:rPr>
        <w:t> </w:t>
      </w:r>
      <w:r>
        <w:rPr>
          <w:sz w:val="28"/>
        </w:rPr>
        <w:t>sa</w:t>
      </w:r>
      <w:r>
        <w:rPr>
          <w:spacing w:val="-10"/>
          <w:sz w:val="28"/>
        </w:rPr>
        <w:t> </w:t>
      </w:r>
      <w:r>
        <w:rPr>
          <w:sz w:val="28"/>
        </w:rPr>
        <w:t>responsabilité,</w:t>
      </w:r>
      <w:r>
        <w:rPr>
          <w:spacing w:val="-10"/>
          <w:sz w:val="28"/>
        </w:rPr>
        <w:t> </w:t>
      </w:r>
      <w:r>
        <w:rPr>
          <w:sz w:val="28"/>
        </w:rPr>
        <w:t>à une autre personne appelée sous-traitant une partie de</w:t>
      </w:r>
      <w:r>
        <w:rPr>
          <w:spacing w:val="-12"/>
          <w:sz w:val="28"/>
        </w:rPr>
        <w:t> </w:t>
      </w:r>
      <w:r>
        <w:rPr>
          <w:sz w:val="28"/>
        </w:rPr>
        <w:t>l’achat.</w:t>
      </w:r>
    </w:p>
    <w:p>
      <w:pPr>
        <w:pStyle w:val="ListParagraph"/>
        <w:numPr>
          <w:ilvl w:val="2"/>
          <w:numId w:val="12"/>
        </w:numPr>
        <w:tabs>
          <w:tab w:pos="1000" w:val="left" w:leader="none"/>
        </w:tabs>
        <w:spacing w:line="240" w:lineRule="auto" w:before="0" w:after="0"/>
        <w:ind w:left="999" w:right="754" w:hanging="284"/>
        <w:jc w:val="both"/>
        <w:rPr>
          <w:sz w:val="28"/>
        </w:rPr>
      </w:pPr>
      <w:r>
        <w:rPr>
          <w:b/>
          <w:sz w:val="28"/>
        </w:rPr>
        <w:t>Cabotage national : </w:t>
      </w:r>
      <w:r>
        <w:rPr>
          <w:sz w:val="28"/>
        </w:rPr>
        <w:t>C'est un transport maritime national à courte distance (TMCD), aussi appelé transport côtier qui consiste en l'acheminement des produits du GCT par mer entre des ports</w:t>
      </w:r>
      <w:r>
        <w:rPr>
          <w:spacing w:val="-6"/>
          <w:sz w:val="28"/>
        </w:rPr>
        <w:t> </w:t>
      </w:r>
      <w:r>
        <w:rPr>
          <w:sz w:val="28"/>
        </w:rPr>
        <w:t>rapprochés.</w:t>
      </w:r>
    </w:p>
    <w:p>
      <w:pPr>
        <w:pStyle w:val="ListParagraph"/>
        <w:numPr>
          <w:ilvl w:val="2"/>
          <w:numId w:val="12"/>
        </w:numPr>
        <w:tabs>
          <w:tab w:pos="1000" w:val="left" w:leader="none"/>
        </w:tabs>
        <w:spacing w:line="240" w:lineRule="auto" w:before="0" w:after="0"/>
        <w:ind w:left="999" w:right="756" w:hanging="284"/>
        <w:jc w:val="both"/>
        <w:rPr>
          <w:sz w:val="28"/>
        </w:rPr>
      </w:pPr>
      <w:r>
        <w:rPr>
          <w:b/>
          <w:sz w:val="28"/>
        </w:rPr>
        <w:t>Le</w:t>
      </w:r>
      <w:r>
        <w:rPr>
          <w:b/>
          <w:spacing w:val="-9"/>
          <w:sz w:val="28"/>
        </w:rPr>
        <w:t> </w:t>
      </w:r>
      <w:r>
        <w:rPr>
          <w:b/>
          <w:sz w:val="28"/>
        </w:rPr>
        <w:t>stock</w:t>
      </w:r>
      <w:r>
        <w:rPr>
          <w:b/>
          <w:spacing w:val="-12"/>
          <w:sz w:val="28"/>
        </w:rPr>
        <w:t> </w:t>
      </w:r>
      <w:r>
        <w:rPr>
          <w:b/>
          <w:sz w:val="28"/>
        </w:rPr>
        <w:t>flottant</w:t>
      </w:r>
      <w:r>
        <w:rPr>
          <w:b/>
          <w:spacing w:val="-8"/>
          <w:sz w:val="28"/>
        </w:rPr>
        <w:t> </w:t>
      </w:r>
      <w:r>
        <w:rPr>
          <w:b/>
          <w:sz w:val="28"/>
        </w:rPr>
        <w:t>:</w:t>
      </w:r>
      <w:r>
        <w:rPr>
          <w:b/>
          <w:spacing w:val="-7"/>
          <w:sz w:val="28"/>
        </w:rPr>
        <w:t> </w:t>
      </w:r>
      <w:r>
        <w:rPr>
          <w:sz w:val="28"/>
        </w:rPr>
        <w:t>Le</w:t>
      </w:r>
      <w:r>
        <w:rPr>
          <w:spacing w:val="-8"/>
          <w:sz w:val="28"/>
        </w:rPr>
        <w:t> </w:t>
      </w:r>
      <w:r>
        <w:rPr>
          <w:sz w:val="28"/>
        </w:rPr>
        <w:t>stock</w:t>
      </w:r>
      <w:r>
        <w:rPr>
          <w:spacing w:val="-8"/>
          <w:sz w:val="28"/>
        </w:rPr>
        <w:t> </w:t>
      </w:r>
      <w:r>
        <w:rPr>
          <w:sz w:val="28"/>
        </w:rPr>
        <w:t>flottant</w:t>
      </w:r>
      <w:r>
        <w:rPr>
          <w:spacing w:val="-9"/>
          <w:sz w:val="28"/>
        </w:rPr>
        <w:t> </w:t>
      </w:r>
      <w:r>
        <w:rPr>
          <w:sz w:val="28"/>
        </w:rPr>
        <w:t>désigne</w:t>
      </w:r>
      <w:r>
        <w:rPr>
          <w:spacing w:val="-8"/>
          <w:sz w:val="28"/>
        </w:rPr>
        <w:t> </w:t>
      </w:r>
      <w:r>
        <w:rPr>
          <w:sz w:val="28"/>
        </w:rPr>
        <w:t>le</w:t>
      </w:r>
      <w:r>
        <w:rPr>
          <w:spacing w:val="-11"/>
          <w:sz w:val="28"/>
        </w:rPr>
        <w:t> </w:t>
      </w:r>
      <w:r>
        <w:rPr>
          <w:sz w:val="28"/>
        </w:rPr>
        <w:t>stockage</w:t>
      </w:r>
      <w:r>
        <w:rPr>
          <w:spacing w:val="-8"/>
          <w:sz w:val="28"/>
        </w:rPr>
        <w:t> </w:t>
      </w:r>
      <w:r>
        <w:rPr>
          <w:sz w:val="28"/>
        </w:rPr>
        <w:t>des</w:t>
      </w:r>
      <w:r>
        <w:rPr>
          <w:spacing w:val="-9"/>
          <w:sz w:val="28"/>
        </w:rPr>
        <w:t> </w:t>
      </w:r>
      <w:r>
        <w:rPr>
          <w:sz w:val="28"/>
        </w:rPr>
        <w:t>produits</w:t>
      </w:r>
      <w:r>
        <w:rPr>
          <w:spacing w:val="-10"/>
          <w:sz w:val="28"/>
        </w:rPr>
        <w:t> </w:t>
      </w:r>
      <w:r>
        <w:rPr>
          <w:sz w:val="28"/>
        </w:rPr>
        <w:t>destinés</w:t>
      </w:r>
      <w:r>
        <w:rPr>
          <w:spacing w:val="-7"/>
          <w:sz w:val="28"/>
        </w:rPr>
        <w:t> </w:t>
      </w:r>
      <w:r>
        <w:rPr>
          <w:sz w:val="28"/>
        </w:rPr>
        <w:t>à</w:t>
      </w:r>
      <w:r>
        <w:rPr>
          <w:spacing w:val="-9"/>
          <w:sz w:val="28"/>
        </w:rPr>
        <w:t> </w:t>
      </w:r>
      <w:r>
        <w:rPr>
          <w:sz w:val="28"/>
        </w:rPr>
        <w:t>la vente sur un navire immobilisé pour soutenir la capacité de stockage du</w:t>
      </w:r>
      <w:r>
        <w:rPr>
          <w:spacing w:val="-33"/>
          <w:sz w:val="28"/>
        </w:rPr>
        <w:t> </w:t>
      </w:r>
      <w:r>
        <w:rPr>
          <w:sz w:val="28"/>
        </w:rPr>
        <w:t>GCT.</w:t>
      </w:r>
    </w:p>
    <w:p>
      <w:pPr>
        <w:pStyle w:val="ListParagraph"/>
        <w:numPr>
          <w:ilvl w:val="2"/>
          <w:numId w:val="12"/>
        </w:numPr>
        <w:tabs>
          <w:tab w:pos="1000" w:val="left" w:leader="none"/>
        </w:tabs>
        <w:spacing w:line="240" w:lineRule="auto" w:before="0" w:after="0"/>
        <w:ind w:left="999" w:right="748" w:hanging="284"/>
        <w:jc w:val="both"/>
        <w:rPr>
          <w:sz w:val="28"/>
        </w:rPr>
      </w:pPr>
      <w:r>
        <w:rPr>
          <w:b/>
          <w:sz w:val="28"/>
        </w:rPr>
        <w:t>Urgence impérieuse : </w:t>
      </w:r>
      <w:r>
        <w:rPr>
          <w:sz w:val="28"/>
        </w:rPr>
        <w:t>la situation résultant d’événements imprévisibles pour </w:t>
      </w:r>
      <w:r>
        <w:rPr>
          <w:spacing w:val="4"/>
          <w:sz w:val="28"/>
        </w:rPr>
        <w:t>le </w:t>
      </w:r>
      <w:r>
        <w:rPr>
          <w:sz w:val="28"/>
        </w:rPr>
        <w:t>GCT ou de force majeure et n’étant pas de son fait, imposant une action immédiate.</w:t>
      </w:r>
    </w:p>
    <w:p>
      <w:pPr>
        <w:pStyle w:val="ListParagraph"/>
        <w:numPr>
          <w:ilvl w:val="2"/>
          <w:numId w:val="12"/>
        </w:numPr>
        <w:tabs>
          <w:tab w:pos="1000" w:val="left" w:leader="none"/>
        </w:tabs>
        <w:spacing w:line="240" w:lineRule="auto" w:before="0" w:after="0"/>
        <w:ind w:left="999" w:right="749" w:hanging="284"/>
        <w:jc w:val="both"/>
        <w:rPr>
          <w:sz w:val="28"/>
        </w:rPr>
      </w:pPr>
      <w:r>
        <w:rPr>
          <w:b/>
          <w:spacing w:val="-5"/>
          <w:sz w:val="28"/>
        </w:rPr>
        <w:t>Urgence simple </w:t>
      </w:r>
      <w:r>
        <w:rPr>
          <w:b/>
          <w:sz w:val="28"/>
        </w:rPr>
        <w:t>: </w:t>
      </w:r>
      <w:r>
        <w:rPr>
          <w:sz w:val="28"/>
        </w:rPr>
        <w:t>la situation qui n’est pas du fait </w:t>
      </w:r>
      <w:r>
        <w:rPr>
          <w:spacing w:val="-3"/>
          <w:sz w:val="28"/>
        </w:rPr>
        <w:t>du </w:t>
      </w:r>
      <w:r>
        <w:rPr>
          <w:sz w:val="28"/>
        </w:rPr>
        <w:t>GCT, imposant une action rapide et justifiante, à cette fin, la réduction des délais </w:t>
      </w:r>
      <w:r>
        <w:rPr>
          <w:spacing w:val="-3"/>
          <w:sz w:val="28"/>
        </w:rPr>
        <w:t>de </w:t>
      </w:r>
      <w:r>
        <w:rPr>
          <w:sz w:val="28"/>
        </w:rPr>
        <w:t>réception des candidatures</w:t>
      </w:r>
      <w:r>
        <w:rPr>
          <w:spacing w:val="-4"/>
          <w:sz w:val="28"/>
        </w:rPr>
        <w:t> </w:t>
      </w:r>
      <w:r>
        <w:rPr>
          <w:sz w:val="28"/>
        </w:rPr>
        <w:t>et</w:t>
      </w:r>
      <w:r>
        <w:rPr>
          <w:spacing w:val="2"/>
          <w:sz w:val="28"/>
        </w:rPr>
        <w:t> </w:t>
      </w:r>
      <w:r>
        <w:rPr>
          <w:sz w:val="28"/>
        </w:rPr>
        <w:t>des</w:t>
      </w:r>
      <w:r>
        <w:rPr>
          <w:spacing w:val="-3"/>
          <w:sz w:val="28"/>
        </w:rPr>
        <w:t> </w:t>
      </w:r>
      <w:r>
        <w:rPr>
          <w:sz w:val="28"/>
        </w:rPr>
        <w:t>offres, afin</w:t>
      </w:r>
      <w:r>
        <w:rPr>
          <w:spacing w:val="-8"/>
          <w:sz w:val="28"/>
        </w:rPr>
        <w:t> </w:t>
      </w:r>
      <w:r>
        <w:rPr>
          <w:sz w:val="28"/>
        </w:rPr>
        <w:t>de</w:t>
      </w:r>
      <w:r>
        <w:rPr>
          <w:spacing w:val="1"/>
          <w:sz w:val="28"/>
        </w:rPr>
        <w:t> </w:t>
      </w:r>
      <w:r>
        <w:rPr>
          <w:sz w:val="28"/>
        </w:rPr>
        <w:t>prévenir</w:t>
      </w:r>
      <w:r>
        <w:rPr>
          <w:spacing w:val="-2"/>
          <w:sz w:val="28"/>
        </w:rPr>
        <w:t> </w:t>
      </w:r>
      <w:r>
        <w:rPr>
          <w:sz w:val="28"/>
        </w:rPr>
        <w:t>un</w:t>
      </w:r>
      <w:r>
        <w:rPr>
          <w:spacing w:val="-8"/>
          <w:sz w:val="28"/>
        </w:rPr>
        <w:t> </w:t>
      </w:r>
      <w:r>
        <w:rPr>
          <w:sz w:val="28"/>
        </w:rPr>
        <w:t>danger</w:t>
      </w:r>
      <w:r>
        <w:rPr>
          <w:spacing w:val="-7"/>
          <w:sz w:val="28"/>
        </w:rPr>
        <w:t> </w:t>
      </w:r>
      <w:r>
        <w:rPr>
          <w:sz w:val="28"/>
        </w:rPr>
        <w:t>ou</w:t>
      </w:r>
      <w:r>
        <w:rPr>
          <w:spacing w:val="-6"/>
          <w:sz w:val="28"/>
        </w:rPr>
        <w:t> </w:t>
      </w:r>
      <w:r>
        <w:rPr>
          <w:sz w:val="28"/>
        </w:rPr>
        <w:t>un</w:t>
      </w:r>
      <w:r>
        <w:rPr>
          <w:spacing w:val="-6"/>
          <w:sz w:val="28"/>
        </w:rPr>
        <w:t> </w:t>
      </w:r>
      <w:r>
        <w:rPr>
          <w:sz w:val="28"/>
        </w:rPr>
        <w:t>retard</w:t>
      </w:r>
      <w:r>
        <w:rPr>
          <w:spacing w:val="-6"/>
          <w:sz w:val="28"/>
        </w:rPr>
        <w:t> </w:t>
      </w:r>
      <w:r>
        <w:rPr>
          <w:sz w:val="28"/>
        </w:rPr>
        <w:t>préjudiciable</w:t>
      </w:r>
      <w:r>
        <w:rPr>
          <w:spacing w:val="-8"/>
          <w:sz w:val="28"/>
        </w:rPr>
        <w:t> </w:t>
      </w:r>
      <w:r>
        <w:rPr>
          <w:sz w:val="28"/>
        </w:rPr>
        <w:t>à </w:t>
      </w:r>
      <w:r>
        <w:rPr>
          <w:spacing w:val="-3"/>
          <w:sz w:val="28"/>
        </w:rPr>
        <w:t>lui.</w:t>
      </w:r>
    </w:p>
    <w:p>
      <w:pPr>
        <w:spacing w:after="0" w:line="240" w:lineRule="auto"/>
        <w:jc w:val="both"/>
        <w:rPr>
          <w:sz w:val="28"/>
        </w:rPr>
        <w:sectPr>
          <w:pgSz w:w="11910" w:h="16840"/>
          <w:pgMar w:header="722" w:footer="0" w:top="1860" w:bottom="280" w:left="700" w:right="380"/>
        </w:sectPr>
      </w:pPr>
    </w:p>
    <w:p>
      <w:pPr>
        <w:pStyle w:val="BodyText"/>
        <w:ind w:left="0" w:firstLine="0"/>
        <w:jc w:val="left"/>
        <w:rPr>
          <w:sz w:val="17"/>
        </w:rPr>
      </w:pPr>
    </w:p>
    <w:p>
      <w:pPr>
        <w:pStyle w:val="Heading1"/>
        <w:ind w:left="4300" w:right="1197" w:hanging="3409"/>
      </w:pPr>
      <w:bookmarkStart w:name="_TOC_250122" w:id="19"/>
      <w:bookmarkEnd w:id="19"/>
      <w:r>
        <w:rPr/>
        <w:t>Chapitre 2. PROCEDURES DES ACHATS HORS MATIERES PREMIERES</w:t>
      </w:r>
    </w:p>
    <w:p>
      <w:pPr>
        <w:pStyle w:val="Heading2"/>
        <w:numPr>
          <w:ilvl w:val="0"/>
          <w:numId w:val="18"/>
        </w:numPr>
        <w:tabs>
          <w:tab w:pos="683" w:val="left" w:leader="none"/>
        </w:tabs>
        <w:spacing w:line="319" w:lineRule="exact" w:before="240" w:after="0"/>
        <w:ind w:left="682" w:right="0" w:hanging="250"/>
        <w:jc w:val="both"/>
      </w:pPr>
      <w:bookmarkStart w:name="_TOC_250121" w:id="20"/>
      <w:r>
        <w:rPr/>
        <w:t>Détermination et expression du</w:t>
      </w:r>
      <w:r>
        <w:rPr>
          <w:spacing w:val="-1"/>
        </w:rPr>
        <w:t> </w:t>
      </w:r>
      <w:bookmarkEnd w:id="20"/>
      <w:r>
        <w:rPr/>
        <w:t>besoin</w:t>
      </w:r>
    </w:p>
    <w:p>
      <w:pPr>
        <w:pStyle w:val="BodyText"/>
        <w:ind w:right="750"/>
      </w:pPr>
      <w:r>
        <w:rPr/>
        <w:t>Avant tout appel à la concurrence ou toute procédure de négociation par entente directe,</w:t>
      </w:r>
      <w:r>
        <w:rPr>
          <w:spacing w:val="-9"/>
        </w:rPr>
        <w:t> </w:t>
      </w:r>
      <w:r>
        <w:rPr/>
        <w:t>la</w:t>
      </w:r>
      <w:r>
        <w:rPr>
          <w:spacing w:val="-8"/>
        </w:rPr>
        <w:t> </w:t>
      </w:r>
      <w:r>
        <w:rPr/>
        <w:t>nature</w:t>
      </w:r>
      <w:r>
        <w:rPr>
          <w:spacing w:val="-7"/>
        </w:rPr>
        <w:t> </w:t>
      </w:r>
      <w:r>
        <w:rPr/>
        <w:t>et</w:t>
      </w:r>
      <w:r>
        <w:rPr>
          <w:spacing w:val="-8"/>
        </w:rPr>
        <w:t> </w:t>
      </w:r>
      <w:r>
        <w:rPr/>
        <w:t>l’étendue</w:t>
      </w:r>
      <w:r>
        <w:rPr>
          <w:spacing w:val="-8"/>
        </w:rPr>
        <w:t> </w:t>
      </w:r>
      <w:r>
        <w:rPr/>
        <w:t>des</w:t>
      </w:r>
      <w:r>
        <w:rPr>
          <w:spacing w:val="-7"/>
        </w:rPr>
        <w:t> </w:t>
      </w:r>
      <w:r>
        <w:rPr/>
        <w:t>besoins</w:t>
      </w:r>
      <w:r>
        <w:rPr>
          <w:spacing w:val="-2"/>
        </w:rPr>
        <w:t> </w:t>
      </w:r>
      <w:r>
        <w:rPr/>
        <w:t>doivent</w:t>
      </w:r>
      <w:r>
        <w:rPr>
          <w:spacing w:val="-7"/>
        </w:rPr>
        <w:t> </w:t>
      </w:r>
      <w:r>
        <w:rPr/>
        <w:t>être</w:t>
      </w:r>
      <w:r>
        <w:rPr>
          <w:spacing w:val="-6"/>
        </w:rPr>
        <w:t> </w:t>
      </w:r>
      <w:r>
        <w:rPr/>
        <w:t>déterminés</w:t>
      </w:r>
      <w:r>
        <w:rPr>
          <w:spacing w:val="-8"/>
        </w:rPr>
        <w:t> </w:t>
      </w:r>
      <w:r>
        <w:rPr/>
        <w:t>avec</w:t>
      </w:r>
      <w:r>
        <w:rPr>
          <w:spacing w:val="-7"/>
        </w:rPr>
        <w:t> </w:t>
      </w:r>
      <w:r>
        <w:rPr/>
        <w:t>précision</w:t>
      </w:r>
      <w:r>
        <w:rPr>
          <w:spacing w:val="-7"/>
        </w:rPr>
        <w:t> </w:t>
      </w:r>
      <w:r>
        <w:rPr/>
        <w:t>par</w:t>
      </w:r>
      <w:r>
        <w:rPr>
          <w:spacing w:val="-8"/>
        </w:rPr>
        <w:t> </w:t>
      </w:r>
      <w:r>
        <w:rPr/>
        <w:t>le GCT.</w:t>
      </w:r>
      <w:r>
        <w:rPr>
          <w:spacing w:val="-4"/>
        </w:rPr>
        <w:t> </w:t>
      </w:r>
      <w:r>
        <w:rPr/>
        <w:t>L’achat</w:t>
      </w:r>
      <w:r>
        <w:rPr>
          <w:spacing w:val="-2"/>
        </w:rPr>
        <w:t> </w:t>
      </w:r>
      <w:r>
        <w:rPr/>
        <w:t>conclu</w:t>
      </w:r>
      <w:r>
        <w:rPr>
          <w:spacing w:val="-5"/>
        </w:rPr>
        <w:t> </w:t>
      </w:r>
      <w:r>
        <w:rPr/>
        <w:t>par</w:t>
      </w:r>
      <w:r>
        <w:rPr>
          <w:spacing w:val="-5"/>
        </w:rPr>
        <w:t> </w:t>
      </w:r>
      <w:r>
        <w:rPr/>
        <w:t>le</w:t>
      </w:r>
      <w:r>
        <w:rPr>
          <w:spacing w:val="-2"/>
        </w:rPr>
        <w:t> </w:t>
      </w:r>
      <w:r>
        <w:rPr/>
        <w:t>GCT</w:t>
      </w:r>
      <w:r>
        <w:rPr>
          <w:spacing w:val="-7"/>
        </w:rPr>
        <w:t> </w:t>
      </w:r>
      <w:r>
        <w:rPr/>
        <w:t>doit</w:t>
      </w:r>
      <w:r>
        <w:rPr>
          <w:spacing w:val="-1"/>
        </w:rPr>
        <w:t> </w:t>
      </w:r>
      <w:r>
        <w:rPr/>
        <w:t>avoir</w:t>
      </w:r>
      <w:r>
        <w:rPr>
          <w:spacing w:val="-5"/>
        </w:rPr>
        <w:t> </w:t>
      </w:r>
      <w:r>
        <w:rPr/>
        <w:t>pour</w:t>
      </w:r>
      <w:r>
        <w:rPr>
          <w:spacing w:val="-5"/>
        </w:rPr>
        <w:t> </w:t>
      </w:r>
      <w:r>
        <w:rPr/>
        <w:t>objet</w:t>
      </w:r>
      <w:r>
        <w:rPr>
          <w:spacing w:val="-3"/>
        </w:rPr>
        <w:t> </w:t>
      </w:r>
      <w:r>
        <w:rPr/>
        <w:t>exclusif</w:t>
      </w:r>
      <w:r>
        <w:rPr>
          <w:spacing w:val="-5"/>
        </w:rPr>
        <w:t> </w:t>
      </w:r>
      <w:r>
        <w:rPr/>
        <w:t>de</w:t>
      </w:r>
      <w:r>
        <w:rPr>
          <w:spacing w:val="-2"/>
        </w:rPr>
        <w:t> </w:t>
      </w:r>
      <w:r>
        <w:rPr/>
        <w:t>répondre</w:t>
      </w:r>
      <w:r>
        <w:rPr>
          <w:spacing w:val="-2"/>
        </w:rPr>
        <w:t> </w:t>
      </w:r>
      <w:r>
        <w:rPr/>
        <w:t>à</w:t>
      </w:r>
      <w:r>
        <w:rPr>
          <w:spacing w:val="-5"/>
        </w:rPr>
        <w:t> </w:t>
      </w:r>
      <w:r>
        <w:rPr/>
        <w:t>la</w:t>
      </w:r>
      <w:r>
        <w:rPr>
          <w:spacing w:val="-5"/>
        </w:rPr>
        <w:t> </w:t>
      </w:r>
      <w:r>
        <w:rPr/>
        <w:t>nature et à l'étendue des besoins à satisfaire en respectant les spécifications</w:t>
      </w:r>
      <w:r>
        <w:rPr>
          <w:spacing w:val="-21"/>
        </w:rPr>
        <w:t> </w:t>
      </w:r>
      <w:r>
        <w:rPr/>
        <w:t>techniques.</w:t>
      </w:r>
    </w:p>
    <w:p>
      <w:pPr>
        <w:pStyle w:val="BodyText"/>
        <w:ind w:right="749"/>
      </w:pPr>
      <w:r>
        <w:rPr/>
        <w:t>Cette définition des besoins ne doit pas avoir pour effet de soustraire des achats aux règles qui leur sont normalement applicables en vertu du présent manuel.</w:t>
      </w:r>
    </w:p>
    <w:p>
      <w:pPr>
        <w:pStyle w:val="BodyText"/>
        <w:ind w:right="753"/>
      </w:pPr>
      <w:r>
        <w:rPr/>
        <w:t>Le lancement d’une procédure de passation d’un achat est subordonné à l’existence de crédits budgétaires suffisants et au respect des règles organisant les dépenses du GCT.</w:t>
      </w:r>
    </w:p>
    <w:p>
      <w:pPr>
        <w:pStyle w:val="Heading2"/>
        <w:numPr>
          <w:ilvl w:val="1"/>
          <w:numId w:val="18"/>
        </w:numPr>
        <w:tabs>
          <w:tab w:pos="901" w:val="left" w:leader="none"/>
        </w:tabs>
        <w:spacing w:line="240" w:lineRule="auto" w:before="122" w:after="0"/>
        <w:ind w:left="433" w:right="749" w:firstLine="0"/>
        <w:jc w:val="both"/>
      </w:pPr>
      <w:bookmarkStart w:name="_TOC_250120" w:id="21"/>
      <w:r>
        <w:rPr/>
        <w:t>Préparation et publication du plan prévisionnel de passation des achats hors marchés et des</w:t>
      </w:r>
      <w:r>
        <w:rPr>
          <w:spacing w:val="1"/>
        </w:rPr>
        <w:t> </w:t>
      </w:r>
      <w:bookmarkEnd w:id="21"/>
      <w:r>
        <w:rPr/>
        <w:t>marchés</w:t>
      </w:r>
    </w:p>
    <w:p>
      <w:pPr>
        <w:pStyle w:val="BodyText"/>
        <w:ind w:right="752"/>
      </w:pPr>
      <w:r>
        <w:rPr/>
        <w:t>Le</w:t>
      </w:r>
      <w:r>
        <w:rPr>
          <w:spacing w:val="-13"/>
        </w:rPr>
        <w:t> </w:t>
      </w:r>
      <w:r>
        <w:rPr/>
        <w:t>GCT</w:t>
      </w:r>
      <w:r>
        <w:rPr>
          <w:spacing w:val="-15"/>
        </w:rPr>
        <w:t> </w:t>
      </w:r>
      <w:r>
        <w:rPr/>
        <w:t>est</w:t>
      </w:r>
      <w:r>
        <w:rPr>
          <w:spacing w:val="-13"/>
        </w:rPr>
        <w:t> </w:t>
      </w:r>
      <w:r>
        <w:rPr/>
        <w:t>tenu</w:t>
      </w:r>
      <w:r>
        <w:rPr>
          <w:spacing w:val="-13"/>
        </w:rPr>
        <w:t> </w:t>
      </w:r>
      <w:r>
        <w:rPr/>
        <w:t>d’élaborer</w:t>
      </w:r>
      <w:r>
        <w:rPr>
          <w:spacing w:val="-13"/>
        </w:rPr>
        <w:t> </w:t>
      </w:r>
      <w:r>
        <w:rPr/>
        <w:t>au</w:t>
      </w:r>
      <w:r>
        <w:rPr>
          <w:spacing w:val="-12"/>
        </w:rPr>
        <w:t> </w:t>
      </w:r>
      <w:r>
        <w:rPr/>
        <w:t>début</w:t>
      </w:r>
      <w:r>
        <w:rPr>
          <w:spacing w:val="-15"/>
        </w:rPr>
        <w:t> </w:t>
      </w:r>
      <w:r>
        <w:rPr/>
        <w:t>de</w:t>
      </w:r>
      <w:r>
        <w:rPr>
          <w:spacing w:val="-13"/>
        </w:rPr>
        <w:t> </w:t>
      </w:r>
      <w:r>
        <w:rPr/>
        <w:t>chaque</w:t>
      </w:r>
      <w:r>
        <w:rPr>
          <w:spacing w:val="-13"/>
        </w:rPr>
        <w:t> </w:t>
      </w:r>
      <w:r>
        <w:rPr/>
        <w:t>année</w:t>
      </w:r>
      <w:r>
        <w:rPr>
          <w:spacing w:val="-16"/>
        </w:rPr>
        <w:t> </w:t>
      </w:r>
      <w:r>
        <w:rPr/>
        <w:t>un</w:t>
      </w:r>
      <w:r>
        <w:rPr>
          <w:spacing w:val="-12"/>
        </w:rPr>
        <w:t> </w:t>
      </w:r>
      <w:r>
        <w:rPr/>
        <w:t>plan</w:t>
      </w:r>
      <w:r>
        <w:rPr>
          <w:spacing w:val="-13"/>
        </w:rPr>
        <w:t> </w:t>
      </w:r>
      <w:r>
        <w:rPr/>
        <w:t>prévisionnel</w:t>
      </w:r>
      <w:r>
        <w:rPr>
          <w:spacing w:val="-13"/>
        </w:rPr>
        <w:t> </w:t>
      </w:r>
      <w:r>
        <w:rPr/>
        <w:t>annuel de passation des achats hors marchés (relevant de la compétence de la CAE) et des marchés (relevant de la compétence de la CME) (conformément au projet de budget selon un modèle standard et un calendrier</w:t>
      </w:r>
      <w:r>
        <w:rPr>
          <w:spacing w:val="-11"/>
        </w:rPr>
        <w:t> </w:t>
      </w:r>
      <w:r>
        <w:rPr/>
        <w:t>prédéfini.</w:t>
      </w:r>
    </w:p>
    <w:p>
      <w:pPr>
        <w:pStyle w:val="BodyText"/>
        <w:ind w:right="749"/>
      </w:pPr>
      <w:r>
        <w:rPr/>
        <w:t>La</w:t>
      </w:r>
      <w:r>
        <w:rPr>
          <w:spacing w:val="-9"/>
        </w:rPr>
        <w:t> </w:t>
      </w:r>
      <w:r>
        <w:rPr/>
        <w:t>DCAHMP</w:t>
      </w:r>
      <w:r>
        <w:rPr>
          <w:spacing w:val="-8"/>
        </w:rPr>
        <w:t> </w:t>
      </w:r>
      <w:r>
        <w:rPr/>
        <w:t>invite</w:t>
      </w:r>
      <w:r>
        <w:rPr>
          <w:spacing w:val="-8"/>
        </w:rPr>
        <w:t> </w:t>
      </w:r>
      <w:r>
        <w:rPr/>
        <w:t>les</w:t>
      </w:r>
      <w:r>
        <w:rPr>
          <w:spacing w:val="-7"/>
        </w:rPr>
        <w:t> </w:t>
      </w:r>
      <w:r>
        <w:rPr/>
        <w:t>différentes</w:t>
      </w:r>
      <w:r>
        <w:rPr>
          <w:spacing w:val="-7"/>
        </w:rPr>
        <w:t> </w:t>
      </w:r>
      <w:r>
        <w:rPr/>
        <w:t>Structures</w:t>
      </w:r>
      <w:r>
        <w:rPr>
          <w:spacing w:val="-7"/>
        </w:rPr>
        <w:t> </w:t>
      </w:r>
      <w:r>
        <w:rPr/>
        <w:t>du</w:t>
      </w:r>
      <w:r>
        <w:rPr>
          <w:spacing w:val="-7"/>
        </w:rPr>
        <w:t> </w:t>
      </w:r>
      <w:r>
        <w:rPr/>
        <w:t>GCT</w:t>
      </w:r>
      <w:r>
        <w:rPr>
          <w:spacing w:val="-10"/>
        </w:rPr>
        <w:t> </w:t>
      </w:r>
      <w:r>
        <w:rPr/>
        <w:t>à</w:t>
      </w:r>
      <w:r>
        <w:rPr>
          <w:spacing w:val="-8"/>
        </w:rPr>
        <w:t> </w:t>
      </w:r>
      <w:r>
        <w:rPr/>
        <w:t>déterminer</w:t>
      </w:r>
      <w:r>
        <w:rPr>
          <w:spacing w:val="-7"/>
        </w:rPr>
        <w:t> </w:t>
      </w:r>
      <w:r>
        <w:rPr/>
        <w:t>dans</w:t>
      </w:r>
      <w:r>
        <w:rPr>
          <w:spacing w:val="-7"/>
        </w:rPr>
        <w:t> </w:t>
      </w:r>
      <w:r>
        <w:rPr/>
        <w:t>un</w:t>
      </w:r>
      <w:r>
        <w:rPr>
          <w:spacing w:val="-10"/>
        </w:rPr>
        <w:t> </w:t>
      </w:r>
      <w:r>
        <w:rPr/>
        <w:t>délai ne dépassant pas la fin du mois de novembre, la nature et l’étendue de leurs besoins pour l’année prochaine. En ce qui concerne les besoins de réapprovisionnement des magasins</w:t>
      </w:r>
      <w:r>
        <w:rPr>
          <w:spacing w:val="-7"/>
        </w:rPr>
        <w:t> </w:t>
      </w:r>
      <w:r>
        <w:rPr/>
        <w:t>(pièces</w:t>
      </w:r>
      <w:r>
        <w:rPr>
          <w:spacing w:val="-8"/>
        </w:rPr>
        <w:t> </w:t>
      </w:r>
      <w:r>
        <w:rPr/>
        <w:t>de</w:t>
      </w:r>
      <w:r>
        <w:rPr>
          <w:spacing w:val="-6"/>
        </w:rPr>
        <w:t> </w:t>
      </w:r>
      <w:r>
        <w:rPr/>
        <w:t>rechange</w:t>
      </w:r>
      <w:r>
        <w:rPr>
          <w:spacing w:val="-7"/>
        </w:rPr>
        <w:t> </w:t>
      </w:r>
      <w:r>
        <w:rPr/>
        <w:t>et</w:t>
      </w:r>
      <w:r>
        <w:rPr>
          <w:spacing w:val="-6"/>
        </w:rPr>
        <w:t> </w:t>
      </w:r>
      <w:r>
        <w:rPr/>
        <w:t>consommables),</w:t>
      </w:r>
      <w:r>
        <w:rPr>
          <w:spacing w:val="-9"/>
        </w:rPr>
        <w:t> </w:t>
      </w:r>
      <w:r>
        <w:rPr/>
        <w:t>l’expression</w:t>
      </w:r>
      <w:r>
        <w:rPr>
          <w:spacing w:val="-7"/>
        </w:rPr>
        <w:t> </w:t>
      </w:r>
      <w:r>
        <w:rPr/>
        <w:t>des</w:t>
      </w:r>
      <w:r>
        <w:rPr>
          <w:spacing w:val="-6"/>
        </w:rPr>
        <w:t> </w:t>
      </w:r>
      <w:r>
        <w:rPr/>
        <w:t>besoins</w:t>
      </w:r>
      <w:r>
        <w:rPr>
          <w:spacing w:val="-6"/>
        </w:rPr>
        <w:t> </w:t>
      </w:r>
      <w:r>
        <w:rPr/>
        <w:t>doit</w:t>
      </w:r>
      <w:r>
        <w:rPr>
          <w:spacing w:val="-6"/>
        </w:rPr>
        <w:t> </w:t>
      </w:r>
      <w:r>
        <w:rPr/>
        <w:t>couvrir une période minimale d’une année pour pouvoir les satisfaire avec des contrats cadre. Et pareillement pour tous les besoins de même nature ou de natures complémentaires à caractère permanent et prévisible. La DCAHMP établi la liste des achats groupés et la liste des achats qui doivent faire l’objet de contrats-cadres. Ces deux listes sont actualisées annuellement et validées par la Direction</w:t>
      </w:r>
      <w:r>
        <w:rPr>
          <w:spacing w:val="-15"/>
        </w:rPr>
        <w:t> </w:t>
      </w:r>
      <w:r>
        <w:rPr/>
        <w:t>générale.</w:t>
      </w:r>
    </w:p>
    <w:p>
      <w:pPr>
        <w:pStyle w:val="BodyText"/>
        <w:ind w:right="758"/>
      </w:pPr>
      <w:r>
        <w:rPr/>
        <w:t>Suite à la réception des besoins prévisionnels des différentes Structures, la DCAHMP s’assure, en premier lieu, de la conformité des besoins exprimés au budget prévu pour l’année prochaine et procède en second lieu à la détermination des possibilités de regroupement.</w:t>
      </w:r>
    </w:p>
    <w:p>
      <w:pPr>
        <w:pStyle w:val="BodyText"/>
        <w:ind w:right="753"/>
      </w:pPr>
      <w:r>
        <w:rPr/>
        <w:t>La DCAHMP détermine, par la suite, le mode et la procédure adéquate pour réaliser les différents projets d'achat, planifie les projets d'achat et prépare le plan prévisionnel</w:t>
      </w:r>
      <w:r>
        <w:rPr>
          <w:spacing w:val="-17"/>
        </w:rPr>
        <w:t> </w:t>
      </w:r>
      <w:r>
        <w:rPr/>
        <w:t>de</w:t>
      </w:r>
      <w:r>
        <w:rPr>
          <w:spacing w:val="-15"/>
        </w:rPr>
        <w:t> </w:t>
      </w:r>
      <w:r>
        <w:rPr/>
        <w:t>passation</w:t>
      </w:r>
      <w:r>
        <w:rPr>
          <w:spacing w:val="-15"/>
        </w:rPr>
        <w:t> </w:t>
      </w:r>
      <w:r>
        <w:rPr/>
        <w:t>des</w:t>
      </w:r>
      <w:r>
        <w:rPr>
          <w:spacing w:val="-14"/>
        </w:rPr>
        <w:t> </w:t>
      </w:r>
      <w:r>
        <w:rPr/>
        <w:t>achats</w:t>
      </w:r>
      <w:r>
        <w:rPr>
          <w:spacing w:val="-12"/>
        </w:rPr>
        <w:t> </w:t>
      </w:r>
      <w:r>
        <w:rPr/>
        <w:t>hors</w:t>
      </w:r>
      <w:r>
        <w:rPr>
          <w:spacing w:val="-15"/>
        </w:rPr>
        <w:t> </w:t>
      </w:r>
      <w:r>
        <w:rPr/>
        <w:t>marchés</w:t>
      </w:r>
      <w:r>
        <w:rPr>
          <w:spacing w:val="-12"/>
        </w:rPr>
        <w:t> </w:t>
      </w:r>
      <w:r>
        <w:rPr/>
        <w:t>et</w:t>
      </w:r>
      <w:r>
        <w:rPr>
          <w:spacing w:val="-15"/>
        </w:rPr>
        <w:t> </w:t>
      </w:r>
      <w:r>
        <w:rPr/>
        <w:t>des</w:t>
      </w:r>
      <w:r>
        <w:rPr>
          <w:spacing w:val="-14"/>
        </w:rPr>
        <w:t> </w:t>
      </w:r>
      <w:r>
        <w:rPr/>
        <w:t>marchés</w:t>
      </w:r>
      <w:r>
        <w:rPr>
          <w:spacing w:val="-16"/>
        </w:rPr>
        <w:t> </w:t>
      </w:r>
      <w:r>
        <w:rPr/>
        <w:t>du</w:t>
      </w:r>
      <w:r>
        <w:rPr>
          <w:spacing w:val="-15"/>
        </w:rPr>
        <w:t> </w:t>
      </w:r>
      <w:r>
        <w:rPr/>
        <w:t>GCT.</w:t>
      </w:r>
      <w:r>
        <w:rPr>
          <w:spacing w:val="-15"/>
        </w:rPr>
        <w:t> </w:t>
      </w:r>
      <w:r>
        <w:rPr/>
        <w:t>Ce</w:t>
      </w:r>
      <w:r>
        <w:rPr>
          <w:spacing w:val="-15"/>
        </w:rPr>
        <w:t> </w:t>
      </w:r>
      <w:r>
        <w:rPr/>
        <w:t>plan</w:t>
      </w:r>
      <w:r>
        <w:rPr>
          <w:spacing w:val="-15"/>
        </w:rPr>
        <w:t> </w:t>
      </w:r>
      <w:r>
        <w:rPr/>
        <w:t>doit être notifié pour information aux Commissions de contrôle compétentes et publié sur le site du web GCT et sur TUNEPS dans un délai ne dépassant pas la fin du mois de février de chaque</w:t>
      </w:r>
      <w:r>
        <w:rPr>
          <w:spacing w:val="-4"/>
        </w:rPr>
        <w:t> </w:t>
      </w:r>
      <w:r>
        <w:rPr/>
        <w:t>année.</w:t>
      </w:r>
    </w:p>
    <w:p>
      <w:pPr>
        <w:pStyle w:val="BodyText"/>
        <w:ind w:right="751"/>
      </w:pPr>
      <w:r>
        <w:rPr/>
        <w:t>Le GCT réserve annuellement au profit des Startups ou au profit des achats innovants</w:t>
      </w:r>
      <w:r>
        <w:rPr>
          <w:spacing w:val="-21"/>
        </w:rPr>
        <w:t> </w:t>
      </w:r>
      <w:r>
        <w:rPr/>
        <w:t>un</w:t>
      </w:r>
      <w:r>
        <w:rPr>
          <w:spacing w:val="-21"/>
        </w:rPr>
        <w:t> </w:t>
      </w:r>
      <w:r>
        <w:rPr/>
        <w:t>pourcentage</w:t>
      </w:r>
      <w:r>
        <w:rPr>
          <w:spacing w:val="-20"/>
        </w:rPr>
        <w:t> </w:t>
      </w:r>
      <w:r>
        <w:rPr/>
        <w:t>dans</w:t>
      </w:r>
      <w:r>
        <w:rPr>
          <w:spacing w:val="-19"/>
        </w:rPr>
        <w:t> </w:t>
      </w:r>
      <w:r>
        <w:rPr/>
        <w:t>la</w:t>
      </w:r>
      <w:r>
        <w:rPr>
          <w:spacing w:val="-22"/>
        </w:rPr>
        <w:t> </w:t>
      </w:r>
      <w:r>
        <w:rPr/>
        <w:t>limite</w:t>
      </w:r>
      <w:r>
        <w:rPr>
          <w:spacing w:val="-19"/>
        </w:rPr>
        <w:t> </w:t>
      </w:r>
      <w:r>
        <w:rPr/>
        <w:t>de</w:t>
      </w:r>
      <w:r>
        <w:rPr>
          <w:spacing w:val="-22"/>
        </w:rPr>
        <w:t> </w:t>
      </w:r>
      <w:r>
        <w:rPr/>
        <w:t>10%</w:t>
      </w:r>
      <w:r>
        <w:rPr>
          <w:spacing w:val="-21"/>
        </w:rPr>
        <w:t> </w:t>
      </w:r>
      <w:r>
        <w:rPr/>
        <w:t>de</w:t>
      </w:r>
      <w:r>
        <w:rPr>
          <w:spacing w:val="-20"/>
        </w:rPr>
        <w:t> </w:t>
      </w:r>
      <w:r>
        <w:rPr/>
        <w:t>la</w:t>
      </w:r>
      <w:r>
        <w:rPr>
          <w:spacing w:val="-21"/>
        </w:rPr>
        <w:t> </w:t>
      </w:r>
      <w:r>
        <w:rPr/>
        <w:t>valeur</w:t>
      </w:r>
      <w:r>
        <w:rPr>
          <w:spacing w:val="-20"/>
        </w:rPr>
        <w:t> </w:t>
      </w:r>
      <w:r>
        <w:rPr/>
        <w:t>prévisionnelle</w:t>
      </w:r>
      <w:r>
        <w:rPr>
          <w:spacing w:val="-20"/>
        </w:rPr>
        <w:t> </w:t>
      </w:r>
      <w:r>
        <w:rPr/>
        <w:t>des</w:t>
      </w:r>
      <w:r>
        <w:rPr>
          <w:spacing w:val="-19"/>
        </w:rPr>
        <w:t> </w:t>
      </w:r>
      <w:r>
        <w:rPr/>
        <w:t>marchés d’études,</w:t>
      </w:r>
      <w:r>
        <w:rPr>
          <w:spacing w:val="24"/>
        </w:rPr>
        <w:t> </w:t>
      </w:r>
      <w:r>
        <w:rPr/>
        <w:t>de</w:t>
      </w:r>
      <w:r>
        <w:rPr>
          <w:spacing w:val="25"/>
        </w:rPr>
        <w:t> </w:t>
      </w:r>
      <w:r>
        <w:rPr/>
        <w:t>travaux</w:t>
      </w:r>
      <w:r>
        <w:rPr>
          <w:spacing w:val="28"/>
        </w:rPr>
        <w:t> </w:t>
      </w:r>
      <w:r>
        <w:rPr/>
        <w:t>et</w:t>
      </w:r>
      <w:r>
        <w:rPr>
          <w:spacing w:val="25"/>
        </w:rPr>
        <w:t> </w:t>
      </w:r>
      <w:r>
        <w:rPr/>
        <w:t>de</w:t>
      </w:r>
      <w:r>
        <w:rPr>
          <w:spacing w:val="27"/>
        </w:rPr>
        <w:t> </w:t>
      </w:r>
      <w:r>
        <w:rPr/>
        <w:t>fournitures</w:t>
      </w:r>
      <w:r>
        <w:rPr>
          <w:spacing w:val="26"/>
        </w:rPr>
        <w:t> </w:t>
      </w:r>
      <w:r>
        <w:rPr/>
        <w:t>de</w:t>
      </w:r>
      <w:r>
        <w:rPr>
          <w:spacing w:val="24"/>
        </w:rPr>
        <w:t> </w:t>
      </w:r>
      <w:r>
        <w:rPr/>
        <w:t>biens</w:t>
      </w:r>
      <w:r>
        <w:rPr>
          <w:spacing w:val="27"/>
        </w:rPr>
        <w:t> </w:t>
      </w:r>
      <w:r>
        <w:rPr/>
        <w:t>et</w:t>
      </w:r>
      <w:r>
        <w:rPr>
          <w:spacing w:val="26"/>
        </w:rPr>
        <w:t> </w:t>
      </w:r>
      <w:r>
        <w:rPr/>
        <w:t>de</w:t>
      </w:r>
      <w:r>
        <w:rPr>
          <w:spacing w:val="27"/>
        </w:rPr>
        <w:t> </w:t>
      </w:r>
      <w:r>
        <w:rPr/>
        <w:t>services.</w:t>
      </w:r>
      <w:r>
        <w:rPr>
          <w:spacing w:val="33"/>
        </w:rPr>
        <w:t> </w:t>
      </w:r>
      <w:r>
        <w:rPr/>
        <w:t>Les</w:t>
      </w:r>
      <w:r>
        <w:rPr>
          <w:spacing w:val="28"/>
        </w:rPr>
        <w:t> </w:t>
      </w:r>
      <w:r>
        <w:rPr/>
        <w:t>modalités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9" w:firstLine="0"/>
      </w:pPr>
      <w:r>
        <w:rPr/>
        <w:t>d’application de cette disposition sont arrêtées par une note émise par la Direction Générale.</w:t>
      </w:r>
    </w:p>
    <w:p>
      <w:pPr>
        <w:pStyle w:val="Heading2"/>
        <w:numPr>
          <w:ilvl w:val="1"/>
          <w:numId w:val="18"/>
        </w:numPr>
        <w:tabs>
          <w:tab w:pos="894" w:val="left" w:leader="none"/>
        </w:tabs>
        <w:spacing w:line="321" w:lineRule="exact" w:before="124" w:after="0"/>
        <w:ind w:left="893" w:right="0" w:hanging="461"/>
        <w:jc w:val="both"/>
      </w:pPr>
      <w:bookmarkStart w:name="_TOC_250119" w:id="22"/>
      <w:r>
        <w:rPr/>
        <w:t>Détermination des spécifications</w:t>
      </w:r>
      <w:r>
        <w:rPr>
          <w:spacing w:val="1"/>
        </w:rPr>
        <w:t> </w:t>
      </w:r>
      <w:bookmarkEnd w:id="22"/>
      <w:r>
        <w:rPr/>
        <w:t>techniques</w:t>
      </w:r>
    </w:p>
    <w:p>
      <w:pPr>
        <w:pStyle w:val="BodyText"/>
        <w:ind w:right="755"/>
      </w:pPr>
      <w:r>
        <w:rPr/>
        <w:t>Tout achat du GCT doit faire l’objet de spécifications techniques dont la complexité</w:t>
      </w:r>
      <w:r>
        <w:rPr>
          <w:spacing w:val="-16"/>
        </w:rPr>
        <w:t> </w:t>
      </w:r>
      <w:r>
        <w:rPr/>
        <w:t>et</w:t>
      </w:r>
      <w:r>
        <w:rPr>
          <w:spacing w:val="-16"/>
        </w:rPr>
        <w:t> </w:t>
      </w:r>
      <w:r>
        <w:rPr/>
        <w:t>le</w:t>
      </w:r>
      <w:r>
        <w:rPr>
          <w:spacing w:val="-17"/>
        </w:rPr>
        <w:t> </w:t>
      </w:r>
      <w:r>
        <w:rPr/>
        <w:t>niveau</w:t>
      </w:r>
      <w:r>
        <w:rPr>
          <w:spacing w:val="-16"/>
        </w:rPr>
        <w:t> </w:t>
      </w:r>
      <w:r>
        <w:rPr/>
        <w:t>de</w:t>
      </w:r>
      <w:r>
        <w:rPr>
          <w:spacing w:val="-17"/>
        </w:rPr>
        <w:t> </w:t>
      </w:r>
      <w:r>
        <w:rPr/>
        <w:t>détails</w:t>
      </w:r>
      <w:r>
        <w:rPr>
          <w:spacing w:val="-15"/>
        </w:rPr>
        <w:t> </w:t>
      </w:r>
      <w:r>
        <w:rPr/>
        <w:t>varient</w:t>
      </w:r>
      <w:r>
        <w:rPr>
          <w:spacing w:val="-14"/>
        </w:rPr>
        <w:t> </w:t>
      </w:r>
      <w:r>
        <w:rPr/>
        <w:t>en</w:t>
      </w:r>
      <w:r>
        <w:rPr>
          <w:spacing w:val="-16"/>
        </w:rPr>
        <w:t> </w:t>
      </w:r>
      <w:r>
        <w:rPr/>
        <w:t>fonction</w:t>
      </w:r>
      <w:r>
        <w:rPr>
          <w:spacing w:val="-16"/>
        </w:rPr>
        <w:t> </w:t>
      </w:r>
      <w:r>
        <w:rPr/>
        <w:t>de</w:t>
      </w:r>
      <w:r>
        <w:rPr>
          <w:spacing w:val="-16"/>
        </w:rPr>
        <w:t> </w:t>
      </w:r>
      <w:r>
        <w:rPr/>
        <w:t>la</w:t>
      </w:r>
      <w:r>
        <w:rPr>
          <w:spacing w:val="-17"/>
        </w:rPr>
        <w:t> </w:t>
      </w:r>
      <w:r>
        <w:rPr/>
        <w:t>nature</w:t>
      </w:r>
      <w:r>
        <w:rPr>
          <w:spacing w:val="-19"/>
        </w:rPr>
        <w:t> </w:t>
      </w:r>
      <w:r>
        <w:rPr/>
        <w:t>et</w:t>
      </w:r>
      <w:r>
        <w:rPr>
          <w:spacing w:val="-16"/>
        </w:rPr>
        <w:t> </w:t>
      </w:r>
      <w:r>
        <w:rPr/>
        <w:t>l’étendue</w:t>
      </w:r>
      <w:r>
        <w:rPr>
          <w:spacing w:val="-17"/>
        </w:rPr>
        <w:t> </w:t>
      </w:r>
      <w:r>
        <w:rPr/>
        <w:t>du</w:t>
      </w:r>
      <w:r>
        <w:rPr>
          <w:spacing w:val="-16"/>
        </w:rPr>
        <w:t> </w:t>
      </w:r>
      <w:r>
        <w:rPr/>
        <w:t>besoin à</w:t>
      </w:r>
      <w:r>
        <w:rPr>
          <w:spacing w:val="-1"/>
        </w:rPr>
        <w:t> </w:t>
      </w:r>
      <w:r>
        <w:rPr/>
        <w:t>satisfaire.</w:t>
      </w:r>
    </w:p>
    <w:p>
      <w:pPr>
        <w:pStyle w:val="BodyText"/>
        <w:spacing w:line="321" w:lineRule="exact"/>
        <w:ind w:left="716" w:firstLine="0"/>
      </w:pPr>
      <w:r>
        <w:rPr/>
        <w:t>Les spécifications techniques sont définies par référence :</w:t>
      </w:r>
    </w:p>
    <w:p>
      <w:pPr>
        <w:pStyle w:val="ListParagraph"/>
        <w:numPr>
          <w:ilvl w:val="2"/>
          <w:numId w:val="18"/>
        </w:numPr>
        <w:tabs>
          <w:tab w:pos="1000" w:val="left" w:leader="none"/>
        </w:tabs>
        <w:spacing w:line="240" w:lineRule="auto" w:before="0" w:after="0"/>
        <w:ind w:left="999" w:right="758" w:hanging="284"/>
        <w:jc w:val="both"/>
        <w:rPr>
          <w:sz w:val="28"/>
        </w:rPr>
      </w:pPr>
      <w:r>
        <w:rPr>
          <w:sz w:val="28"/>
        </w:rPr>
        <w:t>A des normes nationales ou à d’autres documents de référence équivalents accessibles aux</w:t>
      </w:r>
      <w:r>
        <w:rPr>
          <w:spacing w:val="2"/>
          <w:sz w:val="28"/>
        </w:rPr>
        <w:t> </w:t>
      </w:r>
      <w:r>
        <w:rPr>
          <w:sz w:val="28"/>
        </w:rPr>
        <w:t>fournisseurs,</w:t>
      </w:r>
    </w:p>
    <w:p>
      <w:pPr>
        <w:pStyle w:val="ListParagraph"/>
        <w:numPr>
          <w:ilvl w:val="2"/>
          <w:numId w:val="18"/>
        </w:numPr>
        <w:tabs>
          <w:tab w:pos="1000" w:val="left" w:leader="none"/>
        </w:tabs>
        <w:spacing w:line="240" w:lineRule="auto" w:before="0" w:after="0"/>
        <w:ind w:left="999" w:right="749" w:hanging="284"/>
        <w:jc w:val="both"/>
        <w:rPr>
          <w:sz w:val="28"/>
        </w:rPr>
      </w:pPr>
      <w:r>
        <w:rPr>
          <w:sz w:val="28"/>
        </w:rPr>
        <w:t>A des performances ou des exigences fonctionnelles d’efficacité. Celles-ci doivent être précises pour permettre aux fournisseurs de connaître exactement l’objet de l’achat. Elles doivent, dans la mesure du possible, inclure des caractéristiques environnementales établies par référence à tout ou partie d’un écolabel approprié reconnu et accessible à toutes les parties</w:t>
      </w:r>
      <w:r>
        <w:rPr>
          <w:spacing w:val="-16"/>
          <w:sz w:val="28"/>
        </w:rPr>
        <w:t> </w:t>
      </w:r>
      <w:r>
        <w:rPr>
          <w:sz w:val="28"/>
        </w:rPr>
        <w:t>intéressées.</w:t>
      </w:r>
    </w:p>
    <w:p>
      <w:pPr>
        <w:pStyle w:val="BodyText"/>
        <w:spacing w:before="118"/>
        <w:ind w:left="999" w:firstLine="0"/>
      </w:pPr>
      <w:r>
        <w:rPr/>
        <w:t>La Structure demandeuse prépare les Cahiers de Charges Techniques.</w:t>
      </w:r>
    </w:p>
    <w:p>
      <w:pPr>
        <w:pStyle w:val="BodyText"/>
        <w:spacing w:before="119"/>
        <w:ind w:right="750"/>
      </w:pPr>
      <w:r>
        <w:rPr/>
        <w:t>Sauf</w:t>
      </w:r>
      <w:r>
        <w:rPr>
          <w:spacing w:val="-13"/>
        </w:rPr>
        <w:t> </w:t>
      </w:r>
      <w:r>
        <w:rPr/>
        <w:t>dispositions</w:t>
      </w:r>
      <w:r>
        <w:rPr>
          <w:spacing w:val="-10"/>
        </w:rPr>
        <w:t> </w:t>
      </w:r>
      <w:r>
        <w:rPr/>
        <w:t>contraires</w:t>
      </w:r>
      <w:r>
        <w:rPr>
          <w:spacing w:val="-12"/>
        </w:rPr>
        <w:t> </w:t>
      </w:r>
      <w:r>
        <w:rPr/>
        <w:t>des</w:t>
      </w:r>
      <w:r>
        <w:rPr>
          <w:spacing w:val="-10"/>
        </w:rPr>
        <w:t> </w:t>
      </w:r>
      <w:r>
        <w:rPr/>
        <w:t>cahiers</w:t>
      </w:r>
      <w:r>
        <w:rPr>
          <w:spacing w:val="-12"/>
        </w:rPr>
        <w:t> </w:t>
      </w:r>
      <w:r>
        <w:rPr/>
        <w:t>des</w:t>
      </w:r>
      <w:r>
        <w:rPr>
          <w:spacing w:val="-12"/>
        </w:rPr>
        <w:t> </w:t>
      </w:r>
      <w:r>
        <w:rPr/>
        <w:t>charges,</w:t>
      </w:r>
      <w:r>
        <w:rPr>
          <w:spacing w:val="-12"/>
        </w:rPr>
        <w:t> </w:t>
      </w:r>
      <w:r>
        <w:rPr/>
        <w:t>et</w:t>
      </w:r>
      <w:r>
        <w:rPr>
          <w:spacing w:val="-10"/>
        </w:rPr>
        <w:t> </w:t>
      </w:r>
      <w:r>
        <w:rPr/>
        <w:t>afin</w:t>
      </w:r>
      <w:r>
        <w:rPr>
          <w:spacing w:val="-13"/>
        </w:rPr>
        <w:t> </w:t>
      </w:r>
      <w:r>
        <w:rPr/>
        <w:t>de</w:t>
      </w:r>
      <w:r>
        <w:rPr>
          <w:spacing w:val="-12"/>
        </w:rPr>
        <w:t> </w:t>
      </w:r>
      <w:r>
        <w:rPr/>
        <w:t>proposer</w:t>
      </w:r>
      <w:r>
        <w:rPr>
          <w:spacing w:val="-13"/>
        </w:rPr>
        <w:t> </w:t>
      </w:r>
      <w:r>
        <w:rPr>
          <w:spacing w:val="2"/>
        </w:rPr>
        <w:t>des</w:t>
      </w:r>
      <w:r>
        <w:rPr>
          <w:spacing w:val="-10"/>
        </w:rPr>
        <w:t> </w:t>
      </w:r>
      <w:r>
        <w:rPr/>
        <w:t>offres innovantes et utiles à l’achat les soumissionnaires peuvent présenter une ou plusieurs offres</w:t>
      </w:r>
      <w:r>
        <w:rPr>
          <w:spacing w:val="-8"/>
        </w:rPr>
        <w:t> </w:t>
      </w:r>
      <w:r>
        <w:rPr/>
        <w:t>variantes</w:t>
      </w:r>
      <w:r>
        <w:rPr>
          <w:spacing w:val="-8"/>
        </w:rPr>
        <w:t> </w:t>
      </w:r>
      <w:r>
        <w:rPr/>
        <w:t>comportant</w:t>
      </w:r>
      <w:r>
        <w:rPr>
          <w:spacing w:val="-8"/>
        </w:rPr>
        <w:t> </w:t>
      </w:r>
      <w:r>
        <w:rPr/>
        <w:t>des</w:t>
      </w:r>
      <w:r>
        <w:rPr>
          <w:spacing w:val="-10"/>
        </w:rPr>
        <w:t> </w:t>
      </w:r>
      <w:r>
        <w:rPr/>
        <w:t>spécifications</w:t>
      </w:r>
      <w:r>
        <w:rPr>
          <w:spacing w:val="-10"/>
        </w:rPr>
        <w:t> </w:t>
      </w:r>
      <w:r>
        <w:rPr/>
        <w:t>techniques</w:t>
      </w:r>
      <w:r>
        <w:rPr>
          <w:spacing w:val="-7"/>
        </w:rPr>
        <w:t> </w:t>
      </w:r>
      <w:r>
        <w:rPr/>
        <w:t>autres</w:t>
      </w:r>
      <w:r>
        <w:rPr>
          <w:spacing w:val="-10"/>
        </w:rPr>
        <w:t> </w:t>
      </w:r>
      <w:r>
        <w:rPr/>
        <w:t>que</w:t>
      </w:r>
      <w:r>
        <w:rPr>
          <w:spacing w:val="-9"/>
        </w:rPr>
        <w:t> </w:t>
      </w:r>
      <w:r>
        <w:rPr/>
        <w:t>celles</w:t>
      </w:r>
      <w:r>
        <w:rPr>
          <w:spacing w:val="-10"/>
        </w:rPr>
        <w:t> </w:t>
      </w:r>
      <w:r>
        <w:rPr/>
        <w:t>prévues</w:t>
      </w:r>
      <w:r>
        <w:rPr>
          <w:spacing w:val="-10"/>
        </w:rPr>
        <w:t> </w:t>
      </w:r>
      <w:r>
        <w:rPr/>
        <w:t>par la solution de base à condition de présenter une offre se rapportant à l'objet de l’achat tel que prévu par les cahiers des charges et que l'offre variante n'entraîne pas de modifications des besoins du</w:t>
      </w:r>
      <w:r>
        <w:rPr>
          <w:spacing w:val="-1"/>
        </w:rPr>
        <w:t> </w:t>
      </w:r>
      <w:r>
        <w:rPr/>
        <w:t>GCT.</w:t>
      </w:r>
    </w:p>
    <w:p>
      <w:pPr>
        <w:pStyle w:val="BodyText"/>
        <w:spacing w:before="1"/>
        <w:ind w:right="757"/>
      </w:pPr>
      <w:r>
        <w:rPr/>
        <w:t>La variante technique doit sous peine de rejet, comporter toutes les indications et précisions relatives à cette variante et doit être appuyée par tous les documents permettant</w:t>
      </w:r>
      <w:r>
        <w:rPr>
          <w:spacing w:val="-18"/>
        </w:rPr>
        <w:t> </w:t>
      </w:r>
      <w:r>
        <w:rPr/>
        <w:t>d'évaluer</w:t>
      </w:r>
      <w:r>
        <w:rPr>
          <w:spacing w:val="-16"/>
        </w:rPr>
        <w:t> </w:t>
      </w:r>
      <w:r>
        <w:rPr/>
        <w:t>cette</w:t>
      </w:r>
      <w:r>
        <w:rPr>
          <w:spacing w:val="-17"/>
        </w:rPr>
        <w:t> </w:t>
      </w:r>
      <w:r>
        <w:rPr/>
        <w:t>solution</w:t>
      </w:r>
      <w:r>
        <w:rPr>
          <w:spacing w:val="-17"/>
        </w:rPr>
        <w:t> </w:t>
      </w:r>
      <w:r>
        <w:rPr/>
        <w:t>sur</w:t>
      </w:r>
      <w:r>
        <w:rPr>
          <w:spacing w:val="-16"/>
        </w:rPr>
        <w:t> </w:t>
      </w:r>
      <w:r>
        <w:rPr/>
        <w:t>la</w:t>
      </w:r>
      <w:r>
        <w:rPr>
          <w:spacing w:val="-18"/>
        </w:rPr>
        <w:t> </w:t>
      </w:r>
      <w:r>
        <w:rPr/>
        <w:t>base</w:t>
      </w:r>
      <w:r>
        <w:rPr>
          <w:spacing w:val="-17"/>
        </w:rPr>
        <w:t> </w:t>
      </w:r>
      <w:r>
        <w:rPr/>
        <w:t>de</w:t>
      </w:r>
      <w:r>
        <w:rPr>
          <w:spacing w:val="-16"/>
        </w:rPr>
        <w:t> </w:t>
      </w:r>
      <w:r>
        <w:rPr/>
        <w:t>la</w:t>
      </w:r>
      <w:r>
        <w:rPr>
          <w:spacing w:val="-17"/>
        </w:rPr>
        <w:t> </w:t>
      </w:r>
      <w:r>
        <w:rPr/>
        <w:t>même</w:t>
      </w:r>
      <w:r>
        <w:rPr>
          <w:spacing w:val="-13"/>
        </w:rPr>
        <w:t> </w:t>
      </w:r>
      <w:r>
        <w:rPr/>
        <w:t>méthodologie</w:t>
      </w:r>
      <w:r>
        <w:rPr>
          <w:spacing w:val="-16"/>
        </w:rPr>
        <w:t> </w:t>
      </w:r>
      <w:r>
        <w:rPr/>
        <w:t>annoncée</w:t>
      </w:r>
      <w:r>
        <w:rPr>
          <w:spacing w:val="-17"/>
        </w:rPr>
        <w:t> </w:t>
      </w:r>
      <w:r>
        <w:rPr/>
        <w:t>dans le cahier des charges.</w:t>
      </w:r>
    </w:p>
    <w:p>
      <w:pPr>
        <w:pStyle w:val="BodyText"/>
        <w:spacing w:before="1"/>
        <w:ind w:right="750"/>
      </w:pPr>
      <w:r>
        <w:rPr/>
        <w:t>Sauf stipulations contraires du cahier des charges, la présentation des variantes n'implique pas l'obligation pour le concurrent de présenter une offre pour la solution de base initialement prévue. Les modalités d'examen des solutions de base et des variantes doivent être précisées dans le cahier des charges. Les offres variantes présentées par les concurrents font l'objet d'un pli ou fichier électronique distinct de l'offre de base éventuellement proposée. Dans ce cas, les pièces du dossier administratif, le dossier technique et le dossier additif sont valables aussi bien pour la solution de base que pour les offres variantes.</w:t>
      </w:r>
    </w:p>
    <w:p>
      <w:pPr>
        <w:pStyle w:val="BodyText"/>
        <w:ind w:right="756"/>
      </w:pPr>
      <w:r>
        <w:rPr/>
        <w:t>Dans</w:t>
      </w:r>
      <w:r>
        <w:rPr>
          <w:spacing w:val="-4"/>
        </w:rPr>
        <w:t> </w:t>
      </w:r>
      <w:r>
        <w:rPr/>
        <w:t>le</w:t>
      </w:r>
      <w:r>
        <w:rPr>
          <w:spacing w:val="-4"/>
        </w:rPr>
        <w:t> </w:t>
      </w:r>
      <w:r>
        <w:rPr/>
        <w:t>cas</w:t>
      </w:r>
      <w:r>
        <w:rPr>
          <w:spacing w:val="-5"/>
        </w:rPr>
        <w:t> </w:t>
      </w:r>
      <w:r>
        <w:rPr/>
        <w:t>où</w:t>
      </w:r>
      <w:r>
        <w:rPr>
          <w:spacing w:val="-3"/>
        </w:rPr>
        <w:t> </w:t>
      </w:r>
      <w:r>
        <w:rPr/>
        <w:t>le</w:t>
      </w:r>
      <w:r>
        <w:rPr>
          <w:spacing w:val="-4"/>
        </w:rPr>
        <w:t> </w:t>
      </w:r>
      <w:r>
        <w:rPr/>
        <w:t>concurrent</w:t>
      </w:r>
      <w:r>
        <w:rPr>
          <w:spacing w:val="-5"/>
        </w:rPr>
        <w:t> </w:t>
      </w:r>
      <w:r>
        <w:rPr/>
        <w:t>ne</w:t>
      </w:r>
      <w:r>
        <w:rPr>
          <w:spacing w:val="-5"/>
        </w:rPr>
        <w:t> </w:t>
      </w:r>
      <w:r>
        <w:rPr/>
        <w:t>présente</w:t>
      </w:r>
      <w:r>
        <w:rPr>
          <w:spacing w:val="-5"/>
        </w:rPr>
        <w:t> </w:t>
      </w:r>
      <w:r>
        <w:rPr/>
        <w:t>que</w:t>
      </w:r>
      <w:r>
        <w:rPr>
          <w:spacing w:val="-5"/>
        </w:rPr>
        <w:t> </w:t>
      </w:r>
      <w:r>
        <w:rPr/>
        <w:t>des</w:t>
      </w:r>
      <w:r>
        <w:rPr>
          <w:spacing w:val="-5"/>
        </w:rPr>
        <w:t> </w:t>
      </w:r>
      <w:r>
        <w:rPr/>
        <w:t>offres</w:t>
      </w:r>
      <w:r>
        <w:rPr>
          <w:spacing w:val="-5"/>
        </w:rPr>
        <w:t> </w:t>
      </w:r>
      <w:r>
        <w:rPr/>
        <w:t>variantes,</w:t>
      </w:r>
      <w:r>
        <w:rPr>
          <w:spacing w:val="-3"/>
        </w:rPr>
        <w:t> </w:t>
      </w:r>
      <w:r>
        <w:rPr/>
        <w:t>le</w:t>
      </w:r>
      <w:r>
        <w:rPr>
          <w:spacing w:val="-5"/>
        </w:rPr>
        <w:t> </w:t>
      </w:r>
      <w:r>
        <w:rPr/>
        <w:t>pli</w:t>
      </w:r>
      <w:r>
        <w:rPr>
          <w:spacing w:val="-1"/>
        </w:rPr>
        <w:t> </w:t>
      </w:r>
      <w:r>
        <w:rPr/>
        <w:t>contenant les</w:t>
      </w:r>
      <w:r>
        <w:rPr>
          <w:spacing w:val="-20"/>
        </w:rPr>
        <w:t> </w:t>
      </w:r>
      <w:r>
        <w:rPr/>
        <w:t>offres</w:t>
      </w:r>
      <w:r>
        <w:rPr>
          <w:spacing w:val="-17"/>
        </w:rPr>
        <w:t> </w:t>
      </w:r>
      <w:r>
        <w:rPr/>
        <w:t>variantes</w:t>
      </w:r>
      <w:r>
        <w:rPr>
          <w:spacing w:val="-19"/>
        </w:rPr>
        <w:t> </w:t>
      </w:r>
      <w:r>
        <w:rPr/>
        <w:t>doit</w:t>
      </w:r>
      <w:r>
        <w:rPr>
          <w:spacing w:val="-17"/>
        </w:rPr>
        <w:t> </w:t>
      </w:r>
      <w:r>
        <w:rPr/>
        <w:t>répondre</w:t>
      </w:r>
      <w:r>
        <w:rPr>
          <w:spacing w:val="-17"/>
        </w:rPr>
        <w:t> </w:t>
      </w:r>
      <w:r>
        <w:rPr/>
        <w:t>aux</w:t>
      </w:r>
      <w:r>
        <w:rPr>
          <w:spacing w:val="-17"/>
        </w:rPr>
        <w:t> </w:t>
      </w:r>
      <w:r>
        <w:rPr/>
        <w:t>conditions</w:t>
      </w:r>
      <w:r>
        <w:rPr>
          <w:spacing w:val="-17"/>
        </w:rPr>
        <w:t> </w:t>
      </w:r>
      <w:r>
        <w:rPr/>
        <w:t>de</w:t>
      </w:r>
      <w:r>
        <w:rPr>
          <w:spacing w:val="-17"/>
        </w:rPr>
        <w:t> </w:t>
      </w:r>
      <w:r>
        <w:rPr/>
        <w:t>présentation</w:t>
      </w:r>
      <w:r>
        <w:rPr>
          <w:spacing w:val="-20"/>
        </w:rPr>
        <w:t> </w:t>
      </w:r>
      <w:r>
        <w:rPr/>
        <w:t>des</w:t>
      </w:r>
      <w:r>
        <w:rPr>
          <w:spacing w:val="-16"/>
        </w:rPr>
        <w:t> </w:t>
      </w:r>
      <w:r>
        <w:rPr/>
        <w:t>offres</w:t>
      </w:r>
      <w:r>
        <w:rPr>
          <w:spacing w:val="-17"/>
        </w:rPr>
        <w:t> </w:t>
      </w:r>
      <w:r>
        <w:rPr/>
        <w:t>et</w:t>
      </w:r>
      <w:r>
        <w:rPr>
          <w:spacing w:val="-16"/>
        </w:rPr>
        <w:t> </w:t>
      </w:r>
      <w:r>
        <w:rPr/>
        <w:t>des</w:t>
      </w:r>
      <w:r>
        <w:rPr>
          <w:spacing w:val="-17"/>
        </w:rPr>
        <w:t> </w:t>
      </w:r>
      <w:r>
        <w:rPr/>
        <w:t>pièces exigées prévues au cahier des charges et comporter en outre la mention</w:t>
      </w:r>
      <w:r>
        <w:rPr>
          <w:spacing w:val="-26"/>
        </w:rPr>
        <w:t> </w:t>
      </w:r>
      <w:r>
        <w:rPr/>
        <w:t>"variante".</w:t>
      </w:r>
    </w:p>
    <w:p>
      <w:pPr>
        <w:pStyle w:val="BodyText"/>
        <w:spacing w:before="119"/>
        <w:ind w:right="755"/>
      </w:pPr>
      <w:r>
        <w:rPr/>
        <w:t>Il est interdit de faire mention à un mode ou procédé de fabrication particulier, à une</w:t>
      </w:r>
      <w:r>
        <w:rPr>
          <w:spacing w:val="-5"/>
        </w:rPr>
        <w:t> </w:t>
      </w:r>
      <w:r>
        <w:rPr/>
        <w:t>provenance</w:t>
      </w:r>
      <w:r>
        <w:rPr>
          <w:spacing w:val="-4"/>
        </w:rPr>
        <w:t> </w:t>
      </w:r>
      <w:r>
        <w:rPr/>
        <w:t>ou</w:t>
      </w:r>
      <w:r>
        <w:rPr>
          <w:spacing w:val="-4"/>
        </w:rPr>
        <w:t> </w:t>
      </w:r>
      <w:r>
        <w:rPr/>
        <w:t>origine</w:t>
      </w:r>
      <w:r>
        <w:rPr>
          <w:spacing w:val="-5"/>
        </w:rPr>
        <w:t> </w:t>
      </w:r>
      <w:r>
        <w:rPr/>
        <w:t>déterminée,</w:t>
      </w:r>
      <w:r>
        <w:rPr>
          <w:spacing w:val="-5"/>
        </w:rPr>
        <w:t> </w:t>
      </w:r>
      <w:r>
        <w:rPr/>
        <w:t>ni</w:t>
      </w:r>
      <w:r>
        <w:rPr>
          <w:spacing w:val="-4"/>
        </w:rPr>
        <w:t> </w:t>
      </w:r>
      <w:r>
        <w:rPr/>
        <w:t>faire</w:t>
      </w:r>
      <w:r>
        <w:rPr>
          <w:spacing w:val="-5"/>
        </w:rPr>
        <w:t> </w:t>
      </w:r>
      <w:r>
        <w:rPr/>
        <w:t>référence</w:t>
      </w:r>
      <w:r>
        <w:rPr>
          <w:spacing w:val="-1"/>
        </w:rPr>
        <w:t> </w:t>
      </w:r>
      <w:r>
        <w:rPr/>
        <w:t>à</w:t>
      </w:r>
      <w:r>
        <w:rPr>
          <w:spacing w:val="-5"/>
        </w:rPr>
        <w:t> </w:t>
      </w:r>
      <w:r>
        <w:rPr/>
        <w:t>une</w:t>
      </w:r>
      <w:r>
        <w:rPr>
          <w:spacing w:val="-5"/>
        </w:rPr>
        <w:t> </w:t>
      </w:r>
      <w:r>
        <w:rPr/>
        <w:t>marque,</w:t>
      </w:r>
      <w:r>
        <w:rPr>
          <w:spacing w:val="-5"/>
        </w:rPr>
        <w:t> </w:t>
      </w:r>
      <w:r>
        <w:rPr/>
        <w:t>à</w:t>
      </w:r>
      <w:r>
        <w:rPr>
          <w:spacing w:val="-1"/>
        </w:rPr>
        <w:t> </w:t>
      </w:r>
      <w:r>
        <w:rPr/>
        <w:t>un</w:t>
      </w:r>
      <w:r>
        <w:rPr>
          <w:spacing w:val="-5"/>
        </w:rPr>
        <w:t> </w:t>
      </w:r>
      <w:r>
        <w:rPr/>
        <w:t>brevet</w:t>
      </w:r>
      <w:r>
        <w:rPr>
          <w:spacing w:val="-4"/>
        </w:rPr>
        <w:t> </w:t>
      </w:r>
      <w:r>
        <w:rPr/>
        <w:t>ou à un type déterminé, dès lors qu’une telle mention ou référence aurait pour effet de favoriser ou d’éliminer certains candidats ou certains</w:t>
      </w:r>
      <w:r>
        <w:rPr>
          <w:spacing w:val="-6"/>
        </w:rPr>
        <w:t> </w:t>
      </w:r>
      <w:r>
        <w:rPr/>
        <w:t>produits.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48"/>
        <w:jc w:val="left"/>
      </w:pPr>
      <w:r>
        <w:rPr/>
        <w:t>Outre le Cahier des Charges techniques, la Structure demandeuse prépare les documents suivants :</w:t>
      </w:r>
    </w:p>
    <w:p>
      <w:pPr>
        <w:pStyle w:val="ListParagraph"/>
        <w:numPr>
          <w:ilvl w:val="2"/>
          <w:numId w:val="18"/>
        </w:numPr>
        <w:tabs>
          <w:tab w:pos="1000" w:val="left" w:leader="none"/>
        </w:tabs>
        <w:spacing w:line="240" w:lineRule="auto" w:before="118" w:after="0"/>
        <w:ind w:left="999" w:right="758" w:hanging="284"/>
        <w:jc w:val="left"/>
        <w:rPr>
          <w:sz w:val="28"/>
        </w:rPr>
      </w:pPr>
      <w:r>
        <w:rPr>
          <w:sz w:val="28"/>
        </w:rPr>
        <w:t>Le modèle de l’offre technique (MOT) conformément aux spécifications techniques établis (en tant qu’annexe du CCT)</w:t>
      </w:r>
      <w:r>
        <w:rPr>
          <w:spacing w:val="1"/>
          <w:sz w:val="28"/>
        </w:rPr>
        <w:t> </w:t>
      </w:r>
      <w:r>
        <w:rPr>
          <w:sz w:val="28"/>
        </w:rPr>
        <w:t>;</w:t>
      </w:r>
    </w:p>
    <w:p>
      <w:pPr>
        <w:pStyle w:val="ListParagraph"/>
        <w:numPr>
          <w:ilvl w:val="2"/>
          <w:numId w:val="18"/>
        </w:numPr>
        <w:tabs>
          <w:tab w:pos="1000" w:val="left" w:leader="none"/>
        </w:tabs>
        <w:spacing w:line="343" w:lineRule="exact" w:before="0" w:after="0"/>
        <w:ind w:left="999" w:right="0" w:hanging="284"/>
        <w:jc w:val="left"/>
        <w:rPr>
          <w:sz w:val="28"/>
        </w:rPr>
      </w:pPr>
      <w:r>
        <w:rPr>
          <w:sz w:val="28"/>
        </w:rPr>
        <w:t>Le contenu de l’offre Technique (COT) (en tant qu’annexe du CCT)</w:t>
      </w:r>
      <w:r>
        <w:rPr>
          <w:spacing w:val="-12"/>
          <w:sz w:val="28"/>
        </w:rPr>
        <w:t> </w:t>
      </w:r>
      <w:r>
        <w:rPr>
          <w:sz w:val="28"/>
        </w:rPr>
        <w:t>;</w:t>
      </w:r>
    </w:p>
    <w:p>
      <w:pPr>
        <w:pStyle w:val="ListParagraph"/>
        <w:numPr>
          <w:ilvl w:val="2"/>
          <w:numId w:val="18"/>
        </w:numPr>
        <w:tabs>
          <w:tab w:pos="1000" w:val="left" w:leader="none"/>
        </w:tabs>
        <w:spacing w:line="240" w:lineRule="auto" w:before="0" w:after="0"/>
        <w:ind w:left="999" w:right="0" w:hanging="284"/>
        <w:jc w:val="left"/>
        <w:rPr>
          <w:sz w:val="28"/>
        </w:rPr>
      </w:pPr>
      <w:r>
        <w:rPr>
          <w:sz w:val="28"/>
        </w:rPr>
        <w:t>Une proposition des critères et de la méthodologie</w:t>
      </w:r>
      <w:r>
        <w:rPr>
          <w:spacing w:val="-10"/>
          <w:sz w:val="28"/>
        </w:rPr>
        <w:t> </w:t>
      </w:r>
      <w:r>
        <w:rPr>
          <w:sz w:val="28"/>
        </w:rPr>
        <w:t>d’évaluation.</w:t>
      </w:r>
    </w:p>
    <w:p>
      <w:pPr>
        <w:pStyle w:val="Heading2"/>
        <w:numPr>
          <w:ilvl w:val="1"/>
          <w:numId w:val="18"/>
        </w:numPr>
        <w:tabs>
          <w:tab w:pos="894" w:val="left" w:leader="none"/>
        </w:tabs>
        <w:spacing w:line="320" w:lineRule="exact" w:before="124" w:after="0"/>
        <w:ind w:left="893" w:right="0" w:hanging="461"/>
        <w:jc w:val="left"/>
      </w:pPr>
      <w:bookmarkStart w:name="_TOC_250118" w:id="23"/>
      <w:r>
        <w:rPr/>
        <w:t>Détermination du montant estimatif du</w:t>
      </w:r>
      <w:r>
        <w:rPr>
          <w:spacing w:val="-5"/>
        </w:rPr>
        <w:t> </w:t>
      </w:r>
      <w:bookmarkEnd w:id="23"/>
      <w:r>
        <w:rPr/>
        <w:t>besoin</w:t>
      </w:r>
    </w:p>
    <w:p>
      <w:pPr>
        <w:pStyle w:val="BodyText"/>
        <w:ind w:right="758"/>
      </w:pPr>
      <w:r>
        <w:rPr/>
        <w:t>Après élaboration des spécifications techniques, la Structure demandeuse détermine avec précision le montant estimatif de l’achat souhaité.</w:t>
      </w:r>
    </w:p>
    <w:p>
      <w:pPr>
        <w:pStyle w:val="BodyText"/>
        <w:ind w:right="751"/>
      </w:pPr>
      <w:r>
        <w:rPr/>
        <w:t>Il</w:t>
      </w:r>
      <w:r>
        <w:rPr>
          <w:spacing w:val="-13"/>
        </w:rPr>
        <w:t> </w:t>
      </w:r>
      <w:r>
        <w:rPr/>
        <w:t>est</w:t>
      </w:r>
      <w:r>
        <w:rPr>
          <w:spacing w:val="-12"/>
        </w:rPr>
        <w:t> </w:t>
      </w:r>
      <w:r>
        <w:rPr/>
        <w:t>à</w:t>
      </w:r>
      <w:r>
        <w:rPr>
          <w:spacing w:val="-12"/>
        </w:rPr>
        <w:t> </w:t>
      </w:r>
      <w:r>
        <w:rPr/>
        <w:t>noter</w:t>
      </w:r>
      <w:r>
        <w:rPr>
          <w:spacing w:val="-15"/>
        </w:rPr>
        <w:t> </w:t>
      </w:r>
      <w:r>
        <w:rPr/>
        <w:t>que</w:t>
      </w:r>
      <w:r>
        <w:rPr>
          <w:spacing w:val="-16"/>
        </w:rPr>
        <w:t> </w:t>
      </w:r>
      <w:r>
        <w:rPr/>
        <w:t>la</w:t>
      </w:r>
      <w:r>
        <w:rPr>
          <w:spacing w:val="-12"/>
        </w:rPr>
        <w:t> </w:t>
      </w:r>
      <w:r>
        <w:rPr/>
        <w:t>structure</w:t>
      </w:r>
      <w:r>
        <w:rPr>
          <w:spacing w:val="-15"/>
        </w:rPr>
        <w:t> </w:t>
      </w:r>
      <w:r>
        <w:rPr/>
        <w:t>demandeuse</w:t>
      </w:r>
      <w:r>
        <w:rPr>
          <w:spacing w:val="-12"/>
        </w:rPr>
        <w:t> </w:t>
      </w:r>
      <w:r>
        <w:rPr/>
        <w:t>doit</w:t>
      </w:r>
      <w:r>
        <w:rPr>
          <w:spacing w:val="-13"/>
        </w:rPr>
        <w:t> </w:t>
      </w:r>
      <w:r>
        <w:rPr/>
        <w:t>lors</w:t>
      </w:r>
      <w:r>
        <w:rPr>
          <w:spacing w:val="-6"/>
        </w:rPr>
        <w:t> </w:t>
      </w:r>
      <w:r>
        <w:rPr/>
        <w:t>de</w:t>
      </w:r>
      <w:r>
        <w:rPr>
          <w:spacing w:val="-14"/>
        </w:rPr>
        <w:t> </w:t>
      </w:r>
      <w:r>
        <w:rPr/>
        <w:t>la</w:t>
      </w:r>
      <w:r>
        <w:rPr>
          <w:spacing w:val="-13"/>
        </w:rPr>
        <w:t> </w:t>
      </w:r>
      <w:r>
        <w:rPr/>
        <w:t>détermination</w:t>
      </w:r>
      <w:r>
        <w:rPr>
          <w:spacing w:val="-10"/>
        </w:rPr>
        <w:t> </w:t>
      </w:r>
      <w:r>
        <w:rPr/>
        <w:t>du</w:t>
      </w:r>
      <w:r>
        <w:rPr>
          <w:spacing w:val="-12"/>
        </w:rPr>
        <w:t> </w:t>
      </w:r>
      <w:r>
        <w:rPr/>
        <w:t>montant estimatif des besoins tenir compte du budget d'investissement ou d'exploitation alloué qui doit être actualisé si</w:t>
      </w:r>
      <w:r>
        <w:rPr>
          <w:spacing w:val="-4"/>
        </w:rPr>
        <w:t> </w:t>
      </w:r>
      <w:r>
        <w:rPr/>
        <w:t>nécessaire.</w:t>
      </w:r>
    </w:p>
    <w:p>
      <w:pPr>
        <w:pStyle w:val="BodyText"/>
        <w:ind w:right="753"/>
      </w:pPr>
      <w:r>
        <w:rPr/>
        <w:t>Pour les contrats cadres, la structure demandeuse détermine le minimum et le maximum des besoins arrêtés en valeur et en quantité. Et ce pour la globalité des commandes prévues pour la période contractuelle maximale (par défaut 03 ans et exceptionnellement 05 ans).</w:t>
      </w:r>
    </w:p>
    <w:p>
      <w:pPr>
        <w:pStyle w:val="BodyText"/>
        <w:ind w:right="750"/>
      </w:pPr>
      <w:r>
        <w:rPr/>
        <w:t>La Structure demandeuse prépare, essentiellement, le Modèle de l’Offre Financière (MOF) en fonction du type de prix de l’achat, comme suit :</w:t>
      </w:r>
    </w:p>
    <w:p>
      <w:pPr>
        <w:pStyle w:val="BodyText"/>
        <w:ind w:right="763"/>
      </w:pPr>
      <w:r>
        <w:rPr/>
        <w:t>Pour les achats à prix unitaire, la Structure demandeuse prépare les formulaires suivants :</w:t>
      </w:r>
    </w:p>
    <w:p>
      <w:pPr>
        <w:pStyle w:val="ListParagraph"/>
        <w:numPr>
          <w:ilvl w:val="2"/>
          <w:numId w:val="18"/>
        </w:numPr>
        <w:tabs>
          <w:tab w:pos="1000" w:val="left" w:leader="none"/>
        </w:tabs>
        <w:spacing w:line="341" w:lineRule="exact" w:before="0" w:after="0"/>
        <w:ind w:left="999" w:right="0" w:hanging="284"/>
        <w:jc w:val="both"/>
        <w:rPr>
          <w:sz w:val="28"/>
        </w:rPr>
      </w:pPr>
      <w:r>
        <w:rPr>
          <w:sz w:val="28"/>
        </w:rPr>
        <w:t>Le Bordereau des Prix Unitaires (BPU)</w:t>
      </w:r>
      <w:r>
        <w:rPr>
          <w:spacing w:val="5"/>
          <w:sz w:val="28"/>
        </w:rPr>
        <w:t> </w:t>
      </w:r>
      <w:r>
        <w:rPr>
          <w:sz w:val="28"/>
        </w:rPr>
        <w:t>;</w:t>
      </w:r>
    </w:p>
    <w:p>
      <w:pPr>
        <w:pStyle w:val="ListParagraph"/>
        <w:numPr>
          <w:ilvl w:val="2"/>
          <w:numId w:val="18"/>
        </w:numPr>
        <w:tabs>
          <w:tab w:pos="1000" w:val="left" w:leader="none"/>
        </w:tabs>
        <w:spacing w:line="342" w:lineRule="exact" w:before="0" w:after="0"/>
        <w:ind w:left="999" w:right="0" w:hanging="284"/>
        <w:jc w:val="both"/>
        <w:rPr>
          <w:sz w:val="28"/>
        </w:rPr>
      </w:pPr>
      <w:r>
        <w:rPr>
          <w:sz w:val="28"/>
        </w:rPr>
        <w:t>Le Détail Estimatif</w:t>
      </w:r>
      <w:r>
        <w:rPr>
          <w:spacing w:val="-1"/>
          <w:sz w:val="28"/>
        </w:rPr>
        <w:t> </w:t>
      </w:r>
      <w:r>
        <w:rPr>
          <w:sz w:val="28"/>
        </w:rPr>
        <w:t>(DE).</w:t>
      </w:r>
    </w:p>
    <w:p>
      <w:pPr>
        <w:pStyle w:val="BodyText"/>
        <w:spacing w:line="242" w:lineRule="auto"/>
        <w:ind w:right="759"/>
      </w:pPr>
      <w:r>
        <w:rPr/>
        <w:t>Pour les achats à prix global forfaitaire, la Structure demandeuse prépare essentiellement le formulaire suivant :</w:t>
      </w:r>
    </w:p>
    <w:p>
      <w:pPr>
        <w:pStyle w:val="ListParagraph"/>
        <w:numPr>
          <w:ilvl w:val="2"/>
          <w:numId w:val="18"/>
        </w:numPr>
        <w:tabs>
          <w:tab w:pos="1000" w:val="left" w:leader="none"/>
        </w:tabs>
        <w:spacing w:line="337" w:lineRule="exact" w:before="0" w:after="0"/>
        <w:ind w:left="999" w:right="0" w:hanging="284"/>
        <w:jc w:val="both"/>
        <w:rPr>
          <w:sz w:val="28"/>
        </w:rPr>
      </w:pPr>
      <w:r>
        <w:rPr>
          <w:sz w:val="28"/>
        </w:rPr>
        <w:t>Décomposition du Prix Global Forfaitaire</w:t>
      </w:r>
      <w:r>
        <w:rPr>
          <w:spacing w:val="-5"/>
          <w:sz w:val="28"/>
        </w:rPr>
        <w:t> </w:t>
      </w:r>
      <w:r>
        <w:rPr>
          <w:sz w:val="28"/>
        </w:rPr>
        <w:t>(DPGF).</w:t>
      </w:r>
    </w:p>
    <w:p>
      <w:pPr>
        <w:pStyle w:val="Heading2"/>
        <w:numPr>
          <w:ilvl w:val="1"/>
          <w:numId w:val="18"/>
        </w:numPr>
        <w:tabs>
          <w:tab w:pos="895" w:val="left" w:leader="none"/>
        </w:tabs>
        <w:spacing w:line="240" w:lineRule="auto" w:before="122" w:after="0"/>
        <w:ind w:left="894" w:right="0" w:hanging="462"/>
        <w:jc w:val="both"/>
      </w:pPr>
      <w:bookmarkStart w:name="_TOC_250117" w:id="24"/>
      <w:r>
        <w:rPr/>
        <w:t>Préparation et traitement demandes</w:t>
      </w:r>
      <w:r>
        <w:rPr>
          <w:spacing w:val="-4"/>
        </w:rPr>
        <w:t> </w:t>
      </w:r>
      <w:bookmarkEnd w:id="24"/>
      <w:r>
        <w:rPr/>
        <w:t>d’achat</w:t>
      </w:r>
    </w:p>
    <w:p>
      <w:pPr>
        <w:pStyle w:val="Heading2"/>
        <w:numPr>
          <w:ilvl w:val="2"/>
          <w:numId w:val="19"/>
        </w:numPr>
        <w:tabs>
          <w:tab w:pos="1103" w:val="left" w:leader="none"/>
        </w:tabs>
        <w:spacing w:line="321" w:lineRule="exact" w:before="120" w:after="0"/>
        <w:ind w:left="1102" w:right="0" w:hanging="670"/>
        <w:jc w:val="both"/>
      </w:pPr>
      <w:bookmarkStart w:name="_TOC_250116" w:id="25"/>
      <w:r>
        <w:rPr/>
        <w:t>Composition du dossier de la demande</w:t>
      </w:r>
      <w:r>
        <w:rPr>
          <w:spacing w:val="-2"/>
        </w:rPr>
        <w:t> </w:t>
      </w:r>
      <w:bookmarkEnd w:id="25"/>
      <w:r>
        <w:rPr/>
        <w:t>d’achat</w:t>
      </w:r>
    </w:p>
    <w:p>
      <w:pPr>
        <w:pStyle w:val="BodyText"/>
        <w:ind w:right="759"/>
      </w:pPr>
      <w:r>
        <w:rPr/>
        <w:t>Le dossier de demande d’achat à préparer par la Structure demandeuse doit comprendre essentiellement les pièces suivantes :</w:t>
      </w:r>
    </w:p>
    <w:p>
      <w:pPr>
        <w:pStyle w:val="ListParagraph"/>
        <w:numPr>
          <w:ilvl w:val="3"/>
          <w:numId w:val="19"/>
        </w:numPr>
        <w:tabs>
          <w:tab w:pos="1153" w:val="left" w:leader="none"/>
          <w:tab w:pos="1154" w:val="left" w:leader="none"/>
        </w:tabs>
        <w:spacing w:line="342" w:lineRule="exact" w:before="117" w:after="0"/>
        <w:ind w:left="1153" w:right="0" w:hanging="361"/>
        <w:jc w:val="left"/>
        <w:rPr>
          <w:rFonts w:ascii="Symbol" w:hAnsi="Symbol"/>
          <w:sz w:val="28"/>
        </w:rPr>
      </w:pPr>
      <w:r>
        <w:rPr>
          <w:sz w:val="28"/>
        </w:rPr>
        <w:t>La demande d’achat dûment renseigné ;</w:t>
      </w:r>
    </w:p>
    <w:p>
      <w:pPr>
        <w:pStyle w:val="ListParagraph"/>
        <w:numPr>
          <w:ilvl w:val="3"/>
          <w:numId w:val="19"/>
        </w:numPr>
        <w:tabs>
          <w:tab w:pos="1153" w:val="left" w:leader="none"/>
          <w:tab w:pos="1154" w:val="left" w:leader="none"/>
        </w:tabs>
        <w:spacing w:line="240" w:lineRule="auto" w:before="0" w:after="0"/>
        <w:ind w:left="1153" w:right="755" w:hanging="360"/>
        <w:jc w:val="left"/>
        <w:rPr>
          <w:rFonts w:ascii="Symbol" w:hAnsi="Symbol"/>
          <w:sz w:val="28"/>
        </w:rPr>
      </w:pPr>
      <w:r>
        <w:rPr>
          <w:sz w:val="28"/>
        </w:rPr>
        <w:t>Le dossier des spécifications techniques (le CCT et ses annexes (COT, MOT, etc.))</w:t>
      </w:r>
    </w:p>
    <w:p>
      <w:pPr>
        <w:pStyle w:val="ListParagraph"/>
        <w:numPr>
          <w:ilvl w:val="3"/>
          <w:numId w:val="19"/>
        </w:numPr>
        <w:tabs>
          <w:tab w:pos="1153" w:val="left" w:leader="none"/>
          <w:tab w:pos="1154" w:val="left" w:leader="none"/>
        </w:tabs>
        <w:spacing w:line="240" w:lineRule="auto" w:before="0" w:after="0"/>
        <w:ind w:left="1153" w:right="0" w:hanging="361"/>
        <w:jc w:val="left"/>
        <w:rPr>
          <w:rFonts w:ascii="Symbol" w:hAnsi="Symbol"/>
          <w:sz w:val="28"/>
        </w:rPr>
      </w:pPr>
      <w:r>
        <w:rPr>
          <w:sz w:val="28"/>
        </w:rPr>
        <w:t>La proposition des critères et de la méthodologie d’évaluation</w:t>
      </w:r>
      <w:r>
        <w:rPr>
          <w:spacing w:val="-7"/>
          <w:sz w:val="28"/>
        </w:rPr>
        <w:t> </w:t>
      </w:r>
      <w:r>
        <w:rPr>
          <w:sz w:val="28"/>
        </w:rPr>
        <w:t>;</w:t>
      </w:r>
    </w:p>
    <w:p>
      <w:pPr>
        <w:pStyle w:val="ListParagraph"/>
        <w:numPr>
          <w:ilvl w:val="3"/>
          <w:numId w:val="19"/>
        </w:numPr>
        <w:tabs>
          <w:tab w:pos="1154" w:val="left" w:leader="none"/>
        </w:tabs>
        <w:spacing w:line="342" w:lineRule="exact" w:before="0" w:after="0"/>
        <w:ind w:left="1153" w:right="0" w:hanging="361"/>
        <w:jc w:val="both"/>
        <w:rPr>
          <w:rFonts w:ascii="Symbol" w:hAnsi="Symbol"/>
          <w:sz w:val="28"/>
        </w:rPr>
      </w:pPr>
      <w:r>
        <w:rPr>
          <w:sz w:val="28"/>
        </w:rPr>
        <w:t>Le MOF (BPU, DE, DGPF)</w:t>
      </w:r>
      <w:r>
        <w:rPr>
          <w:spacing w:val="-1"/>
          <w:sz w:val="28"/>
        </w:rPr>
        <w:t> </w:t>
      </w:r>
      <w:r>
        <w:rPr>
          <w:sz w:val="28"/>
        </w:rPr>
        <w:t>;</w:t>
      </w:r>
    </w:p>
    <w:p>
      <w:pPr>
        <w:pStyle w:val="ListParagraph"/>
        <w:numPr>
          <w:ilvl w:val="3"/>
          <w:numId w:val="19"/>
        </w:numPr>
        <w:tabs>
          <w:tab w:pos="1153" w:val="left" w:leader="none"/>
          <w:tab w:pos="1154" w:val="left" w:leader="none"/>
        </w:tabs>
        <w:spacing w:line="240" w:lineRule="auto" w:before="0" w:after="0"/>
        <w:ind w:left="1153" w:right="759" w:hanging="360"/>
        <w:jc w:val="left"/>
        <w:rPr>
          <w:rFonts w:ascii="Symbol" w:hAnsi="Symbol"/>
          <w:sz w:val="28"/>
        </w:rPr>
      </w:pPr>
      <w:r>
        <w:rPr>
          <w:sz w:val="28"/>
        </w:rPr>
        <w:t>Une Autorisation d’engagement des dépenses (AED) validée et signée pour les achats d’investissement</w:t>
      </w:r>
      <w:r>
        <w:rPr>
          <w:spacing w:val="-3"/>
          <w:sz w:val="28"/>
        </w:rPr>
        <w:t> </w:t>
      </w:r>
      <w:r>
        <w:rPr>
          <w:sz w:val="28"/>
        </w:rPr>
        <w:t>;</w:t>
      </w:r>
    </w:p>
    <w:p>
      <w:pPr>
        <w:pStyle w:val="ListParagraph"/>
        <w:numPr>
          <w:ilvl w:val="3"/>
          <w:numId w:val="19"/>
        </w:numPr>
        <w:tabs>
          <w:tab w:pos="1153" w:val="left" w:leader="none"/>
          <w:tab w:pos="1154" w:val="left" w:leader="none"/>
        </w:tabs>
        <w:spacing w:line="240" w:lineRule="auto" w:before="0" w:after="0"/>
        <w:ind w:left="1153" w:right="752" w:hanging="360"/>
        <w:jc w:val="left"/>
        <w:rPr>
          <w:rFonts w:ascii="Symbol" w:hAnsi="Symbol"/>
          <w:sz w:val="28"/>
        </w:rPr>
      </w:pPr>
      <w:r>
        <w:rPr>
          <w:sz w:val="28"/>
        </w:rPr>
        <w:t>Une note d'opportunité signée (pour les achats non-inscrits dans le plan prévisionnel)</w:t>
      </w:r>
      <w:r>
        <w:rPr>
          <w:spacing w:val="-4"/>
          <w:sz w:val="28"/>
        </w:rPr>
        <w:t> </w:t>
      </w:r>
      <w:r>
        <w:rPr>
          <w:sz w:val="28"/>
        </w:rPr>
        <w:t>;</w:t>
      </w:r>
    </w:p>
    <w:p>
      <w:pPr>
        <w:spacing w:after="0" w:line="240" w:lineRule="auto"/>
        <w:jc w:val="left"/>
        <w:rPr>
          <w:rFonts w:ascii="Symbol" w:hAnsi="Symbol"/>
          <w:sz w:val="28"/>
        </w:rPr>
        <w:sectPr>
          <w:pgSz w:w="11910" w:h="16840"/>
          <w:pgMar w:header="722" w:footer="0" w:top="1860" w:bottom="280" w:left="700" w:right="380"/>
        </w:sectPr>
      </w:pPr>
    </w:p>
    <w:p>
      <w:pPr>
        <w:pStyle w:val="BodyText"/>
        <w:spacing w:before="2"/>
        <w:ind w:left="0" w:firstLine="0"/>
        <w:jc w:val="left"/>
        <w:rPr>
          <w:sz w:val="15"/>
        </w:rPr>
      </w:pPr>
    </w:p>
    <w:p>
      <w:pPr>
        <w:pStyle w:val="ListParagraph"/>
        <w:numPr>
          <w:ilvl w:val="3"/>
          <w:numId w:val="19"/>
        </w:numPr>
        <w:tabs>
          <w:tab w:pos="1153" w:val="left" w:leader="none"/>
          <w:tab w:pos="1154" w:val="left" w:leader="none"/>
        </w:tabs>
        <w:spacing w:line="240" w:lineRule="auto" w:before="101" w:after="0"/>
        <w:ind w:left="1153" w:right="762" w:hanging="360"/>
        <w:jc w:val="left"/>
        <w:rPr>
          <w:rFonts w:ascii="Symbol" w:hAnsi="Symbol"/>
          <w:sz w:val="28"/>
        </w:rPr>
      </w:pPr>
      <w:r>
        <w:rPr>
          <w:sz w:val="28"/>
        </w:rPr>
        <w:t>Une note de justification de recours à la négociation directe signée (pour les achats négociés)</w:t>
      </w:r>
      <w:r>
        <w:rPr>
          <w:spacing w:val="-5"/>
          <w:sz w:val="28"/>
        </w:rPr>
        <w:t> </w:t>
      </w:r>
      <w:r>
        <w:rPr>
          <w:sz w:val="28"/>
        </w:rPr>
        <w:t>;</w:t>
      </w:r>
    </w:p>
    <w:p>
      <w:pPr>
        <w:pStyle w:val="BodyText"/>
        <w:ind w:right="748"/>
        <w:jc w:val="left"/>
      </w:pPr>
      <w:r>
        <w:rPr/>
        <w:t>Le</w:t>
      </w:r>
      <w:r>
        <w:rPr>
          <w:spacing w:val="-14"/>
        </w:rPr>
        <w:t> </w:t>
      </w:r>
      <w:r>
        <w:rPr/>
        <w:t>tableau</w:t>
      </w:r>
      <w:r>
        <w:rPr>
          <w:spacing w:val="-15"/>
        </w:rPr>
        <w:t> </w:t>
      </w:r>
      <w:r>
        <w:rPr/>
        <w:t>suivant</w:t>
      </w:r>
      <w:r>
        <w:rPr>
          <w:spacing w:val="-15"/>
        </w:rPr>
        <w:t> </w:t>
      </w:r>
      <w:r>
        <w:rPr/>
        <w:t>détermine</w:t>
      </w:r>
      <w:r>
        <w:rPr>
          <w:spacing w:val="-14"/>
        </w:rPr>
        <w:t> </w:t>
      </w:r>
      <w:r>
        <w:rPr/>
        <w:t>le</w:t>
      </w:r>
      <w:r>
        <w:rPr>
          <w:spacing w:val="-13"/>
        </w:rPr>
        <w:t> </w:t>
      </w:r>
      <w:r>
        <w:rPr/>
        <w:t>responsable</w:t>
      </w:r>
      <w:r>
        <w:rPr>
          <w:spacing w:val="-16"/>
        </w:rPr>
        <w:t> </w:t>
      </w:r>
      <w:r>
        <w:rPr/>
        <w:t>habilité</w:t>
      </w:r>
      <w:r>
        <w:rPr>
          <w:spacing w:val="-13"/>
        </w:rPr>
        <w:t> </w:t>
      </w:r>
      <w:r>
        <w:rPr/>
        <w:t>à</w:t>
      </w:r>
      <w:r>
        <w:rPr>
          <w:spacing w:val="-17"/>
        </w:rPr>
        <w:t> </w:t>
      </w:r>
      <w:r>
        <w:rPr/>
        <w:t>signer</w:t>
      </w:r>
      <w:r>
        <w:rPr>
          <w:spacing w:val="-16"/>
        </w:rPr>
        <w:t> </w:t>
      </w:r>
      <w:r>
        <w:rPr/>
        <w:t>la</w:t>
      </w:r>
      <w:r>
        <w:rPr>
          <w:spacing w:val="-16"/>
        </w:rPr>
        <w:t> </w:t>
      </w:r>
      <w:r>
        <w:rPr/>
        <w:t>note</w:t>
      </w:r>
      <w:r>
        <w:rPr>
          <w:spacing w:val="-13"/>
        </w:rPr>
        <w:t> </w:t>
      </w:r>
      <w:r>
        <w:rPr/>
        <w:t>d’opportunité et la note de justification de recours à la négociation pour chaque seuil d’achat</w:t>
      </w:r>
      <w:r>
        <w:rPr>
          <w:spacing w:val="-18"/>
        </w:rPr>
        <w:t> </w:t>
      </w:r>
      <w:r>
        <w:rPr/>
        <w:t>:</w:t>
      </w:r>
    </w:p>
    <w:p>
      <w:pPr>
        <w:pStyle w:val="BodyText"/>
        <w:ind w:left="0" w:firstLine="0"/>
        <w:jc w:val="left"/>
        <w:rPr>
          <w:sz w:val="11"/>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3"/>
        <w:gridCol w:w="1966"/>
        <w:gridCol w:w="2127"/>
        <w:gridCol w:w="1202"/>
        <w:gridCol w:w="1200"/>
      </w:tblGrid>
      <w:tr>
        <w:trPr>
          <w:trHeight w:val="693" w:hRule="atLeast"/>
        </w:trPr>
        <w:tc>
          <w:tcPr>
            <w:tcW w:w="2713" w:type="dxa"/>
          </w:tcPr>
          <w:p>
            <w:pPr>
              <w:pStyle w:val="TableParagraph"/>
              <w:spacing w:before="214"/>
              <w:ind w:left="107"/>
              <w:rPr>
                <w:b/>
                <w:sz w:val="14"/>
              </w:rPr>
            </w:pPr>
            <w:r>
              <w:rPr>
                <w:b/>
                <w:sz w:val="22"/>
              </w:rPr>
              <w:t>Seuils </w:t>
            </w:r>
            <w:r>
              <w:rPr>
                <w:b/>
                <w:position w:val="8"/>
                <w:sz w:val="14"/>
              </w:rPr>
              <w:t>(*)</w:t>
            </w:r>
          </w:p>
        </w:tc>
        <w:tc>
          <w:tcPr>
            <w:tcW w:w="1966" w:type="dxa"/>
          </w:tcPr>
          <w:p>
            <w:pPr>
              <w:pStyle w:val="TableParagraph"/>
              <w:rPr>
                <w:sz w:val="19"/>
              </w:rPr>
            </w:pPr>
          </w:p>
          <w:p>
            <w:pPr>
              <w:pStyle w:val="TableParagraph"/>
              <w:ind w:left="720" w:right="719"/>
              <w:jc w:val="center"/>
              <w:rPr>
                <w:b/>
                <w:sz w:val="22"/>
              </w:rPr>
            </w:pPr>
            <w:r>
              <w:rPr>
                <w:b/>
                <w:sz w:val="22"/>
              </w:rPr>
              <w:t>DAR</w:t>
            </w:r>
          </w:p>
        </w:tc>
        <w:tc>
          <w:tcPr>
            <w:tcW w:w="2127" w:type="dxa"/>
          </w:tcPr>
          <w:p>
            <w:pPr>
              <w:pStyle w:val="TableParagraph"/>
              <w:rPr>
                <w:sz w:val="19"/>
              </w:rPr>
            </w:pPr>
          </w:p>
          <w:p>
            <w:pPr>
              <w:pStyle w:val="TableParagraph"/>
              <w:ind w:left="801" w:right="798"/>
              <w:jc w:val="center"/>
              <w:rPr>
                <w:b/>
                <w:sz w:val="22"/>
              </w:rPr>
            </w:pPr>
            <w:r>
              <w:rPr>
                <w:b/>
                <w:sz w:val="22"/>
              </w:rPr>
              <w:t>CRA</w:t>
            </w:r>
          </w:p>
        </w:tc>
        <w:tc>
          <w:tcPr>
            <w:tcW w:w="1202" w:type="dxa"/>
          </w:tcPr>
          <w:p>
            <w:pPr>
              <w:pStyle w:val="TableParagraph"/>
              <w:rPr>
                <w:sz w:val="19"/>
              </w:rPr>
            </w:pPr>
          </w:p>
          <w:p>
            <w:pPr>
              <w:pStyle w:val="TableParagraph"/>
              <w:ind w:left="366"/>
              <w:rPr>
                <w:b/>
                <w:sz w:val="22"/>
              </w:rPr>
            </w:pPr>
            <w:r>
              <w:rPr>
                <w:b/>
                <w:sz w:val="22"/>
              </w:rPr>
              <w:t>CAE</w:t>
            </w:r>
          </w:p>
        </w:tc>
        <w:tc>
          <w:tcPr>
            <w:tcW w:w="1200" w:type="dxa"/>
          </w:tcPr>
          <w:p>
            <w:pPr>
              <w:pStyle w:val="TableParagraph"/>
              <w:rPr>
                <w:sz w:val="19"/>
              </w:rPr>
            </w:pPr>
          </w:p>
          <w:p>
            <w:pPr>
              <w:pStyle w:val="TableParagraph"/>
              <w:ind w:left="340"/>
              <w:rPr>
                <w:b/>
                <w:sz w:val="22"/>
              </w:rPr>
            </w:pPr>
            <w:r>
              <w:rPr>
                <w:b/>
                <w:sz w:val="22"/>
              </w:rPr>
              <w:t>CME</w:t>
            </w:r>
          </w:p>
        </w:tc>
      </w:tr>
      <w:tr>
        <w:trPr>
          <w:trHeight w:val="1068" w:hRule="atLeast"/>
        </w:trPr>
        <w:tc>
          <w:tcPr>
            <w:tcW w:w="2713" w:type="dxa"/>
          </w:tcPr>
          <w:p>
            <w:pPr>
              <w:pStyle w:val="TableParagraph"/>
              <w:spacing w:before="72"/>
              <w:ind w:left="107" w:right="99"/>
              <w:jc w:val="both"/>
              <w:rPr>
                <w:b/>
                <w:sz w:val="20"/>
              </w:rPr>
            </w:pPr>
            <w:r>
              <w:rPr>
                <w:b/>
                <w:sz w:val="20"/>
              </w:rPr>
              <w:t>Responsable habilité à signer la note d’opportunité/de recours à la négociation directe</w:t>
            </w:r>
          </w:p>
        </w:tc>
        <w:tc>
          <w:tcPr>
            <w:tcW w:w="1966" w:type="dxa"/>
          </w:tcPr>
          <w:p>
            <w:pPr>
              <w:pStyle w:val="TableParagraph"/>
              <w:numPr>
                <w:ilvl w:val="0"/>
                <w:numId w:val="20"/>
              </w:numPr>
              <w:tabs>
                <w:tab w:pos="257" w:val="left" w:leader="none"/>
              </w:tabs>
              <w:spacing w:line="240" w:lineRule="auto" w:before="124" w:after="0"/>
              <w:ind w:left="256" w:right="0" w:hanging="119"/>
              <w:jc w:val="left"/>
              <w:rPr>
                <w:sz w:val="22"/>
              </w:rPr>
            </w:pPr>
            <w:r>
              <w:rPr>
                <w:sz w:val="22"/>
              </w:rPr>
              <w:t>Directeur</w:t>
            </w:r>
            <w:r>
              <w:rPr>
                <w:spacing w:val="-2"/>
                <w:sz w:val="22"/>
              </w:rPr>
              <w:t> </w:t>
            </w:r>
            <w:r>
              <w:rPr>
                <w:sz w:val="22"/>
              </w:rPr>
              <w:t>d’usine</w:t>
            </w:r>
          </w:p>
          <w:p>
            <w:pPr>
              <w:pStyle w:val="TableParagraph"/>
              <w:numPr>
                <w:ilvl w:val="0"/>
                <w:numId w:val="20"/>
              </w:numPr>
              <w:tabs>
                <w:tab w:pos="257" w:val="left" w:leader="none"/>
              </w:tabs>
              <w:spacing w:line="269" w:lineRule="exact" w:before="0" w:after="0"/>
              <w:ind w:left="256" w:right="0" w:hanging="119"/>
              <w:jc w:val="left"/>
              <w:rPr>
                <w:sz w:val="22"/>
              </w:rPr>
            </w:pPr>
            <w:r>
              <w:rPr>
                <w:sz w:val="22"/>
              </w:rPr>
              <w:t>Directeur</w:t>
            </w:r>
            <w:r>
              <w:rPr>
                <w:spacing w:val="-1"/>
                <w:sz w:val="22"/>
              </w:rPr>
              <w:t> </w:t>
            </w:r>
            <w:r>
              <w:rPr>
                <w:sz w:val="22"/>
              </w:rPr>
              <w:t>DER</w:t>
            </w:r>
          </w:p>
          <w:p>
            <w:pPr>
              <w:pStyle w:val="TableParagraph"/>
              <w:numPr>
                <w:ilvl w:val="0"/>
                <w:numId w:val="20"/>
              </w:numPr>
              <w:tabs>
                <w:tab w:pos="257" w:val="left" w:leader="none"/>
              </w:tabs>
              <w:spacing w:line="269" w:lineRule="exact" w:before="0" w:after="0"/>
              <w:ind w:left="256" w:right="0" w:hanging="119"/>
              <w:jc w:val="left"/>
              <w:rPr>
                <w:sz w:val="22"/>
              </w:rPr>
            </w:pPr>
            <w:r>
              <w:rPr>
                <w:sz w:val="22"/>
              </w:rPr>
              <w:t>Directeur</w:t>
            </w:r>
          </w:p>
        </w:tc>
        <w:tc>
          <w:tcPr>
            <w:tcW w:w="2127" w:type="dxa"/>
          </w:tcPr>
          <w:p>
            <w:pPr>
              <w:pStyle w:val="TableParagraph"/>
              <w:spacing w:before="6"/>
              <w:rPr>
                <w:sz w:val="22"/>
              </w:rPr>
            </w:pPr>
          </w:p>
          <w:p>
            <w:pPr>
              <w:pStyle w:val="TableParagraph"/>
              <w:numPr>
                <w:ilvl w:val="0"/>
                <w:numId w:val="21"/>
              </w:numPr>
              <w:tabs>
                <w:tab w:pos="283" w:val="left" w:leader="none"/>
              </w:tabs>
              <w:spacing w:line="269" w:lineRule="exact" w:before="0" w:after="0"/>
              <w:ind w:left="282" w:right="0" w:hanging="143"/>
              <w:jc w:val="left"/>
              <w:rPr>
                <w:sz w:val="22"/>
              </w:rPr>
            </w:pPr>
            <w:r>
              <w:rPr>
                <w:sz w:val="22"/>
              </w:rPr>
              <w:t>Directeur</w:t>
            </w:r>
            <w:r>
              <w:rPr>
                <w:spacing w:val="-2"/>
                <w:sz w:val="22"/>
              </w:rPr>
              <w:t> </w:t>
            </w:r>
            <w:r>
              <w:rPr>
                <w:sz w:val="22"/>
              </w:rPr>
              <w:t>Régional</w:t>
            </w:r>
          </w:p>
          <w:p>
            <w:pPr>
              <w:pStyle w:val="TableParagraph"/>
              <w:numPr>
                <w:ilvl w:val="0"/>
                <w:numId w:val="21"/>
              </w:numPr>
              <w:tabs>
                <w:tab w:pos="283" w:val="left" w:leader="none"/>
              </w:tabs>
              <w:spacing w:line="269" w:lineRule="exact" w:before="0" w:after="0"/>
              <w:ind w:left="282" w:right="0" w:hanging="143"/>
              <w:jc w:val="left"/>
              <w:rPr>
                <w:sz w:val="22"/>
              </w:rPr>
            </w:pPr>
            <w:r>
              <w:rPr>
                <w:sz w:val="22"/>
              </w:rPr>
              <w:t>Directeur</w:t>
            </w:r>
            <w:r>
              <w:rPr>
                <w:spacing w:val="-1"/>
                <w:sz w:val="22"/>
              </w:rPr>
              <w:t> </w:t>
            </w:r>
            <w:r>
              <w:rPr>
                <w:sz w:val="22"/>
              </w:rPr>
              <w:t>Central</w:t>
            </w:r>
          </w:p>
        </w:tc>
        <w:tc>
          <w:tcPr>
            <w:tcW w:w="1202" w:type="dxa"/>
          </w:tcPr>
          <w:p>
            <w:pPr>
              <w:pStyle w:val="TableParagraph"/>
              <w:spacing w:before="6"/>
              <w:rPr>
                <w:sz w:val="22"/>
              </w:rPr>
            </w:pPr>
          </w:p>
          <w:p>
            <w:pPr>
              <w:pStyle w:val="TableParagraph"/>
              <w:numPr>
                <w:ilvl w:val="0"/>
                <w:numId w:val="22"/>
              </w:numPr>
              <w:tabs>
                <w:tab w:pos="259" w:val="left" w:leader="none"/>
              </w:tabs>
              <w:spacing w:line="269" w:lineRule="exact" w:before="0" w:after="0"/>
              <w:ind w:left="258" w:right="0" w:hanging="119"/>
              <w:jc w:val="left"/>
              <w:rPr>
                <w:sz w:val="22"/>
              </w:rPr>
            </w:pPr>
            <w:r>
              <w:rPr>
                <w:sz w:val="22"/>
              </w:rPr>
              <w:t>DGAT</w:t>
            </w:r>
          </w:p>
          <w:p>
            <w:pPr>
              <w:pStyle w:val="TableParagraph"/>
              <w:numPr>
                <w:ilvl w:val="0"/>
                <w:numId w:val="22"/>
              </w:numPr>
              <w:tabs>
                <w:tab w:pos="259" w:val="left" w:leader="none"/>
              </w:tabs>
              <w:spacing w:line="269" w:lineRule="exact" w:before="0" w:after="0"/>
              <w:ind w:left="258" w:right="0" w:hanging="119"/>
              <w:jc w:val="left"/>
              <w:rPr>
                <w:sz w:val="22"/>
              </w:rPr>
            </w:pPr>
            <w:r>
              <w:rPr>
                <w:sz w:val="22"/>
              </w:rPr>
              <w:t>SG</w:t>
            </w:r>
          </w:p>
        </w:tc>
        <w:tc>
          <w:tcPr>
            <w:tcW w:w="1200" w:type="dxa"/>
          </w:tcPr>
          <w:p>
            <w:pPr>
              <w:pStyle w:val="TableParagraph"/>
              <w:spacing w:before="2"/>
              <w:rPr>
                <w:sz w:val="34"/>
              </w:rPr>
            </w:pPr>
          </w:p>
          <w:p>
            <w:pPr>
              <w:pStyle w:val="TableParagraph"/>
              <w:numPr>
                <w:ilvl w:val="0"/>
                <w:numId w:val="23"/>
              </w:numPr>
              <w:tabs>
                <w:tab w:pos="257" w:val="left" w:leader="none"/>
              </w:tabs>
              <w:spacing w:line="240" w:lineRule="auto" w:before="0" w:after="0"/>
              <w:ind w:left="256" w:right="0" w:hanging="119"/>
              <w:jc w:val="left"/>
              <w:rPr>
                <w:sz w:val="22"/>
              </w:rPr>
            </w:pPr>
            <w:r>
              <w:rPr>
                <w:sz w:val="22"/>
              </w:rPr>
              <w:t>DG</w:t>
            </w:r>
          </w:p>
        </w:tc>
      </w:tr>
    </w:tbl>
    <w:p>
      <w:pPr>
        <w:spacing w:before="0"/>
        <w:ind w:left="634" w:right="959" w:firstLine="0"/>
        <w:jc w:val="center"/>
        <w:rPr>
          <w:sz w:val="20"/>
        </w:rPr>
      </w:pPr>
      <w:bookmarkStart w:name="_bookmark0" w:id="26"/>
      <w:bookmarkEnd w:id="26"/>
      <w:r>
        <w:rPr/>
      </w:r>
      <w:r>
        <w:rPr>
          <w:sz w:val="20"/>
        </w:rPr>
        <w:t>Tableau 1 : Responsable habilité à signer la note d’opportunité/de recours à la négociation</w:t>
      </w:r>
    </w:p>
    <w:p>
      <w:pPr>
        <w:pStyle w:val="BodyText"/>
        <w:spacing w:line="328" w:lineRule="auto" w:before="190"/>
        <w:ind w:left="999" w:right="748" w:firstLine="0"/>
        <w:jc w:val="left"/>
      </w:pPr>
      <w:r>
        <w:rPr>
          <w:b/>
          <w:position w:val="10"/>
          <w:sz w:val="18"/>
        </w:rPr>
        <w:t>(*) </w:t>
      </w:r>
      <w:r>
        <w:rPr/>
        <w:t>Les seuils des commissions de contrôle sont déterminés dans l’annexe n°11. Pour</w:t>
      </w:r>
      <w:r>
        <w:rPr>
          <w:spacing w:val="-20"/>
        </w:rPr>
        <w:t> </w:t>
      </w:r>
      <w:r>
        <w:rPr/>
        <w:t>les</w:t>
      </w:r>
      <w:r>
        <w:rPr>
          <w:spacing w:val="-18"/>
        </w:rPr>
        <w:t> </w:t>
      </w:r>
      <w:r>
        <w:rPr/>
        <w:t>achats</w:t>
      </w:r>
      <w:r>
        <w:rPr>
          <w:spacing w:val="-19"/>
        </w:rPr>
        <w:t> </w:t>
      </w:r>
      <w:r>
        <w:rPr/>
        <w:t>associés</w:t>
      </w:r>
      <w:r>
        <w:rPr>
          <w:spacing w:val="-18"/>
        </w:rPr>
        <w:t> </w:t>
      </w:r>
      <w:r>
        <w:rPr/>
        <w:t>à</w:t>
      </w:r>
      <w:r>
        <w:rPr>
          <w:spacing w:val="-17"/>
        </w:rPr>
        <w:t> </w:t>
      </w:r>
      <w:r>
        <w:rPr/>
        <w:t>des</w:t>
      </w:r>
      <w:r>
        <w:rPr>
          <w:spacing w:val="-19"/>
        </w:rPr>
        <w:t> </w:t>
      </w:r>
      <w:r>
        <w:rPr/>
        <w:t>contrats-cadres,</w:t>
      </w:r>
      <w:r>
        <w:rPr>
          <w:spacing w:val="-19"/>
        </w:rPr>
        <w:t> </w:t>
      </w:r>
      <w:r>
        <w:rPr/>
        <w:t>la</w:t>
      </w:r>
      <w:r>
        <w:rPr>
          <w:spacing w:val="-20"/>
        </w:rPr>
        <w:t> </w:t>
      </w:r>
      <w:r>
        <w:rPr/>
        <w:t>demande</w:t>
      </w:r>
      <w:r>
        <w:rPr>
          <w:spacing w:val="-19"/>
        </w:rPr>
        <w:t> </w:t>
      </w:r>
      <w:r>
        <w:rPr/>
        <w:t>d’achat</w:t>
      </w:r>
      <w:r>
        <w:rPr>
          <w:spacing w:val="-18"/>
        </w:rPr>
        <w:t> </w:t>
      </w:r>
      <w:r>
        <w:rPr/>
        <w:t>doit</w:t>
      </w:r>
      <w:r>
        <w:rPr>
          <w:spacing w:val="-19"/>
        </w:rPr>
        <w:t> </w:t>
      </w:r>
      <w:r>
        <w:rPr/>
        <w:t>comporter</w:t>
      </w:r>
      <w:r>
        <w:rPr>
          <w:spacing w:val="-17"/>
        </w:rPr>
        <w:t> </w:t>
      </w:r>
      <w:r>
        <w:rPr/>
        <w:t>:</w:t>
      </w:r>
    </w:p>
    <w:p>
      <w:pPr>
        <w:pStyle w:val="ListParagraph"/>
        <w:numPr>
          <w:ilvl w:val="3"/>
          <w:numId w:val="19"/>
        </w:numPr>
        <w:tabs>
          <w:tab w:pos="1153" w:val="left" w:leader="none"/>
          <w:tab w:pos="1154" w:val="left" w:leader="none"/>
        </w:tabs>
        <w:spacing w:line="240" w:lineRule="auto" w:before="0" w:after="0"/>
        <w:ind w:left="1153" w:right="752" w:hanging="360"/>
        <w:jc w:val="left"/>
        <w:rPr>
          <w:rFonts w:ascii="Symbol" w:hAnsi="Symbol"/>
          <w:sz w:val="28"/>
        </w:rPr>
      </w:pPr>
      <w:r>
        <w:rPr>
          <w:sz w:val="28"/>
        </w:rPr>
        <w:t>Le formulaire de demande d’achat associé à un contrat-cadre qui spécifie la référence du contrat-cadre, les quantités demandées,</w:t>
      </w:r>
      <w:r>
        <w:rPr>
          <w:spacing w:val="-8"/>
          <w:sz w:val="28"/>
        </w:rPr>
        <w:t> </w:t>
      </w:r>
      <w:r>
        <w:rPr>
          <w:sz w:val="28"/>
        </w:rPr>
        <w:t>etc.</w:t>
      </w:r>
    </w:p>
    <w:p>
      <w:pPr>
        <w:pStyle w:val="ListParagraph"/>
        <w:numPr>
          <w:ilvl w:val="3"/>
          <w:numId w:val="19"/>
        </w:numPr>
        <w:tabs>
          <w:tab w:pos="1153" w:val="left" w:leader="none"/>
          <w:tab w:pos="1154" w:val="left" w:leader="none"/>
        </w:tabs>
        <w:spacing w:line="343" w:lineRule="exact" w:before="0" w:after="0"/>
        <w:ind w:left="1153" w:right="0" w:hanging="361"/>
        <w:jc w:val="left"/>
        <w:rPr>
          <w:rFonts w:ascii="Symbol" w:hAnsi="Symbol"/>
          <w:sz w:val="28"/>
        </w:rPr>
      </w:pPr>
      <w:r>
        <w:rPr>
          <w:sz w:val="28"/>
        </w:rPr>
        <w:t>Spécifications techniques (si</w:t>
      </w:r>
      <w:r>
        <w:rPr>
          <w:spacing w:val="-2"/>
          <w:sz w:val="28"/>
        </w:rPr>
        <w:t> </w:t>
      </w:r>
      <w:r>
        <w:rPr>
          <w:sz w:val="28"/>
        </w:rPr>
        <w:t>nécessaire).</w:t>
      </w:r>
    </w:p>
    <w:p>
      <w:pPr>
        <w:pStyle w:val="Heading2"/>
        <w:numPr>
          <w:ilvl w:val="2"/>
          <w:numId w:val="19"/>
        </w:numPr>
        <w:tabs>
          <w:tab w:pos="1103" w:val="left" w:leader="none"/>
        </w:tabs>
        <w:spacing w:line="319" w:lineRule="exact" w:before="126" w:after="0"/>
        <w:ind w:left="1102" w:right="0" w:hanging="670"/>
        <w:jc w:val="left"/>
      </w:pPr>
      <w:bookmarkStart w:name="_TOC_250115" w:id="27"/>
      <w:r>
        <w:rPr/>
        <w:t>Approbation et envoi des demandes</w:t>
      </w:r>
      <w:r>
        <w:rPr>
          <w:spacing w:val="3"/>
        </w:rPr>
        <w:t> </w:t>
      </w:r>
      <w:bookmarkEnd w:id="27"/>
      <w:r>
        <w:rPr/>
        <w:t>d’achats</w:t>
      </w:r>
    </w:p>
    <w:p>
      <w:pPr>
        <w:pStyle w:val="BodyText"/>
        <w:spacing w:line="319" w:lineRule="exact"/>
        <w:ind w:left="954" w:firstLine="0"/>
        <w:jc w:val="left"/>
      </w:pPr>
      <w:r>
        <w:rPr>
          <w:w w:val="100"/>
          <w:shd w:fill="FDFD7E" w:color="auto" w:val="clear"/>
        </w:rPr>
        <w:t> </w:t>
      </w:r>
      <w:r>
        <w:rPr>
          <w:shd w:fill="FDFD7E" w:color="auto" w:val="clear"/>
        </w:rPr>
        <w:t>Les demandes d’achats dûment remplies doivent être signées par le Responsable </w:t>
      </w:r>
    </w:p>
    <w:p>
      <w:pPr>
        <w:pStyle w:val="BodyText"/>
        <w:ind w:hanging="46"/>
        <w:jc w:val="left"/>
      </w:pPr>
      <w:r>
        <w:rPr>
          <w:w w:val="100"/>
          <w:shd w:fill="FDFD7E" w:color="auto" w:val="clear"/>
        </w:rPr>
        <w:t> </w:t>
      </w:r>
      <w:r>
        <w:rPr>
          <w:shd w:fill="FDFD7E" w:color="auto" w:val="clear"/>
        </w:rPr>
        <w:t>de la Structure demandeuse habilité,</w:t>
      </w:r>
      <w:r>
        <w:rPr/>
        <w:t> puis approuvées par les Responsables habilités conformément aux tableaux ci-dessous :</w:t>
      </w:r>
    </w:p>
    <w:p>
      <w:pPr>
        <w:pStyle w:val="BodyText"/>
        <w:ind w:left="0" w:firstLine="0"/>
        <w:jc w:val="left"/>
        <w:rPr>
          <w:sz w:val="11"/>
        </w:rPr>
      </w:pPr>
    </w:p>
    <w:tbl>
      <w:tblPr>
        <w:tblW w:w="0" w:type="auto"/>
        <w:jc w:val="left"/>
        <w:tblInd w:w="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3"/>
        <w:gridCol w:w="2010"/>
        <w:gridCol w:w="2269"/>
        <w:gridCol w:w="2437"/>
      </w:tblGrid>
      <w:tr>
        <w:trPr>
          <w:trHeight w:val="397" w:hRule="atLeast"/>
        </w:trPr>
        <w:tc>
          <w:tcPr>
            <w:tcW w:w="2413" w:type="dxa"/>
          </w:tcPr>
          <w:p>
            <w:pPr>
              <w:pStyle w:val="TableParagraph"/>
              <w:spacing w:before="65"/>
              <w:ind w:left="107"/>
              <w:rPr>
                <w:b/>
                <w:sz w:val="14"/>
              </w:rPr>
            </w:pPr>
            <w:r>
              <w:rPr>
                <w:b/>
                <w:sz w:val="22"/>
              </w:rPr>
              <w:t>Seuils </w:t>
            </w:r>
            <w:r>
              <w:rPr>
                <w:b/>
                <w:position w:val="8"/>
                <w:sz w:val="14"/>
              </w:rPr>
              <w:t>(*)</w:t>
            </w:r>
          </w:p>
        </w:tc>
        <w:tc>
          <w:tcPr>
            <w:tcW w:w="2010" w:type="dxa"/>
          </w:tcPr>
          <w:p>
            <w:pPr>
              <w:pStyle w:val="TableParagraph"/>
              <w:spacing w:before="70"/>
              <w:ind w:left="493"/>
              <w:rPr>
                <w:b/>
                <w:sz w:val="22"/>
              </w:rPr>
            </w:pPr>
            <w:r>
              <w:rPr>
                <w:b/>
                <w:sz w:val="22"/>
              </w:rPr>
              <w:t>DAR/CRA</w:t>
            </w:r>
          </w:p>
        </w:tc>
        <w:tc>
          <w:tcPr>
            <w:tcW w:w="2269" w:type="dxa"/>
          </w:tcPr>
          <w:p>
            <w:pPr>
              <w:pStyle w:val="TableParagraph"/>
              <w:spacing w:before="70"/>
              <w:ind w:left="876" w:right="877"/>
              <w:jc w:val="center"/>
              <w:rPr>
                <w:b/>
                <w:sz w:val="22"/>
              </w:rPr>
            </w:pPr>
            <w:r>
              <w:rPr>
                <w:b/>
                <w:sz w:val="22"/>
              </w:rPr>
              <w:t>CAE</w:t>
            </w:r>
          </w:p>
        </w:tc>
        <w:tc>
          <w:tcPr>
            <w:tcW w:w="2437" w:type="dxa"/>
          </w:tcPr>
          <w:p>
            <w:pPr>
              <w:pStyle w:val="TableParagraph"/>
              <w:spacing w:before="70"/>
              <w:ind w:left="936" w:right="937"/>
              <w:jc w:val="center"/>
              <w:rPr>
                <w:b/>
                <w:sz w:val="22"/>
              </w:rPr>
            </w:pPr>
            <w:r>
              <w:rPr>
                <w:b/>
                <w:sz w:val="22"/>
              </w:rPr>
              <w:t>CME</w:t>
            </w:r>
          </w:p>
        </w:tc>
      </w:tr>
      <w:tr>
        <w:trPr>
          <w:trHeight w:val="1130" w:hRule="atLeast"/>
        </w:trPr>
        <w:tc>
          <w:tcPr>
            <w:tcW w:w="2413" w:type="dxa"/>
          </w:tcPr>
          <w:p>
            <w:pPr>
              <w:pStyle w:val="TableParagraph"/>
              <w:rPr>
                <w:sz w:val="19"/>
              </w:rPr>
            </w:pPr>
          </w:p>
          <w:p>
            <w:pPr>
              <w:pStyle w:val="TableParagraph"/>
              <w:ind w:left="107" w:right="551"/>
              <w:rPr>
                <w:b/>
                <w:sz w:val="20"/>
              </w:rPr>
            </w:pPr>
            <w:r>
              <w:rPr>
                <w:b/>
                <w:sz w:val="20"/>
              </w:rPr>
              <w:t>Responsable habilité à</w:t>
            </w:r>
            <w:r>
              <w:rPr>
                <w:b/>
                <w:spacing w:val="-20"/>
                <w:sz w:val="20"/>
              </w:rPr>
              <w:t> </w:t>
            </w:r>
            <w:r>
              <w:rPr>
                <w:b/>
                <w:sz w:val="20"/>
              </w:rPr>
              <w:t>approuver</w:t>
            </w:r>
          </w:p>
          <w:p>
            <w:pPr>
              <w:pStyle w:val="TableParagraph"/>
              <w:spacing w:before="1"/>
              <w:ind w:left="107"/>
              <w:rPr>
                <w:b/>
                <w:sz w:val="20"/>
              </w:rPr>
            </w:pPr>
            <w:r>
              <w:rPr>
                <w:b/>
                <w:sz w:val="20"/>
              </w:rPr>
              <w:t>les demandes</w:t>
            </w:r>
            <w:r>
              <w:rPr>
                <w:b/>
                <w:spacing w:val="-8"/>
                <w:sz w:val="20"/>
              </w:rPr>
              <w:t> </w:t>
            </w:r>
            <w:r>
              <w:rPr>
                <w:b/>
                <w:sz w:val="20"/>
              </w:rPr>
              <w:t>d'achat</w:t>
            </w:r>
          </w:p>
        </w:tc>
        <w:tc>
          <w:tcPr>
            <w:tcW w:w="2010" w:type="dxa"/>
          </w:tcPr>
          <w:p>
            <w:pPr>
              <w:pStyle w:val="TableParagraph"/>
              <w:numPr>
                <w:ilvl w:val="0"/>
                <w:numId w:val="24"/>
              </w:numPr>
              <w:tabs>
                <w:tab w:pos="331" w:val="left" w:leader="none"/>
              </w:tabs>
              <w:spacing w:line="240" w:lineRule="auto" w:before="170" w:after="0"/>
              <w:ind w:left="188" w:right="99" w:firstLine="0"/>
              <w:jc w:val="left"/>
              <w:rPr>
                <w:sz w:val="22"/>
              </w:rPr>
            </w:pPr>
            <w:r>
              <w:rPr>
                <w:sz w:val="22"/>
              </w:rPr>
              <w:t>Directeur de </w:t>
            </w:r>
            <w:r>
              <w:rPr>
                <w:spacing w:val="-6"/>
                <w:sz w:val="22"/>
              </w:rPr>
              <w:t>la </w:t>
            </w:r>
            <w:r>
              <w:rPr>
                <w:sz w:val="22"/>
              </w:rPr>
              <w:t>Structure demandeuse</w:t>
            </w:r>
          </w:p>
        </w:tc>
        <w:tc>
          <w:tcPr>
            <w:tcW w:w="2269" w:type="dxa"/>
          </w:tcPr>
          <w:p>
            <w:pPr>
              <w:pStyle w:val="TableParagraph"/>
              <w:spacing w:before="2"/>
              <w:rPr>
                <w:sz w:val="25"/>
              </w:rPr>
            </w:pPr>
          </w:p>
          <w:p>
            <w:pPr>
              <w:pStyle w:val="TableParagraph"/>
              <w:numPr>
                <w:ilvl w:val="0"/>
                <w:numId w:val="25"/>
              </w:numPr>
              <w:tabs>
                <w:tab w:pos="330" w:val="left" w:leader="none"/>
              </w:tabs>
              <w:spacing w:line="269" w:lineRule="exact" w:before="0" w:after="0"/>
              <w:ind w:left="329" w:right="0" w:hanging="142"/>
              <w:jc w:val="left"/>
              <w:rPr>
                <w:sz w:val="22"/>
              </w:rPr>
            </w:pPr>
            <w:r>
              <w:rPr>
                <w:sz w:val="22"/>
              </w:rPr>
              <w:t>Directeur</w:t>
            </w:r>
            <w:r>
              <w:rPr>
                <w:spacing w:val="-1"/>
                <w:sz w:val="22"/>
              </w:rPr>
              <w:t> </w:t>
            </w:r>
            <w:r>
              <w:rPr>
                <w:sz w:val="22"/>
              </w:rPr>
              <w:t>Régional</w:t>
            </w:r>
          </w:p>
          <w:p>
            <w:pPr>
              <w:pStyle w:val="TableParagraph"/>
              <w:numPr>
                <w:ilvl w:val="0"/>
                <w:numId w:val="25"/>
              </w:numPr>
              <w:tabs>
                <w:tab w:pos="330" w:val="left" w:leader="none"/>
              </w:tabs>
              <w:spacing w:line="269" w:lineRule="exact" w:before="0" w:after="0"/>
              <w:ind w:left="329" w:right="0" w:hanging="142"/>
              <w:jc w:val="left"/>
              <w:rPr>
                <w:sz w:val="22"/>
              </w:rPr>
            </w:pPr>
            <w:r>
              <w:rPr>
                <w:sz w:val="22"/>
              </w:rPr>
              <w:t>Directeur</w:t>
            </w:r>
            <w:r>
              <w:rPr>
                <w:spacing w:val="-1"/>
                <w:sz w:val="22"/>
              </w:rPr>
              <w:t> </w:t>
            </w:r>
            <w:r>
              <w:rPr>
                <w:sz w:val="22"/>
              </w:rPr>
              <w:t>Central</w:t>
            </w:r>
          </w:p>
        </w:tc>
        <w:tc>
          <w:tcPr>
            <w:tcW w:w="2437" w:type="dxa"/>
          </w:tcPr>
          <w:p>
            <w:pPr>
              <w:pStyle w:val="TableParagraph"/>
              <w:spacing w:before="2"/>
              <w:rPr>
                <w:sz w:val="25"/>
              </w:rPr>
            </w:pPr>
          </w:p>
          <w:p>
            <w:pPr>
              <w:pStyle w:val="TableParagraph"/>
              <w:numPr>
                <w:ilvl w:val="0"/>
                <w:numId w:val="26"/>
              </w:numPr>
              <w:tabs>
                <w:tab w:pos="773" w:val="left" w:leader="none"/>
                <w:tab w:pos="774" w:val="left" w:leader="none"/>
              </w:tabs>
              <w:spacing w:line="269" w:lineRule="exact" w:before="0" w:after="0"/>
              <w:ind w:left="773" w:right="0" w:hanging="361"/>
              <w:jc w:val="left"/>
              <w:rPr>
                <w:sz w:val="22"/>
              </w:rPr>
            </w:pPr>
            <w:r>
              <w:rPr>
                <w:sz w:val="22"/>
              </w:rPr>
              <w:t>DG</w:t>
            </w:r>
          </w:p>
          <w:p>
            <w:pPr>
              <w:pStyle w:val="TableParagraph"/>
              <w:numPr>
                <w:ilvl w:val="0"/>
                <w:numId w:val="26"/>
              </w:numPr>
              <w:tabs>
                <w:tab w:pos="773" w:val="left" w:leader="none"/>
                <w:tab w:pos="774" w:val="left" w:leader="none"/>
              </w:tabs>
              <w:spacing w:line="269" w:lineRule="exact" w:before="0" w:after="0"/>
              <w:ind w:left="773" w:right="0" w:hanging="361"/>
              <w:jc w:val="left"/>
              <w:rPr>
                <w:sz w:val="22"/>
              </w:rPr>
            </w:pPr>
            <w:r>
              <w:rPr>
                <w:sz w:val="22"/>
              </w:rPr>
              <w:t>DGAT/SG</w:t>
            </w:r>
          </w:p>
        </w:tc>
      </w:tr>
    </w:tbl>
    <w:p>
      <w:pPr>
        <w:spacing w:before="0"/>
        <w:ind w:left="634" w:right="957" w:firstLine="0"/>
        <w:jc w:val="center"/>
        <w:rPr>
          <w:sz w:val="20"/>
        </w:rPr>
      </w:pPr>
      <w:bookmarkStart w:name="_bookmark1" w:id="28"/>
      <w:bookmarkEnd w:id="28"/>
      <w:r>
        <w:rPr/>
      </w:r>
      <w:r>
        <w:rPr>
          <w:sz w:val="20"/>
        </w:rPr>
        <w:t>Tableau 2: Approbation des demandes d'achats</w:t>
      </w:r>
    </w:p>
    <w:p>
      <w:pPr>
        <w:pStyle w:val="BodyText"/>
        <w:spacing w:before="193"/>
        <w:ind w:left="999" w:firstLine="0"/>
        <w:jc w:val="left"/>
      </w:pPr>
      <w:r>
        <w:rPr>
          <w:position w:val="10"/>
          <w:sz w:val="18"/>
        </w:rPr>
        <w:t>(*) </w:t>
      </w:r>
      <w:r>
        <w:rPr/>
        <w:t>Les seuils des commissions de contrôle sont déterminés dans l’annexe n°11.</w:t>
      </w:r>
    </w:p>
    <w:p>
      <w:pPr>
        <w:pStyle w:val="BodyText"/>
        <w:spacing w:before="120"/>
        <w:ind w:right="748"/>
        <w:jc w:val="left"/>
      </w:pPr>
      <w:r>
        <w:rPr/>
        <w:t>Les</w:t>
      </w:r>
      <w:r>
        <w:rPr>
          <w:spacing w:val="-15"/>
        </w:rPr>
        <w:t> </w:t>
      </w:r>
      <w:r>
        <w:rPr/>
        <w:t>demandes</w:t>
      </w:r>
      <w:r>
        <w:rPr>
          <w:spacing w:val="-16"/>
        </w:rPr>
        <w:t> </w:t>
      </w:r>
      <w:r>
        <w:rPr/>
        <w:t>d’achats</w:t>
      </w:r>
      <w:r>
        <w:rPr>
          <w:spacing w:val="-17"/>
        </w:rPr>
        <w:t> </w:t>
      </w:r>
      <w:r>
        <w:rPr/>
        <w:t>sont,</w:t>
      </w:r>
      <w:r>
        <w:rPr>
          <w:spacing w:val="-18"/>
        </w:rPr>
        <w:t> </w:t>
      </w:r>
      <w:r>
        <w:rPr/>
        <w:t>par</w:t>
      </w:r>
      <w:r>
        <w:rPr>
          <w:spacing w:val="-18"/>
        </w:rPr>
        <w:t> </w:t>
      </w:r>
      <w:r>
        <w:rPr/>
        <w:t>la</w:t>
      </w:r>
      <w:r>
        <w:rPr>
          <w:spacing w:val="-17"/>
        </w:rPr>
        <w:t> </w:t>
      </w:r>
      <w:r>
        <w:rPr/>
        <w:t>suite,</w:t>
      </w:r>
      <w:r>
        <w:rPr>
          <w:spacing w:val="-16"/>
        </w:rPr>
        <w:t> </w:t>
      </w:r>
      <w:r>
        <w:rPr/>
        <w:t>envoyées</w:t>
      </w:r>
      <w:r>
        <w:rPr>
          <w:spacing w:val="-16"/>
        </w:rPr>
        <w:t> </w:t>
      </w:r>
      <w:r>
        <w:rPr/>
        <w:t>par</w:t>
      </w:r>
      <w:r>
        <w:rPr>
          <w:spacing w:val="-17"/>
        </w:rPr>
        <w:t> </w:t>
      </w:r>
      <w:r>
        <w:rPr/>
        <w:t>les</w:t>
      </w:r>
      <w:r>
        <w:rPr>
          <w:spacing w:val="-17"/>
        </w:rPr>
        <w:t> </w:t>
      </w:r>
      <w:r>
        <w:rPr/>
        <w:t>structures</w:t>
      </w:r>
      <w:r>
        <w:rPr>
          <w:spacing w:val="-16"/>
        </w:rPr>
        <w:t> </w:t>
      </w:r>
      <w:r>
        <w:rPr/>
        <w:t>demandeuses à la Structure d’Approvisionnement de la Région</w:t>
      </w:r>
      <w:r>
        <w:rPr>
          <w:spacing w:val="-4"/>
        </w:rPr>
        <w:t> </w:t>
      </w:r>
      <w:r>
        <w:rPr/>
        <w:t>concernée.</w:t>
      </w:r>
    </w:p>
    <w:p>
      <w:pPr>
        <w:pStyle w:val="BodyText"/>
        <w:spacing w:before="119"/>
        <w:ind w:left="999" w:firstLine="0"/>
        <w:jc w:val="left"/>
      </w:pPr>
      <w:r>
        <w:rPr/>
        <w:t>Les demandes d’achats groupés sont envoyées directement à la DCAHMP.</w:t>
      </w:r>
    </w:p>
    <w:p>
      <w:pPr>
        <w:pStyle w:val="Heading2"/>
        <w:numPr>
          <w:ilvl w:val="2"/>
          <w:numId w:val="19"/>
        </w:numPr>
        <w:tabs>
          <w:tab w:pos="1103" w:val="left" w:leader="none"/>
        </w:tabs>
        <w:spacing w:line="240" w:lineRule="auto" w:before="124" w:after="0"/>
        <w:ind w:left="1102" w:right="0" w:hanging="670"/>
        <w:jc w:val="left"/>
      </w:pPr>
      <w:bookmarkStart w:name="_TOC_250114" w:id="29"/>
      <w:r>
        <w:rPr/>
        <w:t>Traitement des demandes</w:t>
      </w:r>
      <w:r>
        <w:rPr>
          <w:spacing w:val="1"/>
        </w:rPr>
        <w:t> </w:t>
      </w:r>
      <w:bookmarkEnd w:id="29"/>
      <w:r>
        <w:rPr/>
        <w:t>d’achats</w:t>
      </w:r>
    </w:p>
    <w:p>
      <w:pPr>
        <w:pStyle w:val="BodyText"/>
        <w:spacing w:before="163"/>
        <w:ind w:right="758"/>
      </w:pPr>
      <w:r>
        <w:rPr/>
        <w:t>À la réception d’une demande d’achat, la Structure d’achat de la région vérifie, en premier lieu, que cette demande est accompagnée des documents nécessaires, et procède</w:t>
      </w:r>
      <w:r>
        <w:rPr>
          <w:spacing w:val="-9"/>
        </w:rPr>
        <w:t> </w:t>
      </w:r>
      <w:r>
        <w:rPr/>
        <w:t>en</w:t>
      </w:r>
      <w:r>
        <w:rPr>
          <w:spacing w:val="-8"/>
        </w:rPr>
        <w:t> </w:t>
      </w:r>
      <w:r>
        <w:rPr/>
        <w:t>second</w:t>
      </w:r>
      <w:r>
        <w:rPr>
          <w:spacing w:val="-8"/>
        </w:rPr>
        <w:t> </w:t>
      </w:r>
      <w:r>
        <w:rPr/>
        <w:t>lieu</w:t>
      </w:r>
      <w:r>
        <w:rPr>
          <w:spacing w:val="-8"/>
        </w:rPr>
        <w:t> </w:t>
      </w:r>
      <w:r>
        <w:rPr/>
        <w:t>au</w:t>
      </w:r>
      <w:r>
        <w:rPr>
          <w:spacing w:val="-8"/>
        </w:rPr>
        <w:t> </w:t>
      </w:r>
      <w:r>
        <w:rPr/>
        <w:t>regroupement</w:t>
      </w:r>
      <w:r>
        <w:rPr>
          <w:spacing w:val="-8"/>
        </w:rPr>
        <w:t> </w:t>
      </w:r>
      <w:r>
        <w:rPr/>
        <w:t>autant</w:t>
      </w:r>
      <w:r>
        <w:rPr>
          <w:spacing w:val="-10"/>
        </w:rPr>
        <w:t> </w:t>
      </w:r>
      <w:r>
        <w:rPr/>
        <w:t>que</w:t>
      </w:r>
      <w:r>
        <w:rPr>
          <w:spacing w:val="-9"/>
        </w:rPr>
        <w:t> </w:t>
      </w:r>
      <w:r>
        <w:rPr/>
        <w:t>possible</w:t>
      </w:r>
      <w:r>
        <w:rPr>
          <w:spacing w:val="-11"/>
        </w:rPr>
        <w:t> </w:t>
      </w:r>
      <w:r>
        <w:rPr/>
        <w:t>des</w:t>
      </w:r>
      <w:r>
        <w:rPr>
          <w:spacing w:val="-10"/>
        </w:rPr>
        <w:t> </w:t>
      </w:r>
      <w:r>
        <w:rPr/>
        <w:t>demandes</w:t>
      </w:r>
      <w:r>
        <w:rPr>
          <w:spacing w:val="-10"/>
        </w:rPr>
        <w:t> </w:t>
      </w:r>
      <w:r>
        <w:rPr/>
        <w:t>d’achat</w:t>
      </w:r>
      <w:r>
        <w:rPr>
          <w:spacing w:val="-10"/>
        </w:rPr>
        <w:t> </w:t>
      </w:r>
      <w:r>
        <w:rPr/>
        <w:t>des différentes structures</w:t>
      </w:r>
      <w:r>
        <w:rPr>
          <w:spacing w:val="-5"/>
        </w:rPr>
        <w:t> </w:t>
      </w:r>
      <w:r>
        <w:rPr/>
        <w:t>etc.</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2"/>
      </w:pPr>
      <w:r>
        <w:rPr/>
        <w:t>A la réception d’une demande d’achat centralisée, la DCAHMP la vérifie en premier lieu puis affecte cette demande à une Structure d’achat régionale pour traitement.</w:t>
      </w:r>
    </w:p>
    <w:p>
      <w:pPr>
        <w:pStyle w:val="BodyText"/>
        <w:spacing w:before="121"/>
        <w:ind w:right="750"/>
      </w:pPr>
      <w:r>
        <w:rPr/>
        <w:t>Lorsque la demande d’achat est associée à un contrat-cadre, la Structure d'achat procède comme suit :</w:t>
      </w:r>
    </w:p>
    <w:p>
      <w:pPr>
        <w:pStyle w:val="ListParagraph"/>
        <w:numPr>
          <w:ilvl w:val="3"/>
          <w:numId w:val="19"/>
        </w:numPr>
        <w:tabs>
          <w:tab w:pos="1000" w:val="left" w:leader="none"/>
        </w:tabs>
        <w:spacing w:line="240" w:lineRule="auto" w:before="119" w:after="0"/>
        <w:ind w:left="999" w:right="751" w:hanging="284"/>
        <w:jc w:val="both"/>
        <w:rPr>
          <w:rFonts w:ascii="Symbol" w:hAnsi="Symbol"/>
          <w:sz w:val="22"/>
        </w:rPr>
      </w:pPr>
      <w:r>
        <w:rPr>
          <w:sz w:val="28"/>
        </w:rPr>
        <w:t>Consulte le contrat-cadre qui correspond à la demande d’achat et vérifie sa validité (quantités contractuelles restantes et date d’expiration du contrat-cadre)</w:t>
      </w:r>
      <w:r>
        <w:rPr>
          <w:spacing w:val="-41"/>
          <w:sz w:val="28"/>
        </w:rPr>
        <w:t> </w:t>
      </w:r>
      <w:r>
        <w:rPr>
          <w:sz w:val="28"/>
        </w:rPr>
        <w:t>;</w:t>
      </w:r>
    </w:p>
    <w:p>
      <w:pPr>
        <w:pStyle w:val="ListParagraph"/>
        <w:numPr>
          <w:ilvl w:val="3"/>
          <w:numId w:val="19"/>
        </w:numPr>
        <w:tabs>
          <w:tab w:pos="1000" w:val="left" w:leader="none"/>
        </w:tabs>
        <w:spacing w:line="240" w:lineRule="auto" w:before="0" w:after="0"/>
        <w:ind w:left="999" w:right="751" w:hanging="284"/>
        <w:jc w:val="both"/>
        <w:rPr>
          <w:rFonts w:ascii="Symbol" w:hAnsi="Symbol"/>
          <w:sz w:val="22"/>
        </w:rPr>
      </w:pPr>
      <w:r>
        <w:rPr>
          <w:sz w:val="28"/>
        </w:rPr>
        <w:t>Si le contrat-cadre est encore valable, la Structure d’achat de la région se charge d’éditer et de lancer un bon de commande au fournisseur</w:t>
      </w:r>
      <w:r>
        <w:rPr>
          <w:spacing w:val="-14"/>
          <w:sz w:val="28"/>
        </w:rPr>
        <w:t> </w:t>
      </w:r>
      <w:r>
        <w:rPr>
          <w:sz w:val="28"/>
        </w:rPr>
        <w:t>contractant.</w:t>
      </w:r>
    </w:p>
    <w:p>
      <w:pPr>
        <w:pStyle w:val="Heading2"/>
        <w:numPr>
          <w:ilvl w:val="0"/>
          <w:numId w:val="18"/>
        </w:numPr>
        <w:tabs>
          <w:tab w:pos="794" w:val="left" w:leader="none"/>
        </w:tabs>
        <w:spacing w:line="240" w:lineRule="auto" w:before="247" w:after="0"/>
        <w:ind w:left="793" w:right="0" w:hanging="361"/>
        <w:jc w:val="left"/>
      </w:pPr>
      <w:bookmarkStart w:name="_TOC_250113" w:id="30"/>
      <w:r>
        <w:rPr/>
        <w:t>Préparation de la mise en</w:t>
      </w:r>
      <w:r>
        <w:rPr>
          <w:spacing w:val="-6"/>
        </w:rPr>
        <w:t> </w:t>
      </w:r>
      <w:bookmarkEnd w:id="30"/>
      <w:r>
        <w:rPr/>
        <w:t>concurrence</w:t>
      </w:r>
    </w:p>
    <w:p>
      <w:pPr>
        <w:pStyle w:val="Heading2"/>
        <w:numPr>
          <w:ilvl w:val="1"/>
          <w:numId w:val="18"/>
        </w:numPr>
        <w:tabs>
          <w:tab w:pos="1003" w:val="left" w:leader="none"/>
        </w:tabs>
        <w:spacing w:line="240" w:lineRule="auto" w:before="119" w:after="0"/>
        <w:ind w:left="1002" w:right="0" w:hanging="570"/>
        <w:jc w:val="left"/>
      </w:pPr>
      <w:bookmarkStart w:name="_TOC_250112" w:id="31"/>
      <w:r>
        <w:rPr/>
        <w:t>Élaboration des cahiers des</w:t>
      </w:r>
      <w:r>
        <w:rPr>
          <w:spacing w:val="1"/>
        </w:rPr>
        <w:t> </w:t>
      </w:r>
      <w:bookmarkEnd w:id="31"/>
      <w:r>
        <w:rPr/>
        <w:t>charges</w:t>
      </w:r>
    </w:p>
    <w:p>
      <w:pPr>
        <w:pStyle w:val="Heading2"/>
        <w:numPr>
          <w:ilvl w:val="2"/>
          <w:numId w:val="27"/>
        </w:numPr>
        <w:tabs>
          <w:tab w:pos="1211" w:val="left" w:leader="none"/>
        </w:tabs>
        <w:spacing w:line="319" w:lineRule="exact" w:before="120" w:after="0"/>
        <w:ind w:left="1210" w:right="0" w:hanging="778"/>
        <w:jc w:val="left"/>
      </w:pPr>
      <w:bookmarkStart w:name="_TOC_250111" w:id="32"/>
      <w:bookmarkEnd w:id="32"/>
      <w:r>
        <w:rPr/>
        <w:t>Préparation des Cahiers des Charges</w:t>
      </w:r>
    </w:p>
    <w:p>
      <w:pPr>
        <w:pStyle w:val="BodyText"/>
        <w:ind w:right="749"/>
      </w:pPr>
      <w:r>
        <w:rPr/>
        <w:t>A la réception de la demande d’achat accompagnée du CCT, la Structure d’achat concernée</w:t>
      </w:r>
      <w:r>
        <w:rPr>
          <w:spacing w:val="-8"/>
        </w:rPr>
        <w:t> </w:t>
      </w:r>
      <w:r>
        <w:rPr/>
        <w:t>entame</w:t>
      </w:r>
      <w:r>
        <w:rPr>
          <w:spacing w:val="-8"/>
        </w:rPr>
        <w:t> </w:t>
      </w:r>
      <w:r>
        <w:rPr/>
        <w:t>la</w:t>
      </w:r>
      <w:r>
        <w:rPr>
          <w:spacing w:val="-8"/>
        </w:rPr>
        <w:t> </w:t>
      </w:r>
      <w:r>
        <w:rPr/>
        <w:t>préparation</w:t>
      </w:r>
      <w:r>
        <w:rPr>
          <w:spacing w:val="-7"/>
        </w:rPr>
        <w:t> </w:t>
      </w:r>
      <w:r>
        <w:rPr/>
        <w:t>d’un</w:t>
      </w:r>
      <w:r>
        <w:rPr>
          <w:spacing w:val="-8"/>
        </w:rPr>
        <w:t> </w:t>
      </w:r>
      <w:r>
        <w:rPr/>
        <w:t>projet</w:t>
      </w:r>
      <w:r>
        <w:rPr>
          <w:spacing w:val="-7"/>
        </w:rPr>
        <w:t> </w:t>
      </w:r>
      <w:r>
        <w:rPr/>
        <w:t>de</w:t>
      </w:r>
      <w:r>
        <w:rPr>
          <w:spacing w:val="-2"/>
        </w:rPr>
        <w:t> </w:t>
      </w:r>
      <w:r>
        <w:rPr/>
        <w:t>cahier</w:t>
      </w:r>
      <w:r>
        <w:rPr>
          <w:spacing w:val="-9"/>
        </w:rPr>
        <w:t> </w:t>
      </w:r>
      <w:r>
        <w:rPr/>
        <w:t>des</w:t>
      </w:r>
      <w:r>
        <w:rPr>
          <w:spacing w:val="-7"/>
        </w:rPr>
        <w:t> </w:t>
      </w:r>
      <w:r>
        <w:rPr/>
        <w:t>charges</w:t>
      </w:r>
      <w:r>
        <w:rPr>
          <w:spacing w:val="-4"/>
        </w:rPr>
        <w:t> </w:t>
      </w:r>
      <w:r>
        <w:rPr/>
        <w:t>et</w:t>
      </w:r>
      <w:r>
        <w:rPr>
          <w:spacing w:val="-6"/>
        </w:rPr>
        <w:t> </w:t>
      </w:r>
      <w:r>
        <w:rPr/>
        <w:t>ce</w:t>
      </w:r>
      <w:r>
        <w:rPr>
          <w:spacing w:val="-8"/>
        </w:rPr>
        <w:t> </w:t>
      </w:r>
      <w:r>
        <w:rPr/>
        <w:t>conformément au modèles préétablis disponibles. Le cahier des charges prévoit essentiellement les conditions de participation et la méthodologie.</w:t>
      </w:r>
    </w:p>
    <w:p>
      <w:pPr>
        <w:pStyle w:val="BodyText"/>
        <w:spacing w:before="119"/>
        <w:ind w:right="750" w:firstLine="0"/>
      </w:pPr>
      <w:r>
        <w:rPr/>
        <w:t>L'élaboration d'un CCAP est obligatoire pour les achats relevant de la compétence de la CAE (L’annexe n°11 détermine les seuils de compétences des différentes commissions de contrôle).</w:t>
      </w:r>
    </w:p>
    <w:p>
      <w:pPr>
        <w:pStyle w:val="BodyText"/>
        <w:spacing w:before="119"/>
        <w:ind w:right="750"/>
      </w:pPr>
      <w:r>
        <w:rPr/>
        <w:t>Le cahier des charges détermine les conditions de présentation des offres et les modalités</w:t>
      </w:r>
      <w:r>
        <w:rPr>
          <w:spacing w:val="-21"/>
        </w:rPr>
        <w:t> </w:t>
      </w:r>
      <w:r>
        <w:rPr/>
        <w:t>d’attribution</w:t>
      </w:r>
      <w:r>
        <w:rPr>
          <w:spacing w:val="-18"/>
        </w:rPr>
        <w:t> </w:t>
      </w:r>
      <w:r>
        <w:rPr/>
        <w:t>des</w:t>
      </w:r>
      <w:r>
        <w:rPr>
          <w:spacing w:val="-15"/>
        </w:rPr>
        <w:t> </w:t>
      </w:r>
      <w:r>
        <w:rPr/>
        <w:t>achats</w:t>
      </w:r>
      <w:r>
        <w:rPr>
          <w:spacing w:val="-18"/>
        </w:rPr>
        <w:t> </w:t>
      </w:r>
      <w:r>
        <w:rPr/>
        <w:t>ainsi</w:t>
      </w:r>
      <w:r>
        <w:rPr>
          <w:spacing w:val="-18"/>
        </w:rPr>
        <w:t> </w:t>
      </w:r>
      <w:r>
        <w:rPr/>
        <w:t>que</w:t>
      </w:r>
      <w:r>
        <w:rPr>
          <w:spacing w:val="-19"/>
        </w:rPr>
        <w:t> </w:t>
      </w:r>
      <w:r>
        <w:rPr/>
        <w:t>les</w:t>
      </w:r>
      <w:r>
        <w:rPr>
          <w:spacing w:val="-17"/>
        </w:rPr>
        <w:t> </w:t>
      </w:r>
      <w:r>
        <w:rPr/>
        <w:t>critères</w:t>
      </w:r>
      <w:r>
        <w:rPr>
          <w:spacing w:val="-18"/>
        </w:rPr>
        <w:t> </w:t>
      </w:r>
      <w:r>
        <w:rPr/>
        <w:t>objectifs</w:t>
      </w:r>
      <w:r>
        <w:rPr>
          <w:spacing w:val="-18"/>
        </w:rPr>
        <w:t> </w:t>
      </w:r>
      <w:r>
        <w:rPr/>
        <w:t>et</w:t>
      </w:r>
      <w:r>
        <w:rPr>
          <w:spacing w:val="-18"/>
        </w:rPr>
        <w:t> </w:t>
      </w:r>
      <w:r>
        <w:rPr/>
        <w:t>non</w:t>
      </w:r>
      <w:r>
        <w:rPr>
          <w:spacing w:val="-18"/>
        </w:rPr>
        <w:t> </w:t>
      </w:r>
      <w:r>
        <w:rPr/>
        <w:t>discriminatoires d’évaluation qui doivent avoir un lien direct avec l'objet de l’achat à conclure et </w:t>
      </w:r>
      <w:r>
        <w:rPr>
          <w:spacing w:val="-2"/>
        </w:rPr>
        <w:t>non </w:t>
      </w:r>
      <w:r>
        <w:rPr/>
        <w:t>disproportionnés par rapport à la consistance des</w:t>
      </w:r>
      <w:r>
        <w:rPr>
          <w:spacing w:val="-6"/>
        </w:rPr>
        <w:t> </w:t>
      </w:r>
      <w:r>
        <w:rPr/>
        <w:t>prestations.</w:t>
      </w:r>
    </w:p>
    <w:p>
      <w:pPr>
        <w:pStyle w:val="ListParagraph"/>
        <w:numPr>
          <w:ilvl w:val="3"/>
          <w:numId w:val="27"/>
        </w:numPr>
        <w:tabs>
          <w:tab w:pos="935" w:val="left" w:leader="none"/>
        </w:tabs>
        <w:spacing w:line="240" w:lineRule="auto" w:before="121" w:after="0"/>
        <w:ind w:left="934" w:right="0" w:hanging="361"/>
        <w:jc w:val="left"/>
        <w:rPr>
          <w:sz w:val="28"/>
        </w:rPr>
      </w:pPr>
      <w:r>
        <w:rPr>
          <w:sz w:val="28"/>
        </w:rPr>
        <w:t>Pour </w:t>
      </w:r>
      <w:r>
        <w:rPr>
          <w:spacing w:val="-3"/>
          <w:sz w:val="28"/>
        </w:rPr>
        <w:t>les </w:t>
      </w:r>
      <w:r>
        <w:rPr>
          <w:sz w:val="28"/>
        </w:rPr>
        <w:t>achats de </w:t>
      </w:r>
      <w:r>
        <w:rPr>
          <w:spacing w:val="-4"/>
          <w:sz w:val="28"/>
        </w:rPr>
        <w:t>travaux, </w:t>
      </w:r>
      <w:r>
        <w:rPr>
          <w:spacing w:val="-3"/>
          <w:sz w:val="28"/>
        </w:rPr>
        <w:t>les </w:t>
      </w:r>
      <w:r>
        <w:rPr>
          <w:spacing w:val="-4"/>
          <w:sz w:val="28"/>
        </w:rPr>
        <w:t>critères prennent </w:t>
      </w:r>
      <w:r>
        <w:rPr>
          <w:spacing w:val="-3"/>
          <w:sz w:val="28"/>
        </w:rPr>
        <w:t>en </w:t>
      </w:r>
      <w:r>
        <w:rPr>
          <w:spacing w:val="-4"/>
          <w:sz w:val="28"/>
        </w:rPr>
        <w:t>compte notamment</w:t>
      </w:r>
      <w:r>
        <w:rPr>
          <w:spacing w:val="-30"/>
          <w:sz w:val="28"/>
        </w:rPr>
        <w:t> </w:t>
      </w:r>
      <w:r>
        <w:rPr>
          <w:sz w:val="28"/>
        </w:rPr>
        <w:t>:</w:t>
      </w:r>
    </w:p>
    <w:p>
      <w:pPr>
        <w:pStyle w:val="ListParagraph"/>
        <w:numPr>
          <w:ilvl w:val="0"/>
          <w:numId w:val="28"/>
        </w:numPr>
        <w:tabs>
          <w:tab w:pos="1000" w:val="left" w:leader="none"/>
        </w:tabs>
        <w:spacing w:line="334" w:lineRule="exact" w:before="0" w:after="0"/>
        <w:ind w:left="999" w:right="0" w:hanging="284"/>
        <w:jc w:val="left"/>
        <w:rPr>
          <w:sz w:val="28"/>
        </w:rPr>
      </w:pPr>
      <w:r>
        <w:rPr>
          <w:spacing w:val="-3"/>
          <w:sz w:val="28"/>
        </w:rPr>
        <w:t>Les </w:t>
      </w:r>
      <w:r>
        <w:rPr>
          <w:spacing w:val="-4"/>
          <w:sz w:val="28"/>
        </w:rPr>
        <w:t>garanties </w:t>
      </w:r>
      <w:r>
        <w:rPr>
          <w:spacing w:val="-3"/>
          <w:sz w:val="28"/>
        </w:rPr>
        <w:t>et </w:t>
      </w:r>
      <w:r>
        <w:rPr>
          <w:spacing w:val="-4"/>
          <w:sz w:val="28"/>
        </w:rPr>
        <w:t>capacités juridiques, techniques </w:t>
      </w:r>
      <w:r>
        <w:rPr>
          <w:spacing w:val="-3"/>
          <w:sz w:val="28"/>
        </w:rPr>
        <w:t>et </w:t>
      </w:r>
      <w:r>
        <w:rPr>
          <w:spacing w:val="-4"/>
          <w:sz w:val="28"/>
        </w:rPr>
        <w:t>financières</w:t>
      </w:r>
      <w:r>
        <w:rPr>
          <w:spacing w:val="-16"/>
          <w:sz w:val="28"/>
        </w:rPr>
        <w:t> </w:t>
      </w:r>
      <w:r>
        <w:rPr>
          <w:sz w:val="28"/>
        </w:rPr>
        <w:t>;</w:t>
      </w:r>
    </w:p>
    <w:p>
      <w:pPr>
        <w:pStyle w:val="ListParagraph"/>
        <w:numPr>
          <w:ilvl w:val="0"/>
          <w:numId w:val="28"/>
        </w:numPr>
        <w:tabs>
          <w:tab w:pos="1000" w:val="left" w:leader="none"/>
        </w:tabs>
        <w:spacing w:line="334" w:lineRule="exact" w:before="0" w:after="0"/>
        <w:ind w:left="999" w:right="0" w:hanging="284"/>
        <w:jc w:val="left"/>
        <w:rPr>
          <w:sz w:val="28"/>
        </w:rPr>
      </w:pPr>
      <w:r>
        <w:rPr>
          <w:spacing w:val="-3"/>
          <w:sz w:val="28"/>
        </w:rPr>
        <w:t>Les </w:t>
      </w:r>
      <w:r>
        <w:rPr>
          <w:spacing w:val="-4"/>
          <w:sz w:val="28"/>
        </w:rPr>
        <w:t>références professionnelles </w:t>
      </w:r>
      <w:r>
        <w:rPr>
          <w:sz w:val="28"/>
        </w:rPr>
        <w:t>des </w:t>
      </w:r>
      <w:r>
        <w:rPr>
          <w:spacing w:val="-4"/>
          <w:sz w:val="28"/>
        </w:rPr>
        <w:t>concurrents, </w:t>
      </w:r>
      <w:r>
        <w:rPr>
          <w:sz w:val="28"/>
        </w:rPr>
        <w:t>le </w:t>
      </w:r>
      <w:r>
        <w:rPr>
          <w:spacing w:val="-3"/>
          <w:sz w:val="28"/>
        </w:rPr>
        <w:t>cas </w:t>
      </w:r>
      <w:r>
        <w:rPr>
          <w:spacing w:val="-4"/>
          <w:sz w:val="28"/>
        </w:rPr>
        <w:t>échéant.</w:t>
      </w:r>
      <w:r>
        <w:rPr>
          <w:spacing w:val="-31"/>
          <w:sz w:val="28"/>
        </w:rPr>
        <w:t> </w:t>
      </w:r>
      <w:r>
        <w:rPr>
          <w:sz w:val="28"/>
        </w:rPr>
        <w:t>;</w:t>
      </w:r>
    </w:p>
    <w:p>
      <w:pPr>
        <w:pStyle w:val="BodyText"/>
        <w:spacing w:before="105"/>
        <w:ind w:left="999" w:firstLine="0"/>
        <w:jc w:val="left"/>
      </w:pPr>
      <w:r>
        <w:rPr/>
        <w:t>Ces critères sont appréciés en fonction des éléments suivants :</w:t>
      </w:r>
    </w:p>
    <w:p>
      <w:pPr>
        <w:pStyle w:val="ListParagraph"/>
        <w:numPr>
          <w:ilvl w:val="0"/>
          <w:numId w:val="28"/>
        </w:numPr>
        <w:tabs>
          <w:tab w:pos="1000" w:val="left" w:leader="none"/>
        </w:tabs>
        <w:spacing w:line="334" w:lineRule="exact" w:before="1" w:after="0"/>
        <w:ind w:left="999" w:right="0" w:hanging="284"/>
        <w:jc w:val="left"/>
        <w:rPr>
          <w:sz w:val="28"/>
        </w:rPr>
      </w:pPr>
      <w:r>
        <w:rPr>
          <w:spacing w:val="-3"/>
          <w:sz w:val="28"/>
        </w:rPr>
        <w:t>Les </w:t>
      </w:r>
      <w:r>
        <w:rPr>
          <w:spacing w:val="-4"/>
          <w:sz w:val="28"/>
        </w:rPr>
        <w:t>moyens humains </w:t>
      </w:r>
      <w:r>
        <w:rPr>
          <w:sz w:val="28"/>
        </w:rPr>
        <w:t>et </w:t>
      </w:r>
      <w:r>
        <w:rPr>
          <w:spacing w:val="-4"/>
          <w:sz w:val="28"/>
        </w:rPr>
        <w:t>matériels </w:t>
      </w:r>
      <w:r>
        <w:rPr>
          <w:sz w:val="28"/>
        </w:rPr>
        <w:t>à </w:t>
      </w:r>
      <w:r>
        <w:rPr>
          <w:spacing w:val="-4"/>
          <w:sz w:val="28"/>
        </w:rPr>
        <w:t>affecter </w:t>
      </w:r>
      <w:r>
        <w:rPr>
          <w:sz w:val="28"/>
        </w:rPr>
        <w:t>au </w:t>
      </w:r>
      <w:r>
        <w:rPr>
          <w:spacing w:val="-4"/>
          <w:sz w:val="28"/>
        </w:rPr>
        <w:t>chantier</w:t>
      </w:r>
      <w:r>
        <w:rPr>
          <w:spacing w:val="-38"/>
          <w:sz w:val="28"/>
        </w:rPr>
        <w:t> </w:t>
      </w:r>
      <w:r>
        <w:rPr>
          <w:sz w:val="28"/>
        </w:rPr>
        <w:t>;</w:t>
      </w:r>
    </w:p>
    <w:p>
      <w:pPr>
        <w:pStyle w:val="ListParagraph"/>
        <w:numPr>
          <w:ilvl w:val="0"/>
          <w:numId w:val="28"/>
        </w:numPr>
        <w:tabs>
          <w:tab w:pos="1000" w:val="left" w:leader="none"/>
        </w:tabs>
        <w:spacing w:line="326" w:lineRule="exact" w:before="0" w:after="0"/>
        <w:ind w:left="999" w:right="0" w:hanging="284"/>
        <w:jc w:val="left"/>
        <w:rPr>
          <w:sz w:val="28"/>
        </w:rPr>
      </w:pPr>
      <w:r>
        <w:rPr>
          <w:sz w:val="28"/>
        </w:rPr>
        <w:t>Le </w:t>
      </w:r>
      <w:r>
        <w:rPr>
          <w:spacing w:val="-4"/>
          <w:sz w:val="28"/>
        </w:rPr>
        <w:t>chiffre d’affaires pendant </w:t>
      </w:r>
      <w:r>
        <w:rPr>
          <w:spacing w:val="-3"/>
          <w:sz w:val="28"/>
        </w:rPr>
        <w:t>une </w:t>
      </w:r>
      <w:r>
        <w:rPr>
          <w:spacing w:val="-4"/>
          <w:sz w:val="28"/>
        </w:rPr>
        <w:t>période déterminée </w:t>
      </w:r>
      <w:r>
        <w:rPr>
          <w:spacing w:val="-3"/>
          <w:sz w:val="28"/>
        </w:rPr>
        <w:t>et </w:t>
      </w:r>
      <w:r>
        <w:rPr>
          <w:sz w:val="28"/>
        </w:rPr>
        <w:t>la </w:t>
      </w:r>
      <w:r>
        <w:rPr>
          <w:spacing w:val="-4"/>
          <w:sz w:val="28"/>
        </w:rPr>
        <w:t>solvabilité</w:t>
      </w:r>
      <w:r>
        <w:rPr>
          <w:spacing w:val="-26"/>
          <w:sz w:val="28"/>
        </w:rPr>
        <w:t> </w:t>
      </w:r>
      <w:r>
        <w:rPr>
          <w:spacing w:val="-4"/>
          <w:sz w:val="28"/>
        </w:rPr>
        <w:t>financière</w:t>
      </w:r>
    </w:p>
    <w:p>
      <w:pPr>
        <w:pStyle w:val="ListParagraph"/>
        <w:numPr>
          <w:ilvl w:val="0"/>
          <w:numId w:val="28"/>
        </w:numPr>
        <w:tabs>
          <w:tab w:pos="1000" w:val="left" w:leader="none"/>
        </w:tabs>
        <w:spacing w:line="328" w:lineRule="exact" w:before="0" w:after="0"/>
        <w:ind w:left="999" w:right="0" w:hanging="284"/>
        <w:jc w:val="left"/>
        <w:rPr>
          <w:sz w:val="28"/>
        </w:rPr>
      </w:pPr>
      <w:r>
        <w:rPr>
          <w:sz w:val="28"/>
        </w:rPr>
        <w:t>Le </w:t>
      </w:r>
      <w:r>
        <w:rPr>
          <w:spacing w:val="-4"/>
          <w:sz w:val="28"/>
        </w:rPr>
        <w:t>planning </w:t>
      </w:r>
      <w:r>
        <w:rPr>
          <w:sz w:val="28"/>
        </w:rPr>
        <w:t>de </w:t>
      </w:r>
      <w:r>
        <w:rPr>
          <w:spacing w:val="-4"/>
          <w:sz w:val="28"/>
        </w:rPr>
        <w:t>réalisation proposé</w:t>
      </w:r>
      <w:r>
        <w:rPr>
          <w:spacing w:val="-26"/>
          <w:sz w:val="28"/>
        </w:rPr>
        <w:t> </w:t>
      </w:r>
      <w:r>
        <w:rPr>
          <w:sz w:val="28"/>
        </w:rPr>
        <w:t>;</w:t>
      </w:r>
    </w:p>
    <w:p>
      <w:pPr>
        <w:pStyle w:val="ListParagraph"/>
        <w:numPr>
          <w:ilvl w:val="0"/>
          <w:numId w:val="28"/>
        </w:numPr>
        <w:tabs>
          <w:tab w:pos="1000" w:val="left" w:leader="none"/>
        </w:tabs>
        <w:spacing w:line="328" w:lineRule="exact" w:before="0" w:after="0"/>
        <w:ind w:left="999" w:right="0" w:hanging="284"/>
        <w:jc w:val="left"/>
        <w:rPr>
          <w:sz w:val="28"/>
        </w:rPr>
      </w:pPr>
      <w:r>
        <w:rPr>
          <w:spacing w:val="-3"/>
          <w:sz w:val="28"/>
        </w:rPr>
        <w:t>Les </w:t>
      </w:r>
      <w:r>
        <w:rPr>
          <w:spacing w:val="-4"/>
          <w:sz w:val="28"/>
        </w:rPr>
        <w:t>méthodes </w:t>
      </w:r>
      <w:r>
        <w:rPr>
          <w:spacing w:val="-3"/>
          <w:sz w:val="28"/>
        </w:rPr>
        <w:t>et </w:t>
      </w:r>
      <w:r>
        <w:rPr>
          <w:spacing w:val="-4"/>
          <w:sz w:val="28"/>
        </w:rPr>
        <w:t>procédés </w:t>
      </w:r>
      <w:r>
        <w:rPr>
          <w:sz w:val="28"/>
        </w:rPr>
        <w:t>de </w:t>
      </w:r>
      <w:r>
        <w:rPr>
          <w:spacing w:val="-4"/>
          <w:sz w:val="28"/>
        </w:rPr>
        <w:t>construction</w:t>
      </w:r>
      <w:r>
        <w:rPr>
          <w:spacing w:val="-24"/>
          <w:sz w:val="28"/>
        </w:rPr>
        <w:t> </w:t>
      </w:r>
      <w:r>
        <w:rPr>
          <w:sz w:val="28"/>
        </w:rPr>
        <w:t>;</w:t>
      </w:r>
    </w:p>
    <w:p>
      <w:pPr>
        <w:pStyle w:val="ListParagraph"/>
        <w:numPr>
          <w:ilvl w:val="0"/>
          <w:numId w:val="28"/>
        </w:numPr>
        <w:tabs>
          <w:tab w:pos="1000" w:val="left" w:leader="none"/>
        </w:tabs>
        <w:spacing w:line="326" w:lineRule="exact" w:before="0" w:after="0"/>
        <w:ind w:left="999" w:right="0" w:hanging="284"/>
        <w:jc w:val="left"/>
        <w:rPr>
          <w:sz w:val="28"/>
        </w:rPr>
      </w:pPr>
      <w:r>
        <w:rPr>
          <w:spacing w:val="-3"/>
          <w:sz w:val="28"/>
        </w:rPr>
        <w:t>Les </w:t>
      </w:r>
      <w:r>
        <w:rPr>
          <w:spacing w:val="-4"/>
          <w:sz w:val="28"/>
        </w:rPr>
        <w:t>qualités esthétiques </w:t>
      </w:r>
      <w:r>
        <w:rPr>
          <w:spacing w:val="-3"/>
          <w:sz w:val="28"/>
        </w:rPr>
        <w:t>et </w:t>
      </w:r>
      <w:r>
        <w:rPr>
          <w:spacing w:val="-4"/>
          <w:sz w:val="28"/>
        </w:rPr>
        <w:t>fonctionnelles </w:t>
      </w:r>
      <w:r>
        <w:rPr>
          <w:sz w:val="28"/>
        </w:rPr>
        <w:t>de </w:t>
      </w:r>
      <w:r>
        <w:rPr>
          <w:spacing w:val="-4"/>
          <w:sz w:val="28"/>
        </w:rPr>
        <w:t>l’offre</w:t>
      </w:r>
      <w:r>
        <w:rPr>
          <w:spacing w:val="-26"/>
          <w:sz w:val="28"/>
        </w:rPr>
        <w:t> </w:t>
      </w:r>
      <w:r>
        <w:rPr>
          <w:sz w:val="28"/>
        </w:rPr>
        <w:t>;</w:t>
      </w:r>
    </w:p>
    <w:p>
      <w:pPr>
        <w:pStyle w:val="ListParagraph"/>
        <w:numPr>
          <w:ilvl w:val="0"/>
          <w:numId w:val="28"/>
        </w:numPr>
        <w:tabs>
          <w:tab w:pos="1000" w:val="left" w:leader="none"/>
        </w:tabs>
        <w:spacing w:line="328" w:lineRule="exact" w:before="0" w:after="0"/>
        <w:ind w:left="999" w:right="0" w:hanging="284"/>
        <w:jc w:val="left"/>
        <w:rPr>
          <w:sz w:val="28"/>
        </w:rPr>
      </w:pPr>
      <w:r>
        <w:rPr>
          <w:spacing w:val="-3"/>
          <w:sz w:val="28"/>
        </w:rPr>
        <w:t>Les </w:t>
      </w:r>
      <w:r>
        <w:rPr>
          <w:spacing w:val="-4"/>
          <w:sz w:val="28"/>
        </w:rPr>
        <w:t>performances liées </w:t>
      </w:r>
      <w:r>
        <w:rPr>
          <w:sz w:val="28"/>
        </w:rPr>
        <w:t>à la </w:t>
      </w:r>
      <w:r>
        <w:rPr>
          <w:spacing w:val="-4"/>
          <w:sz w:val="28"/>
        </w:rPr>
        <w:t>protection </w:t>
      </w:r>
      <w:r>
        <w:rPr>
          <w:sz w:val="28"/>
        </w:rPr>
        <w:t>de </w:t>
      </w:r>
      <w:r>
        <w:rPr>
          <w:spacing w:val="-4"/>
          <w:sz w:val="28"/>
        </w:rPr>
        <w:t>l’environnement</w:t>
      </w:r>
      <w:r>
        <w:rPr>
          <w:spacing w:val="-37"/>
          <w:sz w:val="28"/>
        </w:rPr>
        <w:t> </w:t>
      </w:r>
      <w:r>
        <w:rPr>
          <w:sz w:val="28"/>
        </w:rPr>
        <w:t>;</w:t>
      </w:r>
    </w:p>
    <w:p>
      <w:pPr>
        <w:pStyle w:val="ListParagraph"/>
        <w:numPr>
          <w:ilvl w:val="0"/>
          <w:numId w:val="28"/>
        </w:numPr>
        <w:tabs>
          <w:tab w:pos="1000" w:val="left" w:leader="none"/>
        </w:tabs>
        <w:spacing w:line="328" w:lineRule="exact" w:before="0" w:after="0"/>
        <w:ind w:left="999" w:right="0" w:hanging="284"/>
        <w:jc w:val="left"/>
        <w:rPr>
          <w:sz w:val="28"/>
        </w:rPr>
      </w:pPr>
      <w:r>
        <w:rPr>
          <w:sz w:val="28"/>
        </w:rPr>
        <w:t>Le </w:t>
      </w:r>
      <w:r>
        <w:rPr>
          <w:spacing w:val="-4"/>
          <w:sz w:val="28"/>
        </w:rPr>
        <w:t>développement </w:t>
      </w:r>
      <w:r>
        <w:rPr>
          <w:spacing w:val="-3"/>
          <w:sz w:val="28"/>
        </w:rPr>
        <w:t>des </w:t>
      </w:r>
      <w:r>
        <w:rPr>
          <w:spacing w:val="-4"/>
          <w:sz w:val="28"/>
        </w:rPr>
        <w:t>énergies propres</w:t>
      </w:r>
      <w:r>
        <w:rPr>
          <w:spacing w:val="-18"/>
          <w:sz w:val="28"/>
        </w:rPr>
        <w:t> </w:t>
      </w:r>
      <w:r>
        <w:rPr>
          <w:sz w:val="28"/>
        </w:rPr>
        <w:t>;</w:t>
      </w:r>
    </w:p>
    <w:p>
      <w:pPr>
        <w:pStyle w:val="ListParagraph"/>
        <w:numPr>
          <w:ilvl w:val="3"/>
          <w:numId w:val="27"/>
        </w:numPr>
        <w:tabs>
          <w:tab w:pos="935" w:val="left" w:leader="none"/>
        </w:tabs>
        <w:spacing w:line="240" w:lineRule="auto" w:before="0" w:after="0"/>
        <w:ind w:left="934" w:right="755" w:hanging="360"/>
        <w:jc w:val="left"/>
        <w:rPr>
          <w:sz w:val="28"/>
        </w:rPr>
      </w:pPr>
      <w:r>
        <w:rPr>
          <w:sz w:val="28"/>
        </w:rPr>
        <w:t>Pour</w:t>
      </w:r>
      <w:r>
        <w:rPr>
          <w:spacing w:val="-11"/>
          <w:sz w:val="28"/>
        </w:rPr>
        <w:t> </w:t>
      </w:r>
      <w:r>
        <w:rPr>
          <w:sz w:val="28"/>
        </w:rPr>
        <w:t>les</w:t>
      </w:r>
      <w:r>
        <w:rPr>
          <w:spacing w:val="-9"/>
          <w:sz w:val="28"/>
        </w:rPr>
        <w:t> </w:t>
      </w:r>
      <w:r>
        <w:rPr>
          <w:sz w:val="28"/>
        </w:rPr>
        <w:t>achats</w:t>
      </w:r>
      <w:r>
        <w:rPr>
          <w:spacing w:val="-9"/>
          <w:sz w:val="28"/>
        </w:rPr>
        <w:t> </w:t>
      </w:r>
      <w:r>
        <w:rPr>
          <w:sz w:val="28"/>
        </w:rPr>
        <w:t>de</w:t>
      </w:r>
      <w:r>
        <w:rPr>
          <w:spacing w:val="-10"/>
          <w:sz w:val="28"/>
        </w:rPr>
        <w:t> </w:t>
      </w:r>
      <w:r>
        <w:rPr>
          <w:sz w:val="28"/>
        </w:rPr>
        <w:t>fournitures</w:t>
      </w:r>
      <w:r>
        <w:rPr>
          <w:spacing w:val="-9"/>
          <w:sz w:val="28"/>
        </w:rPr>
        <w:t> </w:t>
      </w:r>
      <w:r>
        <w:rPr>
          <w:sz w:val="28"/>
        </w:rPr>
        <w:t>de</w:t>
      </w:r>
      <w:r>
        <w:rPr>
          <w:spacing w:val="-13"/>
          <w:sz w:val="28"/>
        </w:rPr>
        <w:t> </w:t>
      </w:r>
      <w:r>
        <w:rPr>
          <w:sz w:val="28"/>
        </w:rPr>
        <w:t>biens</w:t>
      </w:r>
      <w:r>
        <w:rPr>
          <w:spacing w:val="-9"/>
          <w:sz w:val="28"/>
        </w:rPr>
        <w:t> </w:t>
      </w:r>
      <w:r>
        <w:rPr>
          <w:sz w:val="28"/>
        </w:rPr>
        <w:t>et</w:t>
      </w:r>
      <w:r>
        <w:rPr>
          <w:spacing w:val="-12"/>
          <w:sz w:val="28"/>
        </w:rPr>
        <w:t> </w:t>
      </w:r>
      <w:r>
        <w:rPr>
          <w:sz w:val="28"/>
        </w:rPr>
        <w:t>de</w:t>
      </w:r>
      <w:r>
        <w:rPr>
          <w:spacing w:val="-13"/>
          <w:sz w:val="28"/>
        </w:rPr>
        <w:t> </w:t>
      </w:r>
      <w:r>
        <w:rPr>
          <w:sz w:val="28"/>
        </w:rPr>
        <w:t>services</w:t>
      </w:r>
      <w:r>
        <w:rPr>
          <w:spacing w:val="-9"/>
          <w:sz w:val="28"/>
        </w:rPr>
        <w:t> </w:t>
      </w:r>
      <w:r>
        <w:rPr>
          <w:sz w:val="28"/>
        </w:rPr>
        <w:t>courants</w:t>
      </w:r>
      <w:r>
        <w:rPr>
          <w:spacing w:val="-10"/>
          <w:sz w:val="28"/>
        </w:rPr>
        <w:t> </w:t>
      </w:r>
      <w:r>
        <w:rPr>
          <w:sz w:val="28"/>
        </w:rPr>
        <w:t>les</w:t>
      </w:r>
      <w:r>
        <w:rPr>
          <w:spacing w:val="-9"/>
          <w:sz w:val="28"/>
        </w:rPr>
        <w:t> </w:t>
      </w:r>
      <w:r>
        <w:rPr>
          <w:sz w:val="28"/>
        </w:rPr>
        <w:t>critères</w:t>
      </w:r>
      <w:r>
        <w:rPr>
          <w:spacing w:val="-9"/>
          <w:sz w:val="28"/>
        </w:rPr>
        <w:t> </w:t>
      </w:r>
      <w:r>
        <w:rPr>
          <w:sz w:val="28"/>
        </w:rPr>
        <w:t>prennent en compte notamment</w:t>
      </w:r>
      <w:r>
        <w:rPr>
          <w:spacing w:val="1"/>
          <w:sz w:val="28"/>
        </w:rPr>
        <w:t> </w:t>
      </w:r>
      <w:r>
        <w:rPr>
          <w:sz w:val="28"/>
        </w:rPr>
        <w:t>:</w:t>
      </w:r>
    </w:p>
    <w:p>
      <w:pPr>
        <w:pStyle w:val="ListParagraph"/>
        <w:numPr>
          <w:ilvl w:val="4"/>
          <w:numId w:val="27"/>
        </w:numPr>
        <w:tabs>
          <w:tab w:pos="1000" w:val="left" w:leader="none"/>
        </w:tabs>
        <w:spacing w:line="334" w:lineRule="exact" w:before="0" w:after="0"/>
        <w:ind w:left="999" w:right="0" w:hanging="284"/>
        <w:jc w:val="left"/>
        <w:rPr>
          <w:sz w:val="28"/>
        </w:rPr>
      </w:pPr>
      <w:r>
        <w:rPr>
          <w:spacing w:val="-3"/>
          <w:sz w:val="28"/>
        </w:rPr>
        <w:t>Les </w:t>
      </w:r>
      <w:r>
        <w:rPr>
          <w:spacing w:val="-4"/>
          <w:sz w:val="28"/>
        </w:rPr>
        <w:t>qualités fonctionnelles </w:t>
      </w:r>
      <w:r>
        <w:rPr>
          <w:sz w:val="28"/>
        </w:rPr>
        <w:t>de la </w:t>
      </w:r>
      <w:r>
        <w:rPr>
          <w:spacing w:val="-4"/>
          <w:sz w:val="28"/>
        </w:rPr>
        <w:t>fourniture</w:t>
      </w:r>
      <w:r>
        <w:rPr>
          <w:spacing w:val="-32"/>
          <w:sz w:val="28"/>
        </w:rPr>
        <w:t> </w:t>
      </w:r>
      <w:r>
        <w:rPr>
          <w:sz w:val="28"/>
        </w:rPr>
        <w:t>;</w:t>
      </w:r>
    </w:p>
    <w:p>
      <w:pPr>
        <w:pStyle w:val="ListParagraph"/>
        <w:numPr>
          <w:ilvl w:val="4"/>
          <w:numId w:val="27"/>
        </w:numPr>
        <w:tabs>
          <w:tab w:pos="1000" w:val="left" w:leader="none"/>
        </w:tabs>
        <w:spacing w:line="335" w:lineRule="exact" w:before="0" w:after="0"/>
        <w:ind w:left="999" w:right="0" w:hanging="284"/>
        <w:jc w:val="left"/>
        <w:rPr>
          <w:sz w:val="28"/>
        </w:rPr>
      </w:pPr>
      <w:r>
        <w:rPr>
          <w:spacing w:val="-3"/>
          <w:sz w:val="28"/>
        </w:rPr>
        <w:t>Les </w:t>
      </w:r>
      <w:r>
        <w:rPr>
          <w:spacing w:val="-4"/>
          <w:sz w:val="28"/>
        </w:rPr>
        <w:t>garanties offertes</w:t>
      </w:r>
      <w:r>
        <w:rPr>
          <w:spacing w:val="-14"/>
          <w:sz w:val="28"/>
        </w:rPr>
        <w:t> </w:t>
      </w:r>
      <w:r>
        <w:rPr>
          <w:sz w:val="28"/>
        </w:rPr>
        <w:t>;</w:t>
      </w:r>
    </w:p>
    <w:p>
      <w:pPr>
        <w:spacing w:after="0" w:line="335" w:lineRule="exact"/>
        <w:jc w:val="left"/>
        <w:rPr>
          <w:sz w:val="28"/>
        </w:rPr>
        <w:sectPr>
          <w:pgSz w:w="11910" w:h="16840"/>
          <w:pgMar w:header="722" w:footer="0" w:top="1860" w:bottom="280" w:left="700" w:right="380"/>
        </w:sectPr>
      </w:pPr>
    </w:p>
    <w:p>
      <w:pPr>
        <w:pStyle w:val="BodyText"/>
        <w:spacing w:before="8"/>
        <w:ind w:left="0" w:firstLine="0"/>
        <w:jc w:val="left"/>
        <w:rPr>
          <w:sz w:val="16"/>
        </w:rPr>
      </w:pPr>
    </w:p>
    <w:p>
      <w:pPr>
        <w:pStyle w:val="ListParagraph"/>
        <w:numPr>
          <w:ilvl w:val="4"/>
          <w:numId w:val="27"/>
        </w:numPr>
        <w:tabs>
          <w:tab w:pos="1000" w:val="left" w:leader="none"/>
        </w:tabs>
        <w:spacing w:line="334" w:lineRule="exact" w:before="84" w:after="0"/>
        <w:ind w:left="999" w:right="0" w:hanging="284"/>
        <w:jc w:val="left"/>
        <w:rPr>
          <w:sz w:val="28"/>
        </w:rPr>
      </w:pPr>
      <w:r>
        <w:rPr>
          <w:sz w:val="28"/>
        </w:rPr>
        <w:t>Le </w:t>
      </w:r>
      <w:r>
        <w:rPr>
          <w:spacing w:val="-4"/>
          <w:sz w:val="28"/>
        </w:rPr>
        <w:t>service après-vente</w:t>
      </w:r>
      <w:r>
        <w:rPr>
          <w:spacing w:val="-16"/>
          <w:sz w:val="28"/>
        </w:rPr>
        <w:t> </w:t>
      </w:r>
      <w:r>
        <w:rPr>
          <w:sz w:val="28"/>
        </w:rPr>
        <w:t>;</w:t>
      </w:r>
    </w:p>
    <w:p>
      <w:pPr>
        <w:pStyle w:val="ListParagraph"/>
        <w:numPr>
          <w:ilvl w:val="4"/>
          <w:numId w:val="27"/>
        </w:numPr>
        <w:tabs>
          <w:tab w:pos="1000" w:val="left" w:leader="none"/>
        </w:tabs>
        <w:spacing w:line="230" w:lineRule="auto" w:before="2" w:after="0"/>
        <w:ind w:left="999" w:right="751" w:hanging="284"/>
        <w:jc w:val="left"/>
        <w:rPr>
          <w:sz w:val="28"/>
        </w:rPr>
      </w:pPr>
      <w:r>
        <w:rPr>
          <w:spacing w:val="-3"/>
          <w:sz w:val="28"/>
        </w:rPr>
        <w:t>Les </w:t>
      </w:r>
      <w:r>
        <w:rPr>
          <w:spacing w:val="-4"/>
          <w:sz w:val="28"/>
        </w:rPr>
        <w:t>moyens humains </w:t>
      </w:r>
      <w:r>
        <w:rPr>
          <w:sz w:val="28"/>
        </w:rPr>
        <w:t>et </w:t>
      </w:r>
      <w:r>
        <w:rPr>
          <w:spacing w:val="-4"/>
          <w:sz w:val="28"/>
        </w:rPr>
        <w:t>matériels </w:t>
      </w:r>
      <w:r>
        <w:rPr>
          <w:sz w:val="28"/>
        </w:rPr>
        <w:t>à </w:t>
      </w:r>
      <w:r>
        <w:rPr>
          <w:spacing w:val="-4"/>
          <w:sz w:val="28"/>
        </w:rPr>
        <w:t>mettre </w:t>
      </w:r>
      <w:r>
        <w:rPr>
          <w:spacing w:val="-3"/>
          <w:sz w:val="28"/>
        </w:rPr>
        <w:t>en œuvre pour </w:t>
      </w:r>
      <w:r>
        <w:rPr>
          <w:sz w:val="28"/>
        </w:rPr>
        <w:t>la </w:t>
      </w:r>
      <w:r>
        <w:rPr>
          <w:spacing w:val="-4"/>
          <w:sz w:val="28"/>
        </w:rPr>
        <w:t>réalisation </w:t>
      </w:r>
      <w:r>
        <w:rPr>
          <w:sz w:val="28"/>
        </w:rPr>
        <w:t>de la </w:t>
      </w:r>
      <w:r>
        <w:rPr>
          <w:spacing w:val="-4"/>
          <w:sz w:val="28"/>
        </w:rPr>
        <w:t>prestation</w:t>
      </w:r>
      <w:r>
        <w:rPr>
          <w:spacing w:val="-7"/>
          <w:sz w:val="28"/>
        </w:rPr>
        <w:t> </w:t>
      </w:r>
      <w:r>
        <w:rPr>
          <w:sz w:val="28"/>
        </w:rPr>
        <w:t>;</w:t>
      </w:r>
    </w:p>
    <w:p>
      <w:pPr>
        <w:pStyle w:val="ListParagraph"/>
        <w:numPr>
          <w:ilvl w:val="4"/>
          <w:numId w:val="27"/>
        </w:numPr>
        <w:tabs>
          <w:tab w:pos="1000" w:val="left" w:leader="none"/>
        </w:tabs>
        <w:spacing w:line="334" w:lineRule="exact" w:before="3" w:after="0"/>
        <w:ind w:left="999" w:right="0" w:hanging="284"/>
        <w:jc w:val="left"/>
        <w:rPr>
          <w:sz w:val="28"/>
        </w:rPr>
      </w:pPr>
      <w:r>
        <w:rPr>
          <w:sz w:val="28"/>
        </w:rPr>
        <w:t>La </w:t>
      </w:r>
      <w:r>
        <w:rPr>
          <w:spacing w:val="-3"/>
          <w:sz w:val="28"/>
        </w:rPr>
        <w:t>date </w:t>
      </w:r>
      <w:r>
        <w:rPr>
          <w:sz w:val="28"/>
        </w:rPr>
        <w:t>ou le </w:t>
      </w:r>
      <w:r>
        <w:rPr>
          <w:spacing w:val="-4"/>
          <w:sz w:val="28"/>
        </w:rPr>
        <w:t>délai </w:t>
      </w:r>
      <w:r>
        <w:rPr>
          <w:sz w:val="28"/>
        </w:rPr>
        <w:t>de </w:t>
      </w:r>
      <w:r>
        <w:rPr>
          <w:spacing w:val="-4"/>
          <w:sz w:val="28"/>
        </w:rPr>
        <w:t>livraison proposée</w:t>
      </w:r>
      <w:r>
        <w:rPr>
          <w:spacing w:val="-46"/>
          <w:sz w:val="28"/>
        </w:rPr>
        <w:t> </w:t>
      </w:r>
      <w:r>
        <w:rPr>
          <w:sz w:val="28"/>
        </w:rPr>
        <w:t>;</w:t>
      </w:r>
    </w:p>
    <w:p>
      <w:pPr>
        <w:pStyle w:val="ListParagraph"/>
        <w:numPr>
          <w:ilvl w:val="4"/>
          <w:numId w:val="27"/>
        </w:numPr>
        <w:tabs>
          <w:tab w:pos="1000" w:val="left" w:leader="none"/>
        </w:tabs>
        <w:spacing w:line="328" w:lineRule="exact" w:before="0" w:after="0"/>
        <w:ind w:left="999" w:right="0" w:hanging="284"/>
        <w:jc w:val="left"/>
        <w:rPr>
          <w:sz w:val="28"/>
        </w:rPr>
      </w:pPr>
      <w:r>
        <w:rPr>
          <w:spacing w:val="-3"/>
          <w:sz w:val="28"/>
        </w:rPr>
        <w:t>Les </w:t>
      </w:r>
      <w:r>
        <w:rPr>
          <w:spacing w:val="-4"/>
          <w:sz w:val="28"/>
        </w:rPr>
        <w:t>performances liées </w:t>
      </w:r>
      <w:r>
        <w:rPr>
          <w:sz w:val="28"/>
        </w:rPr>
        <w:t>à la </w:t>
      </w:r>
      <w:r>
        <w:rPr>
          <w:spacing w:val="-4"/>
          <w:sz w:val="28"/>
        </w:rPr>
        <w:t>protection </w:t>
      </w:r>
      <w:r>
        <w:rPr>
          <w:sz w:val="28"/>
        </w:rPr>
        <w:t>de </w:t>
      </w:r>
      <w:r>
        <w:rPr>
          <w:spacing w:val="-4"/>
          <w:sz w:val="28"/>
        </w:rPr>
        <w:t>l’environnement</w:t>
      </w:r>
      <w:r>
        <w:rPr>
          <w:spacing w:val="-37"/>
          <w:sz w:val="28"/>
        </w:rPr>
        <w:t> </w:t>
      </w:r>
      <w:r>
        <w:rPr>
          <w:sz w:val="28"/>
        </w:rPr>
        <w:t>;</w:t>
      </w:r>
    </w:p>
    <w:p>
      <w:pPr>
        <w:pStyle w:val="ListParagraph"/>
        <w:numPr>
          <w:ilvl w:val="4"/>
          <w:numId w:val="27"/>
        </w:numPr>
        <w:tabs>
          <w:tab w:pos="1000" w:val="left" w:leader="none"/>
        </w:tabs>
        <w:spacing w:line="328" w:lineRule="exact" w:before="0" w:after="0"/>
        <w:ind w:left="999" w:right="0" w:hanging="284"/>
        <w:jc w:val="left"/>
        <w:rPr>
          <w:sz w:val="28"/>
        </w:rPr>
      </w:pPr>
      <w:r>
        <w:rPr>
          <w:sz w:val="28"/>
        </w:rPr>
        <w:t>Le </w:t>
      </w:r>
      <w:r>
        <w:rPr>
          <w:spacing w:val="-4"/>
          <w:sz w:val="28"/>
        </w:rPr>
        <w:t>développement </w:t>
      </w:r>
      <w:r>
        <w:rPr>
          <w:spacing w:val="-3"/>
          <w:sz w:val="28"/>
        </w:rPr>
        <w:t>des </w:t>
      </w:r>
      <w:r>
        <w:rPr>
          <w:spacing w:val="-4"/>
          <w:sz w:val="28"/>
        </w:rPr>
        <w:t>énergies</w:t>
      </w:r>
      <w:r>
        <w:rPr>
          <w:spacing w:val="-17"/>
          <w:sz w:val="28"/>
        </w:rPr>
        <w:t> </w:t>
      </w:r>
      <w:r>
        <w:rPr>
          <w:spacing w:val="-4"/>
          <w:sz w:val="28"/>
        </w:rPr>
        <w:t>propres.</w:t>
      </w:r>
    </w:p>
    <w:p>
      <w:pPr>
        <w:pStyle w:val="ListParagraph"/>
        <w:numPr>
          <w:ilvl w:val="4"/>
          <w:numId w:val="27"/>
        </w:numPr>
        <w:tabs>
          <w:tab w:pos="1000" w:val="left" w:leader="none"/>
        </w:tabs>
        <w:spacing w:line="334" w:lineRule="exact" w:before="0" w:after="0"/>
        <w:ind w:left="999" w:right="0" w:hanging="284"/>
        <w:jc w:val="left"/>
        <w:rPr>
          <w:sz w:val="28"/>
        </w:rPr>
      </w:pPr>
      <w:r>
        <w:rPr>
          <w:sz w:val="28"/>
        </w:rPr>
        <w:t>Le </w:t>
      </w:r>
      <w:r>
        <w:rPr>
          <w:spacing w:val="-4"/>
          <w:sz w:val="28"/>
        </w:rPr>
        <w:t>caractère innovant </w:t>
      </w:r>
      <w:r>
        <w:rPr>
          <w:sz w:val="28"/>
        </w:rPr>
        <w:t>de </w:t>
      </w:r>
      <w:r>
        <w:rPr>
          <w:spacing w:val="-4"/>
          <w:sz w:val="28"/>
        </w:rPr>
        <w:t>l'offre </w:t>
      </w:r>
      <w:r>
        <w:rPr>
          <w:spacing w:val="-3"/>
          <w:sz w:val="28"/>
        </w:rPr>
        <w:t>au cas </w:t>
      </w:r>
      <w:r>
        <w:rPr>
          <w:spacing w:val="-4"/>
          <w:sz w:val="28"/>
        </w:rPr>
        <w:t>échéant</w:t>
      </w:r>
      <w:r>
        <w:rPr>
          <w:spacing w:val="-36"/>
          <w:sz w:val="28"/>
        </w:rPr>
        <w:t> </w:t>
      </w:r>
      <w:r>
        <w:rPr>
          <w:sz w:val="28"/>
        </w:rPr>
        <w:t>;</w:t>
      </w:r>
    </w:p>
    <w:p>
      <w:pPr>
        <w:pStyle w:val="BodyText"/>
        <w:spacing w:line="322" w:lineRule="exact" w:before="106"/>
        <w:ind w:left="999" w:firstLine="0"/>
      </w:pPr>
      <w:r>
        <w:rPr/>
        <w:t>Pour les fournitures induisant un coût d’utilisation et/ou de maintenance, le critère</w:t>
      </w:r>
    </w:p>
    <w:p>
      <w:pPr>
        <w:pStyle w:val="BodyText"/>
        <w:ind w:right="746" w:firstLine="0"/>
      </w:pPr>
      <w:r>
        <w:rPr/>
        <w:t>« </w:t>
      </w:r>
      <w:r>
        <w:rPr>
          <w:spacing w:val="-3"/>
        </w:rPr>
        <w:t>coût </w:t>
      </w:r>
      <w:r>
        <w:rPr>
          <w:spacing w:val="-4"/>
        </w:rPr>
        <w:t>d’utilisation et/ou maintenance </w:t>
      </w:r>
      <w:r>
        <w:rPr/>
        <w:t>» </w:t>
      </w:r>
      <w:r>
        <w:rPr>
          <w:spacing w:val="-3"/>
        </w:rPr>
        <w:t>peut être pris en </w:t>
      </w:r>
      <w:r>
        <w:rPr>
          <w:spacing w:val="-4"/>
        </w:rPr>
        <w:t>considération. Dans </w:t>
      </w:r>
      <w:r>
        <w:rPr/>
        <w:t>ce </w:t>
      </w:r>
      <w:r>
        <w:rPr>
          <w:spacing w:val="-3"/>
        </w:rPr>
        <w:t>cas, </w:t>
      </w:r>
      <w:r>
        <w:rPr>
          <w:spacing w:val="-4"/>
        </w:rPr>
        <w:t>l’attribution</w:t>
      </w:r>
      <w:r>
        <w:rPr>
          <w:spacing w:val="-11"/>
        </w:rPr>
        <w:t> </w:t>
      </w:r>
      <w:r>
        <w:rPr/>
        <w:t>de</w:t>
      </w:r>
      <w:r>
        <w:rPr>
          <w:spacing w:val="-11"/>
        </w:rPr>
        <w:t> </w:t>
      </w:r>
      <w:r>
        <w:rPr/>
        <w:t>l’achat</w:t>
      </w:r>
      <w:r>
        <w:rPr>
          <w:spacing w:val="-7"/>
        </w:rPr>
        <w:t> </w:t>
      </w:r>
      <w:r>
        <w:rPr/>
        <w:t>se</w:t>
      </w:r>
      <w:r>
        <w:rPr>
          <w:spacing w:val="-11"/>
        </w:rPr>
        <w:t> </w:t>
      </w:r>
      <w:r>
        <w:rPr>
          <w:spacing w:val="-3"/>
        </w:rPr>
        <w:t>fait</w:t>
      </w:r>
      <w:r>
        <w:rPr>
          <w:spacing w:val="-9"/>
        </w:rPr>
        <w:t> </w:t>
      </w:r>
      <w:r>
        <w:rPr>
          <w:spacing w:val="-2"/>
        </w:rPr>
        <w:t>sur</w:t>
      </w:r>
      <w:r>
        <w:rPr>
          <w:spacing w:val="-14"/>
        </w:rPr>
        <w:t> </w:t>
      </w:r>
      <w:r>
        <w:rPr/>
        <w:t>la</w:t>
      </w:r>
      <w:r>
        <w:rPr>
          <w:spacing w:val="-13"/>
        </w:rPr>
        <w:t> </w:t>
      </w:r>
      <w:r>
        <w:rPr>
          <w:spacing w:val="-3"/>
        </w:rPr>
        <w:t>base</w:t>
      </w:r>
      <w:r>
        <w:rPr>
          <w:spacing w:val="-12"/>
        </w:rPr>
        <w:t> </w:t>
      </w:r>
      <w:r>
        <w:rPr/>
        <w:t>du</w:t>
      </w:r>
      <w:r>
        <w:rPr>
          <w:spacing w:val="-10"/>
        </w:rPr>
        <w:t> </w:t>
      </w:r>
      <w:r>
        <w:rPr>
          <w:spacing w:val="-3"/>
        </w:rPr>
        <w:t>prix</w:t>
      </w:r>
      <w:r>
        <w:rPr>
          <w:spacing w:val="-12"/>
        </w:rPr>
        <w:t> </w:t>
      </w:r>
      <w:r>
        <w:rPr>
          <w:spacing w:val="-4"/>
        </w:rPr>
        <w:t>global</w:t>
      </w:r>
      <w:r>
        <w:rPr>
          <w:spacing w:val="-10"/>
        </w:rPr>
        <w:t> </w:t>
      </w:r>
      <w:r>
        <w:rPr>
          <w:spacing w:val="-4"/>
        </w:rPr>
        <w:t>combinant</w:t>
      </w:r>
      <w:r>
        <w:rPr>
          <w:spacing w:val="-9"/>
        </w:rPr>
        <w:t> </w:t>
      </w:r>
      <w:r>
        <w:rPr/>
        <w:t>le</w:t>
      </w:r>
      <w:r>
        <w:rPr>
          <w:spacing w:val="-11"/>
        </w:rPr>
        <w:t> </w:t>
      </w:r>
      <w:r>
        <w:rPr>
          <w:spacing w:val="-3"/>
        </w:rPr>
        <w:t>prix</w:t>
      </w:r>
      <w:r>
        <w:rPr>
          <w:spacing w:val="-13"/>
        </w:rPr>
        <w:t> </w:t>
      </w:r>
      <w:r>
        <w:rPr>
          <w:spacing w:val="-4"/>
        </w:rPr>
        <w:t>d’acquisition</w:t>
      </w:r>
      <w:r>
        <w:rPr>
          <w:spacing w:val="-12"/>
        </w:rPr>
        <w:t> </w:t>
      </w:r>
      <w:r>
        <w:rPr>
          <w:spacing w:val="-3"/>
        </w:rPr>
        <w:t>et </w:t>
      </w:r>
      <w:r>
        <w:rPr>
          <w:spacing w:val="-4"/>
        </w:rPr>
        <w:t>l’évaluation monétaire </w:t>
      </w:r>
      <w:r>
        <w:rPr/>
        <w:t>du </w:t>
      </w:r>
      <w:r>
        <w:rPr>
          <w:spacing w:val="-4"/>
        </w:rPr>
        <w:t>coût d’utilisation et/ou </w:t>
      </w:r>
      <w:r>
        <w:rPr/>
        <w:t>de </w:t>
      </w:r>
      <w:r>
        <w:rPr>
          <w:spacing w:val="-4"/>
        </w:rPr>
        <w:t>maintenance pendant </w:t>
      </w:r>
      <w:r>
        <w:rPr>
          <w:spacing w:val="-2"/>
        </w:rPr>
        <w:t>une </w:t>
      </w:r>
      <w:r>
        <w:rPr>
          <w:spacing w:val="-3"/>
        </w:rPr>
        <w:t>durée </w:t>
      </w:r>
      <w:r>
        <w:rPr>
          <w:spacing w:val="-4"/>
        </w:rPr>
        <w:t>déterminée.</w:t>
      </w:r>
    </w:p>
    <w:p>
      <w:pPr>
        <w:pStyle w:val="ListParagraph"/>
        <w:numPr>
          <w:ilvl w:val="3"/>
          <w:numId w:val="27"/>
        </w:numPr>
        <w:tabs>
          <w:tab w:pos="715" w:val="left" w:leader="none"/>
        </w:tabs>
        <w:spacing w:line="322" w:lineRule="exact" w:before="240" w:after="0"/>
        <w:ind w:left="714" w:right="0" w:hanging="282"/>
        <w:jc w:val="left"/>
        <w:rPr>
          <w:sz w:val="28"/>
        </w:rPr>
      </w:pPr>
      <w:r>
        <w:rPr>
          <w:spacing w:val="-4"/>
          <w:sz w:val="28"/>
        </w:rPr>
        <w:t>Pour </w:t>
      </w:r>
      <w:r>
        <w:rPr>
          <w:spacing w:val="-3"/>
          <w:sz w:val="28"/>
        </w:rPr>
        <w:t>les </w:t>
      </w:r>
      <w:r>
        <w:rPr>
          <w:sz w:val="28"/>
        </w:rPr>
        <w:t>achats de </w:t>
      </w:r>
      <w:r>
        <w:rPr>
          <w:spacing w:val="-4"/>
          <w:sz w:val="28"/>
        </w:rPr>
        <w:t>services, </w:t>
      </w:r>
      <w:r>
        <w:rPr>
          <w:spacing w:val="-3"/>
          <w:sz w:val="28"/>
        </w:rPr>
        <w:t>les </w:t>
      </w:r>
      <w:r>
        <w:rPr>
          <w:spacing w:val="-4"/>
          <w:sz w:val="28"/>
        </w:rPr>
        <w:t>critères prennent </w:t>
      </w:r>
      <w:r>
        <w:rPr>
          <w:spacing w:val="-3"/>
          <w:sz w:val="28"/>
        </w:rPr>
        <w:t>en </w:t>
      </w:r>
      <w:r>
        <w:rPr>
          <w:spacing w:val="-4"/>
          <w:sz w:val="28"/>
        </w:rPr>
        <w:t>compte notamment</w:t>
      </w:r>
      <w:r>
        <w:rPr>
          <w:spacing w:val="-28"/>
          <w:sz w:val="28"/>
        </w:rPr>
        <w:t> </w:t>
      </w:r>
      <w:r>
        <w:rPr>
          <w:sz w:val="28"/>
        </w:rPr>
        <w:t>:</w:t>
      </w:r>
    </w:p>
    <w:p>
      <w:pPr>
        <w:pStyle w:val="ListParagraph"/>
        <w:numPr>
          <w:ilvl w:val="4"/>
          <w:numId w:val="27"/>
        </w:numPr>
        <w:tabs>
          <w:tab w:pos="1000" w:val="left" w:leader="none"/>
        </w:tabs>
        <w:spacing w:line="230" w:lineRule="auto" w:before="11" w:after="0"/>
        <w:ind w:left="999" w:right="751" w:hanging="284"/>
        <w:jc w:val="left"/>
        <w:rPr>
          <w:sz w:val="28"/>
        </w:rPr>
      </w:pPr>
      <w:r>
        <w:rPr>
          <w:spacing w:val="-3"/>
          <w:sz w:val="28"/>
        </w:rPr>
        <w:t>Les </w:t>
      </w:r>
      <w:r>
        <w:rPr>
          <w:spacing w:val="-4"/>
          <w:sz w:val="28"/>
        </w:rPr>
        <w:t>moyens humains </w:t>
      </w:r>
      <w:r>
        <w:rPr>
          <w:sz w:val="28"/>
        </w:rPr>
        <w:t>et </w:t>
      </w:r>
      <w:r>
        <w:rPr>
          <w:spacing w:val="-4"/>
          <w:sz w:val="28"/>
        </w:rPr>
        <w:t>matériels </w:t>
      </w:r>
      <w:r>
        <w:rPr>
          <w:sz w:val="28"/>
        </w:rPr>
        <w:t>à </w:t>
      </w:r>
      <w:r>
        <w:rPr>
          <w:spacing w:val="-4"/>
          <w:sz w:val="28"/>
        </w:rPr>
        <w:t>mettre </w:t>
      </w:r>
      <w:r>
        <w:rPr>
          <w:spacing w:val="-3"/>
          <w:sz w:val="28"/>
        </w:rPr>
        <w:t>en œuvre pour </w:t>
      </w:r>
      <w:r>
        <w:rPr>
          <w:sz w:val="28"/>
        </w:rPr>
        <w:t>la </w:t>
      </w:r>
      <w:r>
        <w:rPr>
          <w:spacing w:val="-4"/>
          <w:sz w:val="28"/>
        </w:rPr>
        <w:t>réalisation </w:t>
      </w:r>
      <w:r>
        <w:rPr>
          <w:sz w:val="28"/>
        </w:rPr>
        <w:t>de la </w:t>
      </w:r>
      <w:r>
        <w:rPr>
          <w:spacing w:val="-4"/>
          <w:sz w:val="28"/>
        </w:rPr>
        <w:t>prestation</w:t>
      </w:r>
      <w:r>
        <w:rPr>
          <w:spacing w:val="-7"/>
          <w:sz w:val="28"/>
        </w:rPr>
        <w:t> </w:t>
      </w:r>
      <w:r>
        <w:rPr>
          <w:sz w:val="28"/>
        </w:rPr>
        <w:t>;</w:t>
      </w:r>
    </w:p>
    <w:p>
      <w:pPr>
        <w:pStyle w:val="ListParagraph"/>
        <w:numPr>
          <w:ilvl w:val="4"/>
          <w:numId w:val="27"/>
        </w:numPr>
        <w:tabs>
          <w:tab w:pos="1000" w:val="left" w:leader="none"/>
        </w:tabs>
        <w:spacing w:line="334" w:lineRule="exact" w:before="2" w:after="0"/>
        <w:ind w:left="999" w:right="0" w:hanging="284"/>
        <w:jc w:val="left"/>
        <w:rPr>
          <w:sz w:val="28"/>
        </w:rPr>
      </w:pPr>
      <w:r>
        <w:rPr>
          <w:sz w:val="28"/>
        </w:rPr>
        <w:t>Le </w:t>
      </w:r>
      <w:r>
        <w:rPr>
          <w:spacing w:val="-4"/>
          <w:sz w:val="28"/>
        </w:rPr>
        <w:t>chronogramme d’affectation </w:t>
      </w:r>
      <w:r>
        <w:rPr>
          <w:spacing w:val="-3"/>
          <w:sz w:val="28"/>
        </w:rPr>
        <w:t>des </w:t>
      </w:r>
      <w:r>
        <w:rPr>
          <w:spacing w:val="-4"/>
          <w:sz w:val="28"/>
        </w:rPr>
        <w:t>ressources humaines</w:t>
      </w:r>
      <w:r>
        <w:rPr>
          <w:spacing w:val="-16"/>
          <w:sz w:val="28"/>
        </w:rPr>
        <w:t> </w:t>
      </w:r>
      <w:r>
        <w:rPr>
          <w:sz w:val="28"/>
        </w:rPr>
        <w:t>;</w:t>
      </w:r>
    </w:p>
    <w:p>
      <w:pPr>
        <w:pStyle w:val="ListParagraph"/>
        <w:numPr>
          <w:ilvl w:val="4"/>
          <w:numId w:val="27"/>
        </w:numPr>
        <w:tabs>
          <w:tab w:pos="1000" w:val="left" w:leader="none"/>
        </w:tabs>
        <w:spacing w:line="327" w:lineRule="exact" w:before="0" w:after="0"/>
        <w:ind w:left="999" w:right="0" w:hanging="284"/>
        <w:jc w:val="left"/>
        <w:rPr>
          <w:sz w:val="28"/>
        </w:rPr>
      </w:pPr>
      <w:r>
        <w:rPr>
          <w:sz w:val="28"/>
        </w:rPr>
        <w:t>Le </w:t>
      </w:r>
      <w:r>
        <w:rPr>
          <w:spacing w:val="-4"/>
          <w:sz w:val="28"/>
        </w:rPr>
        <w:t>caractère innovant </w:t>
      </w:r>
      <w:r>
        <w:rPr>
          <w:sz w:val="28"/>
        </w:rPr>
        <w:t>de </w:t>
      </w:r>
      <w:r>
        <w:rPr>
          <w:spacing w:val="-4"/>
          <w:sz w:val="28"/>
        </w:rPr>
        <w:t>l'offre</w:t>
      </w:r>
      <w:r>
        <w:rPr>
          <w:spacing w:val="-29"/>
          <w:sz w:val="28"/>
        </w:rPr>
        <w:t> </w:t>
      </w:r>
      <w:r>
        <w:rPr>
          <w:sz w:val="28"/>
        </w:rPr>
        <w:t>;</w:t>
      </w:r>
    </w:p>
    <w:p>
      <w:pPr>
        <w:pStyle w:val="ListParagraph"/>
        <w:numPr>
          <w:ilvl w:val="4"/>
          <w:numId w:val="27"/>
        </w:numPr>
        <w:tabs>
          <w:tab w:pos="1000" w:val="left" w:leader="none"/>
        </w:tabs>
        <w:spacing w:line="328" w:lineRule="exact" w:before="0" w:after="0"/>
        <w:ind w:left="999" w:right="0" w:hanging="284"/>
        <w:jc w:val="left"/>
        <w:rPr>
          <w:sz w:val="28"/>
        </w:rPr>
      </w:pPr>
      <w:r>
        <w:rPr>
          <w:sz w:val="28"/>
        </w:rPr>
        <w:t>La </w:t>
      </w:r>
      <w:r>
        <w:rPr>
          <w:spacing w:val="-4"/>
          <w:sz w:val="28"/>
        </w:rPr>
        <w:t>qualité </w:t>
      </w:r>
      <w:r>
        <w:rPr>
          <w:sz w:val="28"/>
        </w:rPr>
        <w:t>de </w:t>
      </w:r>
      <w:r>
        <w:rPr>
          <w:spacing w:val="-4"/>
          <w:sz w:val="28"/>
        </w:rPr>
        <w:t>l'assistance technique</w:t>
      </w:r>
      <w:r>
        <w:rPr>
          <w:spacing w:val="-29"/>
          <w:sz w:val="28"/>
        </w:rPr>
        <w:t> </w:t>
      </w:r>
      <w:r>
        <w:rPr>
          <w:sz w:val="28"/>
        </w:rPr>
        <w:t>;</w:t>
      </w:r>
    </w:p>
    <w:p>
      <w:pPr>
        <w:pStyle w:val="ListParagraph"/>
        <w:numPr>
          <w:ilvl w:val="4"/>
          <w:numId w:val="27"/>
        </w:numPr>
        <w:tabs>
          <w:tab w:pos="1000" w:val="left" w:leader="none"/>
        </w:tabs>
        <w:spacing w:line="328" w:lineRule="exact" w:before="0" w:after="0"/>
        <w:ind w:left="999" w:right="0" w:hanging="284"/>
        <w:jc w:val="left"/>
        <w:rPr>
          <w:sz w:val="28"/>
        </w:rPr>
      </w:pPr>
      <w:r>
        <w:rPr>
          <w:sz w:val="28"/>
        </w:rPr>
        <w:t>Le </w:t>
      </w:r>
      <w:r>
        <w:rPr>
          <w:spacing w:val="-4"/>
          <w:sz w:val="28"/>
        </w:rPr>
        <w:t>degré </w:t>
      </w:r>
      <w:r>
        <w:rPr>
          <w:sz w:val="28"/>
        </w:rPr>
        <w:t>de </w:t>
      </w:r>
      <w:r>
        <w:rPr>
          <w:spacing w:val="-4"/>
          <w:sz w:val="28"/>
        </w:rPr>
        <w:t>transfert </w:t>
      </w:r>
      <w:r>
        <w:rPr>
          <w:sz w:val="28"/>
        </w:rPr>
        <w:t>de </w:t>
      </w:r>
      <w:r>
        <w:rPr>
          <w:spacing w:val="-4"/>
          <w:sz w:val="28"/>
        </w:rPr>
        <w:t>compétences </w:t>
      </w:r>
      <w:r>
        <w:rPr>
          <w:spacing w:val="-3"/>
          <w:sz w:val="28"/>
        </w:rPr>
        <w:t>et </w:t>
      </w:r>
      <w:r>
        <w:rPr>
          <w:sz w:val="28"/>
        </w:rPr>
        <w:t>de </w:t>
      </w:r>
      <w:r>
        <w:rPr>
          <w:spacing w:val="-4"/>
          <w:sz w:val="28"/>
        </w:rPr>
        <w:t>connaissances</w:t>
      </w:r>
      <w:r>
        <w:rPr>
          <w:spacing w:val="-44"/>
          <w:sz w:val="28"/>
        </w:rPr>
        <w:t> </w:t>
      </w:r>
      <w:r>
        <w:rPr>
          <w:sz w:val="28"/>
        </w:rPr>
        <w:t>;</w:t>
      </w:r>
    </w:p>
    <w:p>
      <w:pPr>
        <w:pStyle w:val="ListParagraph"/>
        <w:numPr>
          <w:ilvl w:val="4"/>
          <w:numId w:val="27"/>
        </w:numPr>
        <w:tabs>
          <w:tab w:pos="1000" w:val="left" w:leader="none"/>
        </w:tabs>
        <w:spacing w:line="326" w:lineRule="exact" w:before="0" w:after="0"/>
        <w:ind w:left="999" w:right="0" w:hanging="284"/>
        <w:jc w:val="left"/>
        <w:rPr>
          <w:sz w:val="28"/>
        </w:rPr>
      </w:pPr>
      <w:r>
        <w:rPr>
          <w:spacing w:val="-3"/>
          <w:sz w:val="28"/>
        </w:rPr>
        <w:t>Les </w:t>
      </w:r>
      <w:r>
        <w:rPr>
          <w:spacing w:val="-4"/>
          <w:sz w:val="28"/>
        </w:rPr>
        <w:t>garanties offertes</w:t>
      </w:r>
      <w:r>
        <w:rPr>
          <w:spacing w:val="-14"/>
          <w:sz w:val="28"/>
        </w:rPr>
        <w:t> </w:t>
      </w:r>
      <w:r>
        <w:rPr>
          <w:sz w:val="28"/>
        </w:rPr>
        <w:t>;</w:t>
      </w:r>
    </w:p>
    <w:p>
      <w:pPr>
        <w:pStyle w:val="ListParagraph"/>
        <w:numPr>
          <w:ilvl w:val="4"/>
          <w:numId w:val="27"/>
        </w:numPr>
        <w:tabs>
          <w:tab w:pos="1000" w:val="left" w:leader="none"/>
        </w:tabs>
        <w:spacing w:line="328" w:lineRule="exact" w:before="0" w:after="0"/>
        <w:ind w:left="999" w:right="0" w:hanging="284"/>
        <w:jc w:val="left"/>
        <w:rPr>
          <w:sz w:val="28"/>
        </w:rPr>
      </w:pPr>
      <w:r>
        <w:rPr>
          <w:sz w:val="28"/>
        </w:rPr>
        <w:t>Le </w:t>
      </w:r>
      <w:r>
        <w:rPr>
          <w:spacing w:val="-4"/>
          <w:sz w:val="28"/>
        </w:rPr>
        <w:t>planning </w:t>
      </w:r>
      <w:r>
        <w:rPr>
          <w:sz w:val="28"/>
        </w:rPr>
        <w:t>de </w:t>
      </w:r>
      <w:r>
        <w:rPr>
          <w:spacing w:val="-4"/>
          <w:sz w:val="28"/>
        </w:rPr>
        <w:t>réalisation proposé</w:t>
      </w:r>
      <w:r>
        <w:rPr>
          <w:spacing w:val="-26"/>
          <w:sz w:val="28"/>
        </w:rPr>
        <w:t> </w:t>
      </w:r>
      <w:r>
        <w:rPr>
          <w:sz w:val="28"/>
        </w:rPr>
        <w:t>;</w:t>
      </w:r>
    </w:p>
    <w:p>
      <w:pPr>
        <w:pStyle w:val="ListParagraph"/>
        <w:numPr>
          <w:ilvl w:val="4"/>
          <w:numId w:val="27"/>
        </w:numPr>
        <w:tabs>
          <w:tab w:pos="1000" w:val="left" w:leader="none"/>
        </w:tabs>
        <w:spacing w:line="230" w:lineRule="auto" w:before="4" w:after="0"/>
        <w:ind w:left="999" w:right="750" w:hanging="284"/>
        <w:jc w:val="left"/>
        <w:rPr>
          <w:sz w:val="28"/>
        </w:rPr>
      </w:pPr>
      <w:r>
        <w:rPr>
          <w:spacing w:val="-4"/>
          <w:sz w:val="28"/>
        </w:rPr>
        <w:t>L’expérience spécifique </w:t>
      </w:r>
      <w:r>
        <w:rPr>
          <w:sz w:val="28"/>
        </w:rPr>
        <w:t>et le </w:t>
      </w:r>
      <w:r>
        <w:rPr>
          <w:spacing w:val="-3"/>
          <w:sz w:val="28"/>
        </w:rPr>
        <w:t>profil </w:t>
      </w:r>
      <w:r>
        <w:rPr>
          <w:sz w:val="28"/>
        </w:rPr>
        <w:t>du </w:t>
      </w:r>
      <w:r>
        <w:rPr>
          <w:spacing w:val="-4"/>
          <w:sz w:val="28"/>
        </w:rPr>
        <w:t>personnel </w:t>
      </w:r>
      <w:r>
        <w:rPr>
          <w:spacing w:val="-3"/>
          <w:sz w:val="28"/>
        </w:rPr>
        <w:t>par </w:t>
      </w:r>
      <w:r>
        <w:rPr>
          <w:spacing w:val="-4"/>
          <w:sz w:val="28"/>
        </w:rPr>
        <w:t>rapport </w:t>
      </w:r>
      <w:r>
        <w:rPr>
          <w:sz w:val="28"/>
        </w:rPr>
        <w:t>à la </w:t>
      </w:r>
      <w:r>
        <w:rPr>
          <w:spacing w:val="-3"/>
          <w:sz w:val="28"/>
        </w:rPr>
        <w:t>nature des </w:t>
      </w:r>
      <w:r>
        <w:rPr>
          <w:spacing w:val="-4"/>
          <w:sz w:val="28"/>
        </w:rPr>
        <w:t>prestations</w:t>
      </w:r>
      <w:r>
        <w:rPr>
          <w:spacing w:val="-7"/>
          <w:sz w:val="28"/>
        </w:rPr>
        <w:t> </w:t>
      </w:r>
      <w:r>
        <w:rPr>
          <w:sz w:val="28"/>
        </w:rPr>
        <w:t>;</w:t>
      </w:r>
    </w:p>
    <w:p>
      <w:pPr>
        <w:pStyle w:val="ListParagraph"/>
        <w:numPr>
          <w:ilvl w:val="4"/>
          <w:numId w:val="27"/>
        </w:numPr>
        <w:tabs>
          <w:tab w:pos="1000" w:val="left" w:leader="none"/>
        </w:tabs>
        <w:spacing w:line="334" w:lineRule="exact" w:before="0" w:after="0"/>
        <w:ind w:left="999" w:right="0" w:hanging="284"/>
        <w:jc w:val="left"/>
        <w:rPr>
          <w:sz w:val="28"/>
        </w:rPr>
      </w:pPr>
      <w:r>
        <w:rPr>
          <w:spacing w:val="-3"/>
          <w:sz w:val="28"/>
        </w:rPr>
        <w:t>Les </w:t>
      </w:r>
      <w:r>
        <w:rPr>
          <w:spacing w:val="-4"/>
          <w:sz w:val="28"/>
        </w:rPr>
        <w:t>performances liées </w:t>
      </w:r>
      <w:r>
        <w:rPr>
          <w:sz w:val="28"/>
        </w:rPr>
        <w:t>à la </w:t>
      </w:r>
      <w:r>
        <w:rPr>
          <w:spacing w:val="-4"/>
          <w:sz w:val="28"/>
        </w:rPr>
        <w:t>protection </w:t>
      </w:r>
      <w:r>
        <w:rPr>
          <w:sz w:val="28"/>
        </w:rPr>
        <w:t>de </w:t>
      </w:r>
      <w:r>
        <w:rPr>
          <w:spacing w:val="-4"/>
          <w:sz w:val="28"/>
        </w:rPr>
        <w:t>l'environnement</w:t>
      </w:r>
      <w:r>
        <w:rPr>
          <w:spacing w:val="-38"/>
          <w:sz w:val="28"/>
        </w:rPr>
        <w:t> </w:t>
      </w:r>
      <w:r>
        <w:rPr>
          <w:sz w:val="28"/>
        </w:rPr>
        <w:t>;</w:t>
      </w:r>
    </w:p>
    <w:p>
      <w:pPr>
        <w:pStyle w:val="ListParagraph"/>
        <w:numPr>
          <w:ilvl w:val="4"/>
          <w:numId w:val="27"/>
        </w:numPr>
        <w:tabs>
          <w:tab w:pos="1000" w:val="left" w:leader="none"/>
        </w:tabs>
        <w:spacing w:line="328" w:lineRule="exact" w:before="0" w:after="0"/>
        <w:ind w:left="999" w:right="0" w:hanging="284"/>
        <w:jc w:val="left"/>
        <w:rPr>
          <w:sz w:val="28"/>
        </w:rPr>
      </w:pPr>
      <w:r>
        <w:rPr>
          <w:sz w:val="28"/>
        </w:rPr>
        <w:t>Le </w:t>
      </w:r>
      <w:r>
        <w:rPr>
          <w:spacing w:val="-4"/>
          <w:sz w:val="28"/>
        </w:rPr>
        <w:t>développement </w:t>
      </w:r>
      <w:r>
        <w:rPr>
          <w:spacing w:val="-3"/>
          <w:sz w:val="28"/>
        </w:rPr>
        <w:t>des </w:t>
      </w:r>
      <w:r>
        <w:rPr>
          <w:spacing w:val="-4"/>
          <w:sz w:val="28"/>
        </w:rPr>
        <w:t>énergies propres</w:t>
      </w:r>
      <w:r>
        <w:rPr>
          <w:spacing w:val="-20"/>
          <w:sz w:val="28"/>
        </w:rPr>
        <w:t> </w:t>
      </w:r>
      <w:r>
        <w:rPr>
          <w:sz w:val="28"/>
        </w:rPr>
        <w:t>;</w:t>
      </w:r>
    </w:p>
    <w:p>
      <w:pPr>
        <w:pStyle w:val="ListParagraph"/>
        <w:numPr>
          <w:ilvl w:val="4"/>
          <w:numId w:val="27"/>
        </w:numPr>
        <w:tabs>
          <w:tab w:pos="1000" w:val="left" w:leader="none"/>
        </w:tabs>
        <w:spacing w:line="335" w:lineRule="exact" w:before="0" w:after="0"/>
        <w:ind w:left="999" w:right="0" w:hanging="284"/>
        <w:jc w:val="left"/>
        <w:rPr>
          <w:sz w:val="28"/>
        </w:rPr>
      </w:pPr>
      <w:r>
        <w:rPr>
          <w:sz w:val="28"/>
        </w:rPr>
        <w:t>Le </w:t>
      </w:r>
      <w:r>
        <w:rPr>
          <w:spacing w:val="-4"/>
          <w:sz w:val="28"/>
        </w:rPr>
        <w:t>délai d’exécution </w:t>
      </w:r>
      <w:r>
        <w:rPr>
          <w:spacing w:val="-3"/>
          <w:sz w:val="28"/>
        </w:rPr>
        <w:t>proposé au </w:t>
      </w:r>
      <w:r>
        <w:rPr>
          <w:spacing w:val="-4"/>
          <w:sz w:val="28"/>
        </w:rPr>
        <w:t>cas</w:t>
      </w:r>
      <w:r>
        <w:rPr>
          <w:spacing w:val="-22"/>
          <w:sz w:val="28"/>
        </w:rPr>
        <w:t> </w:t>
      </w:r>
      <w:r>
        <w:rPr>
          <w:spacing w:val="-4"/>
          <w:sz w:val="28"/>
        </w:rPr>
        <w:t>échéant.</w:t>
      </w:r>
    </w:p>
    <w:p>
      <w:pPr>
        <w:pStyle w:val="BodyText"/>
        <w:spacing w:before="106"/>
        <w:ind w:right="747"/>
      </w:pPr>
      <w:r>
        <w:rPr>
          <w:spacing w:val="-3"/>
        </w:rPr>
        <w:t>Pour</w:t>
      </w:r>
      <w:r>
        <w:rPr>
          <w:spacing w:val="-9"/>
        </w:rPr>
        <w:t> </w:t>
      </w:r>
      <w:r>
        <w:rPr>
          <w:spacing w:val="-3"/>
        </w:rPr>
        <w:t>les</w:t>
      </w:r>
      <w:r>
        <w:rPr>
          <w:spacing w:val="-8"/>
        </w:rPr>
        <w:t> </w:t>
      </w:r>
      <w:r>
        <w:rPr/>
        <w:t>achats</w:t>
      </w:r>
      <w:r>
        <w:rPr>
          <w:spacing w:val="-3"/>
        </w:rPr>
        <w:t> clefs</w:t>
      </w:r>
      <w:r>
        <w:rPr>
          <w:spacing w:val="-8"/>
        </w:rPr>
        <w:t> </w:t>
      </w:r>
      <w:r>
        <w:rPr>
          <w:spacing w:val="-3"/>
        </w:rPr>
        <w:t>en</w:t>
      </w:r>
      <w:r>
        <w:rPr>
          <w:spacing w:val="-7"/>
        </w:rPr>
        <w:t> </w:t>
      </w:r>
      <w:r>
        <w:rPr>
          <w:spacing w:val="-4"/>
        </w:rPr>
        <w:t>mains</w:t>
      </w:r>
      <w:r>
        <w:rPr>
          <w:spacing w:val="-11"/>
        </w:rPr>
        <w:t> </w:t>
      </w:r>
      <w:r>
        <w:rPr/>
        <w:t>ou</w:t>
      </w:r>
      <w:r>
        <w:rPr>
          <w:spacing w:val="-8"/>
        </w:rPr>
        <w:t> </w:t>
      </w:r>
      <w:r>
        <w:rPr/>
        <w:t>achats</w:t>
      </w:r>
      <w:r>
        <w:rPr>
          <w:spacing w:val="-4"/>
        </w:rPr>
        <w:t> innovants</w:t>
      </w:r>
      <w:r>
        <w:rPr>
          <w:spacing w:val="-8"/>
        </w:rPr>
        <w:t> </w:t>
      </w:r>
      <w:r>
        <w:rPr/>
        <w:t>ou</w:t>
      </w:r>
      <w:r>
        <w:rPr>
          <w:spacing w:val="-11"/>
        </w:rPr>
        <w:t> </w:t>
      </w:r>
      <w:r>
        <w:rPr>
          <w:spacing w:val="-3"/>
        </w:rPr>
        <w:t>bien</w:t>
      </w:r>
      <w:r>
        <w:rPr>
          <w:spacing w:val="-10"/>
        </w:rPr>
        <w:t> </w:t>
      </w:r>
      <w:r>
        <w:rPr>
          <w:spacing w:val="-3"/>
        </w:rPr>
        <w:t>les</w:t>
      </w:r>
      <w:r>
        <w:rPr>
          <w:spacing w:val="-8"/>
        </w:rPr>
        <w:t> </w:t>
      </w:r>
      <w:r>
        <w:rPr/>
        <w:t>achats</w:t>
      </w:r>
      <w:r>
        <w:rPr>
          <w:spacing w:val="-5"/>
        </w:rPr>
        <w:t> </w:t>
      </w:r>
      <w:r>
        <w:rPr/>
        <w:t>de</w:t>
      </w:r>
      <w:r>
        <w:rPr>
          <w:spacing w:val="-9"/>
        </w:rPr>
        <w:t> </w:t>
      </w:r>
      <w:r>
        <w:rPr>
          <w:spacing w:val="-4"/>
        </w:rPr>
        <w:t>fournitures </w:t>
      </w:r>
      <w:r>
        <w:rPr/>
        <w:t>et de </w:t>
      </w:r>
      <w:r>
        <w:rPr>
          <w:spacing w:val="-4"/>
        </w:rPr>
        <w:t>services complexes induisant </w:t>
      </w:r>
      <w:r>
        <w:rPr/>
        <w:t>un </w:t>
      </w:r>
      <w:r>
        <w:rPr>
          <w:spacing w:val="-3"/>
        </w:rPr>
        <w:t>coût </w:t>
      </w:r>
      <w:r>
        <w:rPr>
          <w:spacing w:val="-4"/>
        </w:rPr>
        <w:t>d’utilisation </w:t>
      </w:r>
      <w:r>
        <w:rPr>
          <w:spacing w:val="-3"/>
        </w:rPr>
        <w:t>et/ou </w:t>
      </w:r>
      <w:r>
        <w:rPr/>
        <w:t>de </w:t>
      </w:r>
      <w:r>
        <w:rPr>
          <w:spacing w:val="-4"/>
        </w:rPr>
        <w:t>maintenance, Dans </w:t>
      </w:r>
      <w:r>
        <w:rPr/>
        <w:t>le </w:t>
      </w:r>
      <w:r>
        <w:rPr>
          <w:spacing w:val="-3"/>
        </w:rPr>
        <w:t>cas </w:t>
      </w:r>
      <w:r>
        <w:rPr>
          <w:spacing w:val="-4"/>
        </w:rPr>
        <w:t>d’attribution </w:t>
      </w:r>
      <w:r>
        <w:rPr/>
        <w:t>de l’achat au </w:t>
      </w:r>
      <w:r>
        <w:rPr>
          <w:spacing w:val="-4"/>
        </w:rPr>
        <w:t>mieux </w:t>
      </w:r>
      <w:r>
        <w:rPr>
          <w:spacing w:val="-3"/>
        </w:rPr>
        <w:t>disant, les </w:t>
      </w:r>
      <w:r>
        <w:rPr>
          <w:spacing w:val="-4"/>
        </w:rPr>
        <w:t>critères doivent </w:t>
      </w:r>
      <w:r>
        <w:rPr>
          <w:spacing w:val="-3"/>
        </w:rPr>
        <w:t>être </w:t>
      </w:r>
      <w:r>
        <w:rPr>
          <w:spacing w:val="-4"/>
        </w:rPr>
        <w:t>assortis </w:t>
      </w:r>
      <w:r>
        <w:rPr/>
        <w:t>de </w:t>
      </w:r>
      <w:r>
        <w:rPr>
          <w:spacing w:val="-4"/>
        </w:rPr>
        <w:t>coefficients </w:t>
      </w:r>
      <w:r>
        <w:rPr/>
        <w:t>de </w:t>
      </w:r>
      <w:r>
        <w:rPr>
          <w:spacing w:val="-4"/>
        </w:rPr>
        <w:t>pondération. </w:t>
      </w:r>
      <w:r>
        <w:rPr>
          <w:spacing w:val="-3"/>
        </w:rPr>
        <w:t>Cette </w:t>
      </w:r>
      <w:r>
        <w:rPr>
          <w:spacing w:val="-4"/>
        </w:rPr>
        <w:t>pondération </w:t>
      </w:r>
      <w:r>
        <w:rPr/>
        <w:t>ne </w:t>
      </w:r>
      <w:r>
        <w:rPr>
          <w:spacing w:val="-3"/>
        </w:rPr>
        <w:t>doit en </w:t>
      </w:r>
      <w:r>
        <w:rPr>
          <w:spacing w:val="-4"/>
        </w:rPr>
        <w:t>aucun </w:t>
      </w:r>
      <w:r>
        <w:rPr>
          <w:spacing w:val="-3"/>
        </w:rPr>
        <w:t>cas être </w:t>
      </w:r>
      <w:r>
        <w:rPr/>
        <w:t>un </w:t>
      </w:r>
      <w:r>
        <w:rPr>
          <w:spacing w:val="-4"/>
        </w:rPr>
        <w:t>moyen </w:t>
      </w:r>
      <w:r>
        <w:rPr>
          <w:spacing w:val="-3"/>
        </w:rPr>
        <w:t>pour </w:t>
      </w:r>
      <w:r>
        <w:rPr>
          <w:spacing w:val="-4"/>
        </w:rPr>
        <w:t>restreindre </w:t>
      </w:r>
      <w:r>
        <w:rPr/>
        <w:t>la</w:t>
      </w:r>
      <w:r>
        <w:rPr>
          <w:spacing w:val="-12"/>
        </w:rPr>
        <w:t> </w:t>
      </w:r>
      <w:r>
        <w:rPr>
          <w:spacing w:val="-4"/>
        </w:rPr>
        <w:t>concurrence.</w:t>
      </w:r>
    </w:p>
    <w:p>
      <w:pPr>
        <w:pStyle w:val="BodyText"/>
        <w:spacing w:before="121"/>
        <w:ind w:right="748"/>
      </w:pPr>
      <w:r>
        <w:rPr/>
        <w:t>Le </w:t>
      </w:r>
      <w:r>
        <w:rPr>
          <w:spacing w:val="-4"/>
        </w:rPr>
        <w:t>critère </w:t>
      </w:r>
      <w:r>
        <w:rPr/>
        <w:t>« </w:t>
      </w:r>
      <w:r>
        <w:rPr>
          <w:spacing w:val="-4"/>
        </w:rPr>
        <w:t>coût d’utilisation et/ou maintenance </w:t>
      </w:r>
      <w:r>
        <w:rPr/>
        <w:t>» ou </w:t>
      </w:r>
      <w:r>
        <w:rPr>
          <w:spacing w:val="-2"/>
        </w:rPr>
        <w:t>une </w:t>
      </w:r>
      <w:r>
        <w:rPr>
          <w:spacing w:val="-3"/>
        </w:rPr>
        <w:t>valeur </w:t>
      </w:r>
      <w:r>
        <w:rPr>
          <w:spacing w:val="-4"/>
        </w:rPr>
        <w:t>technique </w:t>
      </w:r>
      <w:r>
        <w:rPr/>
        <w:t>ou </w:t>
      </w:r>
      <w:r>
        <w:rPr>
          <w:spacing w:val="-4"/>
        </w:rPr>
        <w:t>technologique apportée </w:t>
      </w:r>
      <w:r>
        <w:rPr>
          <w:spacing w:val="-3"/>
        </w:rPr>
        <w:t>peut être pris en </w:t>
      </w:r>
      <w:r>
        <w:rPr>
          <w:spacing w:val="-4"/>
        </w:rPr>
        <w:t>considération. Dans </w:t>
      </w:r>
      <w:r>
        <w:rPr/>
        <w:t>ce </w:t>
      </w:r>
      <w:r>
        <w:rPr>
          <w:spacing w:val="-3"/>
        </w:rPr>
        <w:t>cas, </w:t>
      </w:r>
      <w:r>
        <w:rPr>
          <w:spacing w:val="-4"/>
        </w:rPr>
        <w:t>l’attribution </w:t>
      </w:r>
      <w:r>
        <w:rPr/>
        <w:t>de l’achat se </w:t>
      </w:r>
      <w:r>
        <w:rPr>
          <w:spacing w:val="-3"/>
        </w:rPr>
        <w:t>fait </w:t>
      </w:r>
      <w:r>
        <w:rPr>
          <w:spacing w:val="-2"/>
        </w:rPr>
        <w:t>sur </w:t>
      </w:r>
      <w:r>
        <w:rPr/>
        <w:t>la </w:t>
      </w:r>
      <w:r>
        <w:rPr>
          <w:spacing w:val="-3"/>
        </w:rPr>
        <w:t>base </w:t>
      </w:r>
      <w:r>
        <w:rPr/>
        <w:t>du </w:t>
      </w:r>
      <w:r>
        <w:rPr>
          <w:spacing w:val="-3"/>
        </w:rPr>
        <w:t>prix </w:t>
      </w:r>
      <w:r>
        <w:rPr>
          <w:spacing w:val="-4"/>
        </w:rPr>
        <w:t>global combinant </w:t>
      </w:r>
      <w:r>
        <w:rPr/>
        <w:t>le </w:t>
      </w:r>
      <w:r>
        <w:rPr>
          <w:spacing w:val="-3"/>
        </w:rPr>
        <w:t>prix </w:t>
      </w:r>
      <w:r>
        <w:rPr>
          <w:spacing w:val="-4"/>
        </w:rPr>
        <w:t>d’acquisition </w:t>
      </w:r>
      <w:r>
        <w:rPr/>
        <w:t>et </w:t>
      </w:r>
      <w:r>
        <w:rPr>
          <w:spacing w:val="-4"/>
        </w:rPr>
        <w:t>l’évaluation</w:t>
      </w:r>
      <w:r>
        <w:rPr>
          <w:spacing w:val="62"/>
        </w:rPr>
        <w:t> </w:t>
      </w:r>
      <w:r>
        <w:rPr>
          <w:spacing w:val="-4"/>
        </w:rPr>
        <w:t>monétaire </w:t>
      </w:r>
      <w:r>
        <w:rPr/>
        <w:t>du </w:t>
      </w:r>
      <w:r>
        <w:rPr>
          <w:spacing w:val="-3"/>
        </w:rPr>
        <w:t>coût </w:t>
      </w:r>
      <w:r>
        <w:rPr>
          <w:spacing w:val="-4"/>
        </w:rPr>
        <w:t>d’utilisation, d’exploitation, d’innovation, </w:t>
      </w:r>
      <w:r>
        <w:rPr/>
        <w:t>du </w:t>
      </w:r>
      <w:r>
        <w:rPr>
          <w:spacing w:val="-3"/>
        </w:rPr>
        <w:t>bilan </w:t>
      </w:r>
      <w:r>
        <w:rPr>
          <w:spacing w:val="-4"/>
        </w:rPr>
        <w:t>énergétique </w:t>
      </w:r>
      <w:r>
        <w:rPr>
          <w:spacing w:val="-3"/>
        </w:rPr>
        <w:t>et/ou </w:t>
      </w:r>
      <w:r>
        <w:rPr/>
        <w:t>de </w:t>
      </w:r>
      <w:r>
        <w:rPr>
          <w:spacing w:val="-4"/>
        </w:rPr>
        <w:t>maintenance pendant </w:t>
      </w:r>
      <w:r>
        <w:rPr>
          <w:spacing w:val="-2"/>
        </w:rPr>
        <w:t>une </w:t>
      </w:r>
      <w:r>
        <w:rPr>
          <w:spacing w:val="-3"/>
        </w:rPr>
        <w:t>durée </w:t>
      </w:r>
      <w:r>
        <w:rPr>
          <w:spacing w:val="-4"/>
        </w:rPr>
        <w:t>déterminée.</w:t>
      </w:r>
    </w:p>
    <w:p>
      <w:pPr>
        <w:pStyle w:val="Heading3"/>
        <w:spacing w:line="240" w:lineRule="auto" w:before="125"/>
        <w:ind w:left="999"/>
        <w:rPr>
          <w:i/>
        </w:rPr>
      </w:pPr>
      <w:r>
        <w:rPr>
          <w:i/>
        </w:rPr>
        <w:t>Les régimes préférentiels</w:t>
      </w:r>
    </w:p>
    <w:p>
      <w:pPr>
        <w:pStyle w:val="BodyText"/>
        <w:spacing w:before="115"/>
        <w:ind w:right="757"/>
      </w:pPr>
      <w:r>
        <w:rPr/>
        <w:t>Les cahiers des charges stipulent que les soumissionnaires étrangers doivent confier à des</w:t>
      </w:r>
      <w:r>
        <w:rPr>
          <w:spacing w:val="51"/>
        </w:rPr>
        <w:t> </w:t>
      </w:r>
      <w:r>
        <w:rPr/>
        <w:t>entreprises locales</w:t>
      </w:r>
      <w:r>
        <w:rPr>
          <w:spacing w:val="51"/>
        </w:rPr>
        <w:t> </w:t>
      </w:r>
      <w:r>
        <w:rPr/>
        <w:t>l'exécution</w:t>
      </w:r>
      <w:r>
        <w:rPr>
          <w:spacing w:val="51"/>
        </w:rPr>
        <w:t> </w:t>
      </w:r>
      <w:r>
        <w:rPr/>
        <w:t>d’au</w:t>
      </w:r>
      <w:r>
        <w:rPr>
          <w:spacing w:val="51"/>
        </w:rPr>
        <w:t> </w:t>
      </w:r>
      <w:r>
        <w:rPr/>
        <w:t>minimum 20</w:t>
      </w:r>
      <w:r>
        <w:rPr>
          <w:spacing w:val="51"/>
        </w:rPr>
        <w:t> </w:t>
      </w:r>
      <w:r>
        <w:rPr/>
        <w:t>% des</w:t>
      </w:r>
      <w:r>
        <w:rPr>
          <w:spacing w:val="51"/>
        </w:rPr>
        <w:t> </w:t>
      </w:r>
      <w:r>
        <w:rPr/>
        <w:t>valeurs des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49" w:firstLine="0"/>
      </w:pPr>
      <w:r>
        <w:rPr/>
        <w:t>commandes, de produits, d'équipements ou de services dans tous les cas où l'industrie et les entreprises locales sont susceptibles de répondre à au moins 20 % de la valeur des commandes objet de l’achat.</w:t>
      </w:r>
    </w:p>
    <w:p>
      <w:pPr>
        <w:pStyle w:val="BodyText"/>
        <w:spacing w:before="121"/>
        <w:ind w:right="752"/>
      </w:pPr>
      <w:r>
        <w:rPr/>
        <w:t>Les offres des entreprises tunisiennes dans les achats de travaux, d’études et de fourniture</w:t>
      </w:r>
      <w:r>
        <w:rPr>
          <w:spacing w:val="-13"/>
        </w:rPr>
        <w:t> </w:t>
      </w:r>
      <w:r>
        <w:rPr/>
        <w:t>de</w:t>
      </w:r>
      <w:r>
        <w:rPr>
          <w:spacing w:val="-11"/>
        </w:rPr>
        <w:t> </w:t>
      </w:r>
      <w:r>
        <w:rPr/>
        <w:t>biens</w:t>
      </w:r>
      <w:r>
        <w:rPr>
          <w:spacing w:val="-10"/>
        </w:rPr>
        <w:t> </w:t>
      </w:r>
      <w:r>
        <w:rPr/>
        <w:t>et</w:t>
      </w:r>
      <w:r>
        <w:rPr>
          <w:spacing w:val="-9"/>
        </w:rPr>
        <w:t> </w:t>
      </w:r>
      <w:r>
        <w:rPr/>
        <w:t>services</w:t>
      </w:r>
      <w:r>
        <w:rPr>
          <w:spacing w:val="-10"/>
        </w:rPr>
        <w:t> </w:t>
      </w:r>
      <w:r>
        <w:rPr/>
        <w:t>sont</w:t>
      </w:r>
      <w:r>
        <w:rPr>
          <w:spacing w:val="-13"/>
        </w:rPr>
        <w:t> </w:t>
      </w:r>
      <w:r>
        <w:rPr/>
        <w:t>préférées</w:t>
      </w:r>
      <w:r>
        <w:rPr>
          <w:spacing w:val="-10"/>
        </w:rPr>
        <w:t> </w:t>
      </w:r>
      <w:r>
        <w:rPr/>
        <w:t>aux</w:t>
      </w:r>
      <w:r>
        <w:rPr>
          <w:spacing w:val="-10"/>
        </w:rPr>
        <w:t> </w:t>
      </w:r>
      <w:r>
        <w:rPr/>
        <w:t>offres</w:t>
      </w:r>
      <w:r>
        <w:rPr>
          <w:spacing w:val="-9"/>
        </w:rPr>
        <w:t> </w:t>
      </w:r>
      <w:r>
        <w:rPr/>
        <w:t>des</w:t>
      </w:r>
      <w:r>
        <w:rPr>
          <w:spacing w:val="-10"/>
        </w:rPr>
        <w:t> </w:t>
      </w:r>
      <w:r>
        <w:rPr/>
        <w:t>entreprises</w:t>
      </w:r>
      <w:r>
        <w:rPr>
          <w:spacing w:val="-10"/>
        </w:rPr>
        <w:t> </w:t>
      </w:r>
      <w:r>
        <w:rPr/>
        <w:t>étrangères</w:t>
      </w:r>
      <w:r>
        <w:rPr>
          <w:spacing w:val="-10"/>
        </w:rPr>
        <w:t> </w:t>
      </w:r>
      <w:r>
        <w:rPr/>
        <w:t>d’un pourcentage de 20% de la valeur totale de</w:t>
      </w:r>
      <w:r>
        <w:rPr>
          <w:spacing w:val="-6"/>
        </w:rPr>
        <w:t> </w:t>
      </w:r>
      <w:r>
        <w:rPr/>
        <w:t>l’achat.</w:t>
      </w:r>
    </w:p>
    <w:p>
      <w:pPr>
        <w:pStyle w:val="BodyText"/>
        <w:spacing w:before="119"/>
        <w:ind w:right="751"/>
      </w:pPr>
      <w:r>
        <w:rPr/>
        <w:t>Les</w:t>
      </w:r>
      <w:r>
        <w:rPr>
          <w:spacing w:val="-18"/>
        </w:rPr>
        <w:t> </w:t>
      </w:r>
      <w:r>
        <w:rPr/>
        <w:t>produits</w:t>
      </w:r>
      <w:r>
        <w:rPr>
          <w:spacing w:val="-18"/>
        </w:rPr>
        <w:t> </w:t>
      </w:r>
      <w:r>
        <w:rPr/>
        <w:t>d’origine</w:t>
      </w:r>
      <w:r>
        <w:rPr>
          <w:spacing w:val="-18"/>
        </w:rPr>
        <w:t> </w:t>
      </w:r>
      <w:r>
        <w:rPr/>
        <w:t>tunisienne,</w:t>
      </w:r>
      <w:r>
        <w:rPr>
          <w:spacing w:val="-19"/>
        </w:rPr>
        <w:t> </w:t>
      </w:r>
      <w:r>
        <w:rPr/>
        <w:t>dans</w:t>
      </w:r>
      <w:r>
        <w:rPr>
          <w:spacing w:val="-21"/>
        </w:rPr>
        <w:t> </w:t>
      </w:r>
      <w:r>
        <w:rPr/>
        <w:t>tous</w:t>
      </w:r>
      <w:r>
        <w:rPr>
          <w:spacing w:val="-17"/>
        </w:rPr>
        <w:t> </w:t>
      </w:r>
      <w:r>
        <w:rPr/>
        <w:t>les</w:t>
      </w:r>
      <w:r>
        <w:rPr>
          <w:spacing w:val="-14"/>
        </w:rPr>
        <w:t> </w:t>
      </w:r>
      <w:r>
        <w:rPr/>
        <w:t>achats</w:t>
      </w:r>
      <w:r>
        <w:rPr>
          <w:spacing w:val="-18"/>
        </w:rPr>
        <w:t> </w:t>
      </w:r>
      <w:r>
        <w:rPr/>
        <w:t>de</w:t>
      </w:r>
      <w:r>
        <w:rPr>
          <w:spacing w:val="-19"/>
        </w:rPr>
        <w:t> </w:t>
      </w:r>
      <w:r>
        <w:rPr/>
        <w:t>fourniture</w:t>
      </w:r>
      <w:r>
        <w:rPr>
          <w:spacing w:val="-20"/>
        </w:rPr>
        <w:t> </w:t>
      </w:r>
      <w:r>
        <w:rPr/>
        <w:t>de</w:t>
      </w:r>
      <w:r>
        <w:rPr>
          <w:spacing w:val="-19"/>
        </w:rPr>
        <w:t> </w:t>
      </w:r>
      <w:r>
        <w:rPr/>
        <w:t>biens,</w:t>
      </w:r>
      <w:r>
        <w:rPr>
          <w:spacing w:val="-21"/>
        </w:rPr>
        <w:t> </w:t>
      </w:r>
      <w:r>
        <w:rPr/>
        <w:t>sont, à</w:t>
      </w:r>
      <w:r>
        <w:rPr>
          <w:spacing w:val="-16"/>
        </w:rPr>
        <w:t> </w:t>
      </w:r>
      <w:r>
        <w:rPr/>
        <w:t>qualité</w:t>
      </w:r>
      <w:r>
        <w:rPr>
          <w:spacing w:val="-15"/>
        </w:rPr>
        <w:t> </w:t>
      </w:r>
      <w:r>
        <w:rPr/>
        <w:t>égale,</w:t>
      </w:r>
      <w:r>
        <w:rPr>
          <w:spacing w:val="-19"/>
        </w:rPr>
        <w:t> </w:t>
      </w:r>
      <w:r>
        <w:rPr/>
        <w:t>préférés</w:t>
      </w:r>
      <w:r>
        <w:rPr>
          <w:spacing w:val="-14"/>
        </w:rPr>
        <w:t> </w:t>
      </w:r>
      <w:r>
        <w:rPr/>
        <w:t>aux</w:t>
      </w:r>
      <w:r>
        <w:rPr>
          <w:spacing w:val="-17"/>
        </w:rPr>
        <w:t> </w:t>
      </w:r>
      <w:r>
        <w:rPr/>
        <w:t>produits</w:t>
      </w:r>
      <w:r>
        <w:rPr>
          <w:spacing w:val="-16"/>
        </w:rPr>
        <w:t> </w:t>
      </w:r>
      <w:r>
        <w:rPr/>
        <w:t>de</w:t>
      </w:r>
      <w:r>
        <w:rPr>
          <w:spacing w:val="-16"/>
        </w:rPr>
        <w:t> </w:t>
      </w:r>
      <w:r>
        <w:rPr/>
        <w:t>toute</w:t>
      </w:r>
      <w:r>
        <w:rPr>
          <w:spacing w:val="-15"/>
        </w:rPr>
        <w:t> </w:t>
      </w:r>
      <w:r>
        <w:rPr/>
        <w:t>autre</w:t>
      </w:r>
      <w:r>
        <w:rPr>
          <w:spacing w:val="-18"/>
        </w:rPr>
        <w:t> </w:t>
      </w:r>
      <w:r>
        <w:rPr/>
        <w:t>origine,</w:t>
      </w:r>
      <w:r>
        <w:rPr>
          <w:spacing w:val="-15"/>
        </w:rPr>
        <w:t> </w:t>
      </w:r>
      <w:r>
        <w:rPr/>
        <w:t>dans</w:t>
      </w:r>
      <w:r>
        <w:rPr>
          <w:spacing w:val="-16"/>
        </w:rPr>
        <w:t> </w:t>
      </w:r>
      <w:r>
        <w:rPr/>
        <w:t>la</w:t>
      </w:r>
      <w:r>
        <w:rPr>
          <w:spacing w:val="-16"/>
        </w:rPr>
        <w:t> </w:t>
      </w:r>
      <w:r>
        <w:rPr/>
        <w:t>mesure</w:t>
      </w:r>
      <w:r>
        <w:rPr>
          <w:spacing w:val="-17"/>
        </w:rPr>
        <w:t> </w:t>
      </w:r>
      <w:r>
        <w:rPr/>
        <w:t>où</w:t>
      </w:r>
      <w:r>
        <w:rPr>
          <w:spacing w:val="-17"/>
        </w:rPr>
        <w:t> </w:t>
      </w:r>
      <w:r>
        <w:rPr/>
        <w:t>les</w:t>
      </w:r>
      <w:r>
        <w:rPr>
          <w:spacing w:val="-16"/>
        </w:rPr>
        <w:t> </w:t>
      </w:r>
      <w:r>
        <w:rPr/>
        <w:t>offres financières</w:t>
      </w:r>
      <w:r>
        <w:rPr>
          <w:spacing w:val="-17"/>
        </w:rPr>
        <w:t> </w:t>
      </w:r>
      <w:r>
        <w:rPr/>
        <w:t>des</w:t>
      </w:r>
      <w:r>
        <w:rPr>
          <w:spacing w:val="-17"/>
        </w:rPr>
        <w:t> </w:t>
      </w:r>
      <w:r>
        <w:rPr/>
        <w:t>entreprises</w:t>
      </w:r>
      <w:r>
        <w:rPr>
          <w:spacing w:val="-17"/>
        </w:rPr>
        <w:t> </w:t>
      </w:r>
      <w:r>
        <w:rPr/>
        <w:t>tunisiennes</w:t>
      </w:r>
      <w:r>
        <w:rPr>
          <w:spacing w:val="-14"/>
        </w:rPr>
        <w:t> </w:t>
      </w:r>
      <w:r>
        <w:rPr/>
        <w:t>et</w:t>
      </w:r>
      <w:r>
        <w:rPr>
          <w:spacing w:val="-15"/>
        </w:rPr>
        <w:t> </w:t>
      </w:r>
      <w:r>
        <w:rPr/>
        <w:t>le</w:t>
      </w:r>
      <w:r>
        <w:rPr>
          <w:spacing w:val="-18"/>
        </w:rPr>
        <w:t> </w:t>
      </w:r>
      <w:r>
        <w:rPr/>
        <w:t>prix</w:t>
      </w:r>
      <w:r>
        <w:rPr>
          <w:spacing w:val="-17"/>
        </w:rPr>
        <w:t> </w:t>
      </w:r>
      <w:r>
        <w:rPr/>
        <w:t>des</w:t>
      </w:r>
      <w:r>
        <w:rPr>
          <w:spacing w:val="-16"/>
        </w:rPr>
        <w:t> </w:t>
      </w:r>
      <w:r>
        <w:rPr/>
        <w:t>produits</w:t>
      </w:r>
      <w:r>
        <w:rPr>
          <w:spacing w:val="-15"/>
        </w:rPr>
        <w:t> </w:t>
      </w:r>
      <w:r>
        <w:rPr/>
        <w:t>tunisiens</w:t>
      </w:r>
      <w:r>
        <w:rPr>
          <w:spacing w:val="-15"/>
        </w:rPr>
        <w:t> </w:t>
      </w:r>
      <w:r>
        <w:rPr/>
        <w:t>ne</w:t>
      </w:r>
      <w:r>
        <w:rPr>
          <w:spacing w:val="-18"/>
        </w:rPr>
        <w:t> </w:t>
      </w:r>
      <w:r>
        <w:rPr/>
        <w:t>dépassent</w:t>
      </w:r>
      <w:r>
        <w:rPr>
          <w:spacing w:val="-15"/>
        </w:rPr>
        <w:t> </w:t>
      </w:r>
      <w:r>
        <w:rPr/>
        <w:t>pas de plus de (20%) les montants des offres des entreprises étrangères et les prix des produits étrangers.</w:t>
      </w:r>
    </w:p>
    <w:p>
      <w:pPr>
        <w:pStyle w:val="Heading3"/>
        <w:spacing w:line="240" w:lineRule="auto" w:before="128"/>
        <w:ind w:left="999"/>
        <w:rPr>
          <w:i/>
        </w:rPr>
      </w:pPr>
      <w:r>
        <w:rPr>
          <w:i/>
        </w:rPr>
        <w:t>Méthodologies d’évaluation et modes d’attribution</w:t>
      </w:r>
    </w:p>
    <w:p>
      <w:pPr>
        <w:pStyle w:val="BodyText"/>
        <w:spacing w:before="113"/>
        <w:ind w:right="754"/>
      </w:pPr>
      <w:r>
        <w:rPr/>
        <w:t>La méthodologie d’évaluation à insérer dans le CCAP pourra être l’un des trois méthodologies suivantes :</w:t>
      </w:r>
    </w:p>
    <w:p>
      <w:pPr>
        <w:pStyle w:val="ListParagraph"/>
        <w:numPr>
          <w:ilvl w:val="0"/>
          <w:numId w:val="29"/>
        </w:numPr>
        <w:tabs>
          <w:tab w:pos="1000" w:val="left" w:leader="none"/>
        </w:tabs>
        <w:spacing w:line="341" w:lineRule="exact" w:before="0" w:after="0"/>
        <w:ind w:left="999" w:right="0" w:hanging="284"/>
        <w:jc w:val="left"/>
        <w:rPr>
          <w:sz w:val="28"/>
        </w:rPr>
      </w:pPr>
      <w:r>
        <w:rPr>
          <w:sz w:val="28"/>
        </w:rPr>
        <w:t>Le choix de l’offre la moins-disante</w:t>
      </w:r>
      <w:r>
        <w:rPr>
          <w:spacing w:val="-18"/>
          <w:sz w:val="28"/>
        </w:rPr>
        <w:t> </w:t>
      </w:r>
      <w:r>
        <w:rPr>
          <w:sz w:val="28"/>
        </w:rPr>
        <w:t>;</w:t>
      </w:r>
    </w:p>
    <w:p>
      <w:pPr>
        <w:pStyle w:val="ListParagraph"/>
        <w:numPr>
          <w:ilvl w:val="0"/>
          <w:numId w:val="29"/>
        </w:numPr>
        <w:tabs>
          <w:tab w:pos="1000" w:val="left" w:leader="none"/>
        </w:tabs>
        <w:spacing w:line="342" w:lineRule="exact" w:before="0" w:after="0"/>
        <w:ind w:left="999" w:right="0" w:hanging="284"/>
        <w:jc w:val="left"/>
        <w:rPr>
          <w:sz w:val="28"/>
        </w:rPr>
      </w:pPr>
      <w:r>
        <w:rPr>
          <w:sz w:val="28"/>
        </w:rPr>
        <w:t>Le choix de l’offre la mieux-disante</w:t>
      </w:r>
      <w:r>
        <w:rPr>
          <w:spacing w:val="-14"/>
          <w:sz w:val="28"/>
        </w:rPr>
        <w:t> </w:t>
      </w:r>
      <w:r>
        <w:rPr>
          <w:sz w:val="28"/>
        </w:rPr>
        <w:t>;</w:t>
      </w:r>
    </w:p>
    <w:p>
      <w:pPr>
        <w:pStyle w:val="ListParagraph"/>
        <w:numPr>
          <w:ilvl w:val="0"/>
          <w:numId w:val="29"/>
        </w:numPr>
        <w:tabs>
          <w:tab w:pos="1000" w:val="left" w:leader="none"/>
        </w:tabs>
        <w:spacing w:line="342" w:lineRule="exact" w:before="0" w:after="0"/>
        <w:ind w:left="999" w:right="0" w:hanging="284"/>
        <w:jc w:val="left"/>
        <w:rPr>
          <w:sz w:val="28"/>
        </w:rPr>
      </w:pPr>
      <w:r>
        <w:rPr>
          <w:sz w:val="28"/>
        </w:rPr>
        <w:t>Le choix selon la combinaison la plus</w:t>
      </w:r>
      <w:r>
        <w:rPr>
          <w:spacing w:val="-6"/>
          <w:sz w:val="28"/>
        </w:rPr>
        <w:t> </w:t>
      </w:r>
      <w:r>
        <w:rPr>
          <w:sz w:val="28"/>
        </w:rPr>
        <w:t>avantageuse.</w:t>
      </w:r>
    </w:p>
    <w:p>
      <w:pPr>
        <w:pStyle w:val="BodyText"/>
        <w:spacing w:before="121"/>
        <w:jc w:val="left"/>
      </w:pPr>
      <w:r>
        <w:rPr/>
        <w:t>Le choix de l’offre la mieux-disante concerne les achats de fourniture de bien et d'équipement importants et comportant des spécificités techniques ;</w:t>
      </w:r>
    </w:p>
    <w:p>
      <w:pPr>
        <w:pStyle w:val="BodyText"/>
        <w:spacing w:before="119"/>
        <w:jc w:val="left"/>
      </w:pPr>
      <w:r>
        <w:rPr/>
        <w:t>Le</w:t>
      </w:r>
      <w:r>
        <w:rPr>
          <w:spacing w:val="-19"/>
        </w:rPr>
        <w:t> </w:t>
      </w:r>
      <w:r>
        <w:rPr/>
        <w:t>choix</w:t>
      </w:r>
      <w:r>
        <w:rPr>
          <w:spacing w:val="-17"/>
        </w:rPr>
        <w:t> </w:t>
      </w:r>
      <w:r>
        <w:rPr/>
        <w:t>selon</w:t>
      </w:r>
      <w:r>
        <w:rPr>
          <w:spacing w:val="-17"/>
        </w:rPr>
        <w:t> </w:t>
      </w:r>
      <w:r>
        <w:rPr/>
        <w:t>la</w:t>
      </w:r>
      <w:r>
        <w:rPr>
          <w:spacing w:val="-18"/>
        </w:rPr>
        <w:t> </w:t>
      </w:r>
      <w:r>
        <w:rPr/>
        <w:t>combinaison</w:t>
      </w:r>
      <w:r>
        <w:rPr>
          <w:spacing w:val="-17"/>
        </w:rPr>
        <w:t> </w:t>
      </w:r>
      <w:r>
        <w:rPr/>
        <w:t>la</w:t>
      </w:r>
      <w:r>
        <w:rPr>
          <w:spacing w:val="-21"/>
        </w:rPr>
        <w:t> </w:t>
      </w:r>
      <w:r>
        <w:rPr/>
        <w:t>plus</w:t>
      </w:r>
      <w:r>
        <w:rPr>
          <w:spacing w:val="-17"/>
        </w:rPr>
        <w:t> </w:t>
      </w:r>
      <w:r>
        <w:rPr/>
        <w:t>avantageuse</w:t>
      </w:r>
      <w:r>
        <w:rPr>
          <w:spacing w:val="-14"/>
        </w:rPr>
        <w:t> </w:t>
      </w:r>
      <w:r>
        <w:rPr/>
        <w:t>concerne</w:t>
      </w:r>
      <w:r>
        <w:rPr>
          <w:spacing w:val="-19"/>
        </w:rPr>
        <w:t> </w:t>
      </w:r>
      <w:r>
        <w:rPr/>
        <w:t>notamment</w:t>
      </w:r>
      <w:r>
        <w:rPr>
          <w:spacing w:val="-16"/>
        </w:rPr>
        <w:t> </w:t>
      </w:r>
      <w:r>
        <w:rPr/>
        <w:t>les</w:t>
      </w:r>
      <w:r>
        <w:rPr>
          <w:spacing w:val="-17"/>
        </w:rPr>
        <w:t> </w:t>
      </w:r>
      <w:r>
        <w:rPr/>
        <w:t>achats suivants :</w:t>
      </w:r>
    </w:p>
    <w:p>
      <w:pPr>
        <w:pStyle w:val="ListParagraph"/>
        <w:numPr>
          <w:ilvl w:val="0"/>
          <w:numId w:val="30"/>
        </w:numPr>
        <w:tabs>
          <w:tab w:pos="1000" w:val="left" w:leader="none"/>
        </w:tabs>
        <w:spacing w:line="240" w:lineRule="auto" w:before="120" w:after="0"/>
        <w:ind w:left="999" w:right="752" w:hanging="284"/>
        <w:jc w:val="both"/>
        <w:rPr>
          <w:sz w:val="28"/>
        </w:rPr>
      </w:pPr>
      <w:r>
        <w:rPr>
          <w:sz w:val="28"/>
        </w:rPr>
        <w:t>Les services de chargement et de transport de matières premières et des produits finis depuis les centres de production vers les ports ou vers les centres de distribution en Tunisie ou entre les régions</w:t>
      </w:r>
      <w:r>
        <w:rPr>
          <w:spacing w:val="5"/>
          <w:sz w:val="28"/>
        </w:rPr>
        <w:t> </w:t>
      </w:r>
      <w:r>
        <w:rPr>
          <w:sz w:val="28"/>
        </w:rPr>
        <w:t>;</w:t>
      </w:r>
    </w:p>
    <w:p>
      <w:pPr>
        <w:pStyle w:val="ListParagraph"/>
        <w:numPr>
          <w:ilvl w:val="0"/>
          <w:numId w:val="30"/>
        </w:numPr>
        <w:tabs>
          <w:tab w:pos="1000" w:val="left" w:leader="none"/>
        </w:tabs>
        <w:spacing w:line="322" w:lineRule="exact" w:before="1" w:after="0"/>
        <w:ind w:left="999" w:right="0" w:hanging="284"/>
        <w:jc w:val="both"/>
        <w:rPr>
          <w:sz w:val="28"/>
        </w:rPr>
      </w:pPr>
      <w:r>
        <w:rPr>
          <w:sz w:val="28"/>
        </w:rPr>
        <w:t>Les achats de sacs destinés à l’ensachage de produits finis</w:t>
      </w:r>
      <w:r>
        <w:rPr>
          <w:spacing w:val="-2"/>
          <w:sz w:val="28"/>
        </w:rPr>
        <w:t> </w:t>
      </w:r>
      <w:r>
        <w:rPr>
          <w:sz w:val="28"/>
        </w:rPr>
        <w:t>;</w:t>
      </w:r>
    </w:p>
    <w:p>
      <w:pPr>
        <w:pStyle w:val="ListParagraph"/>
        <w:numPr>
          <w:ilvl w:val="0"/>
          <w:numId w:val="30"/>
        </w:numPr>
        <w:tabs>
          <w:tab w:pos="1000" w:val="left" w:leader="none"/>
        </w:tabs>
        <w:spacing w:line="322" w:lineRule="exact" w:before="0" w:after="0"/>
        <w:ind w:left="999" w:right="0" w:hanging="284"/>
        <w:jc w:val="both"/>
        <w:rPr>
          <w:sz w:val="28"/>
        </w:rPr>
      </w:pPr>
      <w:r>
        <w:rPr>
          <w:sz w:val="28"/>
        </w:rPr>
        <w:t>Les prestations d’acconage ;</w:t>
      </w:r>
    </w:p>
    <w:p>
      <w:pPr>
        <w:pStyle w:val="BodyText"/>
        <w:ind w:right="756" w:firstLine="0"/>
      </w:pPr>
      <w:r>
        <w:rPr/>
        <w:t>Le</w:t>
      </w:r>
      <w:r>
        <w:rPr>
          <w:spacing w:val="-6"/>
        </w:rPr>
        <w:t> </w:t>
      </w:r>
      <w:r>
        <w:rPr/>
        <w:t>recours</w:t>
      </w:r>
      <w:r>
        <w:rPr>
          <w:spacing w:val="-6"/>
        </w:rPr>
        <w:t> </w:t>
      </w:r>
      <w:r>
        <w:rPr/>
        <w:t>à</w:t>
      </w:r>
      <w:r>
        <w:rPr>
          <w:spacing w:val="-6"/>
        </w:rPr>
        <w:t> </w:t>
      </w:r>
      <w:r>
        <w:rPr/>
        <w:t>cette</w:t>
      </w:r>
      <w:r>
        <w:rPr>
          <w:spacing w:val="-5"/>
        </w:rPr>
        <w:t> </w:t>
      </w:r>
      <w:r>
        <w:rPr/>
        <w:t>méthodologie</w:t>
      </w:r>
      <w:r>
        <w:rPr>
          <w:spacing w:val="-9"/>
        </w:rPr>
        <w:t> </w:t>
      </w:r>
      <w:r>
        <w:rPr/>
        <w:t>doit</w:t>
      </w:r>
      <w:r>
        <w:rPr>
          <w:spacing w:val="-6"/>
        </w:rPr>
        <w:t> </w:t>
      </w:r>
      <w:r>
        <w:rPr/>
        <w:t>être</w:t>
      </w:r>
      <w:r>
        <w:rPr>
          <w:spacing w:val="-5"/>
        </w:rPr>
        <w:t> </w:t>
      </w:r>
      <w:r>
        <w:rPr/>
        <w:t>appuyé</w:t>
      </w:r>
      <w:r>
        <w:rPr>
          <w:spacing w:val="-6"/>
        </w:rPr>
        <w:t> </w:t>
      </w:r>
      <w:r>
        <w:rPr/>
        <w:t>par</w:t>
      </w:r>
      <w:r>
        <w:rPr>
          <w:spacing w:val="-8"/>
        </w:rPr>
        <w:t> </w:t>
      </w:r>
      <w:r>
        <w:rPr/>
        <w:t>note</w:t>
      </w:r>
      <w:r>
        <w:rPr>
          <w:spacing w:val="-9"/>
        </w:rPr>
        <w:t> </w:t>
      </w:r>
      <w:r>
        <w:rPr/>
        <w:t>explicative</w:t>
      </w:r>
      <w:r>
        <w:rPr>
          <w:spacing w:val="-9"/>
        </w:rPr>
        <w:t> </w:t>
      </w:r>
      <w:r>
        <w:rPr/>
        <w:t>approuvée</w:t>
      </w:r>
      <w:r>
        <w:rPr>
          <w:spacing w:val="-8"/>
        </w:rPr>
        <w:t> </w:t>
      </w:r>
      <w:r>
        <w:rPr/>
        <w:t>par</w:t>
      </w:r>
      <w:r>
        <w:rPr>
          <w:spacing w:val="-6"/>
        </w:rPr>
        <w:t> </w:t>
      </w:r>
      <w:r>
        <w:rPr/>
        <w:t>la Direction Générale. Dans ce cas, les cahiers des charges doivent préciser la quantité maximale</w:t>
      </w:r>
      <w:r>
        <w:rPr>
          <w:spacing w:val="-16"/>
        </w:rPr>
        <w:t> </w:t>
      </w:r>
      <w:r>
        <w:rPr/>
        <w:t>à</w:t>
      </w:r>
      <w:r>
        <w:rPr>
          <w:spacing w:val="-16"/>
        </w:rPr>
        <w:t> </w:t>
      </w:r>
      <w:r>
        <w:rPr/>
        <w:t>attribuer</w:t>
      </w:r>
      <w:r>
        <w:rPr>
          <w:spacing w:val="-18"/>
        </w:rPr>
        <w:t> </w:t>
      </w:r>
      <w:r>
        <w:rPr/>
        <w:t>pour</w:t>
      </w:r>
      <w:r>
        <w:rPr>
          <w:spacing w:val="-16"/>
        </w:rPr>
        <w:t> </w:t>
      </w:r>
      <w:r>
        <w:rPr/>
        <w:t>chaque</w:t>
      </w:r>
      <w:r>
        <w:rPr>
          <w:spacing w:val="-16"/>
        </w:rPr>
        <w:t> </w:t>
      </w:r>
      <w:r>
        <w:rPr/>
        <w:t>soumissionnaire</w:t>
      </w:r>
      <w:r>
        <w:rPr>
          <w:spacing w:val="-16"/>
        </w:rPr>
        <w:t> </w:t>
      </w:r>
      <w:r>
        <w:rPr/>
        <w:t>et</w:t>
      </w:r>
      <w:r>
        <w:rPr>
          <w:spacing w:val="-15"/>
        </w:rPr>
        <w:t> </w:t>
      </w:r>
      <w:r>
        <w:rPr/>
        <w:t>le</w:t>
      </w:r>
      <w:r>
        <w:rPr>
          <w:spacing w:val="-18"/>
        </w:rPr>
        <w:t> </w:t>
      </w:r>
      <w:r>
        <w:rPr/>
        <w:t>nombre</w:t>
      </w:r>
      <w:r>
        <w:rPr>
          <w:spacing w:val="-16"/>
        </w:rPr>
        <w:t> </w:t>
      </w:r>
      <w:r>
        <w:rPr/>
        <w:t>de</w:t>
      </w:r>
      <w:r>
        <w:rPr>
          <w:spacing w:val="-16"/>
        </w:rPr>
        <w:t> </w:t>
      </w:r>
      <w:r>
        <w:rPr/>
        <w:t>fournisseur</w:t>
      </w:r>
      <w:r>
        <w:rPr>
          <w:spacing w:val="-16"/>
        </w:rPr>
        <w:t> </w:t>
      </w:r>
      <w:r>
        <w:rPr/>
        <w:t>à</w:t>
      </w:r>
      <w:r>
        <w:rPr>
          <w:spacing w:val="-16"/>
        </w:rPr>
        <w:t> </w:t>
      </w:r>
      <w:r>
        <w:rPr/>
        <w:t>retenir</w:t>
      </w:r>
    </w:p>
    <w:p>
      <w:pPr>
        <w:pStyle w:val="BodyText"/>
        <w:spacing w:before="122"/>
        <w:ind w:firstLine="0"/>
      </w:pPr>
      <w:r>
        <w:rPr/>
        <w:t>Ci-après la description de chacune des trois méthodologies d'évaluation :</w:t>
      </w:r>
    </w:p>
    <w:p>
      <w:pPr>
        <w:pStyle w:val="Heading2"/>
        <w:numPr>
          <w:ilvl w:val="0"/>
          <w:numId w:val="1"/>
        </w:numPr>
        <w:tabs>
          <w:tab w:pos="717" w:val="left" w:leader="none"/>
        </w:tabs>
        <w:spacing w:line="240" w:lineRule="auto" w:before="123" w:after="0"/>
        <w:ind w:left="716" w:right="0" w:hanging="284"/>
        <w:jc w:val="both"/>
        <w:rPr>
          <w:rFonts w:ascii="Symbol" w:hAnsi="Symbol"/>
        </w:rPr>
      </w:pPr>
      <w:r>
        <w:rPr/>
        <w:t>Le choix selon l’offre la moins-distante</w:t>
      </w:r>
      <w:r>
        <w:rPr>
          <w:spacing w:val="-5"/>
        </w:rPr>
        <w:t> </w:t>
      </w:r>
      <w:r>
        <w:rPr/>
        <w:t>:</w:t>
      </w:r>
    </w:p>
    <w:p>
      <w:pPr>
        <w:pStyle w:val="ListParagraph"/>
        <w:numPr>
          <w:ilvl w:val="0"/>
          <w:numId w:val="31"/>
        </w:numPr>
        <w:tabs>
          <w:tab w:pos="1022" w:val="left" w:leader="none"/>
        </w:tabs>
        <w:spacing w:line="240" w:lineRule="auto" w:before="114" w:after="0"/>
        <w:ind w:left="433" w:right="750" w:firstLine="283"/>
        <w:jc w:val="both"/>
        <w:rPr>
          <w:sz w:val="28"/>
        </w:rPr>
      </w:pPr>
      <w:r>
        <w:rPr>
          <w:sz w:val="28"/>
        </w:rPr>
        <w:t>L’entité d'évaluation procède dans une première étape à la vérification, outre des documents administratifs et du cautionnement provisoire (s’il y a lieu), de la validité des</w:t>
      </w:r>
      <w:r>
        <w:rPr>
          <w:spacing w:val="-15"/>
          <w:sz w:val="28"/>
        </w:rPr>
        <w:t> </w:t>
      </w:r>
      <w:r>
        <w:rPr>
          <w:sz w:val="28"/>
        </w:rPr>
        <w:t>documents</w:t>
      </w:r>
      <w:r>
        <w:rPr>
          <w:spacing w:val="-12"/>
          <w:sz w:val="28"/>
        </w:rPr>
        <w:t> </w:t>
      </w:r>
      <w:r>
        <w:rPr>
          <w:sz w:val="28"/>
        </w:rPr>
        <w:t>constitutifs</w:t>
      </w:r>
      <w:r>
        <w:rPr>
          <w:spacing w:val="-12"/>
          <w:sz w:val="28"/>
        </w:rPr>
        <w:t> </w:t>
      </w:r>
      <w:r>
        <w:rPr>
          <w:sz w:val="28"/>
        </w:rPr>
        <w:t>de</w:t>
      </w:r>
      <w:r>
        <w:rPr>
          <w:spacing w:val="-12"/>
          <w:sz w:val="28"/>
        </w:rPr>
        <w:t> </w:t>
      </w:r>
      <w:r>
        <w:rPr>
          <w:sz w:val="28"/>
        </w:rPr>
        <w:t>l'offre</w:t>
      </w:r>
      <w:r>
        <w:rPr>
          <w:spacing w:val="-12"/>
          <w:sz w:val="28"/>
        </w:rPr>
        <w:t> </w:t>
      </w:r>
      <w:r>
        <w:rPr>
          <w:sz w:val="28"/>
        </w:rPr>
        <w:t>financière.</w:t>
      </w:r>
      <w:r>
        <w:rPr>
          <w:spacing w:val="-13"/>
          <w:sz w:val="28"/>
        </w:rPr>
        <w:t> </w:t>
      </w:r>
      <w:r>
        <w:rPr>
          <w:sz w:val="28"/>
        </w:rPr>
        <w:t>Elle</w:t>
      </w:r>
      <w:r>
        <w:rPr>
          <w:spacing w:val="-12"/>
          <w:sz w:val="28"/>
        </w:rPr>
        <w:t> </w:t>
      </w:r>
      <w:r>
        <w:rPr>
          <w:sz w:val="28"/>
        </w:rPr>
        <w:t>procède</w:t>
      </w:r>
      <w:r>
        <w:rPr>
          <w:spacing w:val="-12"/>
          <w:sz w:val="28"/>
        </w:rPr>
        <w:t> </w:t>
      </w:r>
      <w:r>
        <w:rPr>
          <w:sz w:val="28"/>
        </w:rPr>
        <w:t>par</w:t>
      </w:r>
      <w:r>
        <w:rPr>
          <w:spacing w:val="-12"/>
          <w:sz w:val="28"/>
        </w:rPr>
        <w:t> </w:t>
      </w:r>
      <w:r>
        <w:rPr>
          <w:sz w:val="28"/>
        </w:rPr>
        <w:t>la</w:t>
      </w:r>
      <w:r>
        <w:rPr>
          <w:spacing w:val="-12"/>
          <w:sz w:val="28"/>
        </w:rPr>
        <w:t> </w:t>
      </w:r>
      <w:r>
        <w:rPr>
          <w:sz w:val="28"/>
        </w:rPr>
        <w:t>suite</w:t>
      </w:r>
      <w:r>
        <w:rPr>
          <w:spacing w:val="-9"/>
          <w:sz w:val="28"/>
        </w:rPr>
        <w:t> </w:t>
      </w:r>
      <w:r>
        <w:rPr>
          <w:sz w:val="28"/>
        </w:rPr>
        <w:t>à</w:t>
      </w:r>
      <w:r>
        <w:rPr>
          <w:spacing w:val="-13"/>
          <w:sz w:val="28"/>
        </w:rPr>
        <w:t> </w:t>
      </w:r>
      <w:r>
        <w:rPr>
          <w:sz w:val="28"/>
        </w:rPr>
        <w:t>la</w:t>
      </w:r>
      <w:r>
        <w:rPr>
          <w:spacing w:val="-12"/>
          <w:sz w:val="28"/>
        </w:rPr>
        <w:t> </w:t>
      </w:r>
      <w:r>
        <w:rPr>
          <w:sz w:val="28"/>
        </w:rPr>
        <w:t>correction des erreurs de calcul ou matérielles le cas échéant et au classement de toutes les</w:t>
      </w:r>
      <w:r>
        <w:rPr>
          <w:spacing w:val="-44"/>
          <w:sz w:val="28"/>
        </w:rPr>
        <w:t> </w:t>
      </w:r>
      <w:r>
        <w:rPr>
          <w:sz w:val="28"/>
        </w:rPr>
        <w:t>offres financières par ordre</w:t>
      </w:r>
      <w:r>
        <w:rPr>
          <w:spacing w:val="-9"/>
          <w:sz w:val="28"/>
        </w:rPr>
        <w:t> </w:t>
      </w:r>
      <w:r>
        <w:rPr>
          <w:sz w:val="28"/>
        </w:rPr>
        <w:t>croissant.</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ListParagraph"/>
        <w:numPr>
          <w:ilvl w:val="0"/>
          <w:numId w:val="31"/>
        </w:numPr>
        <w:tabs>
          <w:tab w:pos="1060" w:val="left" w:leader="none"/>
        </w:tabs>
        <w:spacing w:line="240" w:lineRule="auto" w:before="89" w:after="0"/>
        <w:ind w:left="433" w:right="756" w:firstLine="283"/>
        <w:jc w:val="both"/>
        <w:rPr>
          <w:sz w:val="28"/>
        </w:rPr>
      </w:pPr>
      <w:r>
        <w:rPr>
          <w:sz w:val="28"/>
        </w:rPr>
        <w:t>L’entité d'évaluation procède dans une deuxième étape à la vérification de la conformité de l'offre technique du soumissionnaire ayant présenté l'offre financière la moins disante et propose de lui attribuer l’achat en cas de sa conformité aux cahiers des charges. Si ladite offre technique s'avère non conforme aux cahiers des charges, il sera procédé selon la même méthodologie, pour les offres techniques concurrentes selon leur classement financier</w:t>
      </w:r>
      <w:r>
        <w:rPr>
          <w:spacing w:val="-1"/>
          <w:sz w:val="28"/>
        </w:rPr>
        <w:t> </w:t>
      </w:r>
      <w:r>
        <w:rPr>
          <w:sz w:val="28"/>
        </w:rPr>
        <w:t>croissant.</w:t>
      </w:r>
    </w:p>
    <w:p>
      <w:pPr>
        <w:pStyle w:val="Heading2"/>
        <w:numPr>
          <w:ilvl w:val="0"/>
          <w:numId w:val="1"/>
        </w:numPr>
        <w:tabs>
          <w:tab w:pos="717" w:val="left" w:leader="none"/>
        </w:tabs>
        <w:spacing w:line="240" w:lineRule="auto" w:before="124" w:after="0"/>
        <w:ind w:left="716" w:right="0" w:hanging="284"/>
        <w:jc w:val="both"/>
        <w:rPr>
          <w:rFonts w:ascii="Symbol" w:hAnsi="Symbol"/>
        </w:rPr>
      </w:pPr>
      <w:r>
        <w:rPr/>
        <w:t>Le choix selon l’offre la mieux-disante</w:t>
      </w:r>
      <w:r>
        <w:rPr>
          <w:spacing w:val="-7"/>
        </w:rPr>
        <w:t> </w:t>
      </w:r>
      <w:r>
        <w:rPr/>
        <w:t>:</w:t>
      </w:r>
    </w:p>
    <w:p>
      <w:pPr>
        <w:pStyle w:val="ListParagraph"/>
        <w:numPr>
          <w:ilvl w:val="0"/>
          <w:numId w:val="32"/>
        </w:numPr>
        <w:tabs>
          <w:tab w:pos="763" w:val="left" w:leader="none"/>
        </w:tabs>
        <w:spacing w:line="240" w:lineRule="auto" w:before="117" w:after="0"/>
        <w:ind w:left="433" w:right="748" w:firstLine="0"/>
        <w:jc w:val="both"/>
        <w:rPr>
          <w:sz w:val="28"/>
        </w:rPr>
      </w:pPr>
      <w:r>
        <w:rPr>
          <w:sz w:val="28"/>
        </w:rPr>
        <w:t>L’entité d'évaluation procède dans une première étape à la vérification, outre des documents administratifs et du cautionnement provisoire (s’il y a lieu), de la validité des</w:t>
      </w:r>
      <w:r>
        <w:rPr>
          <w:spacing w:val="-10"/>
          <w:sz w:val="28"/>
        </w:rPr>
        <w:t> </w:t>
      </w:r>
      <w:r>
        <w:rPr>
          <w:sz w:val="28"/>
        </w:rPr>
        <w:t>documents</w:t>
      </w:r>
      <w:r>
        <w:rPr>
          <w:spacing w:val="-8"/>
          <w:sz w:val="28"/>
        </w:rPr>
        <w:t> </w:t>
      </w:r>
      <w:r>
        <w:rPr>
          <w:sz w:val="28"/>
        </w:rPr>
        <w:t>constitutifs</w:t>
      </w:r>
      <w:r>
        <w:rPr>
          <w:spacing w:val="-10"/>
          <w:sz w:val="28"/>
        </w:rPr>
        <w:t> </w:t>
      </w:r>
      <w:r>
        <w:rPr>
          <w:sz w:val="28"/>
        </w:rPr>
        <w:t>de</w:t>
      </w:r>
      <w:r>
        <w:rPr>
          <w:spacing w:val="-7"/>
          <w:sz w:val="28"/>
        </w:rPr>
        <w:t> </w:t>
      </w:r>
      <w:r>
        <w:rPr>
          <w:sz w:val="28"/>
        </w:rPr>
        <w:t>l'offre</w:t>
      </w:r>
      <w:r>
        <w:rPr>
          <w:spacing w:val="-7"/>
          <w:sz w:val="28"/>
        </w:rPr>
        <w:t> </w:t>
      </w:r>
      <w:r>
        <w:rPr>
          <w:sz w:val="28"/>
        </w:rPr>
        <w:t>technique</w:t>
      </w:r>
      <w:r>
        <w:rPr>
          <w:spacing w:val="-9"/>
          <w:sz w:val="28"/>
        </w:rPr>
        <w:t> </w:t>
      </w:r>
      <w:r>
        <w:rPr>
          <w:sz w:val="28"/>
        </w:rPr>
        <w:t>et</w:t>
      </w:r>
      <w:r>
        <w:rPr>
          <w:spacing w:val="-8"/>
          <w:sz w:val="28"/>
        </w:rPr>
        <w:t> </w:t>
      </w:r>
      <w:r>
        <w:rPr>
          <w:sz w:val="28"/>
        </w:rPr>
        <w:t>financière.</w:t>
      </w:r>
      <w:r>
        <w:rPr>
          <w:spacing w:val="-9"/>
          <w:sz w:val="28"/>
        </w:rPr>
        <w:t> </w:t>
      </w:r>
      <w:r>
        <w:rPr>
          <w:sz w:val="28"/>
        </w:rPr>
        <w:t>Elle</w:t>
      </w:r>
      <w:r>
        <w:rPr>
          <w:spacing w:val="-10"/>
          <w:sz w:val="28"/>
        </w:rPr>
        <w:t> </w:t>
      </w:r>
      <w:r>
        <w:rPr>
          <w:sz w:val="28"/>
        </w:rPr>
        <w:t>procède</w:t>
      </w:r>
      <w:r>
        <w:rPr>
          <w:spacing w:val="-9"/>
          <w:sz w:val="28"/>
        </w:rPr>
        <w:t> </w:t>
      </w:r>
      <w:r>
        <w:rPr>
          <w:sz w:val="28"/>
        </w:rPr>
        <w:t>par</w:t>
      </w:r>
      <w:r>
        <w:rPr>
          <w:spacing w:val="-8"/>
          <w:sz w:val="28"/>
        </w:rPr>
        <w:t> </w:t>
      </w:r>
      <w:r>
        <w:rPr>
          <w:sz w:val="28"/>
        </w:rPr>
        <w:t>la</w:t>
      </w:r>
      <w:r>
        <w:rPr>
          <w:spacing w:val="-5"/>
          <w:sz w:val="28"/>
        </w:rPr>
        <w:t> </w:t>
      </w:r>
      <w:r>
        <w:rPr>
          <w:sz w:val="28"/>
        </w:rPr>
        <w:t>suite</w:t>
      </w:r>
      <w:r>
        <w:rPr>
          <w:spacing w:val="-9"/>
          <w:sz w:val="28"/>
        </w:rPr>
        <w:t> </w:t>
      </w:r>
      <w:r>
        <w:rPr>
          <w:sz w:val="28"/>
        </w:rPr>
        <w:t>à l’élimination des offres non</w:t>
      </w:r>
      <w:r>
        <w:rPr>
          <w:spacing w:val="-2"/>
          <w:sz w:val="28"/>
        </w:rPr>
        <w:t> </w:t>
      </w:r>
      <w:r>
        <w:rPr>
          <w:sz w:val="28"/>
        </w:rPr>
        <w:t>conformes.</w:t>
      </w:r>
    </w:p>
    <w:p>
      <w:pPr>
        <w:pStyle w:val="ListParagraph"/>
        <w:numPr>
          <w:ilvl w:val="0"/>
          <w:numId w:val="32"/>
        </w:numPr>
        <w:tabs>
          <w:tab w:pos="770" w:val="left" w:leader="none"/>
        </w:tabs>
        <w:spacing w:line="240" w:lineRule="auto" w:before="118" w:after="0"/>
        <w:ind w:left="433" w:right="748" w:firstLine="0"/>
        <w:jc w:val="both"/>
        <w:rPr>
          <w:sz w:val="28"/>
        </w:rPr>
      </w:pPr>
      <w:r>
        <w:rPr>
          <w:sz w:val="28"/>
        </w:rPr>
        <w:t>L’entité d'évaluation établit le classement des offres retenues conformément à la méthodologie d’évaluation et ce, afin de permettre dans une deuxième étape l’attribution de l’achat au soumissionnaire ayant présenté l’offre la mieux-disante sur le plan technique et financier.</w:t>
      </w:r>
    </w:p>
    <w:p>
      <w:pPr>
        <w:pStyle w:val="BodyText"/>
        <w:spacing w:before="121"/>
        <w:ind w:right="759" w:firstLine="0"/>
      </w:pPr>
      <w:r>
        <w:rPr/>
        <w:t>Il est possible de déterminer la règle sur la base de la pondération entre une note technique</w:t>
      </w:r>
      <w:r>
        <w:rPr>
          <w:spacing w:val="-16"/>
        </w:rPr>
        <w:t> </w:t>
      </w:r>
      <w:r>
        <w:rPr/>
        <w:t>et</w:t>
      </w:r>
      <w:r>
        <w:rPr>
          <w:spacing w:val="-14"/>
        </w:rPr>
        <w:t> </w:t>
      </w:r>
      <w:r>
        <w:rPr/>
        <w:t>une</w:t>
      </w:r>
      <w:r>
        <w:rPr>
          <w:spacing w:val="-15"/>
        </w:rPr>
        <w:t> </w:t>
      </w:r>
      <w:r>
        <w:rPr/>
        <w:t>note</w:t>
      </w:r>
      <w:r>
        <w:rPr>
          <w:spacing w:val="-15"/>
        </w:rPr>
        <w:t> </w:t>
      </w:r>
      <w:r>
        <w:rPr/>
        <w:t>financière</w:t>
      </w:r>
      <w:r>
        <w:rPr>
          <w:spacing w:val="-16"/>
        </w:rPr>
        <w:t> </w:t>
      </w:r>
      <w:r>
        <w:rPr/>
        <w:t>ou</w:t>
      </w:r>
      <w:r>
        <w:rPr>
          <w:spacing w:val="-16"/>
        </w:rPr>
        <w:t> </w:t>
      </w:r>
      <w:r>
        <w:rPr/>
        <w:t>sur</w:t>
      </w:r>
      <w:r>
        <w:rPr>
          <w:spacing w:val="-17"/>
        </w:rPr>
        <w:t> </w:t>
      </w:r>
      <w:r>
        <w:rPr/>
        <w:t>la</w:t>
      </w:r>
      <w:r>
        <w:rPr>
          <w:spacing w:val="-15"/>
        </w:rPr>
        <w:t> </w:t>
      </w:r>
      <w:r>
        <w:rPr/>
        <w:t>base</w:t>
      </w:r>
      <w:r>
        <w:rPr>
          <w:spacing w:val="-15"/>
        </w:rPr>
        <w:t> </w:t>
      </w:r>
      <w:r>
        <w:rPr/>
        <w:t>des</w:t>
      </w:r>
      <w:r>
        <w:rPr>
          <w:spacing w:val="-15"/>
        </w:rPr>
        <w:t> </w:t>
      </w:r>
      <w:r>
        <w:rPr/>
        <w:t>coûts</w:t>
      </w:r>
      <w:r>
        <w:rPr>
          <w:spacing w:val="-14"/>
        </w:rPr>
        <w:t> </w:t>
      </w:r>
      <w:r>
        <w:rPr/>
        <w:t>résultants</w:t>
      </w:r>
      <w:r>
        <w:rPr>
          <w:spacing w:val="-16"/>
        </w:rPr>
        <w:t> </w:t>
      </w:r>
      <w:r>
        <w:rPr/>
        <w:t>des</w:t>
      </w:r>
      <w:r>
        <w:rPr>
          <w:spacing w:val="-14"/>
        </w:rPr>
        <w:t> </w:t>
      </w:r>
      <w:r>
        <w:rPr/>
        <w:t>notes</w:t>
      </w:r>
      <w:r>
        <w:rPr>
          <w:spacing w:val="-15"/>
        </w:rPr>
        <w:t> </w:t>
      </w:r>
      <w:r>
        <w:rPr/>
        <w:t>techniques attribuées aux offres, ou le cas échéant, sur la base d’une autre règle adéquate à la nature de la</w:t>
      </w:r>
      <w:r>
        <w:rPr>
          <w:spacing w:val="-7"/>
        </w:rPr>
        <w:t> </w:t>
      </w:r>
      <w:r>
        <w:rPr/>
        <w:t>commande.</w:t>
      </w:r>
    </w:p>
    <w:p>
      <w:pPr>
        <w:pStyle w:val="Heading2"/>
        <w:numPr>
          <w:ilvl w:val="0"/>
          <w:numId w:val="1"/>
        </w:numPr>
        <w:tabs>
          <w:tab w:pos="787" w:val="left" w:leader="none"/>
        </w:tabs>
        <w:spacing w:line="240" w:lineRule="auto" w:before="123" w:after="0"/>
        <w:ind w:left="786" w:right="0" w:hanging="354"/>
        <w:jc w:val="both"/>
        <w:rPr>
          <w:rFonts w:ascii="Symbol" w:hAnsi="Symbol"/>
        </w:rPr>
      </w:pPr>
      <w:r>
        <w:rPr/>
        <w:t>Le choix selon la combinaison la plus avantageuse</w:t>
      </w:r>
      <w:r>
        <w:rPr>
          <w:spacing w:val="-4"/>
        </w:rPr>
        <w:t> </w:t>
      </w:r>
      <w:r>
        <w:rPr/>
        <w:t>:</w:t>
      </w:r>
    </w:p>
    <w:p>
      <w:pPr>
        <w:pStyle w:val="ListParagraph"/>
        <w:numPr>
          <w:ilvl w:val="0"/>
          <w:numId w:val="33"/>
        </w:numPr>
        <w:tabs>
          <w:tab w:pos="763" w:val="left" w:leader="none"/>
        </w:tabs>
        <w:spacing w:line="240" w:lineRule="auto" w:before="116" w:after="0"/>
        <w:ind w:left="433" w:right="756" w:firstLine="0"/>
        <w:jc w:val="both"/>
        <w:rPr>
          <w:sz w:val="28"/>
        </w:rPr>
      </w:pPr>
      <w:r>
        <w:rPr>
          <w:sz w:val="28"/>
        </w:rPr>
        <w:t>L’entité d'évaluation procède dans une première étape à la vérification, outre des documents administratifs et du cautionnement provisoire (s’il y a lieu), de la validité des</w:t>
      </w:r>
      <w:r>
        <w:rPr>
          <w:spacing w:val="-10"/>
          <w:sz w:val="28"/>
        </w:rPr>
        <w:t> </w:t>
      </w:r>
      <w:r>
        <w:rPr>
          <w:sz w:val="28"/>
        </w:rPr>
        <w:t>documents</w:t>
      </w:r>
      <w:r>
        <w:rPr>
          <w:spacing w:val="-8"/>
          <w:sz w:val="28"/>
        </w:rPr>
        <w:t> </w:t>
      </w:r>
      <w:r>
        <w:rPr>
          <w:sz w:val="28"/>
        </w:rPr>
        <w:t>constitutifs</w:t>
      </w:r>
      <w:r>
        <w:rPr>
          <w:spacing w:val="-10"/>
          <w:sz w:val="28"/>
        </w:rPr>
        <w:t> </w:t>
      </w:r>
      <w:r>
        <w:rPr>
          <w:sz w:val="28"/>
        </w:rPr>
        <w:t>de</w:t>
      </w:r>
      <w:r>
        <w:rPr>
          <w:spacing w:val="-10"/>
          <w:sz w:val="28"/>
        </w:rPr>
        <w:t> </w:t>
      </w:r>
      <w:r>
        <w:rPr>
          <w:sz w:val="28"/>
        </w:rPr>
        <w:t>l'offre</w:t>
      </w:r>
      <w:r>
        <w:rPr>
          <w:spacing w:val="-8"/>
          <w:sz w:val="28"/>
        </w:rPr>
        <w:t> </w:t>
      </w:r>
      <w:r>
        <w:rPr>
          <w:sz w:val="28"/>
        </w:rPr>
        <w:t>technique</w:t>
      </w:r>
      <w:r>
        <w:rPr>
          <w:spacing w:val="-9"/>
          <w:sz w:val="28"/>
        </w:rPr>
        <w:t> </w:t>
      </w:r>
      <w:r>
        <w:rPr>
          <w:sz w:val="28"/>
        </w:rPr>
        <w:t>et</w:t>
      </w:r>
      <w:r>
        <w:rPr>
          <w:spacing w:val="-8"/>
          <w:sz w:val="28"/>
        </w:rPr>
        <w:t> </w:t>
      </w:r>
      <w:r>
        <w:rPr>
          <w:sz w:val="28"/>
        </w:rPr>
        <w:t>financière.</w:t>
      </w:r>
      <w:r>
        <w:rPr>
          <w:spacing w:val="-9"/>
          <w:sz w:val="28"/>
        </w:rPr>
        <w:t> </w:t>
      </w:r>
      <w:r>
        <w:rPr>
          <w:sz w:val="28"/>
        </w:rPr>
        <w:t>Elle</w:t>
      </w:r>
      <w:r>
        <w:rPr>
          <w:spacing w:val="-10"/>
          <w:sz w:val="28"/>
        </w:rPr>
        <w:t> </w:t>
      </w:r>
      <w:r>
        <w:rPr>
          <w:sz w:val="28"/>
        </w:rPr>
        <w:t>procède</w:t>
      </w:r>
      <w:r>
        <w:rPr>
          <w:spacing w:val="-9"/>
          <w:sz w:val="28"/>
        </w:rPr>
        <w:t> </w:t>
      </w:r>
      <w:r>
        <w:rPr>
          <w:sz w:val="28"/>
        </w:rPr>
        <w:t>par</w:t>
      </w:r>
      <w:r>
        <w:rPr>
          <w:spacing w:val="-8"/>
          <w:sz w:val="28"/>
        </w:rPr>
        <w:t> </w:t>
      </w:r>
      <w:r>
        <w:rPr>
          <w:sz w:val="28"/>
        </w:rPr>
        <w:t>la</w:t>
      </w:r>
      <w:r>
        <w:rPr>
          <w:spacing w:val="-9"/>
          <w:sz w:val="28"/>
        </w:rPr>
        <w:t> </w:t>
      </w:r>
      <w:r>
        <w:rPr>
          <w:sz w:val="28"/>
        </w:rPr>
        <w:t>suite</w:t>
      </w:r>
      <w:r>
        <w:rPr>
          <w:spacing w:val="-10"/>
          <w:sz w:val="28"/>
        </w:rPr>
        <w:t> </w:t>
      </w:r>
      <w:r>
        <w:rPr>
          <w:sz w:val="28"/>
        </w:rPr>
        <w:t>à l’élimination des offres non</w:t>
      </w:r>
      <w:r>
        <w:rPr>
          <w:spacing w:val="-1"/>
          <w:sz w:val="28"/>
        </w:rPr>
        <w:t> </w:t>
      </w:r>
      <w:r>
        <w:rPr>
          <w:sz w:val="28"/>
        </w:rPr>
        <w:t>conformes.</w:t>
      </w:r>
    </w:p>
    <w:p>
      <w:pPr>
        <w:pStyle w:val="ListParagraph"/>
        <w:numPr>
          <w:ilvl w:val="0"/>
          <w:numId w:val="33"/>
        </w:numPr>
        <w:tabs>
          <w:tab w:pos="784" w:val="left" w:leader="none"/>
        </w:tabs>
        <w:spacing w:line="240" w:lineRule="auto" w:before="121" w:after="0"/>
        <w:ind w:left="433" w:right="752" w:firstLine="0"/>
        <w:jc w:val="both"/>
        <w:rPr>
          <w:sz w:val="28"/>
        </w:rPr>
      </w:pPr>
      <w:r>
        <w:rPr>
          <w:sz w:val="28"/>
        </w:rPr>
        <w:t>L’entité d'évaluation procède, à partir du second rang du classement des offres financières,</w:t>
      </w:r>
      <w:r>
        <w:rPr>
          <w:spacing w:val="-17"/>
          <w:sz w:val="28"/>
        </w:rPr>
        <w:t> </w:t>
      </w:r>
      <w:r>
        <w:rPr>
          <w:sz w:val="28"/>
        </w:rPr>
        <w:t>à</w:t>
      </w:r>
      <w:r>
        <w:rPr>
          <w:spacing w:val="-18"/>
          <w:sz w:val="28"/>
        </w:rPr>
        <w:t> </w:t>
      </w:r>
      <w:r>
        <w:rPr>
          <w:sz w:val="28"/>
        </w:rPr>
        <w:t>la</w:t>
      </w:r>
      <w:r>
        <w:rPr>
          <w:spacing w:val="-19"/>
          <w:sz w:val="28"/>
        </w:rPr>
        <w:t> </w:t>
      </w:r>
      <w:r>
        <w:rPr>
          <w:sz w:val="28"/>
        </w:rPr>
        <w:t>négociation</w:t>
      </w:r>
      <w:r>
        <w:rPr>
          <w:spacing w:val="-15"/>
          <w:sz w:val="28"/>
        </w:rPr>
        <w:t> </w:t>
      </w:r>
      <w:r>
        <w:rPr>
          <w:sz w:val="28"/>
        </w:rPr>
        <w:t>des</w:t>
      </w:r>
      <w:r>
        <w:rPr>
          <w:spacing w:val="-18"/>
          <w:sz w:val="28"/>
        </w:rPr>
        <w:t> </w:t>
      </w:r>
      <w:r>
        <w:rPr>
          <w:sz w:val="28"/>
        </w:rPr>
        <w:t>offres</w:t>
      </w:r>
      <w:r>
        <w:rPr>
          <w:spacing w:val="-15"/>
          <w:sz w:val="28"/>
        </w:rPr>
        <w:t> </w:t>
      </w:r>
      <w:r>
        <w:rPr>
          <w:sz w:val="28"/>
        </w:rPr>
        <w:t>financières</w:t>
      </w:r>
      <w:r>
        <w:rPr>
          <w:spacing w:val="-16"/>
          <w:sz w:val="28"/>
        </w:rPr>
        <w:t> </w:t>
      </w:r>
      <w:r>
        <w:rPr>
          <w:sz w:val="28"/>
        </w:rPr>
        <w:t>à</w:t>
      </w:r>
      <w:r>
        <w:rPr>
          <w:spacing w:val="-16"/>
          <w:sz w:val="28"/>
        </w:rPr>
        <w:t> </w:t>
      </w:r>
      <w:r>
        <w:rPr>
          <w:sz w:val="28"/>
        </w:rPr>
        <w:t>la</w:t>
      </w:r>
      <w:r>
        <w:rPr>
          <w:spacing w:val="-16"/>
          <w:sz w:val="28"/>
        </w:rPr>
        <w:t> </w:t>
      </w:r>
      <w:r>
        <w:rPr>
          <w:sz w:val="28"/>
        </w:rPr>
        <w:t>baisse</w:t>
      </w:r>
      <w:r>
        <w:rPr>
          <w:spacing w:val="-10"/>
          <w:sz w:val="28"/>
        </w:rPr>
        <w:t> </w:t>
      </w:r>
      <w:r>
        <w:rPr>
          <w:sz w:val="28"/>
        </w:rPr>
        <w:t>avec</w:t>
      </w:r>
      <w:r>
        <w:rPr>
          <w:spacing w:val="-17"/>
          <w:sz w:val="28"/>
        </w:rPr>
        <w:t> </w:t>
      </w:r>
      <w:r>
        <w:rPr>
          <w:sz w:val="28"/>
        </w:rPr>
        <w:t>les</w:t>
      </w:r>
      <w:r>
        <w:rPr>
          <w:spacing w:val="-15"/>
          <w:sz w:val="28"/>
        </w:rPr>
        <w:t> </w:t>
      </w:r>
      <w:r>
        <w:rPr>
          <w:sz w:val="28"/>
        </w:rPr>
        <w:t>soumissionnaires en vue de les aligner à la valeur de l’offre la</w:t>
      </w:r>
      <w:r>
        <w:rPr>
          <w:spacing w:val="-10"/>
          <w:sz w:val="28"/>
        </w:rPr>
        <w:t> </w:t>
      </w:r>
      <w:r>
        <w:rPr>
          <w:sz w:val="28"/>
        </w:rPr>
        <w:t>moins-disante.</w:t>
      </w:r>
    </w:p>
    <w:p>
      <w:pPr>
        <w:pStyle w:val="ListParagraph"/>
        <w:numPr>
          <w:ilvl w:val="0"/>
          <w:numId w:val="33"/>
        </w:numPr>
        <w:tabs>
          <w:tab w:pos="736" w:val="left" w:leader="none"/>
        </w:tabs>
        <w:spacing w:line="240" w:lineRule="auto" w:before="120" w:after="0"/>
        <w:ind w:left="433" w:right="755" w:firstLine="0"/>
        <w:jc w:val="both"/>
        <w:rPr>
          <w:sz w:val="28"/>
        </w:rPr>
      </w:pPr>
      <w:r>
        <w:rPr>
          <w:sz w:val="28"/>
        </w:rPr>
        <w:t>L’entité</w:t>
      </w:r>
      <w:r>
        <w:rPr>
          <w:spacing w:val="-6"/>
          <w:sz w:val="28"/>
        </w:rPr>
        <w:t> </w:t>
      </w:r>
      <w:r>
        <w:rPr>
          <w:sz w:val="28"/>
        </w:rPr>
        <w:t>d’évaluation</w:t>
      </w:r>
      <w:r>
        <w:rPr>
          <w:spacing w:val="-6"/>
          <w:sz w:val="28"/>
        </w:rPr>
        <w:t> </w:t>
      </w:r>
      <w:r>
        <w:rPr>
          <w:sz w:val="28"/>
        </w:rPr>
        <w:t>propose</w:t>
      </w:r>
      <w:r>
        <w:rPr>
          <w:spacing w:val="-3"/>
          <w:sz w:val="28"/>
        </w:rPr>
        <w:t> </w:t>
      </w:r>
      <w:r>
        <w:rPr>
          <w:sz w:val="28"/>
        </w:rPr>
        <w:t>de</w:t>
      </w:r>
      <w:r>
        <w:rPr>
          <w:spacing w:val="-6"/>
          <w:sz w:val="28"/>
        </w:rPr>
        <w:t> </w:t>
      </w:r>
      <w:r>
        <w:rPr>
          <w:sz w:val="28"/>
        </w:rPr>
        <w:t>répartir</w:t>
      </w:r>
      <w:r>
        <w:rPr>
          <w:spacing w:val="-5"/>
          <w:sz w:val="28"/>
        </w:rPr>
        <w:t> </w:t>
      </w:r>
      <w:r>
        <w:rPr>
          <w:sz w:val="28"/>
        </w:rPr>
        <w:t>la</w:t>
      </w:r>
      <w:r>
        <w:rPr>
          <w:spacing w:val="-6"/>
          <w:sz w:val="28"/>
        </w:rPr>
        <w:t> </w:t>
      </w:r>
      <w:r>
        <w:rPr>
          <w:sz w:val="28"/>
        </w:rPr>
        <w:t>commande</w:t>
      </w:r>
      <w:r>
        <w:rPr>
          <w:spacing w:val="-4"/>
          <w:sz w:val="28"/>
        </w:rPr>
        <w:t> </w:t>
      </w:r>
      <w:r>
        <w:rPr>
          <w:sz w:val="28"/>
        </w:rPr>
        <w:t>selon</w:t>
      </w:r>
      <w:r>
        <w:rPr>
          <w:spacing w:val="-8"/>
          <w:sz w:val="28"/>
        </w:rPr>
        <w:t> </w:t>
      </w:r>
      <w:r>
        <w:rPr>
          <w:sz w:val="28"/>
        </w:rPr>
        <w:t>la</w:t>
      </w:r>
      <w:r>
        <w:rPr>
          <w:spacing w:val="-6"/>
          <w:sz w:val="28"/>
        </w:rPr>
        <w:t> </w:t>
      </w:r>
      <w:r>
        <w:rPr>
          <w:sz w:val="28"/>
        </w:rPr>
        <w:t>combinaison</w:t>
      </w:r>
      <w:r>
        <w:rPr>
          <w:spacing w:val="-5"/>
          <w:sz w:val="28"/>
        </w:rPr>
        <w:t> </w:t>
      </w:r>
      <w:r>
        <w:rPr>
          <w:sz w:val="28"/>
        </w:rPr>
        <w:t>la</w:t>
      </w:r>
      <w:r>
        <w:rPr>
          <w:spacing w:val="-6"/>
          <w:sz w:val="28"/>
        </w:rPr>
        <w:t> </w:t>
      </w:r>
      <w:r>
        <w:rPr>
          <w:sz w:val="28"/>
        </w:rPr>
        <w:t>plus avantageuse et les résultats de négociation conformément à la formule de répartition mentionnée dans le cahier des</w:t>
      </w:r>
      <w:r>
        <w:rPr>
          <w:spacing w:val="1"/>
          <w:sz w:val="28"/>
        </w:rPr>
        <w:t> </w:t>
      </w:r>
      <w:r>
        <w:rPr>
          <w:sz w:val="28"/>
        </w:rPr>
        <w:t>charges.</w:t>
      </w:r>
    </w:p>
    <w:p>
      <w:pPr>
        <w:pStyle w:val="Heading2"/>
        <w:numPr>
          <w:ilvl w:val="2"/>
          <w:numId w:val="27"/>
        </w:numPr>
        <w:tabs>
          <w:tab w:pos="1214" w:val="left" w:leader="none"/>
        </w:tabs>
        <w:spacing w:line="319" w:lineRule="exact" w:before="126" w:after="0"/>
        <w:ind w:left="1213" w:right="0" w:hanging="781"/>
        <w:jc w:val="both"/>
      </w:pPr>
      <w:bookmarkStart w:name="_TOC_250110" w:id="33"/>
      <w:r>
        <w:rPr/>
        <w:t>Approbation des Cahiers des</w:t>
      </w:r>
      <w:r>
        <w:rPr>
          <w:spacing w:val="-2"/>
        </w:rPr>
        <w:t> </w:t>
      </w:r>
      <w:bookmarkEnd w:id="33"/>
      <w:r>
        <w:rPr/>
        <w:t>Charges</w:t>
      </w:r>
    </w:p>
    <w:p>
      <w:pPr>
        <w:pStyle w:val="BodyText"/>
        <w:ind w:right="748"/>
      </w:pPr>
      <w:r>
        <w:rPr/>
        <w:t>Une fois élaboré par la Structure régionale d’achat, le Cahier des Charges est transmis à la Commission d’Approbation des Cahiers des Charges (CACC) pour approbation.</w:t>
      </w:r>
    </w:p>
    <w:p>
      <w:pPr>
        <w:pStyle w:val="BodyText"/>
        <w:spacing w:line="321" w:lineRule="exact"/>
        <w:ind w:firstLine="0"/>
      </w:pPr>
      <w:r>
        <w:rPr/>
        <w:t>La CACC (voir annexe n°1) se charge de :</w:t>
      </w:r>
    </w:p>
    <w:p>
      <w:pPr>
        <w:pStyle w:val="ListParagraph"/>
        <w:numPr>
          <w:ilvl w:val="0"/>
          <w:numId w:val="34"/>
        </w:numPr>
        <w:tabs>
          <w:tab w:pos="1286" w:val="left" w:leader="none"/>
        </w:tabs>
        <w:spacing w:line="322" w:lineRule="exact" w:before="0" w:after="0"/>
        <w:ind w:left="1285" w:right="0" w:hanging="287"/>
        <w:jc w:val="both"/>
        <w:rPr>
          <w:sz w:val="28"/>
        </w:rPr>
      </w:pPr>
      <w:r>
        <w:rPr>
          <w:sz w:val="28"/>
        </w:rPr>
        <w:t>Vérifier le contenu technique et administratif des Cahiers des Charges</w:t>
      </w:r>
      <w:r>
        <w:rPr>
          <w:spacing w:val="-15"/>
          <w:sz w:val="28"/>
        </w:rPr>
        <w:t> </w:t>
      </w:r>
      <w:r>
        <w:rPr>
          <w:sz w:val="28"/>
        </w:rPr>
        <w:t>;</w:t>
      </w:r>
    </w:p>
    <w:p>
      <w:pPr>
        <w:pStyle w:val="ListParagraph"/>
        <w:numPr>
          <w:ilvl w:val="0"/>
          <w:numId w:val="34"/>
        </w:numPr>
        <w:tabs>
          <w:tab w:pos="1286" w:val="left" w:leader="none"/>
        </w:tabs>
        <w:spacing w:line="242" w:lineRule="auto" w:before="0" w:after="0"/>
        <w:ind w:left="1285" w:right="754" w:hanging="286"/>
        <w:jc w:val="both"/>
        <w:rPr>
          <w:sz w:val="28"/>
        </w:rPr>
      </w:pPr>
      <w:r>
        <w:rPr>
          <w:sz w:val="28"/>
        </w:rPr>
        <w:t>Proposer à la structure d’achat concernée les rectifications nécessaires des cahiers des Charges</w:t>
      </w:r>
      <w:r>
        <w:rPr>
          <w:spacing w:val="-1"/>
          <w:sz w:val="28"/>
        </w:rPr>
        <w:t> </w:t>
      </w:r>
      <w:r>
        <w:rPr>
          <w:sz w:val="28"/>
        </w:rPr>
        <w:t>;</w:t>
      </w:r>
    </w:p>
    <w:p>
      <w:pPr>
        <w:spacing w:after="0" w:line="242"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ListParagraph"/>
        <w:numPr>
          <w:ilvl w:val="0"/>
          <w:numId w:val="34"/>
        </w:numPr>
        <w:tabs>
          <w:tab w:pos="1286" w:val="left" w:leader="none"/>
        </w:tabs>
        <w:spacing w:line="240" w:lineRule="auto" w:before="89" w:after="0"/>
        <w:ind w:left="1285" w:right="0" w:hanging="287"/>
        <w:jc w:val="both"/>
        <w:rPr>
          <w:sz w:val="28"/>
        </w:rPr>
      </w:pPr>
      <w:r>
        <w:rPr>
          <w:sz w:val="28"/>
        </w:rPr>
        <w:t>Approuver les cahiers des charges</w:t>
      </w:r>
      <w:r>
        <w:rPr>
          <w:spacing w:val="-1"/>
          <w:sz w:val="28"/>
        </w:rPr>
        <w:t> </w:t>
      </w:r>
      <w:r>
        <w:rPr>
          <w:sz w:val="28"/>
        </w:rPr>
        <w:t>;</w:t>
      </w:r>
    </w:p>
    <w:p>
      <w:pPr>
        <w:pStyle w:val="BodyText"/>
        <w:spacing w:before="120"/>
        <w:ind w:right="750"/>
      </w:pPr>
      <w:r>
        <w:rPr/>
        <w:t>Le délai d'approbation du Cahier des Charges ne doit pas dépasser (30) jours ouvrables.</w:t>
      </w:r>
    </w:p>
    <w:p>
      <w:pPr>
        <w:pStyle w:val="BodyText"/>
        <w:spacing w:before="1"/>
        <w:ind w:right="753"/>
      </w:pPr>
      <w:r>
        <w:rPr/>
        <w:t>Le PV de la réunion de la CACC est élaboré et visé par le Directeur de Contrôle des Cahiers des Charges.</w:t>
      </w:r>
    </w:p>
    <w:p>
      <w:pPr>
        <w:pStyle w:val="BodyText"/>
        <w:ind w:right="753"/>
      </w:pPr>
      <w:r>
        <w:rPr/>
        <w:t>La Structure d’achat concernée ne peut publier l’appel d’offres qu’après approbation du Cahier des charges par la CACC et autorisation de publication de l’appel d’offre émise par la Direction de Contrôle des Cahiers des Charges.</w:t>
      </w:r>
    </w:p>
    <w:p>
      <w:pPr>
        <w:pStyle w:val="Heading2"/>
        <w:numPr>
          <w:ilvl w:val="1"/>
          <w:numId w:val="18"/>
        </w:numPr>
        <w:tabs>
          <w:tab w:pos="1000" w:val="left" w:leader="none"/>
        </w:tabs>
        <w:spacing w:line="321" w:lineRule="exact" w:before="124" w:after="0"/>
        <w:ind w:left="999" w:right="0" w:hanging="567"/>
        <w:jc w:val="both"/>
      </w:pPr>
      <w:bookmarkStart w:name="_TOC_250109" w:id="34"/>
      <w:r>
        <w:rPr/>
        <w:t>Planification de la mise en</w:t>
      </w:r>
      <w:r>
        <w:rPr>
          <w:spacing w:val="-4"/>
        </w:rPr>
        <w:t> </w:t>
      </w:r>
      <w:bookmarkEnd w:id="34"/>
      <w:r>
        <w:rPr/>
        <w:t>concurrence</w:t>
      </w:r>
    </w:p>
    <w:p>
      <w:pPr>
        <w:pStyle w:val="BodyText"/>
        <w:ind w:right="758"/>
      </w:pPr>
      <w:r>
        <w:rPr/>
        <w:t>La Structure d’achat régionale coordonne avec le Secrétariat compétent en vue d'arrêter la date de publication de la mise en concurrence, la date limite de réception des offres ainsi que la date de la séance d'ouverture. Le Secrétariat compétent arrête ces dates en coordination avec le Président de l’entité d'ouverture compétente.</w:t>
      </w:r>
    </w:p>
    <w:p>
      <w:pPr>
        <w:pStyle w:val="Heading2"/>
        <w:numPr>
          <w:ilvl w:val="1"/>
          <w:numId w:val="18"/>
        </w:numPr>
        <w:tabs>
          <w:tab w:pos="1003" w:val="left" w:leader="none"/>
        </w:tabs>
        <w:spacing w:line="240" w:lineRule="auto" w:before="122" w:after="0"/>
        <w:ind w:left="1002" w:right="0" w:hanging="570"/>
        <w:jc w:val="both"/>
      </w:pPr>
      <w:bookmarkStart w:name="_TOC_250108" w:id="35"/>
      <w:r>
        <w:rPr/>
        <w:t>Règles générales de passation des achats hors marchés et des</w:t>
      </w:r>
      <w:r>
        <w:rPr>
          <w:spacing w:val="-6"/>
        </w:rPr>
        <w:t> </w:t>
      </w:r>
      <w:bookmarkEnd w:id="35"/>
      <w:r>
        <w:rPr/>
        <w:t>marchés</w:t>
      </w:r>
    </w:p>
    <w:p>
      <w:pPr>
        <w:pStyle w:val="Heading2"/>
        <w:numPr>
          <w:ilvl w:val="2"/>
          <w:numId w:val="35"/>
        </w:numPr>
        <w:tabs>
          <w:tab w:pos="1213" w:val="left" w:leader="none"/>
        </w:tabs>
        <w:spacing w:line="240" w:lineRule="auto" w:before="119" w:after="0"/>
        <w:ind w:left="1213" w:right="0" w:hanging="780"/>
        <w:jc w:val="both"/>
      </w:pPr>
      <w:bookmarkStart w:name="_TOC_250107" w:id="36"/>
      <w:r>
        <w:rPr/>
        <w:t>Les cas d’exemption de l’utilisation de</w:t>
      </w:r>
      <w:r>
        <w:rPr>
          <w:spacing w:val="-1"/>
        </w:rPr>
        <w:t> </w:t>
      </w:r>
      <w:bookmarkEnd w:id="36"/>
      <w:r>
        <w:rPr/>
        <w:t>TUNEPS</w:t>
      </w:r>
    </w:p>
    <w:p>
      <w:pPr>
        <w:pStyle w:val="BodyText"/>
        <w:spacing w:before="46"/>
        <w:ind w:right="748"/>
      </w:pPr>
      <w:r>
        <w:rPr/>
        <w:t>Les achats hors marchés relevant de la CAE et les marchés relevant de la CME doivent être passés sur TUNEPS. Cependant, l'exemption de l'utilisation du système TUNEPS peut avoir lieu dans les cas suivants :</w:t>
      </w:r>
    </w:p>
    <w:p>
      <w:pPr>
        <w:pStyle w:val="ListParagraph"/>
        <w:numPr>
          <w:ilvl w:val="3"/>
          <w:numId w:val="35"/>
        </w:numPr>
        <w:tabs>
          <w:tab w:pos="935" w:val="left" w:leader="none"/>
        </w:tabs>
        <w:spacing w:line="240" w:lineRule="auto" w:before="118" w:after="0"/>
        <w:ind w:left="934" w:right="756" w:hanging="219"/>
        <w:jc w:val="left"/>
        <w:rPr>
          <w:sz w:val="28"/>
        </w:rPr>
      </w:pPr>
      <w:r>
        <w:rPr>
          <w:sz w:val="28"/>
        </w:rPr>
        <w:t>Modes ou phases de modes de passation des achats ne pouvant pas être exécutés sur TUNEPS pour des considérations d’ordre techniques</w:t>
      </w:r>
      <w:r>
        <w:rPr>
          <w:spacing w:val="-10"/>
          <w:sz w:val="28"/>
        </w:rPr>
        <w:t> </w:t>
      </w:r>
      <w:r>
        <w:rPr>
          <w:sz w:val="28"/>
        </w:rPr>
        <w:t>;</w:t>
      </w:r>
    </w:p>
    <w:p>
      <w:pPr>
        <w:pStyle w:val="ListParagraph"/>
        <w:numPr>
          <w:ilvl w:val="3"/>
          <w:numId w:val="35"/>
        </w:numPr>
        <w:tabs>
          <w:tab w:pos="935" w:val="left" w:leader="none"/>
        </w:tabs>
        <w:spacing w:line="240" w:lineRule="auto" w:before="0" w:after="0"/>
        <w:ind w:left="934" w:right="749" w:hanging="219"/>
        <w:jc w:val="left"/>
        <w:rPr>
          <w:sz w:val="28"/>
        </w:rPr>
      </w:pPr>
      <w:r>
        <w:rPr>
          <w:sz w:val="28"/>
        </w:rPr>
        <w:t>Les achats justifiés par l’urgence impérieuse via une note d'urgence signée par la personne</w:t>
      </w:r>
      <w:r>
        <w:rPr>
          <w:spacing w:val="-14"/>
          <w:sz w:val="28"/>
        </w:rPr>
        <w:t> </w:t>
      </w:r>
      <w:r>
        <w:rPr>
          <w:sz w:val="28"/>
        </w:rPr>
        <w:t>habilitée</w:t>
      </w:r>
      <w:r>
        <w:rPr>
          <w:spacing w:val="-11"/>
          <w:sz w:val="28"/>
        </w:rPr>
        <w:t> </w:t>
      </w:r>
      <w:r>
        <w:rPr>
          <w:sz w:val="28"/>
        </w:rPr>
        <w:t>(il</w:t>
      </w:r>
      <w:r>
        <w:rPr>
          <w:spacing w:val="-15"/>
          <w:sz w:val="28"/>
        </w:rPr>
        <w:t> </w:t>
      </w:r>
      <w:r>
        <w:rPr>
          <w:sz w:val="28"/>
        </w:rPr>
        <w:t>faut</w:t>
      </w:r>
      <w:r>
        <w:rPr>
          <w:spacing w:val="-14"/>
          <w:sz w:val="28"/>
        </w:rPr>
        <w:t> </w:t>
      </w:r>
      <w:r>
        <w:rPr>
          <w:sz w:val="28"/>
        </w:rPr>
        <w:t>que</w:t>
      </w:r>
      <w:r>
        <w:rPr>
          <w:spacing w:val="-13"/>
          <w:sz w:val="28"/>
        </w:rPr>
        <w:t> </w:t>
      </w:r>
      <w:r>
        <w:rPr>
          <w:sz w:val="28"/>
        </w:rPr>
        <w:t>l’urgence</w:t>
      </w:r>
      <w:r>
        <w:rPr>
          <w:spacing w:val="-16"/>
          <w:sz w:val="28"/>
        </w:rPr>
        <w:t> </w:t>
      </w:r>
      <w:r>
        <w:rPr>
          <w:sz w:val="28"/>
        </w:rPr>
        <w:t>soit</w:t>
      </w:r>
      <w:r>
        <w:rPr>
          <w:spacing w:val="-14"/>
          <w:sz w:val="28"/>
        </w:rPr>
        <w:t> </w:t>
      </w:r>
      <w:r>
        <w:rPr>
          <w:sz w:val="28"/>
        </w:rPr>
        <w:t>le</w:t>
      </w:r>
      <w:r>
        <w:rPr>
          <w:spacing w:val="-13"/>
          <w:sz w:val="28"/>
        </w:rPr>
        <w:t> </w:t>
      </w:r>
      <w:r>
        <w:rPr>
          <w:sz w:val="28"/>
        </w:rPr>
        <w:t>résultat</w:t>
      </w:r>
      <w:r>
        <w:rPr>
          <w:spacing w:val="-13"/>
          <w:sz w:val="28"/>
        </w:rPr>
        <w:t> </w:t>
      </w:r>
      <w:r>
        <w:rPr>
          <w:sz w:val="28"/>
        </w:rPr>
        <w:t>d’un</w:t>
      </w:r>
      <w:r>
        <w:rPr>
          <w:spacing w:val="-13"/>
          <w:sz w:val="28"/>
        </w:rPr>
        <w:t> </w:t>
      </w:r>
      <w:r>
        <w:rPr>
          <w:sz w:val="28"/>
        </w:rPr>
        <w:t>facteur</w:t>
      </w:r>
      <w:r>
        <w:rPr>
          <w:spacing w:val="-14"/>
          <w:sz w:val="28"/>
        </w:rPr>
        <w:t> </w:t>
      </w:r>
      <w:r>
        <w:rPr>
          <w:sz w:val="28"/>
        </w:rPr>
        <w:t>imprévisible)</w:t>
      </w:r>
      <w:r>
        <w:rPr>
          <w:spacing w:val="-7"/>
          <w:sz w:val="28"/>
        </w:rPr>
        <w:t> </w:t>
      </w:r>
      <w:r>
        <w:rPr>
          <w:sz w:val="28"/>
        </w:rPr>
        <w:t>;</w:t>
      </w:r>
    </w:p>
    <w:p>
      <w:pPr>
        <w:pStyle w:val="ListParagraph"/>
        <w:numPr>
          <w:ilvl w:val="3"/>
          <w:numId w:val="35"/>
        </w:numPr>
        <w:tabs>
          <w:tab w:pos="935" w:val="left" w:leader="none"/>
        </w:tabs>
        <w:spacing w:line="340" w:lineRule="exact" w:before="0" w:after="0"/>
        <w:ind w:left="934" w:right="0" w:hanging="219"/>
        <w:jc w:val="left"/>
        <w:rPr>
          <w:sz w:val="28"/>
        </w:rPr>
      </w:pPr>
      <w:r>
        <w:rPr>
          <w:sz w:val="28"/>
        </w:rPr>
        <w:t>En cas de négociation directe avec un fournisseur non affiliés à TUNEPS</w:t>
      </w:r>
      <w:r>
        <w:rPr>
          <w:spacing w:val="-6"/>
          <w:sz w:val="28"/>
        </w:rPr>
        <w:t> </w:t>
      </w:r>
      <w:r>
        <w:rPr>
          <w:sz w:val="28"/>
        </w:rPr>
        <w:t>;</w:t>
      </w:r>
    </w:p>
    <w:p>
      <w:pPr>
        <w:pStyle w:val="ListParagraph"/>
        <w:numPr>
          <w:ilvl w:val="3"/>
          <w:numId w:val="35"/>
        </w:numPr>
        <w:tabs>
          <w:tab w:pos="935" w:val="left" w:leader="none"/>
        </w:tabs>
        <w:spacing w:line="240" w:lineRule="auto" w:before="0" w:after="0"/>
        <w:ind w:left="934" w:right="751" w:hanging="219"/>
        <w:jc w:val="both"/>
        <w:rPr>
          <w:sz w:val="28"/>
        </w:rPr>
      </w:pPr>
      <w:r>
        <w:rPr>
          <w:sz w:val="28"/>
        </w:rPr>
        <w:t>Dans</w:t>
      </w:r>
      <w:r>
        <w:rPr>
          <w:spacing w:val="-19"/>
          <w:sz w:val="28"/>
        </w:rPr>
        <w:t> </w:t>
      </w:r>
      <w:r>
        <w:rPr>
          <w:sz w:val="28"/>
        </w:rPr>
        <w:t>les</w:t>
      </w:r>
      <w:r>
        <w:rPr>
          <w:spacing w:val="-16"/>
          <w:sz w:val="28"/>
        </w:rPr>
        <w:t> </w:t>
      </w:r>
      <w:r>
        <w:rPr>
          <w:sz w:val="28"/>
        </w:rPr>
        <w:t>cas</w:t>
      </w:r>
      <w:r>
        <w:rPr>
          <w:spacing w:val="-18"/>
          <w:sz w:val="28"/>
        </w:rPr>
        <w:t> </w:t>
      </w:r>
      <w:r>
        <w:rPr>
          <w:sz w:val="28"/>
        </w:rPr>
        <w:t>d’indisponibilité</w:t>
      </w:r>
      <w:r>
        <w:rPr>
          <w:spacing w:val="-19"/>
          <w:sz w:val="28"/>
        </w:rPr>
        <w:t> </w:t>
      </w:r>
      <w:r>
        <w:rPr>
          <w:sz w:val="28"/>
        </w:rPr>
        <w:t>technique</w:t>
      </w:r>
      <w:r>
        <w:rPr>
          <w:spacing w:val="-19"/>
          <w:sz w:val="28"/>
        </w:rPr>
        <w:t> </w:t>
      </w:r>
      <w:r>
        <w:rPr>
          <w:sz w:val="28"/>
        </w:rPr>
        <w:t>non</w:t>
      </w:r>
      <w:r>
        <w:rPr>
          <w:spacing w:val="-18"/>
          <w:sz w:val="28"/>
        </w:rPr>
        <w:t> </w:t>
      </w:r>
      <w:r>
        <w:rPr>
          <w:sz w:val="28"/>
        </w:rPr>
        <w:t>prévue</w:t>
      </w:r>
      <w:r>
        <w:rPr>
          <w:spacing w:val="-17"/>
          <w:sz w:val="28"/>
        </w:rPr>
        <w:t> </w:t>
      </w:r>
      <w:r>
        <w:rPr>
          <w:sz w:val="28"/>
        </w:rPr>
        <w:t>annoncée</w:t>
      </w:r>
      <w:r>
        <w:rPr>
          <w:spacing w:val="-16"/>
          <w:sz w:val="28"/>
        </w:rPr>
        <w:t> </w:t>
      </w:r>
      <w:r>
        <w:rPr>
          <w:sz w:val="28"/>
        </w:rPr>
        <w:t>par</w:t>
      </w:r>
      <w:r>
        <w:rPr>
          <w:spacing w:val="-17"/>
          <w:sz w:val="28"/>
        </w:rPr>
        <w:t> </w:t>
      </w:r>
      <w:r>
        <w:rPr>
          <w:sz w:val="28"/>
        </w:rPr>
        <w:t>l’unité</w:t>
      </w:r>
      <w:r>
        <w:rPr>
          <w:spacing w:val="-17"/>
          <w:sz w:val="28"/>
        </w:rPr>
        <w:t> </w:t>
      </w:r>
      <w:r>
        <w:rPr>
          <w:sz w:val="28"/>
        </w:rPr>
        <w:t>TUNEPS sur la plateforme ou par tout autre moyen matériel et immatériel</w:t>
      </w:r>
      <w:r>
        <w:rPr>
          <w:spacing w:val="-6"/>
          <w:sz w:val="28"/>
        </w:rPr>
        <w:t> </w:t>
      </w:r>
      <w:r>
        <w:rPr>
          <w:sz w:val="28"/>
        </w:rPr>
        <w:t>;</w:t>
      </w:r>
    </w:p>
    <w:p>
      <w:pPr>
        <w:pStyle w:val="ListParagraph"/>
        <w:numPr>
          <w:ilvl w:val="3"/>
          <w:numId w:val="35"/>
        </w:numPr>
        <w:tabs>
          <w:tab w:pos="935" w:val="left" w:leader="none"/>
        </w:tabs>
        <w:spacing w:line="240" w:lineRule="auto" w:before="0" w:after="0"/>
        <w:ind w:left="934" w:right="746" w:hanging="219"/>
        <w:jc w:val="both"/>
        <w:rPr>
          <w:sz w:val="28"/>
        </w:rPr>
      </w:pPr>
      <w:r>
        <w:rPr>
          <w:sz w:val="28"/>
        </w:rPr>
        <w:t>Lorsque le passage hors TUNEPS permet d'élargir la concurrence et de faire participer les fournisseurs présentant un avantage technique ou financier et non- inscrits</w:t>
      </w:r>
      <w:r>
        <w:rPr>
          <w:spacing w:val="-7"/>
          <w:sz w:val="28"/>
        </w:rPr>
        <w:t> </w:t>
      </w:r>
      <w:r>
        <w:rPr>
          <w:sz w:val="28"/>
        </w:rPr>
        <w:t>à</w:t>
      </w:r>
      <w:r>
        <w:rPr>
          <w:spacing w:val="-8"/>
          <w:sz w:val="28"/>
        </w:rPr>
        <w:t> </w:t>
      </w:r>
      <w:r>
        <w:rPr>
          <w:sz w:val="28"/>
        </w:rPr>
        <w:t>TUNEPS,</w:t>
      </w:r>
      <w:r>
        <w:rPr>
          <w:spacing w:val="-7"/>
          <w:sz w:val="28"/>
        </w:rPr>
        <w:t> </w:t>
      </w:r>
      <w:r>
        <w:rPr>
          <w:sz w:val="28"/>
        </w:rPr>
        <w:t>Il</w:t>
      </w:r>
      <w:r>
        <w:rPr>
          <w:spacing w:val="-7"/>
          <w:sz w:val="28"/>
        </w:rPr>
        <w:t> </w:t>
      </w:r>
      <w:r>
        <w:rPr>
          <w:sz w:val="28"/>
        </w:rPr>
        <w:t>est</w:t>
      </w:r>
      <w:r>
        <w:rPr>
          <w:spacing w:val="-7"/>
          <w:sz w:val="28"/>
        </w:rPr>
        <w:t> </w:t>
      </w:r>
      <w:r>
        <w:rPr>
          <w:sz w:val="28"/>
        </w:rPr>
        <w:t>possible</w:t>
      </w:r>
      <w:r>
        <w:rPr>
          <w:spacing w:val="-4"/>
          <w:sz w:val="28"/>
        </w:rPr>
        <w:t> </w:t>
      </w:r>
      <w:r>
        <w:rPr>
          <w:sz w:val="28"/>
        </w:rPr>
        <w:t>de</w:t>
      </w:r>
      <w:r>
        <w:rPr>
          <w:spacing w:val="-9"/>
          <w:sz w:val="28"/>
        </w:rPr>
        <w:t> </w:t>
      </w:r>
      <w:r>
        <w:rPr>
          <w:sz w:val="28"/>
        </w:rPr>
        <w:t>lancer</w:t>
      </w:r>
      <w:r>
        <w:rPr>
          <w:spacing w:val="-10"/>
          <w:sz w:val="28"/>
        </w:rPr>
        <w:t> </w:t>
      </w:r>
      <w:r>
        <w:rPr>
          <w:sz w:val="28"/>
        </w:rPr>
        <w:t>l’appel</w:t>
      </w:r>
      <w:r>
        <w:rPr>
          <w:spacing w:val="-6"/>
          <w:sz w:val="28"/>
        </w:rPr>
        <w:t> </w:t>
      </w:r>
      <w:r>
        <w:rPr>
          <w:sz w:val="28"/>
        </w:rPr>
        <w:t>à</w:t>
      </w:r>
      <w:r>
        <w:rPr>
          <w:spacing w:val="-8"/>
          <w:sz w:val="28"/>
        </w:rPr>
        <w:t> </w:t>
      </w:r>
      <w:r>
        <w:rPr>
          <w:sz w:val="28"/>
        </w:rPr>
        <w:t>la</w:t>
      </w:r>
      <w:r>
        <w:rPr>
          <w:spacing w:val="-8"/>
          <w:sz w:val="28"/>
        </w:rPr>
        <w:t> </w:t>
      </w:r>
      <w:r>
        <w:rPr>
          <w:sz w:val="28"/>
        </w:rPr>
        <w:t>concurrence</w:t>
      </w:r>
      <w:r>
        <w:rPr>
          <w:spacing w:val="-3"/>
          <w:sz w:val="28"/>
        </w:rPr>
        <w:t> </w:t>
      </w:r>
      <w:r>
        <w:rPr>
          <w:sz w:val="28"/>
        </w:rPr>
        <w:t>via</w:t>
      </w:r>
      <w:r>
        <w:rPr>
          <w:spacing w:val="-8"/>
          <w:sz w:val="28"/>
        </w:rPr>
        <w:t> </w:t>
      </w:r>
      <w:r>
        <w:rPr>
          <w:sz w:val="28"/>
        </w:rPr>
        <w:t>TUNEPS avec possibilité de recevoir des offres hors TUNEPS (en ligne/hors ligne). Cette démarche doit être justifiée par l’acheteur via une note à soumettre à l’avis de la commission de contrôle compétente avant la mise en</w:t>
      </w:r>
      <w:r>
        <w:rPr>
          <w:spacing w:val="-14"/>
          <w:sz w:val="28"/>
        </w:rPr>
        <w:t> </w:t>
      </w:r>
      <w:r>
        <w:rPr>
          <w:sz w:val="28"/>
        </w:rPr>
        <w:t>concurrence.</w:t>
      </w:r>
    </w:p>
    <w:p>
      <w:pPr>
        <w:pStyle w:val="ListParagraph"/>
        <w:numPr>
          <w:ilvl w:val="3"/>
          <w:numId w:val="35"/>
        </w:numPr>
        <w:tabs>
          <w:tab w:pos="935" w:val="left" w:leader="none"/>
        </w:tabs>
        <w:spacing w:line="240" w:lineRule="auto" w:before="0" w:after="0"/>
        <w:ind w:left="934" w:right="750" w:hanging="219"/>
        <w:jc w:val="both"/>
        <w:rPr>
          <w:sz w:val="28"/>
        </w:rPr>
      </w:pPr>
      <w:r>
        <w:rPr>
          <w:sz w:val="28"/>
        </w:rPr>
        <w:t>Les achats qui, suite à un report du délai de mise en concurrence sur TUNEPS, n’ont fait l’objet d’aucune offre, ou à l’égard desquels, il a été proposé des offres inacceptables à condition qu’une telle situation ne soit pas la conséquence d’insuffisances relevées dans le Cahier des Charges</w:t>
      </w:r>
      <w:r>
        <w:rPr>
          <w:spacing w:val="2"/>
          <w:sz w:val="28"/>
        </w:rPr>
        <w:t> </w:t>
      </w:r>
      <w:r>
        <w:rPr>
          <w:sz w:val="28"/>
        </w:rPr>
        <w:t>;</w:t>
      </w:r>
    </w:p>
    <w:p>
      <w:pPr>
        <w:pStyle w:val="BodyText"/>
        <w:spacing w:before="119"/>
        <w:ind w:right="757"/>
      </w:pPr>
      <w:r>
        <w:rPr/>
        <w:t>Le mode opératoire d’utilisation du Système TUNEPS est détaillé dans le lien suivant : </w:t>
      </w:r>
      <w:hyperlink r:id="rId8">
        <w:r>
          <w:rPr>
            <w:u w:val="single"/>
          </w:rPr>
          <w:t>http://www.tuneps-kit.tn/</w:t>
        </w:r>
      </w:hyperlink>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35"/>
        </w:numPr>
        <w:tabs>
          <w:tab w:pos="1256" w:val="left" w:leader="none"/>
        </w:tabs>
        <w:spacing w:line="276" w:lineRule="auto" w:before="89" w:after="0"/>
        <w:ind w:left="433" w:right="751" w:firstLine="0"/>
        <w:jc w:val="both"/>
      </w:pPr>
      <w:bookmarkStart w:name="_TOC_250106" w:id="37"/>
      <w:bookmarkEnd w:id="37"/>
      <w:r>
        <w:rPr/>
        <w:t>Les intervenants dans les phases de passation des achats hors matières premières</w:t>
      </w:r>
    </w:p>
    <w:p>
      <w:pPr>
        <w:pStyle w:val="Heading3"/>
        <w:spacing w:before="3"/>
        <w:rPr>
          <w:i/>
        </w:rPr>
      </w:pPr>
      <w:r>
        <w:rPr>
          <w:i/>
        </w:rPr>
        <w:t>Entités d’ouvertures des offres</w:t>
      </w:r>
    </w:p>
    <w:p>
      <w:pPr>
        <w:pStyle w:val="BodyText"/>
        <w:spacing w:line="318" w:lineRule="exact"/>
        <w:ind w:left="999" w:firstLine="0"/>
      </w:pPr>
      <w:r>
        <w:rPr/>
        <w:t>L’ouverture des offres pour les achats hors matières premières est assurée par :</w:t>
      </w:r>
    </w:p>
    <w:p>
      <w:pPr>
        <w:pStyle w:val="ListParagraph"/>
        <w:numPr>
          <w:ilvl w:val="3"/>
          <w:numId w:val="35"/>
        </w:numPr>
        <w:tabs>
          <w:tab w:pos="1154" w:val="left" w:leader="none"/>
        </w:tabs>
        <w:spacing w:line="240" w:lineRule="auto" w:before="0" w:after="0"/>
        <w:ind w:left="1153" w:right="753" w:hanging="360"/>
        <w:jc w:val="both"/>
        <w:rPr>
          <w:sz w:val="28"/>
        </w:rPr>
      </w:pPr>
      <w:r>
        <w:rPr>
          <w:sz w:val="28"/>
        </w:rPr>
        <w:t>Les structures d’achat, pour les achats hors marchés relevant des compétences des entités de contrôle</w:t>
      </w:r>
      <w:r>
        <w:rPr>
          <w:spacing w:val="-1"/>
          <w:sz w:val="28"/>
        </w:rPr>
        <w:t> </w:t>
      </w:r>
      <w:r>
        <w:rPr>
          <w:sz w:val="28"/>
        </w:rPr>
        <w:t>DAR,</w:t>
      </w:r>
    </w:p>
    <w:p>
      <w:pPr>
        <w:pStyle w:val="ListParagraph"/>
        <w:numPr>
          <w:ilvl w:val="3"/>
          <w:numId w:val="35"/>
        </w:numPr>
        <w:tabs>
          <w:tab w:pos="1154" w:val="left" w:leader="none"/>
        </w:tabs>
        <w:spacing w:line="240" w:lineRule="auto" w:before="0" w:after="0"/>
        <w:ind w:left="1153" w:right="751" w:hanging="360"/>
        <w:jc w:val="both"/>
        <w:rPr>
          <w:sz w:val="28"/>
        </w:rPr>
      </w:pPr>
      <w:r>
        <w:rPr>
          <w:sz w:val="28"/>
        </w:rPr>
        <w:t>(04) Commissions Régionales d’Ouverture des Offres des Achats hors marchés (CROOA</w:t>
      </w:r>
      <w:r>
        <w:rPr>
          <w:spacing w:val="-16"/>
          <w:sz w:val="28"/>
        </w:rPr>
        <w:t> </w:t>
      </w:r>
      <w:r>
        <w:rPr>
          <w:sz w:val="28"/>
        </w:rPr>
        <w:t>Tunis,</w:t>
      </w:r>
      <w:r>
        <w:rPr>
          <w:spacing w:val="-15"/>
          <w:sz w:val="28"/>
        </w:rPr>
        <w:t> </w:t>
      </w:r>
      <w:r>
        <w:rPr>
          <w:sz w:val="28"/>
        </w:rPr>
        <w:t>CROOA</w:t>
      </w:r>
      <w:r>
        <w:rPr>
          <w:spacing w:val="-16"/>
          <w:sz w:val="28"/>
        </w:rPr>
        <w:t> </w:t>
      </w:r>
      <w:r>
        <w:rPr>
          <w:sz w:val="28"/>
        </w:rPr>
        <w:t>Sfax,</w:t>
      </w:r>
      <w:r>
        <w:rPr>
          <w:spacing w:val="-15"/>
          <w:sz w:val="28"/>
        </w:rPr>
        <w:t> </w:t>
      </w:r>
      <w:r>
        <w:rPr>
          <w:sz w:val="28"/>
        </w:rPr>
        <w:t>CROOA</w:t>
      </w:r>
      <w:r>
        <w:rPr>
          <w:spacing w:val="-16"/>
          <w:sz w:val="28"/>
        </w:rPr>
        <w:t> </w:t>
      </w:r>
      <w:r>
        <w:rPr>
          <w:sz w:val="28"/>
        </w:rPr>
        <w:t>Gabes,</w:t>
      </w:r>
      <w:r>
        <w:rPr>
          <w:spacing w:val="-15"/>
          <w:sz w:val="28"/>
        </w:rPr>
        <w:t> </w:t>
      </w:r>
      <w:r>
        <w:rPr>
          <w:sz w:val="28"/>
        </w:rPr>
        <w:t>CROOA</w:t>
      </w:r>
      <w:r>
        <w:rPr>
          <w:spacing w:val="-16"/>
          <w:sz w:val="28"/>
        </w:rPr>
        <w:t> </w:t>
      </w:r>
      <w:r>
        <w:rPr>
          <w:sz w:val="28"/>
        </w:rPr>
        <w:t>Gafsa)</w:t>
      </w:r>
      <w:r>
        <w:rPr>
          <w:spacing w:val="-12"/>
          <w:sz w:val="28"/>
        </w:rPr>
        <w:t> </w:t>
      </w:r>
      <w:r>
        <w:rPr>
          <w:sz w:val="28"/>
        </w:rPr>
        <w:t>pour</w:t>
      </w:r>
      <w:r>
        <w:rPr>
          <w:spacing w:val="-15"/>
          <w:sz w:val="28"/>
        </w:rPr>
        <w:t> </w:t>
      </w:r>
      <w:r>
        <w:rPr>
          <w:sz w:val="28"/>
        </w:rPr>
        <w:t>les</w:t>
      </w:r>
      <w:r>
        <w:rPr>
          <w:spacing w:val="-14"/>
          <w:sz w:val="28"/>
        </w:rPr>
        <w:t> </w:t>
      </w:r>
      <w:r>
        <w:rPr>
          <w:sz w:val="28"/>
        </w:rPr>
        <w:t>achats relevant de la compétence des commissions CRA et</w:t>
      </w:r>
      <w:r>
        <w:rPr>
          <w:spacing w:val="-7"/>
          <w:sz w:val="28"/>
        </w:rPr>
        <w:t> </w:t>
      </w:r>
      <w:r>
        <w:rPr>
          <w:sz w:val="28"/>
        </w:rPr>
        <w:t>CAE,</w:t>
      </w:r>
    </w:p>
    <w:p>
      <w:pPr>
        <w:pStyle w:val="ListParagraph"/>
        <w:numPr>
          <w:ilvl w:val="3"/>
          <w:numId w:val="35"/>
        </w:numPr>
        <w:tabs>
          <w:tab w:pos="1154" w:val="left" w:leader="none"/>
        </w:tabs>
        <w:spacing w:line="240" w:lineRule="auto" w:before="0" w:after="0"/>
        <w:ind w:left="1153" w:right="749" w:hanging="360"/>
        <w:jc w:val="both"/>
        <w:rPr>
          <w:sz w:val="28"/>
        </w:rPr>
      </w:pPr>
      <w:r>
        <w:rPr>
          <w:sz w:val="28"/>
        </w:rPr>
        <w:t>(04) Commissions régionales d’ouverture des offres des marchés relevant de la compétence de la CME (CROOM Tunis, CROOM Sfax, CROOM Gabes, CROOM Gafsa).</w:t>
      </w:r>
    </w:p>
    <w:p>
      <w:pPr>
        <w:pStyle w:val="BodyText"/>
        <w:spacing w:before="117"/>
        <w:ind w:right="756"/>
      </w:pPr>
      <w:r>
        <w:rPr/>
        <w:t>La catégorie et le budget estimatif de l'achat déterminent l’entité d'ouverture compétente pour les achats à conclure par mise en concurrence.</w:t>
      </w:r>
    </w:p>
    <w:p>
      <w:pPr>
        <w:pStyle w:val="BodyText"/>
        <w:spacing w:before="2"/>
        <w:ind w:left="999" w:firstLine="0"/>
      </w:pPr>
      <w:r>
        <w:rPr/>
        <w:t>L’annexe n°13 détermine l’entité d’ouverture compétente pour chaque seuil.</w:t>
      </w:r>
    </w:p>
    <w:p>
      <w:pPr>
        <w:pStyle w:val="Heading3"/>
        <w:spacing w:before="127"/>
        <w:rPr>
          <w:i/>
        </w:rPr>
      </w:pPr>
      <w:r>
        <w:rPr>
          <w:i/>
        </w:rPr>
        <w:t>Entités d’évaluation des offres</w:t>
      </w:r>
    </w:p>
    <w:p>
      <w:pPr>
        <w:pStyle w:val="BodyText"/>
        <w:spacing w:line="318" w:lineRule="exact"/>
        <w:ind w:left="999" w:firstLine="0"/>
      </w:pPr>
      <w:r>
        <w:rPr/>
        <w:t>L’évaluation des offres pour les achats hors matières premières est assurée par :</w:t>
      </w:r>
    </w:p>
    <w:p>
      <w:pPr>
        <w:pStyle w:val="ListParagraph"/>
        <w:numPr>
          <w:ilvl w:val="3"/>
          <w:numId w:val="35"/>
        </w:numPr>
        <w:tabs>
          <w:tab w:pos="1154" w:val="left" w:leader="none"/>
        </w:tabs>
        <w:spacing w:line="240" w:lineRule="auto" w:before="0" w:after="0"/>
        <w:ind w:left="1153" w:right="751" w:hanging="360"/>
        <w:jc w:val="both"/>
        <w:rPr>
          <w:sz w:val="28"/>
        </w:rPr>
      </w:pPr>
      <w:r>
        <w:rPr>
          <w:sz w:val="28"/>
        </w:rPr>
        <w:t>La structure demandeuse de l’achat, pour les achats hors marchés relevant des compétences des DAR et des</w:t>
      </w:r>
      <w:r>
        <w:rPr>
          <w:spacing w:val="-1"/>
          <w:sz w:val="28"/>
        </w:rPr>
        <w:t> </w:t>
      </w:r>
      <w:r>
        <w:rPr>
          <w:sz w:val="28"/>
        </w:rPr>
        <w:t>CRA.</w:t>
      </w:r>
    </w:p>
    <w:p>
      <w:pPr>
        <w:pStyle w:val="ListParagraph"/>
        <w:numPr>
          <w:ilvl w:val="3"/>
          <w:numId w:val="35"/>
        </w:numPr>
        <w:tabs>
          <w:tab w:pos="1154" w:val="left" w:leader="none"/>
        </w:tabs>
        <w:spacing w:line="240" w:lineRule="auto" w:before="0" w:after="0"/>
        <w:ind w:left="1153" w:right="751" w:hanging="360"/>
        <w:jc w:val="both"/>
        <w:rPr>
          <w:sz w:val="28"/>
        </w:rPr>
      </w:pPr>
      <w:r>
        <w:rPr>
          <w:sz w:val="28"/>
        </w:rPr>
        <w:t>La Commission ad hoc d’évaluation des offres, pour les achats hors marchés relevant de la compétence de la CAE et les marchés relevant de la compétence de la</w:t>
      </w:r>
      <w:r>
        <w:rPr>
          <w:spacing w:val="-1"/>
          <w:sz w:val="28"/>
        </w:rPr>
        <w:t> </w:t>
      </w:r>
      <w:r>
        <w:rPr>
          <w:sz w:val="28"/>
        </w:rPr>
        <w:t>CME.</w:t>
      </w:r>
    </w:p>
    <w:p>
      <w:pPr>
        <w:pStyle w:val="BodyText"/>
        <w:jc w:val="left"/>
      </w:pPr>
      <w:r>
        <w:rPr/>
        <w:t>La catégorie et le budget estimatif de l'achat déterminent l’entité d'évaluation compétente pour les achats à conclure par mise en concurrence.</w:t>
      </w:r>
    </w:p>
    <w:p>
      <w:pPr>
        <w:pStyle w:val="BodyText"/>
        <w:ind w:right="748"/>
        <w:jc w:val="left"/>
      </w:pPr>
      <w:r>
        <w:rPr/>
        <w:t>La catégorie et le montant de l’offre proposée déterminent la Commission d'évaluation compétente pour les achats négociés.</w:t>
      </w:r>
    </w:p>
    <w:p>
      <w:pPr>
        <w:pStyle w:val="BodyText"/>
        <w:ind w:left="999" w:firstLine="0"/>
        <w:jc w:val="left"/>
      </w:pPr>
      <w:r>
        <w:rPr/>
        <w:t>L’annexe n°13 détermine l’entité d’évaluation compétente pour chaque seuil.</w:t>
      </w:r>
    </w:p>
    <w:p>
      <w:pPr>
        <w:pStyle w:val="Heading3"/>
        <w:spacing w:line="319" w:lineRule="exact" w:before="5"/>
        <w:jc w:val="left"/>
        <w:rPr>
          <w:i/>
        </w:rPr>
      </w:pPr>
      <w:r>
        <w:rPr>
          <w:i/>
        </w:rPr>
        <w:t>Entités de contrôle des achats hors marchés et des marchés</w:t>
      </w:r>
    </w:p>
    <w:p>
      <w:pPr>
        <w:pStyle w:val="BodyText"/>
        <w:spacing w:line="319" w:lineRule="exact"/>
        <w:ind w:firstLine="0"/>
        <w:jc w:val="left"/>
      </w:pPr>
      <w:r>
        <w:rPr/>
        <w:t>Le contrôle des achats hors matières premières est assuré par :</w:t>
      </w:r>
    </w:p>
    <w:p>
      <w:pPr>
        <w:pStyle w:val="ListParagraph"/>
        <w:numPr>
          <w:ilvl w:val="3"/>
          <w:numId w:val="35"/>
        </w:numPr>
        <w:tabs>
          <w:tab w:pos="1153" w:val="left" w:leader="none"/>
          <w:tab w:pos="1154" w:val="left" w:leader="none"/>
        </w:tabs>
        <w:spacing w:line="341" w:lineRule="exact" w:before="0" w:after="0"/>
        <w:ind w:left="1153" w:right="0" w:hanging="361"/>
        <w:jc w:val="left"/>
        <w:rPr>
          <w:sz w:val="28"/>
        </w:rPr>
      </w:pPr>
      <w:r>
        <w:rPr>
          <w:sz w:val="28"/>
        </w:rPr>
        <w:t>Les responsables d’achat des régions,</w:t>
      </w:r>
    </w:p>
    <w:p>
      <w:pPr>
        <w:pStyle w:val="ListParagraph"/>
        <w:numPr>
          <w:ilvl w:val="3"/>
          <w:numId w:val="35"/>
        </w:numPr>
        <w:tabs>
          <w:tab w:pos="1153" w:val="left" w:leader="none"/>
          <w:tab w:pos="1154" w:val="left" w:leader="none"/>
        </w:tabs>
        <w:spacing w:line="240" w:lineRule="auto" w:before="0" w:after="0"/>
        <w:ind w:left="1153" w:right="756" w:hanging="360"/>
        <w:jc w:val="left"/>
        <w:rPr>
          <w:sz w:val="28"/>
        </w:rPr>
      </w:pPr>
      <w:r>
        <w:rPr>
          <w:sz w:val="28"/>
        </w:rPr>
        <w:t>(4)</w:t>
      </w:r>
      <w:r>
        <w:rPr>
          <w:spacing w:val="-20"/>
          <w:sz w:val="28"/>
        </w:rPr>
        <w:t> </w:t>
      </w:r>
      <w:r>
        <w:rPr>
          <w:sz w:val="28"/>
        </w:rPr>
        <w:t>Commissions</w:t>
      </w:r>
      <w:r>
        <w:rPr>
          <w:spacing w:val="-18"/>
          <w:sz w:val="28"/>
        </w:rPr>
        <w:t> </w:t>
      </w:r>
      <w:r>
        <w:rPr>
          <w:sz w:val="28"/>
        </w:rPr>
        <w:t>Régionales</w:t>
      </w:r>
      <w:r>
        <w:rPr>
          <w:spacing w:val="-18"/>
          <w:sz w:val="28"/>
        </w:rPr>
        <w:t> </w:t>
      </w:r>
      <w:r>
        <w:rPr>
          <w:sz w:val="28"/>
        </w:rPr>
        <w:t>d’achat</w:t>
      </w:r>
      <w:r>
        <w:rPr>
          <w:spacing w:val="-18"/>
          <w:sz w:val="28"/>
        </w:rPr>
        <w:t> </w:t>
      </w:r>
      <w:r>
        <w:rPr>
          <w:sz w:val="28"/>
        </w:rPr>
        <w:t>(CRA</w:t>
      </w:r>
      <w:r>
        <w:rPr>
          <w:spacing w:val="-20"/>
          <w:sz w:val="28"/>
        </w:rPr>
        <w:t> </w:t>
      </w:r>
      <w:r>
        <w:rPr>
          <w:sz w:val="28"/>
        </w:rPr>
        <w:t>Tunis,</w:t>
      </w:r>
      <w:r>
        <w:rPr>
          <w:spacing w:val="-19"/>
          <w:sz w:val="28"/>
        </w:rPr>
        <w:t> </w:t>
      </w:r>
      <w:r>
        <w:rPr>
          <w:sz w:val="28"/>
        </w:rPr>
        <w:t>CRA</w:t>
      </w:r>
      <w:r>
        <w:rPr>
          <w:spacing w:val="-20"/>
          <w:sz w:val="28"/>
        </w:rPr>
        <w:t> </w:t>
      </w:r>
      <w:r>
        <w:rPr>
          <w:sz w:val="28"/>
        </w:rPr>
        <w:t>Sfax,</w:t>
      </w:r>
      <w:r>
        <w:rPr>
          <w:spacing w:val="-19"/>
          <w:sz w:val="28"/>
        </w:rPr>
        <w:t> </w:t>
      </w:r>
      <w:r>
        <w:rPr>
          <w:sz w:val="28"/>
        </w:rPr>
        <w:t>CRA</w:t>
      </w:r>
      <w:r>
        <w:rPr>
          <w:spacing w:val="-20"/>
          <w:sz w:val="28"/>
        </w:rPr>
        <w:t> </w:t>
      </w:r>
      <w:r>
        <w:rPr>
          <w:sz w:val="28"/>
        </w:rPr>
        <w:t>Gabes,</w:t>
      </w:r>
      <w:r>
        <w:rPr>
          <w:spacing w:val="-19"/>
          <w:sz w:val="28"/>
        </w:rPr>
        <w:t> </w:t>
      </w:r>
      <w:r>
        <w:rPr>
          <w:sz w:val="28"/>
        </w:rPr>
        <w:t>CRA Gafsa),</w:t>
      </w:r>
    </w:p>
    <w:p>
      <w:pPr>
        <w:pStyle w:val="ListParagraph"/>
        <w:numPr>
          <w:ilvl w:val="3"/>
          <w:numId w:val="35"/>
        </w:numPr>
        <w:tabs>
          <w:tab w:pos="1153" w:val="left" w:leader="none"/>
          <w:tab w:pos="1154" w:val="left" w:leader="none"/>
        </w:tabs>
        <w:spacing w:line="342" w:lineRule="exact" w:before="0" w:after="0"/>
        <w:ind w:left="1153" w:right="0" w:hanging="361"/>
        <w:jc w:val="left"/>
        <w:rPr>
          <w:sz w:val="28"/>
        </w:rPr>
      </w:pPr>
      <w:r>
        <w:rPr>
          <w:sz w:val="28"/>
        </w:rPr>
        <w:t>La Commission des achats de l’entreprise</w:t>
      </w:r>
      <w:r>
        <w:rPr>
          <w:spacing w:val="-3"/>
          <w:sz w:val="28"/>
        </w:rPr>
        <w:t> </w:t>
      </w:r>
      <w:r>
        <w:rPr>
          <w:sz w:val="28"/>
        </w:rPr>
        <w:t>CAE.</w:t>
      </w:r>
    </w:p>
    <w:p>
      <w:pPr>
        <w:pStyle w:val="ListParagraph"/>
        <w:numPr>
          <w:ilvl w:val="3"/>
          <w:numId w:val="35"/>
        </w:numPr>
        <w:tabs>
          <w:tab w:pos="1145" w:val="left" w:leader="none"/>
          <w:tab w:pos="1147" w:val="left" w:leader="none"/>
        </w:tabs>
        <w:spacing w:line="342" w:lineRule="exact" w:before="0" w:after="0"/>
        <w:ind w:left="1146" w:right="0" w:hanging="357"/>
        <w:jc w:val="left"/>
        <w:rPr>
          <w:sz w:val="28"/>
        </w:rPr>
      </w:pPr>
      <w:r>
        <w:rPr>
          <w:sz w:val="28"/>
        </w:rPr>
        <w:t>La Commission des marchés de l’entreprise</w:t>
      </w:r>
      <w:r>
        <w:rPr>
          <w:spacing w:val="-2"/>
          <w:sz w:val="28"/>
        </w:rPr>
        <w:t> </w:t>
      </w:r>
      <w:r>
        <w:rPr>
          <w:sz w:val="28"/>
        </w:rPr>
        <w:t>CME.</w:t>
      </w:r>
    </w:p>
    <w:p>
      <w:pPr>
        <w:pStyle w:val="BodyText"/>
        <w:spacing w:before="120"/>
        <w:ind w:left="999" w:firstLine="0"/>
        <w:jc w:val="left"/>
      </w:pPr>
      <w:r>
        <w:rPr/>
        <w:t>Le montant de référence de l’entité de contrôle compétente est déterminé comme</w:t>
      </w:r>
    </w:p>
    <w:p>
      <w:pPr>
        <w:pStyle w:val="BodyText"/>
        <w:spacing w:line="322" w:lineRule="exact"/>
        <w:ind w:firstLine="0"/>
        <w:jc w:val="left"/>
      </w:pPr>
      <w:r>
        <w:rPr/>
        <w:t>suit :</w:t>
      </w:r>
    </w:p>
    <w:p>
      <w:pPr>
        <w:pStyle w:val="ListParagraph"/>
        <w:numPr>
          <w:ilvl w:val="0"/>
          <w:numId w:val="36"/>
        </w:numPr>
        <w:tabs>
          <w:tab w:pos="999" w:val="left" w:leader="none"/>
          <w:tab w:pos="1000" w:val="left" w:leader="none"/>
        </w:tabs>
        <w:spacing w:line="240" w:lineRule="auto" w:before="0" w:after="0"/>
        <w:ind w:left="999" w:right="760" w:hanging="425"/>
        <w:jc w:val="left"/>
        <w:rPr>
          <w:sz w:val="28"/>
        </w:rPr>
      </w:pPr>
      <w:r>
        <w:rPr>
          <w:sz w:val="28"/>
        </w:rPr>
        <w:t>L’estimation du montant de l'achat, lors de la phase de préparation de la mise en concurrence</w:t>
      </w:r>
      <w:r>
        <w:rPr>
          <w:spacing w:val="-1"/>
          <w:sz w:val="28"/>
        </w:rPr>
        <w:t> </w:t>
      </w:r>
      <w:r>
        <w:rPr>
          <w:sz w:val="28"/>
        </w:rPr>
        <w:t>;</w:t>
      </w:r>
    </w:p>
    <w:p>
      <w:pPr>
        <w:pStyle w:val="ListParagraph"/>
        <w:numPr>
          <w:ilvl w:val="0"/>
          <w:numId w:val="36"/>
        </w:numPr>
        <w:tabs>
          <w:tab w:pos="999" w:val="left" w:leader="none"/>
          <w:tab w:pos="1000" w:val="left" w:leader="none"/>
        </w:tabs>
        <w:spacing w:line="240" w:lineRule="auto" w:before="2" w:after="0"/>
        <w:ind w:left="999" w:right="758" w:hanging="425"/>
        <w:jc w:val="left"/>
        <w:rPr>
          <w:sz w:val="28"/>
        </w:rPr>
      </w:pPr>
      <w:r>
        <w:rPr>
          <w:sz w:val="28"/>
        </w:rPr>
        <w:t>La valeur de l’offre proposée par la commission d'évaluation (somme des commandes à attribuer), si le dossier est concluant</w:t>
      </w:r>
      <w:r>
        <w:rPr>
          <w:spacing w:val="-13"/>
          <w:sz w:val="28"/>
        </w:rPr>
        <w:t> </w:t>
      </w:r>
      <w:r>
        <w:rPr>
          <w:sz w:val="28"/>
        </w:rPr>
        <w:t>;</w:t>
      </w:r>
    </w:p>
    <w:p>
      <w:pPr>
        <w:spacing w:after="0" w:line="240" w:lineRule="auto"/>
        <w:jc w:val="left"/>
        <w:rPr>
          <w:sz w:val="28"/>
        </w:rPr>
        <w:sectPr>
          <w:pgSz w:w="11910" w:h="16840"/>
          <w:pgMar w:header="722" w:footer="0" w:top="1860" w:bottom="280" w:left="700" w:right="380"/>
        </w:sectPr>
      </w:pPr>
    </w:p>
    <w:p>
      <w:pPr>
        <w:pStyle w:val="BodyText"/>
        <w:spacing w:before="3"/>
        <w:ind w:left="0" w:firstLine="0"/>
        <w:jc w:val="left"/>
        <w:rPr>
          <w:sz w:val="16"/>
        </w:rPr>
      </w:pPr>
    </w:p>
    <w:p>
      <w:pPr>
        <w:pStyle w:val="ListParagraph"/>
        <w:numPr>
          <w:ilvl w:val="0"/>
          <w:numId w:val="36"/>
        </w:numPr>
        <w:tabs>
          <w:tab w:pos="999" w:val="left" w:leader="none"/>
          <w:tab w:pos="1000" w:val="left" w:leader="none"/>
        </w:tabs>
        <w:spacing w:line="240" w:lineRule="auto" w:before="89" w:after="0"/>
        <w:ind w:left="999" w:right="756" w:hanging="425"/>
        <w:jc w:val="left"/>
        <w:rPr>
          <w:sz w:val="28"/>
        </w:rPr>
      </w:pPr>
      <w:r>
        <w:rPr>
          <w:sz w:val="28"/>
        </w:rPr>
        <w:t>Le</w:t>
      </w:r>
      <w:r>
        <w:rPr>
          <w:spacing w:val="-12"/>
          <w:sz w:val="28"/>
        </w:rPr>
        <w:t> </w:t>
      </w:r>
      <w:r>
        <w:rPr>
          <w:sz w:val="28"/>
        </w:rPr>
        <w:t>montant</w:t>
      </w:r>
      <w:r>
        <w:rPr>
          <w:spacing w:val="-14"/>
          <w:sz w:val="28"/>
        </w:rPr>
        <w:t> </w:t>
      </w:r>
      <w:r>
        <w:rPr>
          <w:sz w:val="28"/>
        </w:rPr>
        <w:t>estimatif</w:t>
      </w:r>
      <w:r>
        <w:rPr>
          <w:spacing w:val="-16"/>
          <w:sz w:val="28"/>
        </w:rPr>
        <w:t> </w:t>
      </w:r>
      <w:r>
        <w:rPr>
          <w:sz w:val="28"/>
        </w:rPr>
        <w:t>de</w:t>
      </w:r>
      <w:r>
        <w:rPr>
          <w:spacing w:val="-16"/>
          <w:sz w:val="28"/>
        </w:rPr>
        <w:t> </w:t>
      </w:r>
      <w:r>
        <w:rPr>
          <w:sz w:val="28"/>
        </w:rPr>
        <w:t>l’achat,</w:t>
      </w:r>
      <w:r>
        <w:rPr>
          <w:spacing w:val="-15"/>
          <w:sz w:val="28"/>
        </w:rPr>
        <w:t> </w:t>
      </w:r>
      <w:r>
        <w:rPr>
          <w:sz w:val="28"/>
        </w:rPr>
        <w:t>si</w:t>
      </w:r>
      <w:r>
        <w:rPr>
          <w:spacing w:val="-15"/>
          <w:sz w:val="28"/>
        </w:rPr>
        <w:t> </w:t>
      </w:r>
      <w:r>
        <w:rPr>
          <w:sz w:val="28"/>
        </w:rPr>
        <w:t>le</w:t>
      </w:r>
      <w:r>
        <w:rPr>
          <w:spacing w:val="-17"/>
          <w:sz w:val="28"/>
        </w:rPr>
        <w:t> </w:t>
      </w:r>
      <w:r>
        <w:rPr>
          <w:sz w:val="28"/>
        </w:rPr>
        <w:t>dossier</w:t>
      </w:r>
      <w:r>
        <w:rPr>
          <w:spacing w:val="-13"/>
          <w:sz w:val="28"/>
        </w:rPr>
        <w:t> </w:t>
      </w:r>
      <w:r>
        <w:rPr>
          <w:sz w:val="28"/>
        </w:rPr>
        <w:t>est</w:t>
      </w:r>
      <w:r>
        <w:rPr>
          <w:spacing w:val="-16"/>
          <w:sz w:val="28"/>
        </w:rPr>
        <w:t> </w:t>
      </w:r>
      <w:r>
        <w:rPr>
          <w:sz w:val="28"/>
        </w:rPr>
        <w:t>proposé</w:t>
      </w:r>
      <w:r>
        <w:rPr>
          <w:spacing w:val="-13"/>
          <w:sz w:val="28"/>
        </w:rPr>
        <w:t> </w:t>
      </w:r>
      <w:r>
        <w:rPr>
          <w:sz w:val="28"/>
        </w:rPr>
        <w:t>infructueux</w:t>
      </w:r>
      <w:r>
        <w:rPr>
          <w:spacing w:val="-14"/>
          <w:sz w:val="28"/>
        </w:rPr>
        <w:t> </w:t>
      </w:r>
      <w:r>
        <w:rPr>
          <w:sz w:val="28"/>
        </w:rPr>
        <w:t>pour</w:t>
      </w:r>
      <w:r>
        <w:rPr>
          <w:spacing w:val="-13"/>
          <w:sz w:val="28"/>
        </w:rPr>
        <w:t> </w:t>
      </w:r>
      <w:r>
        <w:rPr>
          <w:sz w:val="28"/>
        </w:rPr>
        <w:t>absence de participation ;</w:t>
      </w:r>
    </w:p>
    <w:p>
      <w:pPr>
        <w:pStyle w:val="ListParagraph"/>
        <w:numPr>
          <w:ilvl w:val="0"/>
          <w:numId w:val="36"/>
        </w:numPr>
        <w:tabs>
          <w:tab w:pos="999" w:val="left" w:leader="none"/>
          <w:tab w:pos="1000" w:val="left" w:leader="none"/>
        </w:tabs>
        <w:spacing w:line="242" w:lineRule="auto" w:before="0" w:after="0"/>
        <w:ind w:left="999" w:right="755" w:hanging="425"/>
        <w:jc w:val="left"/>
        <w:rPr>
          <w:sz w:val="28"/>
        </w:rPr>
      </w:pPr>
      <w:r>
        <w:rPr>
          <w:sz w:val="28"/>
        </w:rPr>
        <w:t>La moyenne des offres reçues, si le dossier </w:t>
      </w:r>
      <w:r>
        <w:rPr>
          <w:spacing w:val="2"/>
          <w:sz w:val="28"/>
        </w:rPr>
        <w:t>est </w:t>
      </w:r>
      <w:r>
        <w:rPr>
          <w:sz w:val="28"/>
        </w:rPr>
        <w:t>proposé infructueux suite à la réception</w:t>
      </w:r>
      <w:r>
        <w:rPr>
          <w:spacing w:val="-8"/>
          <w:sz w:val="28"/>
        </w:rPr>
        <w:t> </w:t>
      </w:r>
      <w:r>
        <w:rPr>
          <w:sz w:val="28"/>
        </w:rPr>
        <w:t>d’offres</w:t>
      </w:r>
      <w:r>
        <w:rPr>
          <w:spacing w:val="-7"/>
          <w:sz w:val="28"/>
        </w:rPr>
        <w:t> </w:t>
      </w:r>
      <w:r>
        <w:rPr>
          <w:sz w:val="28"/>
        </w:rPr>
        <w:t>inacceptables</w:t>
      </w:r>
      <w:r>
        <w:rPr>
          <w:spacing w:val="-8"/>
          <w:sz w:val="28"/>
        </w:rPr>
        <w:t> </w:t>
      </w:r>
      <w:r>
        <w:rPr>
          <w:sz w:val="28"/>
        </w:rPr>
        <w:t>ou</w:t>
      </w:r>
      <w:r>
        <w:rPr>
          <w:spacing w:val="-8"/>
          <w:sz w:val="28"/>
        </w:rPr>
        <w:t> </w:t>
      </w:r>
      <w:r>
        <w:rPr>
          <w:sz w:val="28"/>
        </w:rPr>
        <w:t>en</w:t>
      </w:r>
      <w:r>
        <w:rPr>
          <w:spacing w:val="-7"/>
          <w:sz w:val="28"/>
        </w:rPr>
        <w:t> </w:t>
      </w:r>
      <w:r>
        <w:rPr>
          <w:sz w:val="28"/>
        </w:rPr>
        <w:t>cas</w:t>
      </w:r>
      <w:r>
        <w:rPr>
          <w:spacing w:val="-8"/>
          <w:sz w:val="28"/>
        </w:rPr>
        <w:t> </w:t>
      </w:r>
      <w:r>
        <w:rPr>
          <w:sz w:val="28"/>
        </w:rPr>
        <w:t>d’entente</w:t>
      </w:r>
      <w:r>
        <w:rPr>
          <w:spacing w:val="-8"/>
          <w:sz w:val="28"/>
        </w:rPr>
        <w:t> </w:t>
      </w:r>
      <w:r>
        <w:rPr>
          <w:sz w:val="28"/>
        </w:rPr>
        <w:t>manifeste</w:t>
      </w:r>
      <w:r>
        <w:rPr>
          <w:spacing w:val="-9"/>
          <w:sz w:val="28"/>
        </w:rPr>
        <w:t> </w:t>
      </w:r>
      <w:r>
        <w:rPr>
          <w:sz w:val="28"/>
        </w:rPr>
        <w:t>entre</w:t>
      </w:r>
      <w:r>
        <w:rPr>
          <w:spacing w:val="-9"/>
          <w:sz w:val="28"/>
        </w:rPr>
        <w:t> </w:t>
      </w:r>
      <w:r>
        <w:rPr>
          <w:sz w:val="28"/>
        </w:rPr>
        <w:t>participants</w:t>
      </w:r>
      <w:r>
        <w:rPr>
          <w:spacing w:val="-8"/>
          <w:sz w:val="28"/>
        </w:rPr>
        <w:t> </w:t>
      </w:r>
      <w:r>
        <w:rPr>
          <w:sz w:val="28"/>
        </w:rPr>
        <w:t>;</w:t>
      </w:r>
    </w:p>
    <w:p>
      <w:pPr>
        <w:pStyle w:val="ListParagraph"/>
        <w:numPr>
          <w:ilvl w:val="0"/>
          <w:numId w:val="36"/>
        </w:numPr>
        <w:tabs>
          <w:tab w:pos="999" w:val="left" w:leader="none"/>
          <w:tab w:pos="1000" w:val="left" w:leader="none"/>
        </w:tabs>
        <w:spacing w:line="240" w:lineRule="auto" w:before="0" w:after="0"/>
        <w:ind w:left="999" w:right="760" w:hanging="425"/>
        <w:jc w:val="left"/>
        <w:rPr>
          <w:sz w:val="28"/>
        </w:rPr>
      </w:pPr>
      <w:r>
        <w:rPr>
          <w:sz w:val="28"/>
        </w:rPr>
        <w:t>Le montant de l’offre négociée avec le soumissionnaire, dans le cas d’une procédure de négociation directe</w:t>
      </w:r>
      <w:r>
        <w:rPr>
          <w:spacing w:val="-7"/>
          <w:sz w:val="28"/>
        </w:rPr>
        <w:t> </w:t>
      </w:r>
      <w:r>
        <w:rPr>
          <w:sz w:val="28"/>
        </w:rPr>
        <w:t>;</w:t>
      </w:r>
    </w:p>
    <w:p>
      <w:pPr>
        <w:pStyle w:val="ListParagraph"/>
        <w:numPr>
          <w:ilvl w:val="0"/>
          <w:numId w:val="36"/>
        </w:numPr>
        <w:tabs>
          <w:tab w:pos="999" w:val="left" w:leader="none"/>
          <w:tab w:pos="1000" w:val="left" w:leader="none"/>
        </w:tabs>
        <w:spacing w:line="321" w:lineRule="exact" w:before="0" w:after="0"/>
        <w:ind w:left="999" w:right="0" w:hanging="426"/>
        <w:jc w:val="left"/>
        <w:rPr>
          <w:sz w:val="28"/>
        </w:rPr>
      </w:pPr>
      <w:r>
        <w:rPr>
          <w:sz w:val="28"/>
        </w:rPr>
        <w:t>Du montant total maximal de la période contractuelle des contrats-cadres</w:t>
      </w:r>
      <w:r>
        <w:rPr>
          <w:spacing w:val="-6"/>
          <w:sz w:val="28"/>
        </w:rPr>
        <w:t> </w:t>
      </w:r>
      <w:r>
        <w:rPr>
          <w:sz w:val="28"/>
        </w:rPr>
        <w:t>;</w:t>
      </w:r>
    </w:p>
    <w:p>
      <w:pPr>
        <w:pStyle w:val="ListParagraph"/>
        <w:numPr>
          <w:ilvl w:val="0"/>
          <w:numId w:val="36"/>
        </w:numPr>
        <w:tabs>
          <w:tab w:pos="999" w:val="left" w:leader="none"/>
          <w:tab w:pos="1000" w:val="left" w:leader="none"/>
        </w:tabs>
        <w:spacing w:line="240" w:lineRule="auto" w:before="0" w:after="0"/>
        <w:ind w:left="999" w:right="750" w:hanging="425"/>
        <w:jc w:val="left"/>
        <w:rPr>
          <w:sz w:val="28"/>
        </w:rPr>
      </w:pPr>
      <w:r>
        <w:rPr>
          <w:sz w:val="28"/>
        </w:rPr>
        <w:t>En cas de conclusion d’un avenant, le seuil de compétence est celui de l'achat initial augmenté du montant de(s)</w:t>
      </w:r>
      <w:r>
        <w:rPr>
          <w:spacing w:val="-5"/>
          <w:sz w:val="28"/>
        </w:rPr>
        <w:t> </w:t>
      </w:r>
      <w:r>
        <w:rPr>
          <w:sz w:val="28"/>
        </w:rPr>
        <w:t>l’avenant(s).</w:t>
      </w:r>
    </w:p>
    <w:p>
      <w:pPr>
        <w:pStyle w:val="BodyText"/>
        <w:spacing w:before="116"/>
        <w:ind w:left="999" w:firstLine="0"/>
      </w:pPr>
      <w:r>
        <w:rPr/>
        <w:t>L’annexe n°13 détermine l’entité de contrôle compétente pour chaque seuil.</w:t>
      </w:r>
    </w:p>
    <w:p>
      <w:pPr>
        <w:pStyle w:val="BodyText"/>
        <w:spacing w:before="120"/>
        <w:ind w:right="749"/>
      </w:pPr>
      <w:r>
        <w:rPr/>
        <w:t>Les détails d’identification de chaque entité d’ouverture, d’évaluation ou de contrôle</w:t>
      </w:r>
      <w:r>
        <w:rPr>
          <w:spacing w:val="-15"/>
        </w:rPr>
        <w:t> </w:t>
      </w:r>
      <w:r>
        <w:rPr/>
        <w:t>(Composition,</w:t>
      </w:r>
      <w:r>
        <w:rPr>
          <w:spacing w:val="-15"/>
        </w:rPr>
        <w:t> </w:t>
      </w:r>
      <w:r>
        <w:rPr/>
        <w:t>quorum,</w:t>
      </w:r>
      <w:r>
        <w:rPr>
          <w:spacing w:val="-16"/>
        </w:rPr>
        <w:t> </w:t>
      </w:r>
      <w:r>
        <w:rPr/>
        <w:t>secrétariat,</w:t>
      </w:r>
      <w:r>
        <w:rPr>
          <w:spacing w:val="-16"/>
        </w:rPr>
        <w:t> </w:t>
      </w:r>
      <w:r>
        <w:rPr/>
        <w:t>attributions,</w:t>
      </w:r>
      <w:r>
        <w:rPr>
          <w:spacing w:val="-16"/>
        </w:rPr>
        <w:t> </w:t>
      </w:r>
      <w:r>
        <w:rPr/>
        <w:t>etc.)</w:t>
      </w:r>
      <w:r>
        <w:rPr>
          <w:spacing w:val="-18"/>
        </w:rPr>
        <w:t> </w:t>
      </w:r>
      <w:r>
        <w:rPr/>
        <w:t>sont</w:t>
      </w:r>
      <w:r>
        <w:rPr>
          <w:spacing w:val="-16"/>
        </w:rPr>
        <w:t> </w:t>
      </w:r>
      <w:r>
        <w:rPr/>
        <w:t>mentionnés</w:t>
      </w:r>
      <w:r>
        <w:rPr>
          <w:spacing w:val="-17"/>
        </w:rPr>
        <w:t> </w:t>
      </w:r>
      <w:r>
        <w:rPr/>
        <w:t>dans</w:t>
      </w:r>
      <w:r>
        <w:rPr>
          <w:spacing w:val="-9"/>
        </w:rPr>
        <w:t> </w:t>
      </w:r>
      <w:r>
        <w:rPr/>
        <w:t>les annexes n°2, n°3, n°5, n°7, n°8,</w:t>
      </w:r>
      <w:r>
        <w:rPr>
          <w:spacing w:val="-10"/>
        </w:rPr>
        <w:t> </w:t>
      </w:r>
      <w:r>
        <w:rPr/>
        <w:t>n°10.</w:t>
      </w:r>
    </w:p>
    <w:p>
      <w:pPr>
        <w:pStyle w:val="Heading2"/>
        <w:numPr>
          <w:ilvl w:val="2"/>
          <w:numId w:val="35"/>
        </w:numPr>
        <w:tabs>
          <w:tab w:pos="1214" w:val="left" w:leader="none"/>
        </w:tabs>
        <w:spacing w:line="240" w:lineRule="auto" w:before="124" w:after="0"/>
        <w:ind w:left="1213" w:right="0" w:hanging="781"/>
        <w:jc w:val="both"/>
      </w:pPr>
      <w:bookmarkStart w:name="_TOC_250105" w:id="38"/>
      <w:r>
        <w:rPr/>
        <w:t>Les délais de passation des achats hors matières</w:t>
      </w:r>
      <w:r>
        <w:rPr>
          <w:spacing w:val="2"/>
        </w:rPr>
        <w:t> </w:t>
      </w:r>
      <w:bookmarkEnd w:id="38"/>
      <w:r>
        <w:rPr/>
        <w:t>premières</w:t>
      </w:r>
    </w:p>
    <w:p>
      <w:pPr>
        <w:pStyle w:val="BodyText"/>
        <w:spacing w:line="242" w:lineRule="auto" w:before="43"/>
        <w:ind w:right="750"/>
      </w:pPr>
      <w:r>
        <w:rPr/>
        <w:t>L’annexe n°14 détermine les différents délais de passation des achats hors marchés et des marchés.</w:t>
      </w:r>
    </w:p>
    <w:p>
      <w:pPr>
        <w:spacing w:after="0" w:line="242" w:lineRule="auto"/>
        <w:sectPr>
          <w:pgSz w:w="11910" w:h="16840"/>
          <w:pgMar w:header="722" w:footer="0" w:top="1860" w:bottom="280" w:left="700" w:right="380"/>
        </w:sectPr>
      </w:pPr>
    </w:p>
    <w:p>
      <w:pPr>
        <w:pStyle w:val="BodyText"/>
        <w:spacing w:before="8"/>
        <w:ind w:left="0" w:firstLine="0"/>
        <w:jc w:val="left"/>
        <w:rPr>
          <w:sz w:val="16"/>
        </w:rPr>
      </w:pPr>
    </w:p>
    <w:p>
      <w:pPr>
        <w:pStyle w:val="Heading2"/>
        <w:numPr>
          <w:ilvl w:val="0"/>
          <w:numId w:val="18"/>
        </w:numPr>
        <w:tabs>
          <w:tab w:pos="902" w:val="left" w:leader="none"/>
        </w:tabs>
        <w:spacing w:line="240" w:lineRule="auto" w:before="89" w:after="0"/>
        <w:ind w:left="901" w:right="0" w:hanging="469"/>
        <w:jc w:val="both"/>
      </w:pPr>
      <w:bookmarkStart w:name="_TOC_250104" w:id="39"/>
      <w:r>
        <w:rPr/>
        <w:t>Procédures des achats hors</w:t>
      </w:r>
      <w:r>
        <w:rPr>
          <w:spacing w:val="-1"/>
        </w:rPr>
        <w:t> </w:t>
      </w:r>
      <w:bookmarkEnd w:id="39"/>
      <w:r>
        <w:rPr/>
        <w:t>marchés</w:t>
      </w:r>
    </w:p>
    <w:p>
      <w:pPr>
        <w:pStyle w:val="Heading2"/>
        <w:numPr>
          <w:ilvl w:val="1"/>
          <w:numId w:val="18"/>
        </w:numPr>
        <w:tabs>
          <w:tab w:pos="1113" w:val="left" w:leader="none"/>
        </w:tabs>
        <w:spacing w:line="240" w:lineRule="auto" w:before="167" w:after="0"/>
        <w:ind w:left="1112" w:right="0" w:hanging="680"/>
        <w:jc w:val="both"/>
      </w:pPr>
      <w:bookmarkStart w:name="_TOC_250103" w:id="40"/>
      <w:bookmarkEnd w:id="40"/>
      <w:r>
        <w:rPr/>
        <w:t>Modes et procédures de passation des achats hors marchés</w:t>
      </w:r>
    </w:p>
    <w:p>
      <w:pPr>
        <w:pStyle w:val="Heading2"/>
        <w:numPr>
          <w:ilvl w:val="2"/>
          <w:numId w:val="37"/>
        </w:numPr>
        <w:tabs>
          <w:tab w:pos="1252" w:val="left" w:leader="none"/>
        </w:tabs>
        <w:spacing w:line="240" w:lineRule="auto" w:before="122" w:after="0"/>
        <w:ind w:left="1251" w:right="0" w:hanging="819"/>
        <w:jc w:val="both"/>
      </w:pPr>
      <w:bookmarkStart w:name="_TOC_250102" w:id="41"/>
      <w:r>
        <w:rPr/>
        <w:t>Demande directe d’achat</w:t>
      </w:r>
      <w:r>
        <w:rPr>
          <w:spacing w:val="1"/>
        </w:rPr>
        <w:t> </w:t>
      </w:r>
      <w:bookmarkEnd w:id="41"/>
      <w:r>
        <w:rPr/>
        <w:t>(régie)</w:t>
      </w:r>
    </w:p>
    <w:p>
      <w:pPr>
        <w:pStyle w:val="BodyText"/>
        <w:spacing w:before="43"/>
        <w:ind w:right="749"/>
      </w:pPr>
      <w:r>
        <w:rPr/>
        <w:t>Les différentes structures d’achat, peuvent, pour les achats dont le montant est inférieur à 5000 DT, négocier au mieux certaines commandes sans obligation de consultation</w:t>
      </w:r>
      <w:r>
        <w:rPr>
          <w:spacing w:val="-3"/>
        </w:rPr>
        <w:t> </w:t>
      </w:r>
      <w:r>
        <w:rPr/>
        <w:t>ou</w:t>
      </w:r>
      <w:r>
        <w:rPr>
          <w:spacing w:val="-7"/>
        </w:rPr>
        <w:t> </w:t>
      </w:r>
      <w:r>
        <w:rPr/>
        <w:t>demande</w:t>
      </w:r>
      <w:r>
        <w:rPr>
          <w:spacing w:val="-4"/>
        </w:rPr>
        <w:t> </w:t>
      </w:r>
      <w:r>
        <w:rPr/>
        <w:t>de</w:t>
      </w:r>
      <w:r>
        <w:rPr>
          <w:spacing w:val="-4"/>
        </w:rPr>
        <w:t> </w:t>
      </w:r>
      <w:r>
        <w:rPr/>
        <w:t>cotation,</w:t>
      </w:r>
      <w:r>
        <w:rPr>
          <w:spacing w:val="-4"/>
        </w:rPr>
        <w:t> </w:t>
      </w:r>
      <w:r>
        <w:rPr/>
        <w:t>à</w:t>
      </w:r>
      <w:r>
        <w:rPr>
          <w:spacing w:val="-4"/>
        </w:rPr>
        <w:t> </w:t>
      </w:r>
      <w:r>
        <w:rPr/>
        <w:t>condition</w:t>
      </w:r>
      <w:r>
        <w:rPr>
          <w:spacing w:val="-7"/>
        </w:rPr>
        <w:t> </w:t>
      </w:r>
      <w:r>
        <w:rPr/>
        <w:t>de</w:t>
      </w:r>
      <w:r>
        <w:rPr>
          <w:spacing w:val="-6"/>
        </w:rPr>
        <w:t> </w:t>
      </w:r>
      <w:r>
        <w:rPr/>
        <w:t>présenter</w:t>
      </w:r>
      <w:r>
        <w:rPr>
          <w:spacing w:val="-7"/>
        </w:rPr>
        <w:t> </w:t>
      </w:r>
      <w:r>
        <w:rPr/>
        <w:t>à</w:t>
      </w:r>
      <w:r>
        <w:rPr>
          <w:spacing w:val="-5"/>
        </w:rPr>
        <w:t> </w:t>
      </w:r>
      <w:r>
        <w:rPr/>
        <w:t>la</w:t>
      </w:r>
      <w:r>
        <w:rPr>
          <w:spacing w:val="-3"/>
        </w:rPr>
        <w:t> </w:t>
      </w:r>
      <w:r>
        <w:rPr/>
        <w:t>direction</w:t>
      </w:r>
      <w:r>
        <w:rPr>
          <w:spacing w:val="-3"/>
        </w:rPr>
        <w:t> </w:t>
      </w:r>
      <w:r>
        <w:rPr/>
        <w:t>financière un dossier d’achat complet (copie du bon de commande, bon de livraison et</w:t>
      </w:r>
      <w:r>
        <w:rPr>
          <w:spacing w:val="-31"/>
        </w:rPr>
        <w:t> </w:t>
      </w:r>
      <w:r>
        <w:rPr/>
        <w:t>facture).</w:t>
      </w:r>
    </w:p>
    <w:p>
      <w:pPr>
        <w:pStyle w:val="BodyText"/>
        <w:spacing w:line="242" w:lineRule="auto"/>
        <w:ind w:right="749"/>
      </w:pPr>
      <w:r>
        <w:rPr/>
        <w:t>A noter que ces achats ne doivent en aucun cas dépasser mensuellement les montants suivants :</w:t>
      </w:r>
    </w:p>
    <w:p>
      <w:pPr>
        <w:pStyle w:val="ListParagraph"/>
        <w:numPr>
          <w:ilvl w:val="3"/>
          <w:numId w:val="37"/>
        </w:numPr>
        <w:tabs>
          <w:tab w:pos="1719" w:val="left" w:leader="none"/>
          <w:tab w:pos="1720" w:val="left" w:leader="none"/>
        </w:tabs>
        <w:spacing w:line="317" w:lineRule="exact" w:before="0" w:after="0"/>
        <w:ind w:left="1719" w:right="0" w:hanging="361"/>
        <w:jc w:val="left"/>
        <w:rPr>
          <w:sz w:val="28"/>
        </w:rPr>
      </w:pPr>
      <w:r>
        <w:rPr>
          <w:sz w:val="28"/>
        </w:rPr>
        <w:t>20 000 DT pour la région de Tunis</w:t>
      </w:r>
      <w:r>
        <w:rPr>
          <w:spacing w:val="-4"/>
          <w:sz w:val="28"/>
        </w:rPr>
        <w:t> </w:t>
      </w:r>
      <w:r>
        <w:rPr>
          <w:sz w:val="28"/>
        </w:rPr>
        <w:t>;</w:t>
      </w:r>
    </w:p>
    <w:p>
      <w:pPr>
        <w:pStyle w:val="ListParagraph"/>
        <w:numPr>
          <w:ilvl w:val="3"/>
          <w:numId w:val="37"/>
        </w:numPr>
        <w:tabs>
          <w:tab w:pos="1719" w:val="left" w:leader="none"/>
          <w:tab w:pos="1720" w:val="left" w:leader="none"/>
        </w:tabs>
        <w:spacing w:line="322" w:lineRule="exact" w:before="0" w:after="0"/>
        <w:ind w:left="1719" w:right="0" w:hanging="361"/>
        <w:jc w:val="left"/>
        <w:rPr>
          <w:sz w:val="28"/>
        </w:rPr>
      </w:pPr>
      <w:r>
        <w:rPr>
          <w:sz w:val="28"/>
        </w:rPr>
        <w:t>40 000 DT pour la région de Sfax</w:t>
      </w:r>
      <w:r>
        <w:rPr>
          <w:spacing w:val="-4"/>
          <w:sz w:val="28"/>
        </w:rPr>
        <w:t> </w:t>
      </w:r>
      <w:r>
        <w:rPr>
          <w:sz w:val="28"/>
        </w:rPr>
        <w:t>;</w:t>
      </w:r>
    </w:p>
    <w:p>
      <w:pPr>
        <w:pStyle w:val="ListParagraph"/>
        <w:numPr>
          <w:ilvl w:val="3"/>
          <w:numId w:val="37"/>
        </w:numPr>
        <w:tabs>
          <w:tab w:pos="1719" w:val="left" w:leader="none"/>
          <w:tab w:pos="1720" w:val="left" w:leader="none"/>
        </w:tabs>
        <w:spacing w:line="322" w:lineRule="exact" w:before="0" w:after="0"/>
        <w:ind w:left="1719" w:right="0" w:hanging="361"/>
        <w:jc w:val="left"/>
        <w:rPr>
          <w:sz w:val="28"/>
        </w:rPr>
      </w:pPr>
      <w:r>
        <w:rPr>
          <w:sz w:val="28"/>
        </w:rPr>
        <w:t>60 000 DT pour la région de Gabes</w:t>
      </w:r>
      <w:r>
        <w:rPr>
          <w:spacing w:val="-3"/>
          <w:sz w:val="28"/>
        </w:rPr>
        <w:t> </w:t>
      </w:r>
      <w:r>
        <w:rPr>
          <w:sz w:val="28"/>
        </w:rPr>
        <w:t>;</w:t>
      </w:r>
    </w:p>
    <w:p>
      <w:pPr>
        <w:pStyle w:val="ListParagraph"/>
        <w:numPr>
          <w:ilvl w:val="3"/>
          <w:numId w:val="37"/>
        </w:numPr>
        <w:tabs>
          <w:tab w:pos="1719" w:val="left" w:leader="none"/>
          <w:tab w:pos="1720" w:val="left" w:leader="none"/>
        </w:tabs>
        <w:spacing w:line="322" w:lineRule="exact" w:before="0" w:after="0"/>
        <w:ind w:left="1719" w:right="0" w:hanging="361"/>
        <w:jc w:val="left"/>
        <w:rPr>
          <w:sz w:val="28"/>
        </w:rPr>
      </w:pPr>
      <w:r>
        <w:rPr>
          <w:sz w:val="28"/>
        </w:rPr>
        <w:t>40 000 DT pour la région de Gafsa</w:t>
      </w:r>
      <w:r>
        <w:rPr>
          <w:spacing w:val="-2"/>
          <w:sz w:val="28"/>
        </w:rPr>
        <w:t> </w:t>
      </w:r>
      <w:r>
        <w:rPr>
          <w:sz w:val="28"/>
        </w:rPr>
        <w:t>;</w:t>
      </w:r>
    </w:p>
    <w:p>
      <w:pPr>
        <w:pStyle w:val="BodyText"/>
        <w:ind w:right="759"/>
      </w:pPr>
      <w:r>
        <w:rPr/>
        <w:t>Des états mensuels des dépenses engagées doivent être établis par les structures d’achat</w:t>
      </w:r>
      <w:r>
        <w:rPr>
          <w:spacing w:val="-5"/>
        </w:rPr>
        <w:t> </w:t>
      </w:r>
      <w:r>
        <w:rPr/>
        <w:t>et</w:t>
      </w:r>
      <w:r>
        <w:rPr>
          <w:spacing w:val="-5"/>
        </w:rPr>
        <w:t> </w:t>
      </w:r>
      <w:r>
        <w:rPr/>
        <w:t>communiqués</w:t>
      </w:r>
      <w:r>
        <w:rPr>
          <w:spacing w:val="-7"/>
        </w:rPr>
        <w:t> </w:t>
      </w:r>
      <w:r>
        <w:rPr/>
        <w:t>à</w:t>
      </w:r>
      <w:r>
        <w:rPr>
          <w:spacing w:val="-5"/>
        </w:rPr>
        <w:t> </w:t>
      </w:r>
      <w:r>
        <w:rPr/>
        <w:t>la</w:t>
      </w:r>
      <w:r>
        <w:rPr>
          <w:spacing w:val="-6"/>
        </w:rPr>
        <w:t> </w:t>
      </w:r>
      <w:r>
        <w:rPr/>
        <w:t>Direction</w:t>
      </w:r>
      <w:r>
        <w:rPr>
          <w:spacing w:val="-6"/>
        </w:rPr>
        <w:t> </w:t>
      </w:r>
      <w:r>
        <w:rPr/>
        <w:t>Centrale</w:t>
      </w:r>
      <w:r>
        <w:rPr>
          <w:spacing w:val="-8"/>
        </w:rPr>
        <w:t> </w:t>
      </w:r>
      <w:r>
        <w:rPr/>
        <w:t>des</w:t>
      </w:r>
      <w:r>
        <w:rPr>
          <w:spacing w:val="-6"/>
        </w:rPr>
        <w:t> </w:t>
      </w:r>
      <w:r>
        <w:rPr/>
        <w:t>achats</w:t>
      </w:r>
      <w:r>
        <w:rPr>
          <w:spacing w:val="-8"/>
        </w:rPr>
        <w:t> </w:t>
      </w:r>
      <w:r>
        <w:rPr/>
        <w:t>hors</w:t>
      </w:r>
      <w:r>
        <w:rPr>
          <w:spacing w:val="-4"/>
        </w:rPr>
        <w:t> </w:t>
      </w:r>
      <w:r>
        <w:rPr/>
        <w:t>matières</w:t>
      </w:r>
      <w:r>
        <w:rPr>
          <w:spacing w:val="-5"/>
        </w:rPr>
        <w:t> </w:t>
      </w:r>
      <w:r>
        <w:rPr/>
        <w:t>première</w:t>
      </w:r>
      <w:r>
        <w:rPr>
          <w:spacing w:val="-6"/>
        </w:rPr>
        <w:t> </w:t>
      </w:r>
      <w:r>
        <w:rPr/>
        <w:t>,</w:t>
      </w:r>
      <w:r>
        <w:rPr>
          <w:spacing w:val="-7"/>
        </w:rPr>
        <w:t> </w:t>
      </w:r>
      <w:r>
        <w:rPr/>
        <w:t>au Secrétaire Général et à la structure chargée d’audit pour information et</w:t>
      </w:r>
      <w:r>
        <w:rPr>
          <w:spacing w:val="-23"/>
        </w:rPr>
        <w:t> </w:t>
      </w:r>
      <w:r>
        <w:rPr/>
        <w:t>suivi.</w:t>
      </w:r>
    </w:p>
    <w:p>
      <w:pPr>
        <w:pStyle w:val="Heading2"/>
        <w:numPr>
          <w:ilvl w:val="2"/>
          <w:numId w:val="38"/>
        </w:numPr>
        <w:tabs>
          <w:tab w:pos="1321" w:val="left" w:leader="none"/>
        </w:tabs>
        <w:spacing w:line="240" w:lineRule="auto" w:before="126" w:after="0"/>
        <w:ind w:left="1320" w:right="0" w:hanging="888"/>
        <w:jc w:val="both"/>
      </w:pPr>
      <w:bookmarkStart w:name="_TOC_250101" w:id="42"/>
      <w:r>
        <w:rPr/>
        <w:t>Demande de</w:t>
      </w:r>
      <w:r>
        <w:rPr>
          <w:spacing w:val="-1"/>
        </w:rPr>
        <w:t> </w:t>
      </w:r>
      <w:bookmarkEnd w:id="42"/>
      <w:r>
        <w:rPr/>
        <w:t>cotations</w:t>
      </w:r>
    </w:p>
    <w:p>
      <w:pPr>
        <w:pStyle w:val="BodyText"/>
        <w:spacing w:before="42"/>
        <w:ind w:right="761"/>
      </w:pPr>
      <w:r>
        <w:rPr/>
        <w:t>Ce mode de passation concerne les achats relevant de la compétence des responsables d’achat des régions.</w:t>
      </w:r>
    </w:p>
    <w:p>
      <w:pPr>
        <w:pStyle w:val="Heading2"/>
        <w:spacing w:line="321" w:lineRule="exact" w:before="4"/>
      </w:pPr>
      <w:r>
        <w:rPr/>
        <w:t>Procédure :</w:t>
      </w:r>
    </w:p>
    <w:p>
      <w:pPr>
        <w:pStyle w:val="BodyText"/>
        <w:ind w:right="753"/>
      </w:pPr>
      <w:r>
        <w:rPr/>
        <w:t>Sauf cas d’urgence absolue, (03) devis au minimum doivent être obtenus avant désignation de l’adjudicataire. La demande de cotations est lancée par tout moyen matériel ou immatériel laissant une trace. La demande est adressée à au moins trois</w:t>
      </w:r>
    </w:p>
    <w:p>
      <w:pPr>
        <w:pStyle w:val="ListParagraph"/>
        <w:numPr>
          <w:ilvl w:val="0"/>
          <w:numId w:val="39"/>
        </w:numPr>
        <w:tabs>
          <w:tab w:pos="983" w:val="left" w:leader="none"/>
        </w:tabs>
        <w:spacing w:line="240" w:lineRule="auto" w:before="0" w:after="0"/>
        <w:ind w:left="433" w:right="752" w:firstLine="0"/>
        <w:jc w:val="both"/>
        <w:rPr>
          <w:sz w:val="28"/>
        </w:rPr>
      </w:pPr>
      <w:r>
        <w:rPr>
          <w:sz w:val="28"/>
        </w:rPr>
        <w:t>prestataires ou fournisseurs spécialisés dans le domaine </w:t>
      </w:r>
      <w:r>
        <w:rPr>
          <w:spacing w:val="3"/>
          <w:sz w:val="28"/>
        </w:rPr>
        <w:t>de </w:t>
      </w:r>
      <w:r>
        <w:rPr>
          <w:sz w:val="28"/>
        </w:rPr>
        <w:t>l’achat choisis parmi une liste détenue par la direction chargée des achats établie et enrichie et mise à jour selon les procédures prévues dans ce manuel à présenter des</w:t>
      </w:r>
      <w:r>
        <w:rPr>
          <w:spacing w:val="-15"/>
          <w:sz w:val="28"/>
        </w:rPr>
        <w:t> </w:t>
      </w:r>
      <w:r>
        <w:rPr>
          <w:sz w:val="28"/>
        </w:rPr>
        <w:t>devis.</w:t>
      </w:r>
    </w:p>
    <w:p>
      <w:pPr>
        <w:pStyle w:val="BodyText"/>
        <w:spacing w:line="322" w:lineRule="exact"/>
        <w:ind w:left="990" w:firstLine="0"/>
      </w:pPr>
      <w:r>
        <w:rPr/>
        <w:t>La procédure se déroule comme suit :</w:t>
      </w:r>
    </w:p>
    <w:p>
      <w:pPr>
        <w:pStyle w:val="ListParagraph"/>
        <w:numPr>
          <w:ilvl w:val="1"/>
          <w:numId w:val="39"/>
        </w:numPr>
        <w:tabs>
          <w:tab w:pos="1000" w:val="left" w:leader="none"/>
        </w:tabs>
        <w:spacing w:line="240" w:lineRule="auto" w:before="0" w:after="0"/>
        <w:ind w:left="999" w:right="751" w:hanging="284"/>
        <w:jc w:val="both"/>
        <w:rPr>
          <w:sz w:val="28"/>
        </w:rPr>
      </w:pPr>
      <w:r>
        <w:rPr>
          <w:w w:val="105"/>
          <w:sz w:val="28"/>
        </w:rPr>
        <w:t>Identifier les prestataires susceptibles d'être intéressés en fonction de leurs expériences, capacités techniques et financières, qualifications, proximité géographique</w:t>
      </w:r>
      <w:r>
        <w:rPr>
          <w:spacing w:val="-9"/>
          <w:w w:val="105"/>
          <w:sz w:val="28"/>
        </w:rPr>
        <w:t> </w:t>
      </w:r>
      <w:r>
        <w:rPr>
          <w:w w:val="105"/>
          <w:sz w:val="28"/>
        </w:rPr>
        <w:t>etc.</w:t>
      </w:r>
    </w:p>
    <w:p>
      <w:pPr>
        <w:pStyle w:val="ListParagraph"/>
        <w:numPr>
          <w:ilvl w:val="1"/>
          <w:numId w:val="39"/>
        </w:numPr>
        <w:tabs>
          <w:tab w:pos="1000" w:val="left" w:leader="none"/>
        </w:tabs>
        <w:spacing w:line="240" w:lineRule="auto" w:before="0" w:after="0"/>
        <w:ind w:left="999" w:right="750" w:hanging="284"/>
        <w:jc w:val="both"/>
        <w:rPr>
          <w:sz w:val="28"/>
        </w:rPr>
      </w:pPr>
      <w:r>
        <w:rPr>
          <w:sz w:val="28"/>
        </w:rPr>
        <w:t>Adresser formellement à au moins trois (03) prestataires ou fournisseurs un courrier ou E-mail tout en joignant les spécifications techniques détaillées de la prestation (travaux, biens, fournitures, services, prestations intellectuelles,</w:t>
      </w:r>
      <w:r>
        <w:rPr>
          <w:spacing w:val="-29"/>
          <w:sz w:val="28"/>
        </w:rPr>
        <w:t> </w:t>
      </w:r>
      <w:r>
        <w:rPr>
          <w:sz w:val="28"/>
        </w:rPr>
        <w:t>etc.).</w:t>
      </w:r>
    </w:p>
    <w:p>
      <w:pPr>
        <w:pStyle w:val="ListParagraph"/>
        <w:numPr>
          <w:ilvl w:val="1"/>
          <w:numId w:val="39"/>
        </w:numPr>
        <w:tabs>
          <w:tab w:pos="1000" w:val="left" w:leader="none"/>
        </w:tabs>
        <w:spacing w:line="240" w:lineRule="auto" w:before="0" w:after="0"/>
        <w:ind w:left="999" w:right="754" w:hanging="284"/>
        <w:jc w:val="both"/>
        <w:rPr>
          <w:sz w:val="28"/>
        </w:rPr>
      </w:pPr>
      <w:r>
        <w:rPr>
          <w:sz w:val="28"/>
        </w:rPr>
        <w:t>Fixer dans le courrier ou l’E-mail de la demande de cotations le délai de la préparation</w:t>
      </w:r>
      <w:r>
        <w:rPr>
          <w:spacing w:val="-8"/>
          <w:sz w:val="28"/>
        </w:rPr>
        <w:t> </w:t>
      </w:r>
      <w:r>
        <w:rPr>
          <w:sz w:val="28"/>
        </w:rPr>
        <w:t>de</w:t>
      </w:r>
      <w:r>
        <w:rPr>
          <w:spacing w:val="-8"/>
          <w:sz w:val="28"/>
        </w:rPr>
        <w:t> </w:t>
      </w:r>
      <w:r>
        <w:rPr>
          <w:sz w:val="28"/>
        </w:rPr>
        <w:t>la</w:t>
      </w:r>
      <w:r>
        <w:rPr>
          <w:spacing w:val="-10"/>
          <w:sz w:val="28"/>
        </w:rPr>
        <w:t> </w:t>
      </w:r>
      <w:r>
        <w:rPr>
          <w:sz w:val="28"/>
        </w:rPr>
        <w:t>proposition</w:t>
      </w:r>
      <w:r>
        <w:rPr>
          <w:spacing w:val="-9"/>
          <w:sz w:val="28"/>
        </w:rPr>
        <w:t> </w:t>
      </w:r>
      <w:r>
        <w:rPr>
          <w:sz w:val="28"/>
        </w:rPr>
        <w:t>de</w:t>
      </w:r>
      <w:r>
        <w:rPr>
          <w:spacing w:val="-9"/>
          <w:sz w:val="28"/>
        </w:rPr>
        <w:t> </w:t>
      </w:r>
      <w:r>
        <w:rPr>
          <w:sz w:val="28"/>
        </w:rPr>
        <w:t>remise</w:t>
      </w:r>
      <w:r>
        <w:rPr>
          <w:spacing w:val="-10"/>
          <w:sz w:val="28"/>
        </w:rPr>
        <w:t> </w:t>
      </w:r>
      <w:r>
        <w:rPr>
          <w:sz w:val="28"/>
        </w:rPr>
        <w:t>des</w:t>
      </w:r>
      <w:r>
        <w:rPr>
          <w:spacing w:val="-9"/>
          <w:sz w:val="28"/>
        </w:rPr>
        <w:t> </w:t>
      </w:r>
      <w:r>
        <w:rPr>
          <w:sz w:val="28"/>
        </w:rPr>
        <w:t>offres</w:t>
      </w:r>
      <w:r>
        <w:rPr>
          <w:spacing w:val="-7"/>
          <w:sz w:val="28"/>
        </w:rPr>
        <w:t> </w:t>
      </w:r>
      <w:r>
        <w:rPr>
          <w:sz w:val="28"/>
        </w:rPr>
        <w:t>qui</w:t>
      </w:r>
      <w:r>
        <w:rPr>
          <w:spacing w:val="-7"/>
          <w:sz w:val="28"/>
        </w:rPr>
        <w:t> </w:t>
      </w:r>
      <w:r>
        <w:rPr>
          <w:sz w:val="28"/>
        </w:rPr>
        <w:t>doit</w:t>
      </w:r>
      <w:r>
        <w:rPr>
          <w:spacing w:val="-8"/>
          <w:sz w:val="28"/>
        </w:rPr>
        <w:t> </w:t>
      </w:r>
      <w:r>
        <w:rPr>
          <w:sz w:val="28"/>
        </w:rPr>
        <w:t>être</w:t>
      </w:r>
      <w:r>
        <w:rPr>
          <w:spacing w:val="-7"/>
          <w:sz w:val="28"/>
        </w:rPr>
        <w:t> </w:t>
      </w:r>
      <w:r>
        <w:rPr>
          <w:sz w:val="28"/>
        </w:rPr>
        <w:t>compris</w:t>
      </w:r>
      <w:r>
        <w:rPr>
          <w:spacing w:val="-7"/>
          <w:sz w:val="28"/>
        </w:rPr>
        <w:t> </w:t>
      </w:r>
      <w:r>
        <w:rPr>
          <w:sz w:val="28"/>
        </w:rPr>
        <w:t>entre</w:t>
      </w:r>
      <w:r>
        <w:rPr>
          <w:spacing w:val="-8"/>
          <w:sz w:val="28"/>
        </w:rPr>
        <w:t> </w:t>
      </w:r>
      <w:r>
        <w:rPr>
          <w:sz w:val="28"/>
        </w:rPr>
        <w:t>trois</w:t>
      </w:r>
    </w:p>
    <w:p>
      <w:pPr>
        <w:pStyle w:val="BodyText"/>
        <w:spacing w:line="321" w:lineRule="exact"/>
        <w:ind w:left="999" w:firstLine="0"/>
      </w:pPr>
      <w:r>
        <w:rPr/>
        <w:t>(03) et cinq (05) jours sauf urgence signalé par la structure demandeuse.</w:t>
      </w:r>
    </w:p>
    <w:p>
      <w:pPr>
        <w:pStyle w:val="ListParagraph"/>
        <w:numPr>
          <w:ilvl w:val="1"/>
          <w:numId w:val="39"/>
        </w:numPr>
        <w:tabs>
          <w:tab w:pos="1000" w:val="left" w:leader="none"/>
        </w:tabs>
        <w:spacing w:line="240" w:lineRule="auto" w:before="0" w:after="0"/>
        <w:ind w:left="999" w:right="748" w:hanging="284"/>
        <w:jc w:val="both"/>
        <w:rPr>
          <w:sz w:val="28"/>
        </w:rPr>
      </w:pPr>
      <w:r>
        <w:rPr>
          <w:sz w:val="28"/>
        </w:rPr>
        <w:t>La</w:t>
      </w:r>
      <w:r>
        <w:rPr>
          <w:spacing w:val="-7"/>
          <w:sz w:val="28"/>
        </w:rPr>
        <w:t> </w:t>
      </w:r>
      <w:r>
        <w:rPr>
          <w:sz w:val="28"/>
        </w:rPr>
        <w:t>structure</w:t>
      </w:r>
      <w:r>
        <w:rPr>
          <w:spacing w:val="-6"/>
          <w:sz w:val="28"/>
        </w:rPr>
        <w:t> </w:t>
      </w:r>
      <w:r>
        <w:rPr>
          <w:sz w:val="28"/>
        </w:rPr>
        <w:t>demandeuse</w:t>
      </w:r>
      <w:r>
        <w:rPr>
          <w:spacing w:val="-10"/>
          <w:sz w:val="28"/>
        </w:rPr>
        <w:t> </w:t>
      </w:r>
      <w:r>
        <w:rPr>
          <w:sz w:val="28"/>
        </w:rPr>
        <w:t>procède</w:t>
      </w:r>
      <w:r>
        <w:rPr>
          <w:spacing w:val="-6"/>
          <w:sz w:val="28"/>
        </w:rPr>
        <w:t> </w:t>
      </w:r>
      <w:r>
        <w:rPr>
          <w:sz w:val="28"/>
        </w:rPr>
        <w:t>à</w:t>
      </w:r>
      <w:r>
        <w:rPr>
          <w:spacing w:val="-9"/>
          <w:sz w:val="28"/>
        </w:rPr>
        <w:t> </w:t>
      </w:r>
      <w:r>
        <w:rPr>
          <w:sz w:val="28"/>
        </w:rPr>
        <w:t>l'évaluation</w:t>
      </w:r>
      <w:r>
        <w:rPr>
          <w:spacing w:val="-9"/>
          <w:sz w:val="28"/>
        </w:rPr>
        <w:t> </w:t>
      </w:r>
      <w:r>
        <w:rPr>
          <w:sz w:val="28"/>
        </w:rPr>
        <w:t>technique</w:t>
      </w:r>
      <w:r>
        <w:rPr>
          <w:spacing w:val="-6"/>
          <w:sz w:val="28"/>
        </w:rPr>
        <w:t> </w:t>
      </w:r>
      <w:r>
        <w:rPr>
          <w:sz w:val="28"/>
        </w:rPr>
        <w:t>et</w:t>
      </w:r>
      <w:r>
        <w:rPr>
          <w:spacing w:val="-7"/>
          <w:sz w:val="28"/>
        </w:rPr>
        <w:t> </w:t>
      </w:r>
      <w:r>
        <w:rPr>
          <w:sz w:val="28"/>
        </w:rPr>
        <w:t>financière</w:t>
      </w:r>
      <w:r>
        <w:rPr>
          <w:spacing w:val="-8"/>
          <w:sz w:val="28"/>
        </w:rPr>
        <w:t> </w:t>
      </w:r>
      <w:r>
        <w:rPr>
          <w:sz w:val="28"/>
        </w:rPr>
        <w:t>des</w:t>
      </w:r>
      <w:r>
        <w:rPr>
          <w:spacing w:val="-8"/>
          <w:sz w:val="28"/>
        </w:rPr>
        <w:t> </w:t>
      </w:r>
      <w:r>
        <w:rPr>
          <w:sz w:val="28"/>
        </w:rPr>
        <w:t>offres reçues, établit un tableau comparatif d’évaluation des propositions et propose d’attribuer la commande au soumissionnaire ayant présenté le prix le moins- disant après vérification de la conformité aux caractéristiques et</w:t>
      </w:r>
      <w:r>
        <w:rPr>
          <w:spacing w:val="-13"/>
          <w:sz w:val="28"/>
        </w:rPr>
        <w:t> </w:t>
      </w:r>
      <w:r>
        <w:rPr>
          <w:sz w:val="28"/>
        </w:rPr>
        <w:t>spécifications</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line="322" w:lineRule="exact" w:before="89"/>
        <w:ind w:left="999" w:firstLine="0"/>
      </w:pPr>
      <w:r>
        <w:rPr/>
        <w:t>mentionnées dans le courrier ou l’E-mail.</w:t>
      </w:r>
    </w:p>
    <w:p>
      <w:pPr>
        <w:pStyle w:val="ListParagraph"/>
        <w:numPr>
          <w:ilvl w:val="1"/>
          <w:numId w:val="39"/>
        </w:numPr>
        <w:tabs>
          <w:tab w:pos="1000" w:val="left" w:leader="none"/>
        </w:tabs>
        <w:spacing w:line="240" w:lineRule="auto" w:before="0" w:after="0"/>
        <w:ind w:left="999" w:right="755" w:hanging="284"/>
        <w:jc w:val="both"/>
        <w:rPr>
          <w:sz w:val="28"/>
        </w:rPr>
      </w:pPr>
      <w:r>
        <w:rPr>
          <w:sz w:val="28"/>
        </w:rPr>
        <w:t>La structure d’achat constitue le dossier d’achat comportant les devis reçus avec le tableau comparatif d’évaluation et le soumet à l’avis du Responsable d’achat de la</w:t>
      </w:r>
      <w:r>
        <w:rPr>
          <w:spacing w:val="-1"/>
          <w:sz w:val="28"/>
        </w:rPr>
        <w:t> </w:t>
      </w:r>
      <w:r>
        <w:rPr>
          <w:sz w:val="28"/>
        </w:rPr>
        <w:t>région.</w:t>
      </w:r>
    </w:p>
    <w:p>
      <w:pPr>
        <w:pStyle w:val="ListParagraph"/>
        <w:numPr>
          <w:ilvl w:val="1"/>
          <w:numId w:val="39"/>
        </w:numPr>
        <w:tabs>
          <w:tab w:pos="1000" w:val="left" w:leader="none"/>
        </w:tabs>
        <w:spacing w:line="240" w:lineRule="auto" w:before="1" w:after="0"/>
        <w:ind w:left="999" w:right="756" w:hanging="284"/>
        <w:jc w:val="both"/>
        <w:rPr>
          <w:sz w:val="28"/>
        </w:rPr>
      </w:pPr>
      <w:r>
        <w:rPr>
          <w:sz w:val="28"/>
        </w:rPr>
        <w:t>En cas d’avis favorable, la structure concernée par l’achat notifie le bon de commande signé à l'attributaire. Cette notification vaut ordre de service de commencer les prestations ou les</w:t>
      </w:r>
      <w:r>
        <w:rPr>
          <w:spacing w:val="-9"/>
          <w:sz w:val="28"/>
        </w:rPr>
        <w:t> </w:t>
      </w:r>
      <w:r>
        <w:rPr>
          <w:sz w:val="28"/>
        </w:rPr>
        <w:t>travaux.</w:t>
      </w:r>
    </w:p>
    <w:p>
      <w:pPr>
        <w:pStyle w:val="Heading2"/>
        <w:numPr>
          <w:ilvl w:val="2"/>
          <w:numId w:val="38"/>
        </w:numPr>
        <w:tabs>
          <w:tab w:pos="1321" w:val="left" w:leader="none"/>
        </w:tabs>
        <w:spacing w:line="240" w:lineRule="auto" w:before="124" w:after="0"/>
        <w:ind w:left="1320" w:right="0" w:hanging="888"/>
        <w:jc w:val="both"/>
      </w:pPr>
      <w:bookmarkStart w:name="_TOC_250100" w:id="43"/>
      <w:r>
        <w:rPr/>
        <w:t>Consultation à compétition</w:t>
      </w:r>
      <w:r>
        <w:rPr>
          <w:spacing w:val="-2"/>
        </w:rPr>
        <w:t> </w:t>
      </w:r>
      <w:bookmarkEnd w:id="43"/>
      <w:r>
        <w:rPr/>
        <w:t>restreinte</w:t>
      </w:r>
    </w:p>
    <w:p>
      <w:pPr>
        <w:pStyle w:val="BodyText"/>
        <w:spacing w:before="43"/>
        <w:ind w:left="999" w:firstLine="0"/>
      </w:pPr>
      <w:r>
        <w:rPr/>
        <w:t>Ce mode de passation concerne les achats relevant de la CRA.</w:t>
      </w:r>
    </w:p>
    <w:p>
      <w:pPr>
        <w:pStyle w:val="Heading2"/>
        <w:spacing w:before="7"/>
      </w:pPr>
      <w:r>
        <w:rPr/>
        <w:t>Procédure :</w:t>
      </w:r>
    </w:p>
    <w:p>
      <w:pPr>
        <w:pStyle w:val="Heading3"/>
        <w:spacing w:before="2"/>
        <w:rPr>
          <w:i/>
        </w:rPr>
      </w:pPr>
      <w:r>
        <w:rPr>
          <w:i/>
        </w:rPr>
        <w:t>Mise en concurrence :</w:t>
      </w:r>
    </w:p>
    <w:p>
      <w:pPr>
        <w:pStyle w:val="BodyText"/>
        <w:ind w:right="752"/>
      </w:pPr>
      <w:r>
        <w:rPr/>
        <w:t>Sauf cas d’urgence absolue, la structure chargée des achats procède à la mise en concurrence restreinte en invitant au moins cinq (05) fournisseurs figurant sur la liste des fournisseurs, prestataires de services et entreprises de travaux à présenter des offres. En d’absence de (05) fournisseurs une note explicative doit être soumise à au Directeur Régional pour approbation avant lancement de la consultation.</w:t>
      </w:r>
    </w:p>
    <w:p>
      <w:pPr>
        <w:pStyle w:val="BodyText"/>
        <w:ind w:right="761"/>
      </w:pPr>
      <w:r>
        <w:rPr/>
        <w:t>La structure d’achat concernée prépare les lettres de consultation à transmettre aux fournisseurs et procède au lancement.</w:t>
      </w:r>
    </w:p>
    <w:p>
      <w:pPr>
        <w:pStyle w:val="BodyText"/>
        <w:ind w:right="748"/>
      </w:pPr>
      <w:r>
        <w:rPr/>
        <w:t>Les lettres de consultation, accompagnées des termes de référence/spécifications techniques</w:t>
      </w:r>
      <w:r>
        <w:rPr>
          <w:spacing w:val="-3"/>
        </w:rPr>
        <w:t> </w:t>
      </w:r>
      <w:r>
        <w:rPr/>
        <w:t>ou</w:t>
      </w:r>
      <w:r>
        <w:rPr>
          <w:spacing w:val="-2"/>
        </w:rPr>
        <w:t> </w:t>
      </w:r>
      <w:r>
        <w:rPr/>
        <w:t>des</w:t>
      </w:r>
      <w:r>
        <w:rPr>
          <w:spacing w:val="-2"/>
        </w:rPr>
        <w:t> </w:t>
      </w:r>
      <w:r>
        <w:rPr/>
        <w:t>formulaires</w:t>
      </w:r>
      <w:r>
        <w:rPr>
          <w:spacing w:val="-5"/>
        </w:rPr>
        <w:t> </w:t>
      </w:r>
      <w:r>
        <w:rPr/>
        <w:t>de</w:t>
      </w:r>
      <w:r>
        <w:rPr>
          <w:spacing w:val="-4"/>
        </w:rPr>
        <w:t> </w:t>
      </w:r>
      <w:r>
        <w:rPr/>
        <w:t>réponses,</w:t>
      </w:r>
      <w:r>
        <w:rPr>
          <w:spacing w:val="-9"/>
        </w:rPr>
        <w:t> </w:t>
      </w:r>
      <w:r>
        <w:rPr/>
        <w:t>doivent</w:t>
      </w:r>
      <w:r>
        <w:rPr>
          <w:spacing w:val="-9"/>
        </w:rPr>
        <w:t> </w:t>
      </w:r>
      <w:r>
        <w:rPr/>
        <w:t>être</w:t>
      </w:r>
      <w:r>
        <w:rPr>
          <w:spacing w:val="-12"/>
        </w:rPr>
        <w:t> </w:t>
      </w:r>
      <w:r>
        <w:rPr/>
        <w:t>adressées</w:t>
      </w:r>
      <w:r>
        <w:rPr>
          <w:spacing w:val="-9"/>
        </w:rPr>
        <w:t> </w:t>
      </w:r>
      <w:r>
        <w:rPr/>
        <w:t>aux</w:t>
      </w:r>
      <w:r>
        <w:rPr>
          <w:spacing w:val="-12"/>
        </w:rPr>
        <w:t> </w:t>
      </w:r>
      <w:r>
        <w:rPr/>
        <w:t>fournisseurs</w:t>
      </w:r>
      <w:r>
        <w:rPr>
          <w:spacing w:val="-1"/>
        </w:rPr>
        <w:t> </w:t>
      </w:r>
      <w:r>
        <w:rPr/>
        <w:t>par tout moyen possible matériel ou électronique (mail dédié) </w:t>
      </w:r>
      <w:r>
        <w:rPr>
          <w:spacing w:val="-7"/>
        </w:rPr>
        <w:t>laissant</w:t>
      </w:r>
      <w:r>
        <w:rPr>
          <w:spacing w:val="-16"/>
        </w:rPr>
        <w:t> </w:t>
      </w:r>
      <w:r>
        <w:rPr>
          <w:spacing w:val="-6"/>
        </w:rPr>
        <w:t>trace.</w:t>
      </w:r>
    </w:p>
    <w:p>
      <w:pPr>
        <w:pStyle w:val="Heading3"/>
        <w:spacing w:line="319" w:lineRule="exact" w:before="122"/>
        <w:rPr>
          <w:i/>
        </w:rPr>
      </w:pPr>
      <w:r>
        <w:rPr>
          <w:i/>
        </w:rPr>
        <w:t>Réception des offres :</w:t>
      </w:r>
    </w:p>
    <w:p>
      <w:pPr>
        <w:pStyle w:val="BodyText"/>
        <w:ind w:right="760"/>
      </w:pPr>
      <w:r>
        <w:rPr>
          <w:w w:val="105"/>
        </w:rPr>
        <w:t>Le dossier de la consultation doit prévoir le mode de réception des offres qui peut être l’un des modes suivants :</w:t>
      </w:r>
    </w:p>
    <w:p>
      <w:pPr>
        <w:pStyle w:val="ListParagraph"/>
        <w:numPr>
          <w:ilvl w:val="0"/>
          <w:numId w:val="40"/>
        </w:numPr>
        <w:tabs>
          <w:tab w:pos="1000" w:val="left" w:leader="none"/>
        </w:tabs>
        <w:spacing w:line="240" w:lineRule="auto" w:before="0" w:after="0"/>
        <w:ind w:left="999" w:right="749" w:hanging="284"/>
        <w:jc w:val="both"/>
        <w:rPr>
          <w:sz w:val="28"/>
        </w:rPr>
      </w:pPr>
      <w:r>
        <w:rPr>
          <w:sz w:val="28"/>
        </w:rPr>
        <w:t>En</w:t>
      </w:r>
      <w:r>
        <w:rPr>
          <w:spacing w:val="-9"/>
          <w:sz w:val="28"/>
        </w:rPr>
        <w:t> </w:t>
      </w:r>
      <w:r>
        <w:rPr>
          <w:sz w:val="28"/>
        </w:rPr>
        <w:t>ligne</w:t>
      </w:r>
      <w:r>
        <w:rPr>
          <w:spacing w:val="-12"/>
          <w:sz w:val="28"/>
        </w:rPr>
        <w:t> </w:t>
      </w:r>
      <w:r>
        <w:rPr>
          <w:sz w:val="28"/>
        </w:rPr>
        <w:t>à</w:t>
      </w:r>
      <w:r>
        <w:rPr>
          <w:spacing w:val="-12"/>
          <w:sz w:val="28"/>
        </w:rPr>
        <w:t> </w:t>
      </w:r>
      <w:r>
        <w:rPr>
          <w:sz w:val="28"/>
        </w:rPr>
        <w:t>travers</w:t>
      </w:r>
      <w:r>
        <w:rPr>
          <w:spacing w:val="-11"/>
          <w:sz w:val="28"/>
        </w:rPr>
        <w:t> </w:t>
      </w:r>
      <w:r>
        <w:rPr>
          <w:sz w:val="28"/>
        </w:rPr>
        <w:t>une</w:t>
      </w:r>
      <w:r>
        <w:rPr>
          <w:spacing w:val="-12"/>
          <w:sz w:val="28"/>
        </w:rPr>
        <w:t> </w:t>
      </w:r>
      <w:r>
        <w:rPr>
          <w:sz w:val="28"/>
        </w:rPr>
        <w:t>adresse</w:t>
      </w:r>
      <w:r>
        <w:rPr>
          <w:spacing w:val="-10"/>
          <w:sz w:val="28"/>
        </w:rPr>
        <w:t> </w:t>
      </w:r>
      <w:r>
        <w:rPr>
          <w:sz w:val="28"/>
        </w:rPr>
        <w:t>mail</w:t>
      </w:r>
      <w:r>
        <w:rPr>
          <w:spacing w:val="-11"/>
          <w:sz w:val="28"/>
        </w:rPr>
        <w:t> </w:t>
      </w:r>
      <w:r>
        <w:rPr>
          <w:sz w:val="28"/>
        </w:rPr>
        <w:t>dédiée</w:t>
      </w:r>
      <w:r>
        <w:rPr>
          <w:spacing w:val="-12"/>
          <w:sz w:val="28"/>
        </w:rPr>
        <w:t> </w:t>
      </w:r>
      <w:r>
        <w:rPr>
          <w:sz w:val="28"/>
        </w:rPr>
        <w:t>gérée</w:t>
      </w:r>
      <w:r>
        <w:rPr>
          <w:spacing w:val="-12"/>
          <w:sz w:val="28"/>
        </w:rPr>
        <w:t> </w:t>
      </w:r>
      <w:r>
        <w:rPr>
          <w:sz w:val="28"/>
        </w:rPr>
        <w:t>par</w:t>
      </w:r>
      <w:r>
        <w:rPr>
          <w:spacing w:val="-12"/>
          <w:sz w:val="28"/>
        </w:rPr>
        <w:t> </w:t>
      </w:r>
      <w:r>
        <w:rPr>
          <w:sz w:val="28"/>
        </w:rPr>
        <w:t>la</w:t>
      </w:r>
      <w:r>
        <w:rPr>
          <w:spacing w:val="-11"/>
          <w:sz w:val="28"/>
        </w:rPr>
        <w:t> </w:t>
      </w:r>
      <w:r>
        <w:rPr>
          <w:sz w:val="28"/>
        </w:rPr>
        <w:t>Structure</w:t>
      </w:r>
      <w:r>
        <w:rPr>
          <w:spacing w:val="-5"/>
          <w:sz w:val="28"/>
        </w:rPr>
        <w:t> </w:t>
      </w:r>
      <w:r>
        <w:rPr>
          <w:sz w:val="28"/>
        </w:rPr>
        <w:t>d’achat</w:t>
      </w:r>
      <w:r>
        <w:rPr>
          <w:spacing w:val="-12"/>
          <w:sz w:val="28"/>
        </w:rPr>
        <w:t> </w:t>
      </w:r>
      <w:r>
        <w:rPr>
          <w:sz w:val="28"/>
        </w:rPr>
        <w:t>régionale concernée et dont le mot de passe est détenu uniquement par le président de la commission.</w:t>
      </w:r>
    </w:p>
    <w:p>
      <w:pPr>
        <w:pStyle w:val="ListParagraph"/>
        <w:numPr>
          <w:ilvl w:val="0"/>
          <w:numId w:val="40"/>
        </w:numPr>
        <w:tabs>
          <w:tab w:pos="1000" w:val="left" w:leader="none"/>
        </w:tabs>
        <w:spacing w:line="321" w:lineRule="exact" w:before="0" w:after="0"/>
        <w:ind w:left="999" w:right="0" w:hanging="284"/>
        <w:jc w:val="both"/>
        <w:rPr>
          <w:sz w:val="28"/>
        </w:rPr>
      </w:pPr>
      <w:r>
        <w:rPr>
          <w:sz w:val="28"/>
        </w:rPr>
        <w:t>Matérielle via bureau d’ordre ou par voie</w:t>
      </w:r>
      <w:r>
        <w:rPr>
          <w:spacing w:val="-11"/>
          <w:sz w:val="28"/>
        </w:rPr>
        <w:t> </w:t>
      </w:r>
      <w:r>
        <w:rPr>
          <w:sz w:val="28"/>
        </w:rPr>
        <w:t>postale.</w:t>
      </w:r>
    </w:p>
    <w:p>
      <w:pPr>
        <w:pStyle w:val="Heading3"/>
        <w:rPr>
          <w:i/>
        </w:rPr>
      </w:pPr>
      <w:r>
        <w:rPr>
          <w:i/>
        </w:rPr>
        <w:t>Ouverture des offres :</w:t>
      </w:r>
    </w:p>
    <w:p>
      <w:pPr>
        <w:pStyle w:val="BodyText"/>
        <w:ind w:right="737"/>
      </w:pPr>
      <w:r>
        <w:rPr>
          <w:w w:val="105"/>
        </w:rPr>
        <w:t>La Commission Régionale d’Ouverture des Offres des Achats hors marchés procède à l’ouverture des offres, le jour même de la date limite de réception des offres.</w:t>
      </w:r>
    </w:p>
    <w:p>
      <w:pPr>
        <w:pStyle w:val="BodyText"/>
        <w:ind w:right="868" w:firstLine="0"/>
      </w:pPr>
      <w:r>
        <w:rPr>
          <w:w w:val="110"/>
        </w:rPr>
        <w:t>La séance d’ouverture des plis est non publique sauf disposition contraire</w:t>
      </w:r>
      <w:r>
        <w:rPr>
          <w:spacing w:val="-39"/>
          <w:w w:val="110"/>
        </w:rPr>
        <w:t> </w:t>
      </w:r>
      <w:r>
        <w:rPr>
          <w:w w:val="110"/>
        </w:rPr>
        <w:t>des documents de consultation.</w:t>
      </w:r>
    </w:p>
    <w:p>
      <w:pPr>
        <w:pStyle w:val="BodyText"/>
        <w:ind w:right="756"/>
      </w:pPr>
      <w:r>
        <w:rPr>
          <w:w w:val="105"/>
        </w:rPr>
        <w:t>Tout</w:t>
      </w:r>
      <w:r>
        <w:rPr>
          <w:spacing w:val="-17"/>
          <w:w w:val="105"/>
        </w:rPr>
        <w:t> </w:t>
      </w:r>
      <w:r>
        <w:rPr>
          <w:w w:val="105"/>
        </w:rPr>
        <w:t>membre</w:t>
      </w:r>
      <w:r>
        <w:rPr>
          <w:spacing w:val="-17"/>
          <w:w w:val="105"/>
        </w:rPr>
        <w:t> </w:t>
      </w:r>
      <w:r>
        <w:rPr>
          <w:w w:val="105"/>
        </w:rPr>
        <w:t>de</w:t>
      </w:r>
      <w:r>
        <w:rPr>
          <w:spacing w:val="-17"/>
          <w:w w:val="105"/>
        </w:rPr>
        <w:t> </w:t>
      </w:r>
      <w:r>
        <w:rPr>
          <w:w w:val="105"/>
        </w:rPr>
        <w:t>la</w:t>
      </w:r>
      <w:r>
        <w:rPr>
          <w:spacing w:val="-16"/>
          <w:w w:val="105"/>
        </w:rPr>
        <w:t> </w:t>
      </w:r>
      <w:r>
        <w:rPr>
          <w:w w:val="105"/>
        </w:rPr>
        <w:t>Commission</w:t>
      </w:r>
      <w:r>
        <w:rPr>
          <w:spacing w:val="-16"/>
          <w:w w:val="105"/>
        </w:rPr>
        <w:t> </w:t>
      </w:r>
      <w:r>
        <w:rPr>
          <w:w w:val="105"/>
        </w:rPr>
        <w:t>Régionale</w:t>
      </w:r>
      <w:r>
        <w:rPr>
          <w:spacing w:val="-17"/>
          <w:w w:val="105"/>
        </w:rPr>
        <w:t> </w:t>
      </w:r>
      <w:r>
        <w:rPr>
          <w:w w:val="105"/>
        </w:rPr>
        <w:t>d’Ouverture</w:t>
      </w:r>
      <w:r>
        <w:rPr>
          <w:spacing w:val="-17"/>
          <w:w w:val="105"/>
        </w:rPr>
        <w:t> </w:t>
      </w:r>
      <w:r>
        <w:rPr>
          <w:w w:val="105"/>
        </w:rPr>
        <w:t>des</w:t>
      </w:r>
      <w:r>
        <w:rPr>
          <w:spacing w:val="-14"/>
          <w:w w:val="105"/>
        </w:rPr>
        <w:t> </w:t>
      </w:r>
      <w:r>
        <w:rPr>
          <w:w w:val="105"/>
        </w:rPr>
        <w:t>Offres</w:t>
      </w:r>
      <w:r>
        <w:rPr>
          <w:spacing w:val="-16"/>
          <w:w w:val="105"/>
        </w:rPr>
        <w:t> </w:t>
      </w:r>
      <w:r>
        <w:rPr>
          <w:w w:val="105"/>
        </w:rPr>
        <w:t>des</w:t>
      </w:r>
      <w:r>
        <w:rPr>
          <w:spacing w:val="-16"/>
          <w:w w:val="105"/>
        </w:rPr>
        <w:t> </w:t>
      </w:r>
      <w:r>
        <w:rPr>
          <w:w w:val="105"/>
        </w:rPr>
        <w:t>Achats hors marchés, ayant des intérêts dans une entreprise soumissionnaire ou ayant connaissance de faits susceptibles de compromettre son indépendance, est tenu d’en avertir la commission et doit s'abstenir de participer à ses</w:t>
      </w:r>
      <w:r>
        <w:rPr>
          <w:spacing w:val="-7"/>
          <w:w w:val="105"/>
        </w:rPr>
        <w:t> </w:t>
      </w:r>
      <w:r>
        <w:rPr>
          <w:w w:val="105"/>
        </w:rPr>
        <w:t>travaux.</w:t>
      </w:r>
    </w:p>
    <w:p>
      <w:pPr>
        <w:pStyle w:val="BodyText"/>
        <w:spacing w:line="320" w:lineRule="exact"/>
        <w:ind w:firstLine="0"/>
      </w:pPr>
      <w:r>
        <w:rPr/>
        <w:t>Les membres chargés de l’ouverture des offres sont tenus de :</w:t>
      </w:r>
    </w:p>
    <w:p>
      <w:pPr>
        <w:pStyle w:val="ListParagraph"/>
        <w:numPr>
          <w:ilvl w:val="0"/>
          <w:numId w:val="41"/>
        </w:numPr>
        <w:tabs>
          <w:tab w:pos="1000" w:val="left" w:leader="none"/>
        </w:tabs>
        <w:spacing w:line="341" w:lineRule="exact" w:before="0" w:after="0"/>
        <w:ind w:left="999" w:right="0" w:hanging="284"/>
        <w:jc w:val="both"/>
        <w:rPr>
          <w:sz w:val="28"/>
        </w:rPr>
      </w:pPr>
      <w:r>
        <w:rPr>
          <w:sz w:val="28"/>
        </w:rPr>
        <w:t>Confronter le nombre des offres reçus avec le nombre de lettres de</w:t>
      </w:r>
      <w:r>
        <w:rPr>
          <w:spacing w:val="-23"/>
          <w:sz w:val="28"/>
        </w:rPr>
        <w:t> </w:t>
      </w:r>
      <w:r>
        <w:rPr>
          <w:sz w:val="28"/>
        </w:rPr>
        <w:t>consultations</w:t>
      </w:r>
    </w:p>
    <w:p>
      <w:pPr>
        <w:spacing w:after="0" w:line="341" w:lineRule="exact"/>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line="322" w:lineRule="exact" w:before="89"/>
        <w:ind w:left="999" w:firstLine="0"/>
        <w:jc w:val="left"/>
      </w:pPr>
      <w:r>
        <w:rPr/>
        <w:t>envoyées aux soumissionnaires,</w:t>
      </w:r>
    </w:p>
    <w:p>
      <w:pPr>
        <w:pStyle w:val="ListParagraph"/>
        <w:numPr>
          <w:ilvl w:val="0"/>
          <w:numId w:val="41"/>
        </w:numPr>
        <w:tabs>
          <w:tab w:pos="1000" w:val="left" w:leader="none"/>
        </w:tabs>
        <w:spacing w:line="335" w:lineRule="exact" w:before="0" w:after="0"/>
        <w:ind w:left="999" w:right="0" w:hanging="284"/>
        <w:jc w:val="left"/>
        <w:rPr>
          <w:sz w:val="28"/>
        </w:rPr>
      </w:pPr>
      <w:r>
        <w:rPr>
          <w:w w:val="110"/>
          <w:sz w:val="28"/>
        </w:rPr>
        <w:t>Procéder</w:t>
      </w:r>
      <w:r>
        <w:rPr>
          <w:spacing w:val="-14"/>
          <w:w w:val="110"/>
          <w:sz w:val="28"/>
        </w:rPr>
        <w:t> </w:t>
      </w:r>
      <w:r>
        <w:rPr>
          <w:w w:val="110"/>
          <w:sz w:val="28"/>
        </w:rPr>
        <w:t>à</w:t>
      </w:r>
      <w:r>
        <w:rPr>
          <w:spacing w:val="-16"/>
          <w:w w:val="110"/>
          <w:sz w:val="28"/>
        </w:rPr>
        <w:t> </w:t>
      </w:r>
      <w:r>
        <w:rPr>
          <w:w w:val="110"/>
          <w:sz w:val="28"/>
        </w:rPr>
        <w:t>l’ouverture</w:t>
      </w:r>
      <w:r>
        <w:rPr>
          <w:spacing w:val="-12"/>
          <w:w w:val="110"/>
          <w:sz w:val="28"/>
        </w:rPr>
        <w:t> </w:t>
      </w:r>
      <w:r>
        <w:rPr>
          <w:w w:val="110"/>
          <w:sz w:val="28"/>
        </w:rPr>
        <w:t>des</w:t>
      </w:r>
      <w:r>
        <w:rPr>
          <w:spacing w:val="-14"/>
          <w:w w:val="110"/>
          <w:sz w:val="28"/>
        </w:rPr>
        <w:t> </w:t>
      </w:r>
      <w:r>
        <w:rPr>
          <w:w w:val="110"/>
          <w:sz w:val="28"/>
        </w:rPr>
        <w:t>offres</w:t>
      </w:r>
      <w:r>
        <w:rPr>
          <w:spacing w:val="1"/>
          <w:w w:val="110"/>
          <w:sz w:val="28"/>
        </w:rPr>
        <w:t> </w:t>
      </w:r>
      <w:r>
        <w:rPr>
          <w:w w:val="110"/>
          <w:sz w:val="28"/>
        </w:rPr>
        <w:t>contenant</w:t>
      </w:r>
      <w:r>
        <w:rPr>
          <w:spacing w:val="-14"/>
          <w:w w:val="110"/>
          <w:sz w:val="28"/>
        </w:rPr>
        <w:t> </w:t>
      </w:r>
      <w:r>
        <w:rPr>
          <w:w w:val="110"/>
          <w:sz w:val="28"/>
        </w:rPr>
        <w:t>les</w:t>
      </w:r>
      <w:r>
        <w:rPr>
          <w:spacing w:val="-18"/>
          <w:w w:val="110"/>
          <w:sz w:val="28"/>
        </w:rPr>
        <w:t> </w:t>
      </w:r>
      <w:r>
        <w:rPr>
          <w:w w:val="110"/>
          <w:sz w:val="28"/>
        </w:rPr>
        <w:t>offres</w:t>
      </w:r>
    </w:p>
    <w:p>
      <w:pPr>
        <w:pStyle w:val="ListParagraph"/>
        <w:numPr>
          <w:ilvl w:val="0"/>
          <w:numId w:val="41"/>
        </w:numPr>
        <w:tabs>
          <w:tab w:pos="1000" w:val="left" w:leader="none"/>
        </w:tabs>
        <w:spacing w:line="328" w:lineRule="exact" w:before="0" w:after="0"/>
        <w:ind w:left="999" w:right="0" w:hanging="284"/>
        <w:jc w:val="left"/>
        <w:rPr>
          <w:sz w:val="28"/>
        </w:rPr>
      </w:pPr>
      <w:r>
        <w:rPr>
          <w:w w:val="110"/>
          <w:sz w:val="28"/>
        </w:rPr>
        <w:t>Vérifier</w:t>
      </w:r>
      <w:r>
        <w:rPr>
          <w:spacing w:val="-16"/>
          <w:w w:val="110"/>
          <w:sz w:val="28"/>
        </w:rPr>
        <w:t> </w:t>
      </w:r>
      <w:r>
        <w:rPr>
          <w:w w:val="110"/>
          <w:sz w:val="28"/>
        </w:rPr>
        <w:t>l’existence</w:t>
      </w:r>
      <w:r>
        <w:rPr>
          <w:spacing w:val="-12"/>
          <w:w w:val="110"/>
          <w:sz w:val="28"/>
        </w:rPr>
        <w:t> </w:t>
      </w:r>
      <w:r>
        <w:rPr>
          <w:w w:val="110"/>
          <w:sz w:val="28"/>
        </w:rPr>
        <w:t>de</w:t>
      </w:r>
      <w:r>
        <w:rPr>
          <w:spacing w:val="-17"/>
          <w:w w:val="110"/>
          <w:sz w:val="28"/>
        </w:rPr>
        <w:t> </w:t>
      </w:r>
      <w:r>
        <w:rPr>
          <w:w w:val="110"/>
          <w:sz w:val="28"/>
        </w:rPr>
        <w:t>l’ensemble</w:t>
      </w:r>
      <w:r>
        <w:rPr>
          <w:spacing w:val="-15"/>
          <w:w w:val="110"/>
          <w:sz w:val="28"/>
        </w:rPr>
        <w:t> </w:t>
      </w:r>
      <w:r>
        <w:rPr>
          <w:w w:val="110"/>
          <w:sz w:val="28"/>
        </w:rPr>
        <w:t>des</w:t>
      </w:r>
      <w:r>
        <w:rPr>
          <w:spacing w:val="-16"/>
          <w:w w:val="110"/>
          <w:sz w:val="28"/>
        </w:rPr>
        <w:t> </w:t>
      </w:r>
      <w:r>
        <w:rPr>
          <w:w w:val="110"/>
          <w:sz w:val="28"/>
        </w:rPr>
        <w:t>pièces</w:t>
      </w:r>
      <w:r>
        <w:rPr>
          <w:spacing w:val="-14"/>
          <w:w w:val="110"/>
          <w:sz w:val="28"/>
        </w:rPr>
        <w:t> </w:t>
      </w:r>
      <w:r>
        <w:rPr>
          <w:w w:val="110"/>
          <w:sz w:val="28"/>
        </w:rPr>
        <w:t>constitutives</w:t>
      </w:r>
      <w:r>
        <w:rPr>
          <w:spacing w:val="-13"/>
          <w:w w:val="110"/>
          <w:sz w:val="28"/>
        </w:rPr>
        <w:t> </w:t>
      </w:r>
      <w:r>
        <w:rPr>
          <w:w w:val="110"/>
          <w:sz w:val="28"/>
        </w:rPr>
        <w:t>des</w:t>
      </w:r>
      <w:r>
        <w:rPr>
          <w:spacing w:val="-18"/>
          <w:w w:val="110"/>
          <w:sz w:val="28"/>
        </w:rPr>
        <w:t> </w:t>
      </w:r>
      <w:r>
        <w:rPr>
          <w:w w:val="110"/>
          <w:sz w:val="28"/>
        </w:rPr>
        <w:t>offres.</w:t>
      </w:r>
    </w:p>
    <w:p>
      <w:pPr>
        <w:pStyle w:val="ListParagraph"/>
        <w:numPr>
          <w:ilvl w:val="0"/>
          <w:numId w:val="41"/>
        </w:numPr>
        <w:tabs>
          <w:tab w:pos="1000" w:val="left" w:leader="none"/>
        </w:tabs>
        <w:spacing w:line="326" w:lineRule="exact" w:before="0" w:after="0"/>
        <w:ind w:left="999" w:right="0" w:hanging="284"/>
        <w:jc w:val="left"/>
        <w:rPr>
          <w:sz w:val="28"/>
        </w:rPr>
      </w:pPr>
      <w:r>
        <w:rPr>
          <w:w w:val="110"/>
          <w:sz w:val="28"/>
        </w:rPr>
        <w:t>Eliminer</w:t>
      </w:r>
      <w:r>
        <w:rPr>
          <w:spacing w:val="-20"/>
          <w:w w:val="110"/>
          <w:sz w:val="28"/>
        </w:rPr>
        <w:t> </w:t>
      </w:r>
      <w:r>
        <w:rPr>
          <w:w w:val="110"/>
          <w:sz w:val="28"/>
        </w:rPr>
        <w:t>d’office</w:t>
      </w:r>
      <w:r>
        <w:rPr>
          <w:spacing w:val="-17"/>
          <w:w w:val="110"/>
          <w:sz w:val="28"/>
        </w:rPr>
        <w:t> </w:t>
      </w:r>
      <w:r>
        <w:rPr>
          <w:w w:val="110"/>
          <w:sz w:val="28"/>
        </w:rPr>
        <w:t>les</w:t>
      </w:r>
      <w:r>
        <w:rPr>
          <w:spacing w:val="-17"/>
          <w:w w:val="110"/>
          <w:sz w:val="28"/>
        </w:rPr>
        <w:t> </w:t>
      </w:r>
      <w:r>
        <w:rPr>
          <w:w w:val="110"/>
          <w:sz w:val="28"/>
        </w:rPr>
        <w:t>offres</w:t>
      </w:r>
      <w:r>
        <w:rPr>
          <w:spacing w:val="-16"/>
          <w:w w:val="110"/>
          <w:sz w:val="28"/>
        </w:rPr>
        <w:t> </w:t>
      </w:r>
      <w:r>
        <w:rPr>
          <w:w w:val="110"/>
          <w:sz w:val="28"/>
        </w:rPr>
        <w:t>parvenues</w:t>
      </w:r>
      <w:r>
        <w:rPr>
          <w:spacing w:val="-16"/>
          <w:w w:val="110"/>
          <w:sz w:val="28"/>
        </w:rPr>
        <w:t> </w:t>
      </w:r>
      <w:r>
        <w:rPr>
          <w:w w:val="110"/>
          <w:sz w:val="28"/>
        </w:rPr>
        <w:t>hors</w:t>
      </w:r>
      <w:r>
        <w:rPr>
          <w:spacing w:val="-16"/>
          <w:w w:val="110"/>
          <w:sz w:val="28"/>
        </w:rPr>
        <w:t> </w:t>
      </w:r>
      <w:r>
        <w:rPr>
          <w:w w:val="110"/>
          <w:sz w:val="28"/>
        </w:rPr>
        <w:t>délais.</w:t>
      </w:r>
    </w:p>
    <w:p>
      <w:pPr>
        <w:pStyle w:val="ListParagraph"/>
        <w:numPr>
          <w:ilvl w:val="0"/>
          <w:numId w:val="41"/>
        </w:numPr>
        <w:tabs>
          <w:tab w:pos="1000" w:val="left" w:leader="none"/>
        </w:tabs>
        <w:spacing w:line="328" w:lineRule="exact" w:before="0" w:after="0"/>
        <w:ind w:left="999" w:right="0" w:hanging="284"/>
        <w:jc w:val="left"/>
        <w:rPr>
          <w:sz w:val="28"/>
        </w:rPr>
      </w:pPr>
      <w:r>
        <w:rPr>
          <w:w w:val="105"/>
          <w:sz w:val="28"/>
        </w:rPr>
        <w:t>Dresser</w:t>
      </w:r>
      <w:r>
        <w:rPr>
          <w:spacing w:val="-3"/>
          <w:w w:val="105"/>
          <w:sz w:val="28"/>
        </w:rPr>
        <w:t> </w:t>
      </w:r>
      <w:r>
        <w:rPr>
          <w:w w:val="105"/>
          <w:sz w:val="28"/>
        </w:rPr>
        <w:t>un</w:t>
      </w:r>
      <w:r>
        <w:rPr>
          <w:spacing w:val="-2"/>
          <w:w w:val="105"/>
          <w:sz w:val="28"/>
        </w:rPr>
        <w:t> </w:t>
      </w:r>
      <w:r>
        <w:rPr>
          <w:w w:val="105"/>
          <w:sz w:val="28"/>
        </w:rPr>
        <w:t>procès-verbal</w:t>
      </w:r>
      <w:r>
        <w:rPr>
          <w:spacing w:val="-11"/>
          <w:w w:val="105"/>
          <w:sz w:val="28"/>
        </w:rPr>
        <w:t> </w:t>
      </w:r>
      <w:r>
        <w:rPr>
          <w:w w:val="105"/>
          <w:sz w:val="28"/>
        </w:rPr>
        <w:t>d’ouverture</w:t>
      </w:r>
      <w:r>
        <w:rPr>
          <w:spacing w:val="-9"/>
          <w:w w:val="105"/>
          <w:sz w:val="28"/>
        </w:rPr>
        <w:t> </w:t>
      </w:r>
      <w:r>
        <w:rPr>
          <w:w w:val="105"/>
          <w:sz w:val="28"/>
        </w:rPr>
        <w:t>des</w:t>
      </w:r>
      <w:r>
        <w:rPr>
          <w:spacing w:val="-8"/>
          <w:w w:val="105"/>
          <w:sz w:val="28"/>
        </w:rPr>
        <w:t> </w:t>
      </w:r>
      <w:r>
        <w:rPr>
          <w:w w:val="105"/>
          <w:sz w:val="28"/>
        </w:rPr>
        <w:t>offres</w:t>
      </w:r>
      <w:r>
        <w:rPr>
          <w:spacing w:val="-5"/>
          <w:w w:val="105"/>
          <w:sz w:val="28"/>
        </w:rPr>
        <w:t> </w:t>
      </w:r>
      <w:r>
        <w:rPr>
          <w:w w:val="105"/>
          <w:sz w:val="28"/>
        </w:rPr>
        <w:t>qui</w:t>
      </w:r>
      <w:r>
        <w:rPr>
          <w:spacing w:val="-11"/>
          <w:w w:val="105"/>
          <w:sz w:val="28"/>
        </w:rPr>
        <w:t> </w:t>
      </w:r>
      <w:r>
        <w:rPr>
          <w:w w:val="105"/>
          <w:sz w:val="28"/>
        </w:rPr>
        <w:t>comporte</w:t>
      </w:r>
      <w:r>
        <w:rPr>
          <w:spacing w:val="-10"/>
          <w:w w:val="105"/>
          <w:sz w:val="28"/>
        </w:rPr>
        <w:t> </w:t>
      </w:r>
      <w:r>
        <w:rPr>
          <w:w w:val="105"/>
          <w:sz w:val="28"/>
        </w:rPr>
        <w:t>:</w:t>
      </w:r>
    </w:p>
    <w:p>
      <w:pPr>
        <w:pStyle w:val="ListParagraph"/>
        <w:numPr>
          <w:ilvl w:val="1"/>
          <w:numId w:val="41"/>
        </w:numPr>
        <w:tabs>
          <w:tab w:pos="1503" w:val="left" w:leader="none"/>
          <w:tab w:pos="1504" w:val="left" w:leader="none"/>
        </w:tabs>
        <w:spacing w:line="240" w:lineRule="auto" w:before="0" w:after="0"/>
        <w:ind w:left="1503" w:right="863" w:hanging="360"/>
        <w:jc w:val="left"/>
        <w:rPr>
          <w:sz w:val="28"/>
        </w:rPr>
      </w:pPr>
      <w:r>
        <w:rPr>
          <w:w w:val="110"/>
          <w:sz w:val="28"/>
        </w:rPr>
        <w:t>Les</w:t>
      </w:r>
      <w:r>
        <w:rPr>
          <w:spacing w:val="-11"/>
          <w:w w:val="110"/>
          <w:sz w:val="28"/>
        </w:rPr>
        <w:t> </w:t>
      </w:r>
      <w:r>
        <w:rPr>
          <w:w w:val="110"/>
          <w:sz w:val="28"/>
        </w:rPr>
        <w:t>numéros</w:t>
      </w:r>
      <w:r>
        <w:rPr>
          <w:spacing w:val="-15"/>
          <w:w w:val="110"/>
          <w:sz w:val="28"/>
        </w:rPr>
        <w:t> </w:t>
      </w:r>
      <w:r>
        <w:rPr>
          <w:w w:val="110"/>
          <w:sz w:val="28"/>
        </w:rPr>
        <w:t>d’ordre</w:t>
      </w:r>
      <w:r>
        <w:rPr>
          <w:spacing w:val="-19"/>
          <w:w w:val="110"/>
          <w:sz w:val="28"/>
        </w:rPr>
        <w:t> </w:t>
      </w:r>
      <w:r>
        <w:rPr>
          <w:w w:val="110"/>
          <w:sz w:val="28"/>
        </w:rPr>
        <w:t>attribués</w:t>
      </w:r>
      <w:r>
        <w:rPr>
          <w:spacing w:val="-12"/>
          <w:w w:val="110"/>
          <w:sz w:val="28"/>
        </w:rPr>
        <w:t> </w:t>
      </w:r>
      <w:r>
        <w:rPr>
          <w:w w:val="110"/>
          <w:sz w:val="28"/>
        </w:rPr>
        <w:t>aux</w:t>
      </w:r>
      <w:r>
        <w:rPr>
          <w:spacing w:val="-19"/>
          <w:w w:val="110"/>
          <w:sz w:val="28"/>
        </w:rPr>
        <w:t> </w:t>
      </w:r>
      <w:r>
        <w:rPr>
          <w:w w:val="110"/>
          <w:sz w:val="28"/>
        </w:rPr>
        <w:t>plis,</w:t>
      </w:r>
      <w:r>
        <w:rPr>
          <w:spacing w:val="-15"/>
          <w:w w:val="110"/>
          <w:sz w:val="28"/>
        </w:rPr>
        <w:t> </w:t>
      </w:r>
      <w:r>
        <w:rPr>
          <w:w w:val="110"/>
          <w:sz w:val="28"/>
        </w:rPr>
        <w:t>leur</w:t>
      </w:r>
      <w:r>
        <w:rPr>
          <w:spacing w:val="-20"/>
          <w:w w:val="110"/>
          <w:sz w:val="28"/>
        </w:rPr>
        <w:t> </w:t>
      </w:r>
      <w:r>
        <w:rPr>
          <w:w w:val="110"/>
          <w:sz w:val="28"/>
        </w:rPr>
        <w:t>date</w:t>
      </w:r>
      <w:r>
        <w:rPr>
          <w:spacing w:val="-22"/>
          <w:w w:val="110"/>
          <w:sz w:val="28"/>
        </w:rPr>
        <w:t> </w:t>
      </w:r>
      <w:r>
        <w:rPr>
          <w:w w:val="110"/>
          <w:sz w:val="28"/>
        </w:rPr>
        <w:t>d’arrivée</w:t>
      </w:r>
      <w:r>
        <w:rPr>
          <w:spacing w:val="-15"/>
          <w:w w:val="110"/>
          <w:sz w:val="28"/>
        </w:rPr>
        <w:t> </w:t>
      </w:r>
      <w:r>
        <w:rPr>
          <w:w w:val="110"/>
          <w:sz w:val="28"/>
        </w:rPr>
        <w:t>et</w:t>
      </w:r>
      <w:r>
        <w:rPr>
          <w:spacing w:val="-20"/>
          <w:w w:val="110"/>
          <w:sz w:val="28"/>
        </w:rPr>
        <w:t> </w:t>
      </w:r>
      <w:r>
        <w:rPr>
          <w:w w:val="110"/>
          <w:sz w:val="28"/>
        </w:rPr>
        <w:t>les</w:t>
      </w:r>
      <w:r>
        <w:rPr>
          <w:spacing w:val="-17"/>
          <w:w w:val="110"/>
          <w:sz w:val="28"/>
        </w:rPr>
        <w:t> </w:t>
      </w:r>
      <w:r>
        <w:rPr>
          <w:w w:val="110"/>
          <w:sz w:val="28"/>
        </w:rPr>
        <w:t>noms des</w:t>
      </w:r>
      <w:r>
        <w:rPr>
          <w:spacing w:val="-15"/>
          <w:w w:val="110"/>
          <w:sz w:val="28"/>
        </w:rPr>
        <w:t> </w:t>
      </w:r>
      <w:r>
        <w:rPr>
          <w:w w:val="110"/>
          <w:sz w:val="28"/>
        </w:rPr>
        <w:t>participants.</w:t>
      </w:r>
    </w:p>
    <w:p>
      <w:pPr>
        <w:pStyle w:val="ListParagraph"/>
        <w:numPr>
          <w:ilvl w:val="1"/>
          <w:numId w:val="41"/>
        </w:numPr>
        <w:tabs>
          <w:tab w:pos="1503" w:val="left" w:leader="none"/>
          <w:tab w:pos="1504" w:val="left" w:leader="none"/>
        </w:tabs>
        <w:spacing w:line="322" w:lineRule="exact" w:before="0" w:after="0"/>
        <w:ind w:left="1503" w:right="0" w:hanging="361"/>
        <w:jc w:val="left"/>
        <w:rPr>
          <w:sz w:val="28"/>
        </w:rPr>
      </w:pPr>
      <w:r>
        <w:rPr>
          <w:sz w:val="28"/>
        </w:rPr>
        <w:t>Les documents exigés et accompagnant les</w:t>
      </w:r>
      <w:r>
        <w:rPr>
          <w:spacing w:val="-4"/>
          <w:sz w:val="28"/>
        </w:rPr>
        <w:t> </w:t>
      </w:r>
      <w:r>
        <w:rPr>
          <w:sz w:val="28"/>
        </w:rPr>
        <w:t>offres.</w:t>
      </w:r>
    </w:p>
    <w:p>
      <w:pPr>
        <w:pStyle w:val="ListParagraph"/>
        <w:numPr>
          <w:ilvl w:val="1"/>
          <w:numId w:val="41"/>
        </w:numPr>
        <w:tabs>
          <w:tab w:pos="1503" w:val="left" w:leader="none"/>
          <w:tab w:pos="1504" w:val="left" w:leader="none"/>
        </w:tabs>
        <w:spacing w:line="322" w:lineRule="exact" w:before="0" w:after="0"/>
        <w:ind w:left="1503" w:right="0" w:hanging="361"/>
        <w:jc w:val="left"/>
        <w:rPr>
          <w:sz w:val="28"/>
        </w:rPr>
      </w:pPr>
      <w:r>
        <w:rPr>
          <w:sz w:val="28"/>
        </w:rPr>
        <w:t>Les documents exigés mais non présentés ou dont la validité a</w:t>
      </w:r>
      <w:r>
        <w:rPr>
          <w:spacing w:val="-6"/>
          <w:sz w:val="28"/>
        </w:rPr>
        <w:t> </w:t>
      </w:r>
      <w:r>
        <w:rPr>
          <w:sz w:val="28"/>
        </w:rPr>
        <w:t>expiré.</w:t>
      </w:r>
    </w:p>
    <w:p>
      <w:pPr>
        <w:pStyle w:val="ListParagraph"/>
        <w:numPr>
          <w:ilvl w:val="1"/>
          <w:numId w:val="41"/>
        </w:numPr>
        <w:tabs>
          <w:tab w:pos="1503" w:val="left" w:leader="none"/>
          <w:tab w:pos="1504" w:val="left" w:leader="none"/>
        </w:tabs>
        <w:spacing w:line="240" w:lineRule="auto" w:before="0" w:after="0"/>
        <w:ind w:left="1503" w:right="1122" w:hanging="360"/>
        <w:jc w:val="left"/>
        <w:rPr>
          <w:sz w:val="28"/>
        </w:rPr>
      </w:pPr>
      <w:r>
        <w:rPr>
          <w:sz w:val="28"/>
        </w:rPr>
        <w:t>Les</w:t>
      </w:r>
      <w:r>
        <w:rPr>
          <w:spacing w:val="-9"/>
          <w:sz w:val="28"/>
        </w:rPr>
        <w:t> </w:t>
      </w:r>
      <w:r>
        <w:rPr>
          <w:sz w:val="28"/>
        </w:rPr>
        <w:t>offres</w:t>
      </w:r>
      <w:r>
        <w:rPr>
          <w:spacing w:val="-6"/>
          <w:sz w:val="28"/>
        </w:rPr>
        <w:t> </w:t>
      </w:r>
      <w:r>
        <w:rPr>
          <w:sz w:val="28"/>
        </w:rPr>
        <w:t>recevables,</w:t>
      </w:r>
      <w:r>
        <w:rPr>
          <w:spacing w:val="-11"/>
          <w:sz w:val="28"/>
        </w:rPr>
        <w:t> </w:t>
      </w:r>
      <w:r>
        <w:rPr>
          <w:sz w:val="28"/>
        </w:rPr>
        <w:t>les</w:t>
      </w:r>
      <w:r>
        <w:rPr>
          <w:spacing w:val="-8"/>
          <w:sz w:val="28"/>
        </w:rPr>
        <w:t> </w:t>
      </w:r>
      <w:r>
        <w:rPr>
          <w:sz w:val="28"/>
        </w:rPr>
        <w:t>offres</w:t>
      </w:r>
      <w:r>
        <w:rPr>
          <w:spacing w:val="-7"/>
          <w:sz w:val="28"/>
        </w:rPr>
        <w:t> </w:t>
      </w:r>
      <w:r>
        <w:rPr>
          <w:sz w:val="28"/>
        </w:rPr>
        <w:t>irrecevables</w:t>
      </w:r>
      <w:r>
        <w:rPr>
          <w:spacing w:val="-8"/>
          <w:sz w:val="28"/>
        </w:rPr>
        <w:t> </w:t>
      </w:r>
      <w:r>
        <w:rPr>
          <w:sz w:val="28"/>
        </w:rPr>
        <w:t>et</w:t>
      </w:r>
      <w:r>
        <w:rPr>
          <w:spacing w:val="-8"/>
          <w:sz w:val="28"/>
        </w:rPr>
        <w:t> </w:t>
      </w:r>
      <w:r>
        <w:rPr>
          <w:sz w:val="28"/>
        </w:rPr>
        <w:t>les</w:t>
      </w:r>
      <w:r>
        <w:rPr>
          <w:spacing w:val="-8"/>
          <w:sz w:val="28"/>
        </w:rPr>
        <w:t> </w:t>
      </w:r>
      <w:r>
        <w:rPr>
          <w:sz w:val="28"/>
        </w:rPr>
        <w:t>motifs</w:t>
      </w:r>
      <w:r>
        <w:rPr>
          <w:spacing w:val="-7"/>
          <w:sz w:val="28"/>
        </w:rPr>
        <w:t> </w:t>
      </w:r>
      <w:r>
        <w:rPr>
          <w:sz w:val="28"/>
        </w:rPr>
        <w:t>de</w:t>
      </w:r>
      <w:r>
        <w:rPr>
          <w:spacing w:val="-10"/>
          <w:sz w:val="28"/>
        </w:rPr>
        <w:t> </w:t>
      </w:r>
      <w:r>
        <w:rPr>
          <w:sz w:val="28"/>
        </w:rPr>
        <w:t>leur</w:t>
      </w:r>
      <w:r>
        <w:rPr>
          <w:spacing w:val="-11"/>
          <w:sz w:val="28"/>
        </w:rPr>
        <w:t> </w:t>
      </w:r>
      <w:r>
        <w:rPr>
          <w:sz w:val="28"/>
        </w:rPr>
        <w:t>rejet,</w:t>
      </w:r>
      <w:r>
        <w:rPr>
          <w:spacing w:val="-10"/>
          <w:sz w:val="28"/>
        </w:rPr>
        <w:t> </w:t>
      </w:r>
      <w:r>
        <w:rPr>
          <w:sz w:val="28"/>
        </w:rPr>
        <w:t>les observations et les réserves, le cas</w:t>
      </w:r>
      <w:r>
        <w:rPr>
          <w:spacing w:val="-40"/>
          <w:sz w:val="28"/>
        </w:rPr>
        <w:t> </w:t>
      </w:r>
      <w:r>
        <w:rPr>
          <w:sz w:val="28"/>
        </w:rPr>
        <w:t>échéant.</w:t>
      </w:r>
    </w:p>
    <w:p>
      <w:pPr>
        <w:pStyle w:val="ListParagraph"/>
        <w:numPr>
          <w:ilvl w:val="1"/>
          <w:numId w:val="41"/>
        </w:numPr>
        <w:tabs>
          <w:tab w:pos="1503" w:val="left" w:leader="none"/>
          <w:tab w:pos="1504" w:val="left" w:leader="none"/>
        </w:tabs>
        <w:spacing w:line="242" w:lineRule="auto" w:before="0" w:after="0"/>
        <w:ind w:left="1503" w:right="1203" w:hanging="360"/>
        <w:jc w:val="left"/>
        <w:rPr>
          <w:sz w:val="28"/>
        </w:rPr>
      </w:pPr>
      <w:r>
        <w:rPr>
          <w:sz w:val="28"/>
        </w:rPr>
        <w:t>La liste des offres acceptées, leurs montants et les rabais consentis le</w:t>
      </w:r>
      <w:r>
        <w:rPr>
          <w:spacing w:val="-35"/>
          <w:sz w:val="28"/>
        </w:rPr>
        <w:t> </w:t>
      </w:r>
      <w:r>
        <w:rPr>
          <w:sz w:val="28"/>
        </w:rPr>
        <w:t>cas échéant.</w:t>
      </w:r>
    </w:p>
    <w:p>
      <w:pPr>
        <w:pStyle w:val="ListParagraph"/>
        <w:numPr>
          <w:ilvl w:val="0"/>
          <w:numId w:val="41"/>
        </w:numPr>
        <w:tabs>
          <w:tab w:pos="1000" w:val="left" w:leader="none"/>
        </w:tabs>
        <w:spacing w:line="329" w:lineRule="exact" w:before="0" w:after="0"/>
        <w:ind w:left="999" w:right="0" w:hanging="284"/>
        <w:jc w:val="left"/>
        <w:rPr>
          <w:sz w:val="28"/>
        </w:rPr>
      </w:pPr>
      <w:r>
        <w:rPr>
          <w:w w:val="110"/>
          <w:sz w:val="28"/>
        </w:rPr>
        <w:t>Signer le PV d’ouverture</w:t>
      </w:r>
      <w:r>
        <w:rPr>
          <w:spacing w:val="4"/>
          <w:w w:val="110"/>
          <w:sz w:val="28"/>
        </w:rPr>
        <w:t> </w:t>
      </w:r>
      <w:r>
        <w:rPr>
          <w:w w:val="110"/>
          <w:sz w:val="28"/>
        </w:rPr>
        <w:t>;</w:t>
      </w:r>
    </w:p>
    <w:p>
      <w:pPr>
        <w:pStyle w:val="ListParagraph"/>
        <w:numPr>
          <w:ilvl w:val="0"/>
          <w:numId w:val="41"/>
        </w:numPr>
        <w:tabs>
          <w:tab w:pos="1000" w:val="left" w:leader="none"/>
        </w:tabs>
        <w:spacing w:line="235" w:lineRule="auto" w:before="0" w:after="0"/>
        <w:ind w:left="999" w:right="1158" w:hanging="284"/>
        <w:jc w:val="left"/>
        <w:rPr>
          <w:sz w:val="28"/>
        </w:rPr>
      </w:pPr>
      <w:r>
        <w:rPr>
          <w:w w:val="110"/>
          <w:sz w:val="28"/>
        </w:rPr>
        <w:t>Inviter les soumissionnaires à compléter les documents administratifs manquants dans un délai supplémentaire de trois (03) à cinq (05)</w:t>
      </w:r>
      <w:r>
        <w:rPr>
          <w:spacing w:val="-35"/>
          <w:w w:val="110"/>
          <w:sz w:val="28"/>
        </w:rPr>
        <w:t> </w:t>
      </w:r>
      <w:r>
        <w:rPr>
          <w:w w:val="110"/>
          <w:sz w:val="28"/>
        </w:rPr>
        <w:t>jours ouvrables.</w:t>
      </w:r>
    </w:p>
    <w:p>
      <w:pPr>
        <w:pStyle w:val="Heading3"/>
        <w:spacing w:before="119"/>
        <w:jc w:val="left"/>
        <w:rPr>
          <w:i/>
        </w:rPr>
      </w:pPr>
      <w:r>
        <w:rPr>
          <w:i/>
        </w:rPr>
        <w:t>Proposition d’attribution :</w:t>
      </w:r>
    </w:p>
    <w:p>
      <w:pPr>
        <w:pStyle w:val="BodyText"/>
        <w:ind w:right="746"/>
      </w:pPr>
      <w:r>
        <w:rPr/>
        <w:t>La</w:t>
      </w:r>
      <w:r>
        <w:rPr>
          <w:spacing w:val="-7"/>
        </w:rPr>
        <w:t> </w:t>
      </w:r>
      <w:r>
        <w:rPr/>
        <w:t>structure</w:t>
      </w:r>
      <w:r>
        <w:rPr>
          <w:spacing w:val="-6"/>
        </w:rPr>
        <w:t> </w:t>
      </w:r>
      <w:r>
        <w:rPr/>
        <w:t>demandeuse</w:t>
      </w:r>
      <w:r>
        <w:rPr>
          <w:spacing w:val="-6"/>
        </w:rPr>
        <w:t> </w:t>
      </w:r>
      <w:r>
        <w:rPr/>
        <w:t>procède</w:t>
      </w:r>
      <w:r>
        <w:rPr>
          <w:spacing w:val="-9"/>
        </w:rPr>
        <w:t> </w:t>
      </w:r>
      <w:r>
        <w:rPr/>
        <w:t>à</w:t>
      </w:r>
      <w:r>
        <w:rPr>
          <w:spacing w:val="-6"/>
        </w:rPr>
        <w:t> </w:t>
      </w:r>
      <w:r>
        <w:rPr/>
        <w:t>l’évaluation</w:t>
      </w:r>
      <w:r>
        <w:rPr>
          <w:spacing w:val="-7"/>
        </w:rPr>
        <w:t> </w:t>
      </w:r>
      <w:r>
        <w:rPr/>
        <w:t>et</w:t>
      </w:r>
      <w:r>
        <w:rPr>
          <w:spacing w:val="-5"/>
        </w:rPr>
        <w:t> </w:t>
      </w:r>
      <w:r>
        <w:rPr/>
        <w:t>l’analyse</w:t>
      </w:r>
      <w:r>
        <w:rPr>
          <w:spacing w:val="-7"/>
        </w:rPr>
        <w:t> </w:t>
      </w:r>
      <w:r>
        <w:rPr/>
        <w:t>des</w:t>
      </w:r>
      <w:r>
        <w:rPr>
          <w:spacing w:val="-8"/>
        </w:rPr>
        <w:t> </w:t>
      </w:r>
      <w:r>
        <w:rPr/>
        <w:t>offres</w:t>
      </w:r>
      <w:r>
        <w:rPr>
          <w:spacing w:val="-6"/>
        </w:rPr>
        <w:t> </w:t>
      </w:r>
      <w:r>
        <w:rPr/>
        <w:t>et</w:t>
      </w:r>
      <w:r>
        <w:rPr>
          <w:spacing w:val="-6"/>
        </w:rPr>
        <w:t> </w:t>
      </w:r>
      <w:r>
        <w:rPr/>
        <w:t>propose d’attribuer la commande au soumissionnaire ayant soumis l’offre évaluée la moins- disante ou la mieux-disante et ce en application du mode d’attribution prévu dans les documents</w:t>
      </w:r>
      <w:r>
        <w:rPr>
          <w:spacing w:val="-17"/>
        </w:rPr>
        <w:t> </w:t>
      </w:r>
      <w:r>
        <w:rPr/>
        <w:t>de</w:t>
      </w:r>
      <w:r>
        <w:rPr>
          <w:spacing w:val="-17"/>
        </w:rPr>
        <w:t> </w:t>
      </w:r>
      <w:r>
        <w:rPr/>
        <w:t>la</w:t>
      </w:r>
      <w:r>
        <w:rPr>
          <w:spacing w:val="-16"/>
        </w:rPr>
        <w:t> </w:t>
      </w:r>
      <w:r>
        <w:rPr/>
        <w:t>consultation.</w:t>
      </w:r>
      <w:r>
        <w:rPr>
          <w:spacing w:val="-15"/>
        </w:rPr>
        <w:t> </w:t>
      </w:r>
      <w:r>
        <w:rPr/>
        <w:t>Elle</w:t>
      </w:r>
      <w:r>
        <w:rPr>
          <w:spacing w:val="-18"/>
        </w:rPr>
        <w:t> </w:t>
      </w:r>
      <w:r>
        <w:rPr/>
        <w:t>établit,</w:t>
      </w:r>
      <w:r>
        <w:rPr>
          <w:spacing w:val="-18"/>
        </w:rPr>
        <w:t> </w:t>
      </w:r>
      <w:r>
        <w:rPr/>
        <w:t>par</w:t>
      </w:r>
      <w:r>
        <w:rPr>
          <w:spacing w:val="-18"/>
        </w:rPr>
        <w:t> </w:t>
      </w:r>
      <w:r>
        <w:rPr/>
        <w:t>la</w:t>
      </w:r>
      <w:r>
        <w:rPr>
          <w:spacing w:val="-15"/>
        </w:rPr>
        <w:t> </w:t>
      </w:r>
      <w:r>
        <w:rPr/>
        <w:t>suite,</w:t>
      </w:r>
      <w:r>
        <w:rPr>
          <w:spacing w:val="-18"/>
        </w:rPr>
        <w:t> </w:t>
      </w:r>
      <w:r>
        <w:rPr/>
        <w:t>le</w:t>
      </w:r>
      <w:r>
        <w:rPr>
          <w:spacing w:val="-16"/>
        </w:rPr>
        <w:t> </w:t>
      </w:r>
      <w:r>
        <w:rPr/>
        <w:t>rapport</w:t>
      </w:r>
      <w:r>
        <w:rPr>
          <w:spacing w:val="-16"/>
        </w:rPr>
        <w:t> </w:t>
      </w:r>
      <w:r>
        <w:rPr/>
        <w:t>d'évaluation</w:t>
      </w:r>
      <w:r>
        <w:rPr>
          <w:spacing w:val="-15"/>
        </w:rPr>
        <w:t> </w:t>
      </w:r>
      <w:r>
        <w:rPr/>
        <w:t>des</w:t>
      </w:r>
      <w:r>
        <w:rPr>
          <w:spacing w:val="-16"/>
        </w:rPr>
        <w:t> </w:t>
      </w:r>
      <w:r>
        <w:rPr/>
        <w:t>offres qui doit contenir la proposition d’attribution de la</w:t>
      </w:r>
      <w:r>
        <w:rPr>
          <w:spacing w:val="-4"/>
        </w:rPr>
        <w:t> </w:t>
      </w:r>
      <w:r>
        <w:rPr/>
        <w:t>commande.</w:t>
      </w:r>
    </w:p>
    <w:p>
      <w:pPr>
        <w:pStyle w:val="BodyText"/>
        <w:ind w:right="752"/>
      </w:pPr>
      <w:r>
        <w:rPr/>
        <w:t>Le rapport d’évaluation doit comporter les détails des résultats des travaux d’évaluation et doit être signé le responsable de la structure demandeuse.</w:t>
      </w:r>
    </w:p>
    <w:p>
      <w:pPr>
        <w:pStyle w:val="BodyText"/>
        <w:ind w:right="758"/>
      </w:pPr>
      <w:r>
        <w:rPr/>
        <w:t>La structure d’achat soumet le dossier de consultation contenant les offres et le rapport d’évaluation à l’avis de la CRA.</w:t>
      </w:r>
    </w:p>
    <w:p>
      <w:pPr>
        <w:pStyle w:val="Heading3"/>
        <w:spacing w:before="123"/>
        <w:rPr>
          <w:i/>
        </w:rPr>
      </w:pPr>
      <w:r>
        <w:rPr>
          <w:i/>
        </w:rPr>
        <w:t>Attribution de la commande :</w:t>
      </w:r>
    </w:p>
    <w:p>
      <w:pPr>
        <w:pStyle w:val="BodyText"/>
        <w:spacing w:line="242" w:lineRule="auto"/>
        <w:ind w:right="756" w:firstLine="0"/>
      </w:pPr>
      <w:r>
        <w:rPr/>
        <w:t>Apres</w:t>
      </w:r>
      <w:r>
        <w:rPr>
          <w:spacing w:val="-11"/>
        </w:rPr>
        <w:t> </w:t>
      </w:r>
      <w:r>
        <w:rPr/>
        <w:t>avoir</w:t>
      </w:r>
      <w:r>
        <w:rPr>
          <w:spacing w:val="-10"/>
        </w:rPr>
        <w:t> </w:t>
      </w:r>
      <w:r>
        <w:rPr/>
        <w:t>examiné</w:t>
      </w:r>
      <w:r>
        <w:rPr>
          <w:spacing w:val="-12"/>
        </w:rPr>
        <w:t> </w:t>
      </w:r>
      <w:r>
        <w:rPr/>
        <w:t>la</w:t>
      </w:r>
      <w:r>
        <w:rPr>
          <w:spacing w:val="-11"/>
        </w:rPr>
        <w:t> </w:t>
      </w:r>
      <w:r>
        <w:rPr/>
        <w:t>régularité</w:t>
      </w:r>
      <w:r>
        <w:rPr>
          <w:spacing w:val="-11"/>
        </w:rPr>
        <w:t> </w:t>
      </w:r>
      <w:r>
        <w:rPr/>
        <w:t>des</w:t>
      </w:r>
      <w:r>
        <w:rPr>
          <w:spacing w:val="-11"/>
        </w:rPr>
        <w:t> </w:t>
      </w:r>
      <w:r>
        <w:rPr/>
        <w:t>procédures</w:t>
      </w:r>
      <w:r>
        <w:rPr>
          <w:spacing w:val="-10"/>
        </w:rPr>
        <w:t> </w:t>
      </w:r>
      <w:r>
        <w:rPr/>
        <w:t>de</w:t>
      </w:r>
      <w:r>
        <w:rPr>
          <w:spacing w:val="-10"/>
        </w:rPr>
        <w:t> </w:t>
      </w:r>
      <w:r>
        <w:rPr/>
        <w:t>mise</w:t>
      </w:r>
      <w:r>
        <w:rPr>
          <w:spacing w:val="-11"/>
        </w:rPr>
        <w:t> </w:t>
      </w:r>
      <w:r>
        <w:rPr/>
        <w:t>en</w:t>
      </w:r>
      <w:r>
        <w:rPr>
          <w:spacing w:val="-11"/>
        </w:rPr>
        <w:t> </w:t>
      </w:r>
      <w:r>
        <w:rPr/>
        <w:t>concurrence,</w:t>
      </w:r>
      <w:r>
        <w:rPr>
          <w:spacing w:val="-12"/>
        </w:rPr>
        <w:t> </w:t>
      </w:r>
      <w:r>
        <w:rPr/>
        <w:t>la</w:t>
      </w:r>
      <w:r>
        <w:rPr>
          <w:spacing w:val="-11"/>
        </w:rPr>
        <w:t> </w:t>
      </w:r>
      <w:r>
        <w:rPr/>
        <w:t>CRA</w:t>
      </w:r>
      <w:r>
        <w:rPr>
          <w:spacing w:val="-14"/>
        </w:rPr>
        <w:t> </w:t>
      </w:r>
      <w:r>
        <w:rPr/>
        <w:t>rend son avis sur le rapport d’évaluation </w:t>
      </w:r>
      <w:r>
        <w:rPr>
          <w:spacing w:val="-3"/>
        </w:rPr>
        <w:t>comme </w:t>
      </w:r>
      <w:r>
        <w:rPr/>
        <w:t>suit</w:t>
      </w:r>
      <w:r>
        <w:rPr>
          <w:spacing w:val="5"/>
        </w:rPr>
        <w:t> </w:t>
      </w:r>
      <w:r>
        <w:rPr/>
        <w:t>:</w:t>
      </w:r>
    </w:p>
    <w:p>
      <w:pPr>
        <w:pStyle w:val="ListParagraph"/>
        <w:numPr>
          <w:ilvl w:val="3"/>
          <w:numId w:val="38"/>
        </w:numPr>
        <w:tabs>
          <w:tab w:pos="885" w:val="left" w:leader="none"/>
        </w:tabs>
        <w:spacing w:line="317" w:lineRule="exact" w:before="0" w:after="0"/>
        <w:ind w:left="884" w:right="0" w:hanging="169"/>
        <w:jc w:val="left"/>
        <w:rPr>
          <w:sz w:val="28"/>
        </w:rPr>
      </w:pPr>
      <w:r>
        <w:rPr>
          <w:sz w:val="28"/>
        </w:rPr>
        <w:t>Approuve la proposition d’attribution de</w:t>
      </w:r>
      <w:r>
        <w:rPr>
          <w:spacing w:val="-13"/>
          <w:sz w:val="28"/>
        </w:rPr>
        <w:t> </w:t>
      </w:r>
      <w:r>
        <w:rPr>
          <w:sz w:val="28"/>
        </w:rPr>
        <w:t>l’achat.</w:t>
      </w:r>
    </w:p>
    <w:p>
      <w:pPr>
        <w:pStyle w:val="ListParagraph"/>
        <w:numPr>
          <w:ilvl w:val="3"/>
          <w:numId w:val="38"/>
        </w:numPr>
        <w:tabs>
          <w:tab w:pos="885" w:val="left" w:leader="none"/>
        </w:tabs>
        <w:spacing w:line="322" w:lineRule="exact" w:before="0" w:after="0"/>
        <w:ind w:left="884" w:right="0" w:hanging="169"/>
        <w:jc w:val="left"/>
        <w:rPr>
          <w:sz w:val="28"/>
        </w:rPr>
      </w:pPr>
      <w:r>
        <w:rPr>
          <w:sz w:val="28"/>
        </w:rPr>
        <w:t>Ou demande des</w:t>
      </w:r>
      <w:r>
        <w:rPr>
          <w:spacing w:val="-2"/>
          <w:sz w:val="28"/>
        </w:rPr>
        <w:t> </w:t>
      </w:r>
      <w:r>
        <w:rPr>
          <w:sz w:val="28"/>
        </w:rPr>
        <w:t>éclaircissements.</w:t>
      </w:r>
    </w:p>
    <w:p>
      <w:pPr>
        <w:pStyle w:val="ListParagraph"/>
        <w:numPr>
          <w:ilvl w:val="3"/>
          <w:numId w:val="38"/>
        </w:numPr>
        <w:tabs>
          <w:tab w:pos="885" w:val="left" w:leader="none"/>
        </w:tabs>
        <w:spacing w:line="322" w:lineRule="exact" w:before="0" w:after="0"/>
        <w:ind w:left="884" w:right="0" w:hanging="169"/>
        <w:jc w:val="left"/>
        <w:rPr>
          <w:sz w:val="28"/>
        </w:rPr>
      </w:pPr>
      <w:r>
        <w:rPr>
          <w:sz w:val="28"/>
        </w:rPr>
        <w:t>Ou demande de refaire</w:t>
      </w:r>
      <w:r>
        <w:rPr>
          <w:spacing w:val="-3"/>
          <w:sz w:val="28"/>
        </w:rPr>
        <w:t> </w:t>
      </w:r>
      <w:r>
        <w:rPr>
          <w:sz w:val="28"/>
        </w:rPr>
        <w:t>l’évaluation.</w:t>
      </w:r>
    </w:p>
    <w:p>
      <w:pPr>
        <w:pStyle w:val="ListParagraph"/>
        <w:numPr>
          <w:ilvl w:val="3"/>
          <w:numId w:val="38"/>
        </w:numPr>
        <w:tabs>
          <w:tab w:pos="885" w:val="left" w:leader="none"/>
        </w:tabs>
        <w:spacing w:line="240" w:lineRule="auto" w:before="0" w:after="0"/>
        <w:ind w:left="884" w:right="0" w:hanging="169"/>
        <w:jc w:val="left"/>
        <w:rPr>
          <w:sz w:val="28"/>
        </w:rPr>
      </w:pPr>
      <w:r>
        <w:rPr>
          <w:sz w:val="28"/>
        </w:rPr>
        <w:t>Ou déclare la consultation</w:t>
      </w:r>
      <w:r>
        <w:rPr>
          <w:spacing w:val="-2"/>
          <w:sz w:val="28"/>
        </w:rPr>
        <w:t> </w:t>
      </w:r>
      <w:r>
        <w:rPr>
          <w:sz w:val="28"/>
        </w:rPr>
        <w:t>infructueuse.</w:t>
      </w:r>
    </w:p>
    <w:p>
      <w:pPr>
        <w:pStyle w:val="BodyText"/>
        <w:spacing w:before="116"/>
        <w:ind w:right="760"/>
      </w:pPr>
      <w:r>
        <w:rPr/>
        <w:t>En cas d’avis favorable de la CRA, la structure concernée par l’achat notifie le bon de commande signé à l'attributaire. Cette notification vaut ordre de service de commencer les prestations ou les travaux.</w:t>
      </w:r>
    </w:p>
    <w:p>
      <w:pPr>
        <w:pStyle w:val="BodyText"/>
        <w:spacing w:before="1"/>
        <w:ind w:right="751"/>
      </w:pPr>
      <w:r>
        <w:rPr/>
        <w:t>Le</w:t>
      </w:r>
      <w:r>
        <w:rPr>
          <w:spacing w:val="-8"/>
        </w:rPr>
        <w:t> </w:t>
      </w:r>
      <w:r>
        <w:rPr/>
        <w:t>délai</w:t>
      </w:r>
      <w:r>
        <w:rPr>
          <w:spacing w:val="-9"/>
        </w:rPr>
        <w:t> </w:t>
      </w:r>
      <w:r>
        <w:rPr/>
        <w:t>d’exécution</w:t>
      </w:r>
      <w:r>
        <w:rPr>
          <w:spacing w:val="-9"/>
        </w:rPr>
        <w:t> </w:t>
      </w:r>
      <w:r>
        <w:rPr/>
        <w:t>commence</w:t>
      </w:r>
      <w:r>
        <w:rPr>
          <w:spacing w:val="-7"/>
        </w:rPr>
        <w:t> </w:t>
      </w:r>
      <w:r>
        <w:rPr/>
        <w:t>à</w:t>
      </w:r>
      <w:r>
        <w:rPr>
          <w:spacing w:val="-8"/>
        </w:rPr>
        <w:t> </w:t>
      </w:r>
      <w:r>
        <w:rPr/>
        <w:t>courir</w:t>
      </w:r>
      <w:r>
        <w:rPr>
          <w:spacing w:val="-8"/>
        </w:rPr>
        <w:t> </w:t>
      </w:r>
      <w:r>
        <w:rPr/>
        <w:t>le</w:t>
      </w:r>
      <w:r>
        <w:rPr>
          <w:spacing w:val="-10"/>
        </w:rPr>
        <w:t> </w:t>
      </w:r>
      <w:r>
        <w:rPr/>
        <w:t>lendemain</w:t>
      </w:r>
      <w:r>
        <w:rPr>
          <w:spacing w:val="-7"/>
        </w:rPr>
        <w:t> </w:t>
      </w:r>
      <w:r>
        <w:rPr/>
        <w:t>de</w:t>
      </w:r>
      <w:r>
        <w:rPr>
          <w:spacing w:val="-8"/>
        </w:rPr>
        <w:t> </w:t>
      </w:r>
      <w:r>
        <w:rPr/>
        <w:t>la</w:t>
      </w:r>
      <w:r>
        <w:rPr>
          <w:spacing w:val="-10"/>
        </w:rPr>
        <w:t> </w:t>
      </w:r>
      <w:r>
        <w:rPr/>
        <w:t>date</w:t>
      </w:r>
      <w:r>
        <w:rPr>
          <w:spacing w:val="-9"/>
        </w:rPr>
        <w:t> </w:t>
      </w:r>
      <w:r>
        <w:rPr/>
        <w:t>de</w:t>
      </w:r>
      <w:r>
        <w:rPr>
          <w:spacing w:val="-8"/>
        </w:rPr>
        <w:t> </w:t>
      </w:r>
      <w:r>
        <w:rPr/>
        <w:t>la</w:t>
      </w:r>
      <w:r>
        <w:rPr>
          <w:spacing w:val="-2"/>
        </w:rPr>
        <w:t> </w:t>
      </w:r>
      <w:r>
        <w:rPr/>
        <w:t>notification de l’ordre de service ou du bon de la</w:t>
      </w:r>
      <w:r>
        <w:rPr>
          <w:spacing w:val="-16"/>
        </w:rPr>
        <w:t> </w:t>
      </w:r>
      <w:r>
        <w:rPr/>
        <w:t>commande.</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38"/>
        </w:numPr>
        <w:tabs>
          <w:tab w:pos="1322" w:val="left" w:leader="none"/>
        </w:tabs>
        <w:spacing w:line="240" w:lineRule="auto" w:before="89" w:after="0"/>
        <w:ind w:left="1321" w:right="0" w:hanging="889"/>
        <w:jc w:val="both"/>
      </w:pPr>
      <w:bookmarkStart w:name="_TOC_250099" w:id="44"/>
      <w:r>
        <w:rPr/>
        <w:t>Consultation d’achat a compétition</w:t>
      </w:r>
      <w:r>
        <w:rPr>
          <w:spacing w:val="-5"/>
        </w:rPr>
        <w:t> </w:t>
      </w:r>
      <w:bookmarkEnd w:id="44"/>
      <w:r>
        <w:rPr/>
        <w:t>ouverte</w:t>
      </w:r>
    </w:p>
    <w:p>
      <w:pPr>
        <w:pStyle w:val="BodyText"/>
        <w:spacing w:before="43"/>
        <w:ind w:left="999" w:firstLine="0"/>
      </w:pPr>
      <w:r>
        <w:rPr/>
        <w:t>Ce mode de passation concerne les achats relevant de la CAE.</w:t>
      </w:r>
    </w:p>
    <w:p>
      <w:pPr>
        <w:pStyle w:val="Heading2"/>
        <w:spacing w:before="6"/>
      </w:pPr>
      <w:r>
        <w:rPr/>
        <w:t>Procédure :</w:t>
      </w:r>
    </w:p>
    <w:p>
      <w:pPr>
        <w:pStyle w:val="Heading3"/>
        <w:spacing w:before="2"/>
        <w:rPr>
          <w:i/>
        </w:rPr>
      </w:pPr>
      <w:r>
        <w:rPr>
          <w:i/>
        </w:rPr>
        <w:t>Mise en concurrence</w:t>
      </w:r>
    </w:p>
    <w:p>
      <w:pPr>
        <w:pStyle w:val="BodyText"/>
        <w:ind w:right="759"/>
      </w:pPr>
      <w:r>
        <w:rPr/>
        <w:t>La structure d’achat concernée prépare l’avis de consultation et procède au lancement sur la plateforme TUNEPS.</w:t>
      </w:r>
    </w:p>
    <w:p>
      <w:pPr>
        <w:pStyle w:val="BodyText"/>
        <w:ind w:right="751"/>
      </w:pPr>
      <w:r>
        <w:rPr/>
        <w:t>Pour les motifs de non-utilisation de TUNEPS, l’avis de consultation, accompagnées des termes de référence/cahiers des charges ou des formulaires de réponses, doit être publié par tout moyen possible matériel ou électronique laissant trace.</w:t>
      </w:r>
    </w:p>
    <w:p>
      <w:pPr>
        <w:pStyle w:val="BodyText"/>
        <w:spacing w:line="322" w:lineRule="exact"/>
        <w:ind w:firstLine="0"/>
      </w:pPr>
      <w:r>
        <w:rPr/>
        <w:t>L’avis de la consultation doit comporter au minimum les indications suivantes :</w:t>
      </w:r>
    </w:p>
    <w:p>
      <w:pPr>
        <w:pStyle w:val="ListParagraph"/>
        <w:numPr>
          <w:ilvl w:val="0"/>
          <w:numId w:val="42"/>
        </w:numPr>
        <w:tabs>
          <w:tab w:pos="999" w:val="left" w:leader="none"/>
          <w:tab w:pos="1000" w:val="left" w:leader="none"/>
        </w:tabs>
        <w:spacing w:line="322" w:lineRule="exact" w:before="0" w:after="0"/>
        <w:ind w:left="999" w:right="0" w:hanging="284"/>
        <w:jc w:val="left"/>
        <w:rPr>
          <w:sz w:val="28"/>
        </w:rPr>
      </w:pPr>
      <w:r>
        <w:rPr>
          <w:sz w:val="28"/>
        </w:rPr>
        <w:t>L'objet de la</w:t>
      </w:r>
      <w:r>
        <w:rPr>
          <w:spacing w:val="-6"/>
          <w:sz w:val="28"/>
        </w:rPr>
        <w:t> </w:t>
      </w:r>
      <w:r>
        <w:rPr>
          <w:sz w:val="28"/>
        </w:rPr>
        <w:t>consultation.</w:t>
      </w:r>
    </w:p>
    <w:p>
      <w:pPr>
        <w:pStyle w:val="ListParagraph"/>
        <w:numPr>
          <w:ilvl w:val="0"/>
          <w:numId w:val="42"/>
        </w:numPr>
        <w:tabs>
          <w:tab w:pos="999" w:val="left" w:leader="none"/>
          <w:tab w:pos="1000" w:val="left" w:leader="none"/>
        </w:tabs>
        <w:spacing w:line="240" w:lineRule="auto" w:before="0" w:after="0"/>
        <w:ind w:left="999" w:right="758" w:hanging="284"/>
        <w:jc w:val="left"/>
        <w:rPr>
          <w:sz w:val="28"/>
        </w:rPr>
      </w:pPr>
      <w:r>
        <w:rPr>
          <w:sz w:val="28"/>
        </w:rPr>
        <w:t>Le lieu de retrait des documents de la consultation ou des termes de références et le prix de vente, le cas</w:t>
      </w:r>
      <w:r>
        <w:rPr>
          <w:spacing w:val="-3"/>
          <w:sz w:val="28"/>
        </w:rPr>
        <w:t> </w:t>
      </w:r>
      <w:r>
        <w:rPr>
          <w:sz w:val="28"/>
        </w:rPr>
        <w:t>échéant.</w:t>
      </w:r>
    </w:p>
    <w:p>
      <w:pPr>
        <w:pStyle w:val="ListParagraph"/>
        <w:numPr>
          <w:ilvl w:val="0"/>
          <w:numId w:val="42"/>
        </w:numPr>
        <w:tabs>
          <w:tab w:pos="999" w:val="left" w:leader="none"/>
          <w:tab w:pos="1000" w:val="left" w:leader="none"/>
        </w:tabs>
        <w:spacing w:line="321" w:lineRule="exact" w:before="0" w:after="0"/>
        <w:ind w:left="999" w:right="0" w:hanging="284"/>
        <w:jc w:val="left"/>
        <w:rPr>
          <w:sz w:val="28"/>
        </w:rPr>
      </w:pPr>
      <w:r>
        <w:rPr>
          <w:sz w:val="28"/>
        </w:rPr>
        <w:t>Le lieu, la date et l’heure limites de réception des</w:t>
      </w:r>
      <w:r>
        <w:rPr>
          <w:spacing w:val="-13"/>
          <w:sz w:val="28"/>
        </w:rPr>
        <w:t> </w:t>
      </w:r>
      <w:r>
        <w:rPr>
          <w:sz w:val="28"/>
        </w:rPr>
        <w:t>offres.</w:t>
      </w:r>
    </w:p>
    <w:p>
      <w:pPr>
        <w:pStyle w:val="ListParagraph"/>
        <w:numPr>
          <w:ilvl w:val="0"/>
          <w:numId w:val="42"/>
        </w:numPr>
        <w:tabs>
          <w:tab w:pos="999" w:val="left" w:leader="none"/>
          <w:tab w:pos="1000" w:val="left" w:leader="none"/>
        </w:tabs>
        <w:spacing w:line="322" w:lineRule="exact" w:before="0" w:after="0"/>
        <w:ind w:left="999" w:right="0" w:hanging="284"/>
        <w:jc w:val="left"/>
        <w:rPr>
          <w:sz w:val="28"/>
        </w:rPr>
      </w:pPr>
      <w:r>
        <w:rPr>
          <w:sz w:val="28"/>
        </w:rPr>
        <w:t>Le délai pendant lequel les soumissionnaires resteront engagés par leurs</w:t>
      </w:r>
      <w:r>
        <w:rPr>
          <w:spacing w:val="-13"/>
          <w:sz w:val="28"/>
        </w:rPr>
        <w:t> </w:t>
      </w:r>
      <w:r>
        <w:rPr>
          <w:sz w:val="28"/>
        </w:rPr>
        <w:t>offres.</w:t>
      </w:r>
    </w:p>
    <w:p>
      <w:pPr>
        <w:pStyle w:val="ListParagraph"/>
        <w:numPr>
          <w:ilvl w:val="0"/>
          <w:numId w:val="42"/>
        </w:numPr>
        <w:tabs>
          <w:tab w:pos="999" w:val="left" w:leader="none"/>
          <w:tab w:pos="1000" w:val="left" w:leader="none"/>
        </w:tabs>
        <w:spacing w:line="240" w:lineRule="auto" w:before="0" w:after="0"/>
        <w:ind w:left="999" w:right="0" w:hanging="284"/>
        <w:jc w:val="left"/>
        <w:rPr>
          <w:sz w:val="28"/>
        </w:rPr>
      </w:pPr>
      <w:r>
        <w:rPr>
          <w:sz w:val="28"/>
        </w:rPr>
        <w:t>Le mode d’envoi des</w:t>
      </w:r>
      <w:r>
        <w:rPr>
          <w:spacing w:val="-1"/>
          <w:sz w:val="28"/>
        </w:rPr>
        <w:t> </w:t>
      </w:r>
      <w:r>
        <w:rPr>
          <w:sz w:val="28"/>
        </w:rPr>
        <w:t>offres,</w:t>
      </w:r>
    </w:p>
    <w:p>
      <w:pPr>
        <w:pStyle w:val="BodyText"/>
        <w:ind w:right="754"/>
      </w:pPr>
      <w:r>
        <w:rPr/>
        <w:t>Le GCT peut mettre, gratuitement et sans aucune restriction, à la disposition des fournisseurs</w:t>
      </w:r>
      <w:r>
        <w:rPr>
          <w:spacing w:val="-11"/>
        </w:rPr>
        <w:t> </w:t>
      </w:r>
      <w:r>
        <w:rPr/>
        <w:t>les</w:t>
      </w:r>
      <w:r>
        <w:rPr>
          <w:spacing w:val="-14"/>
        </w:rPr>
        <w:t> </w:t>
      </w:r>
      <w:r>
        <w:rPr/>
        <w:t>documents</w:t>
      </w:r>
      <w:r>
        <w:rPr>
          <w:spacing w:val="-15"/>
        </w:rPr>
        <w:t> </w:t>
      </w:r>
      <w:r>
        <w:rPr/>
        <w:t>de</w:t>
      </w:r>
      <w:r>
        <w:rPr>
          <w:spacing w:val="-15"/>
        </w:rPr>
        <w:t> </w:t>
      </w:r>
      <w:r>
        <w:rPr/>
        <w:t>la</w:t>
      </w:r>
      <w:r>
        <w:rPr>
          <w:spacing w:val="-12"/>
        </w:rPr>
        <w:t> </w:t>
      </w:r>
      <w:r>
        <w:rPr/>
        <w:t>consultation</w:t>
      </w:r>
      <w:r>
        <w:rPr>
          <w:spacing w:val="-15"/>
        </w:rPr>
        <w:t> </w:t>
      </w:r>
      <w:r>
        <w:rPr/>
        <w:t>à</w:t>
      </w:r>
      <w:r>
        <w:rPr>
          <w:spacing w:val="-12"/>
        </w:rPr>
        <w:t> </w:t>
      </w:r>
      <w:r>
        <w:rPr/>
        <w:t>partir</w:t>
      </w:r>
      <w:r>
        <w:rPr>
          <w:spacing w:val="-15"/>
        </w:rPr>
        <w:t> </w:t>
      </w:r>
      <w:r>
        <w:rPr/>
        <w:t>de</w:t>
      </w:r>
      <w:r>
        <w:rPr>
          <w:spacing w:val="-16"/>
        </w:rPr>
        <w:t> </w:t>
      </w:r>
      <w:r>
        <w:rPr/>
        <w:t>la</w:t>
      </w:r>
      <w:r>
        <w:rPr>
          <w:spacing w:val="-15"/>
        </w:rPr>
        <w:t> </w:t>
      </w:r>
      <w:r>
        <w:rPr/>
        <w:t>date</w:t>
      </w:r>
      <w:r>
        <w:rPr>
          <w:spacing w:val="-12"/>
        </w:rPr>
        <w:t> </w:t>
      </w:r>
      <w:r>
        <w:rPr/>
        <w:t>de</w:t>
      </w:r>
      <w:r>
        <w:rPr>
          <w:spacing w:val="-13"/>
        </w:rPr>
        <w:t> </w:t>
      </w:r>
      <w:r>
        <w:rPr/>
        <w:t>publication</w:t>
      </w:r>
      <w:r>
        <w:rPr>
          <w:spacing w:val="-14"/>
        </w:rPr>
        <w:t> </w:t>
      </w:r>
      <w:r>
        <w:rPr/>
        <w:t>de</w:t>
      </w:r>
      <w:r>
        <w:rPr>
          <w:spacing w:val="-15"/>
        </w:rPr>
        <w:t> </w:t>
      </w:r>
      <w:r>
        <w:rPr/>
        <w:t>l’avis de la consultation qui précise l’adresse électronique à laquelle les documents sont accessibles et</w:t>
      </w:r>
      <w:r>
        <w:rPr>
          <w:spacing w:val="-2"/>
        </w:rPr>
        <w:t> </w:t>
      </w:r>
      <w:r>
        <w:rPr/>
        <w:t>téléchargeables.</w:t>
      </w:r>
    </w:p>
    <w:p>
      <w:pPr>
        <w:pStyle w:val="Heading3"/>
        <w:spacing w:line="319" w:lineRule="exact" w:before="125"/>
        <w:rPr>
          <w:i/>
        </w:rPr>
      </w:pPr>
      <w:r>
        <w:rPr>
          <w:i/>
        </w:rPr>
        <w:t>Réception des offres</w:t>
      </w:r>
    </w:p>
    <w:p>
      <w:pPr>
        <w:pStyle w:val="BodyText"/>
        <w:ind w:right="758"/>
      </w:pPr>
      <w:r>
        <w:rPr/>
        <w:t>En cas de procédure en ligne, La réception des offres se fait sur le Système TUNEPS</w:t>
      </w:r>
      <w:r>
        <w:rPr>
          <w:spacing w:val="-9"/>
        </w:rPr>
        <w:t> </w:t>
      </w:r>
      <w:r>
        <w:rPr/>
        <w:t>à</w:t>
      </w:r>
      <w:r>
        <w:rPr>
          <w:spacing w:val="-8"/>
        </w:rPr>
        <w:t> </w:t>
      </w:r>
      <w:r>
        <w:rPr/>
        <w:t>l’exception</w:t>
      </w:r>
      <w:r>
        <w:rPr>
          <w:spacing w:val="-7"/>
        </w:rPr>
        <w:t> </w:t>
      </w:r>
      <w:r>
        <w:rPr/>
        <w:t>des</w:t>
      </w:r>
      <w:r>
        <w:rPr>
          <w:spacing w:val="-10"/>
        </w:rPr>
        <w:t> </w:t>
      </w:r>
      <w:r>
        <w:rPr/>
        <w:t>pièces</w:t>
      </w:r>
      <w:r>
        <w:rPr>
          <w:spacing w:val="-9"/>
        </w:rPr>
        <w:t> </w:t>
      </w:r>
      <w:r>
        <w:rPr/>
        <w:t>demandées</w:t>
      </w:r>
      <w:r>
        <w:rPr>
          <w:spacing w:val="-9"/>
        </w:rPr>
        <w:t> </w:t>
      </w:r>
      <w:r>
        <w:rPr/>
        <w:t>qui</w:t>
      </w:r>
      <w:r>
        <w:rPr>
          <w:spacing w:val="-9"/>
        </w:rPr>
        <w:t> </w:t>
      </w:r>
      <w:r>
        <w:rPr/>
        <w:t>ne</w:t>
      </w:r>
      <w:r>
        <w:rPr>
          <w:spacing w:val="-10"/>
        </w:rPr>
        <w:t> </w:t>
      </w:r>
      <w:r>
        <w:rPr/>
        <w:t>pourront</w:t>
      </w:r>
      <w:r>
        <w:rPr>
          <w:spacing w:val="-10"/>
        </w:rPr>
        <w:t> </w:t>
      </w:r>
      <w:r>
        <w:rPr/>
        <w:t>pas</w:t>
      </w:r>
      <w:r>
        <w:rPr>
          <w:spacing w:val="-9"/>
        </w:rPr>
        <w:t> </w:t>
      </w:r>
      <w:r>
        <w:rPr/>
        <w:t>être</w:t>
      </w:r>
      <w:r>
        <w:rPr>
          <w:spacing w:val="-10"/>
        </w:rPr>
        <w:t> </w:t>
      </w:r>
      <w:r>
        <w:rPr/>
        <w:t>vérifiées</w:t>
      </w:r>
      <w:r>
        <w:rPr>
          <w:spacing w:val="-7"/>
        </w:rPr>
        <w:t> </w:t>
      </w:r>
      <w:r>
        <w:rPr/>
        <w:t>à</w:t>
      </w:r>
      <w:r>
        <w:rPr>
          <w:spacing w:val="-11"/>
        </w:rPr>
        <w:t> </w:t>
      </w:r>
      <w:r>
        <w:rPr/>
        <w:t>l’état numérisé ou en ligne via TUNEPS, ces dernières doivent être déposées et enregistrées au bureau d’ordre du GCT puis dans un registre spécifique à la Structure d’achat régionale concernée. L’avis d’appel d’offres doit préciser les pièces qui doivent être envoyées par les moyens</w:t>
      </w:r>
      <w:r>
        <w:rPr>
          <w:spacing w:val="2"/>
        </w:rPr>
        <w:t> </w:t>
      </w:r>
      <w:r>
        <w:rPr/>
        <w:t>matérialisés.</w:t>
      </w:r>
    </w:p>
    <w:p>
      <w:pPr>
        <w:pStyle w:val="BodyText"/>
        <w:ind w:right="756"/>
      </w:pPr>
      <w:r>
        <w:rPr/>
        <w:t>Dans le cas où la taille des fichiers de l’offre dépasse la taille maximale autorisé par le système TUNEPS, une partie de l'offre technique peut être envoyée hors ligne. Dans ce cas, le reste de l'offre doit être envoyé par voie postale ou par remise directe au bureau d’ordre contre décharge. En cas de discordance entre les éléments de l'offre électronique et l’offre déposée physiquement, l’offre électronique fait foi.</w:t>
      </w:r>
    </w:p>
    <w:p>
      <w:pPr>
        <w:pStyle w:val="BodyText"/>
        <w:ind w:right="749"/>
      </w:pPr>
      <w:r>
        <w:rPr/>
        <w:t>Pour les motifs de non-utilisation de TUNEPS, le dossier de la consultation doit prévoir le mode d’envoi des offres soit par voie électronique (adresse électronique dédié) ou matérielle. Si la consultation stipule que les offres doivent être reçues par voie</w:t>
      </w:r>
      <w:r>
        <w:rPr>
          <w:spacing w:val="-9"/>
        </w:rPr>
        <w:t> </w:t>
      </w:r>
      <w:r>
        <w:rPr/>
        <w:t>matérielle,</w:t>
      </w:r>
      <w:r>
        <w:rPr>
          <w:spacing w:val="-9"/>
        </w:rPr>
        <w:t> </w:t>
      </w:r>
      <w:r>
        <w:rPr/>
        <w:t>Toutes</w:t>
      </w:r>
      <w:r>
        <w:rPr>
          <w:spacing w:val="-8"/>
        </w:rPr>
        <w:t> </w:t>
      </w:r>
      <w:r>
        <w:rPr/>
        <w:t>les</w:t>
      </w:r>
      <w:r>
        <w:rPr>
          <w:spacing w:val="-8"/>
        </w:rPr>
        <w:t> </w:t>
      </w:r>
      <w:r>
        <w:rPr/>
        <w:t>offres</w:t>
      </w:r>
      <w:r>
        <w:rPr>
          <w:spacing w:val="-10"/>
        </w:rPr>
        <w:t> </w:t>
      </w:r>
      <w:r>
        <w:rPr/>
        <w:t>doivent</w:t>
      </w:r>
      <w:r>
        <w:rPr>
          <w:spacing w:val="-8"/>
        </w:rPr>
        <w:t> </w:t>
      </w:r>
      <w:r>
        <w:rPr/>
        <w:t>être</w:t>
      </w:r>
      <w:r>
        <w:rPr>
          <w:spacing w:val="-8"/>
        </w:rPr>
        <w:t> </w:t>
      </w:r>
      <w:r>
        <w:rPr/>
        <w:t>envoyées</w:t>
      </w:r>
      <w:r>
        <w:rPr>
          <w:spacing w:val="-7"/>
        </w:rPr>
        <w:t> </w:t>
      </w:r>
      <w:r>
        <w:rPr/>
        <w:t>au Bureau</w:t>
      </w:r>
      <w:r>
        <w:rPr>
          <w:spacing w:val="-7"/>
        </w:rPr>
        <w:t> </w:t>
      </w:r>
      <w:r>
        <w:rPr/>
        <w:t>d’ordre</w:t>
      </w:r>
      <w:r>
        <w:rPr>
          <w:spacing w:val="-7"/>
        </w:rPr>
        <w:t> </w:t>
      </w:r>
      <w:r>
        <w:rPr/>
        <w:t>directement ou par voie</w:t>
      </w:r>
      <w:r>
        <w:rPr>
          <w:spacing w:val="-9"/>
        </w:rPr>
        <w:t> </w:t>
      </w:r>
      <w:r>
        <w:rPr/>
        <w:t>postale.</w:t>
      </w:r>
    </w:p>
    <w:p>
      <w:pPr>
        <w:spacing w:after="0"/>
        <w:sectPr>
          <w:pgSz w:w="11910" w:h="16840"/>
          <w:pgMar w:header="722" w:footer="0" w:top="1860" w:bottom="280" w:left="700" w:right="380"/>
        </w:sectPr>
      </w:pPr>
    </w:p>
    <w:p>
      <w:pPr>
        <w:pStyle w:val="BodyText"/>
        <w:spacing w:before="10"/>
        <w:ind w:left="0" w:firstLine="0"/>
        <w:jc w:val="left"/>
        <w:rPr>
          <w:sz w:val="16"/>
        </w:rPr>
      </w:pPr>
    </w:p>
    <w:p>
      <w:pPr>
        <w:pStyle w:val="Heading3"/>
        <w:spacing w:before="89"/>
        <w:rPr>
          <w:i/>
        </w:rPr>
      </w:pPr>
      <w:r>
        <w:rPr>
          <w:i/>
        </w:rPr>
        <w:t>Ouverture des offres</w:t>
      </w:r>
    </w:p>
    <w:p>
      <w:pPr>
        <w:pStyle w:val="BodyText"/>
        <w:ind w:right="754"/>
      </w:pPr>
      <w:r>
        <w:rPr/>
        <w:t>La Commission Régionale d’Ouverture des Offres ne peut se réunir pour assurer l’ouverture</w:t>
      </w:r>
      <w:r>
        <w:rPr>
          <w:spacing w:val="-11"/>
        </w:rPr>
        <w:t> </w:t>
      </w:r>
      <w:r>
        <w:rPr/>
        <w:t>des</w:t>
      </w:r>
      <w:r>
        <w:rPr>
          <w:spacing w:val="-11"/>
        </w:rPr>
        <w:t> </w:t>
      </w:r>
      <w:r>
        <w:rPr/>
        <w:t>offres</w:t>
      </w:r>
      <w:r>
        <w:rPr>
          <w:spacing w:val="-11"/>
        </w:rPr>
        <w:t> </w:t>
      </w:r>
      <w:r>
        <w:rPr/>
        <w:t>qu’en</w:t>
      </w:r>
      <w:r>
        <w:rPr>
          <w:spacing w:val="-12"/>
        </w:rPr>
        <w:t> </w:t>
      </w:r>
      <w:r>
        <w:rPr/>
        <w:t>présence</w:t>
      </w:r>
      <w:r>
        <w:rPr>
          <w:spacing w:val="-10"/>
        </w:rPr>
        <w:t> </w:t>
      </w:r>
      <w:r>
        <w:rPr/>
        <w:t>de</w:t>
      </w:r>
      <w:r>
        <w:rPr>
          <w:spacing w:val="-10"/>
        </w:rPr>
        <w:t> </w:t>
      </w:r>
      <w:r>
        <w:rPr/>
        <w:t>la</w:t>
      </w:r>
      <w:r>
        <w:rPr>
          <w:spacing w:val="-16"/>
        </w:rPr>
        <w:t> </w:t>
      </w:r>
      <w:r>
        <w:rPr/>
        <w:t>majorité</w:t>
      </w:r>
      <w:r>
        <w:rPr>
          <w:spacing w:val="-12"/>
        </w:rPr>
        <w:t> </w:t>
      </w:r>
      <w:r>
        <w:rPr/>
        <w:t>de</w:t>
      </w:r>
      <w:r>
        <w:rPr>
          <w:spacing w:val="-12"/>
        </w:rPr>
        <w:t> </w:t>
      </w:r>
      <w:r>
        <w:rPr/>
        <w:t>ses</w:t>
      </w:r>
      <w:r>
        <w:rPr>
          <w:spacing w:val="-9"/>
        </w:rPr>
        <w:t> </w:t>
      </w:r>
      <w:r>
        <w:rPr/>
        <w:t>membres</w:t>
      </w:r>
      <w:r>
        <w:rPr>
          <w:spacing w:val="-10"/>
        </w:rPr>
        <w:t> </w:t>
      </w:r>
      <w:r>
        <w:rPr/>
        <w:t>et</w:t>
      </w:r>
      <w:r>
        <w:rPr>
          <w:spacing w:val="-12"/>
        </w:rPr>
        <w:t> </w:t>
      </w:r>
      <w:r>
        <w:rPr/>
        <w:t>sur</w:t>
      </w:r>
      <w:r>
        <w:rPr>
          <w:spacing w:val="-12"/>
        </w:rPr>
        <w:t> </w:t>
      </w:r>
      <w:r>
        <w:rPr/>
        <w:t>convocation du président de la</w:t>
      </w:r>
      <w:r>
        <w:rPr>
          <w:spacing w:val="-7"/>
        </w:rPr>
        <w:t> </w:t>
      </w:r>
      <w:r>
        <w:rPr/>
        <w:t>commission.</w:t>
      </w:r>
    </w:p>
    <w:p>
      <w:pPr>
        <w:pStyle w:val="BodyText"/>
        <w:ind w:right="764"/>
      </w:pPr>
      <w:r>
        <w:rPr/>
        <w:t>La commission d’ouverture procède à l’ouverture des offres, le jour même de la date limite de réception des offres.</w:t>
      </w:r>
    </w:p>
    <w:p>
      <w:pPr>
        <w:pStyle w:val="BodyText"/>
        <w:ind w:right="761"/>
      </w:pPr>
      <w:r>
        <w:rPr/>
        <w:t>La séance d’ouverture des plis est non publique sauf disposition contraire des cahiers des charges.</w:t>
      </w:r>
    </w:p>
    <w:p>
      <w:pPr>
        <w:pStyle w:val="BodyText"/>
        <w:ind w:right="752"/>
      </w:pPr>
      <w:r>
        <w:rPr/>
        <w:t>Tout membre de la commission, ayant des intérêts dans une entreprise soumissionnaire ou ayant connaissance de faits susceptibles de compromettre son indépendance, est tenu d’en avertir la commission et doit s'abstenir de participer à  ses</w:t>
      </w:r>
      <w:r>
        <w:rPr>
          <w:spacing w:val="11"/>
        </w:rPr>
        <w:t> </w:t>
      </w:r>
      <w:r>
        <w:rPr>
          <w:spacing w:val="-14"/>
        </w:rPr>
        <w:t>travaux.</w:t>
      </w:r>
    </w:p>
    <w:p>
      <w:pPr>
        <w:pStyle w:val="BodyText"/>
        <w:spacing w:line="322" w:lineRule="exact"/>
        <w:ind w:firstLine="0"/>
      </w:pPr>
      <w:r>
        <w:rPr/>
        <w:t>Les membres de la commission sont tenus de :</w:t>
      </w:r>
    </w:p>
    <w:p>
      <w:pPr>
        <w:pStyle w:val="ListParagraph"/>
        <w:numPr>
          <w:ilvl w:val="0"/>
          <w:numId w:val="42"/>
        </w:numPr>
        <w:tabs>
          <w:tab w:pos="1000" w:val="left" w:leader="none"/>
        </w:tabs>
        <w:spacing w:line="240" w:lineRule="auto" w:before="0" w:after="0"/>
        <w:ind w:left="999" w:right="759" w:hanging="284"/>
        <w:jc w:val="both"/>
        <w:rPr>
          <w:sz w:val="28"/>
        </w:rPr>
      </w:pPr>
      <w:r>
        <w:rPr>
          <w:sz w:val="28"/>
        </w:rPr>
        <w:t>Confronter</w:t>
      </w:r>
      <w:r>
        <w:rPr>
          <w:spacing w:val="-10"/>
          <w:sz w:val="28"/>
        </w:rPr>
        <w:t> </w:t>
      </w:r>
      <w:r>
        <w:rPr>
          <w:sz w:val="28"/>
        </w:rPr>
        <w:t>le</w:t>
      </w:r>
      <w:r>
        <w:rPr>
          <w:spacing w:val="-11"/>
          <w:sz w:val="28"/>
        </w:rPr>
        <w:t> </w:t>
      </w:r>
      <w:r>
        <w:rPr>
          <w:sz w:val="28"/>
        </w:rPr>
        <w:t>nombre</w:t>
      </w:r>
      <w:r>
        <w:rPr>
          <w:spacing w:val="-11"/>
          <w:sz w:val="28"/>
        </w:rPr>
        <w:t> </w:t>
      </w:r>
      <w:r>
        <w:rPr>
          <w:sz w:val="28"/>
        </w:rPr>
        <w:t>des</w:t>
      </w:r>
      <w:r>
        <w:rPr>
          <w:spacing w:val="-8"/>
          <w:sz w:val="28"/>
        </w:rPr>
        <w:t> </w:t>
      </w:r>
      <w:r>
        <w:rPr>
          <w:sz w:val="28"/>
        </w:rPr>
        <w:t>offres</w:t>
      </w:r>
      <w:r>
        <w:rPr>
          <w:spacing w:val="-8"/>
          <w:sz w:val="28"/>
        </w:rPr>
        <w:t> </w:t>
      </w:r>
      <w:r>
        <w:rPr>
          <w:sz w:val="28"/>
        </w:rPr>
        <w:t>reçus</w:t>
      </w:r>
      <w:r>
        <w:rPr>
          <w:spacing w:val="-8"/>
          <w:sz w:val="28"/>
        </w:rPr>
        <w:t> </w:t>
      </w:r>
      <w:r>
        <w:rPr>
          <w:sz w:val="28"/>
        </w:rPr>
        <w:t>avec</w:t>
      </w:r>
      <w:r>
        <w:rPr>
          <w:spacing w:val="-12"/>
          <w:sz w:val="28"/>
        </w:rPr>
        <w:t> </w:t>
      </w:r>
      <w:r>
        <w:rPr>
          <w:sz w:val="28"/>
        </w:rPr>
        <w:t>le</w:t>
      </w:r>
      <w:r>
        <w:rPr>
          <w:spacing w:val="-9"/>
          <w:sz w:val="28"/>
        </w:rPr>
        <w:t> </w:t>
      </w:r>
      <w:r>
        <w:rPr>
          <w:sz w:val="28"/>
        </w:rPr>
        <w:t>nombre</w:t>
      </w:r>
      <w:r>
        <w:rPr>
          <w:spacing w:val="-9"/>
          <w:sz w:val="28"/>
        </w:rPr>
        <w:t> </w:t>
      </w:r>
      <w:r>
        <w:rPr>
          <w:sz w:val="28"/>
        </w:rPr>
        <w:t>des</w:t>
      </w:r>
      <w:r>
        <w:rPr>
          <w:spacing w:val="-8"/>
          <w:sz w:val="28"/>
        </w:rPr>
        <w:t> </w:t>
      </w:r>
      <w:r>
        <w:rPr>
          <w:sz w:val="28"/>
        </w:rPr>
        <w:t>cahiers</w:t>
      </w:r>
      <w:r>
        <w:rPr>
          <w:spacing w:val="-10"/>
          <w:sz w:val="28"/>
        </w:rPr>
        <w:t> </w:t>
      </w:r>
      <w:r>
        <w:rPr>
          <w:sz w:val="28"/>
        </w:rPr>
        <w:t>des</w:t>
      </w:r>
      <w:r>
        <w:rPr>
          <w:spacing w:val="-8"/>
          <w:sz w:val="28"/>
        </w:rPr>
        <w:t> </w:t>
      </w:r>
      <w:r>
        <w:rPr>
          <w:sz w:val="28"/>
        </w:rPr>
        <w:t>charges,</w:t>
      </w:r>
      <w:r>
        <w:rPr>
          <w:spacing w:val="-11"/>
          <w:sz w:val="28"/>
        </w:rPr>
        <w:t> </w:t>
      </w:r>
      <w:r>
        <w:rPr>
          <w:sz w:val="28"/>
        </w:rPr>
        <w:t>les Termes de Références retirés ou les lettres de consultations et les formulaires de réponses envoyées aux fournisseurs par la voie</w:t>
      </w:r>
      <w:r>
        <w:rPr>
          <w:spacing w:val="-2"/>
          <w:sz w:val="28"/>
        </w:rPr>
        <w:t> </w:t>
      </w:r>
      <w:r>
        <w:rPr>
          <w:sz w:val="28"/>
        </w:rPr>
        <w:t>électronique</w:t>
      </w:r>
    </w:p>
    <w:p>
      <w:pPr>
        <w:pStyle w:val="ListParagraph"/>
        <w:numPr>
          <w:ilvl w:val="0"/>
          <w:numId w:val="42"/>
        </w:numPr>
        <w:tabs>
          <w:tab w:pos="1000" w:val="left" w:leader="none"/>
        </w:tabs>
        <w:spacing w:line="240" w:lineRule="auto" w:before="0" w:after="0"/>
        <w:ind w:left="999" w:right="0" w:hanging="284"/>
        <w:jc w:val="both"/>
        <w:rPr>
          <w:sz w:val="28"/>
        </w:rPr>
      </w:pPr>
      <w:r>
        <w:rPr>
          <w:sz w:val="28"/>
        </w:rPr>
        <w:t>Procéder à l’ouverture des plis contenant les</w:t>
      </w:r>
      <w:r>
        <w:rPr>
          <w:spacing w:val="-3"/>
          <w:sz w:val="28"/>
        </w:rPr>
        <w:t> </w:t>
      </w:r>
      <w:r>
        <w:rPr>
          <w:sz w:val="28"/>
        </w:rPr>
        <w:t>offres</w:t>
      </w:r>
    </w:p>
    <w:p>
      <w:pPr>
        <w:pStyle w:val="ListParagraph"/>
        <w:numPr>
          <w:ilvl w:val="0"/>
          <w:numId w:val="42"/>
        </w:numPr>
        <w:tabs>
          <w:tab w:pos="1000" w:val="left" w:leader="none"/>
        </w:tabs>
        <w:spacing w:line="322" w:lineRule="exact" w:before="0" w:after="0"/>
        <w:ind w:left="999" w:right="0" w:hanging="284"/>
        <w:jc w:val="both"/>
        <w:rPr>
          <w:sz w:val="28"/>
        </w:rPr>
      </w:pPr>
      <w:r>
        <w:rPr>
          <w:sz w:val="28"/>
        </w:rPr>
        <w:t>Vérifier l’existence de l’ensemble des pièces constitutives des</w:t>
      </w:r>
      <w:r>
        <w:rPr>
          <w:spacing w:val="-13"/>
          <w:sz w:val="28"/>
        </w:rPr>
        <w:t> </w:t>
      </w:r>
      <w:r>
        <w:rPr>
          <w:sz w:val="28"/>
        </w:rPr>
        <w:t>offres.</w:t>
      </w:r>
    </w:p>
    <w:p>
      <w:pPr>
        <w:pStyle w:val="ListParagraph"/>
        <w:numPr>
          <w:ilvl w:val="0"/>
          <w:numId w:val="42"/>
        </w:numPr>
        <w:tabs>
          <w:tab w:pos="1000" w:val="left" w:leader="none"/>
        </w:tabs>
        <w:spacing w:line="322" w:lineRule="exact" w:before="0" w:after="0"/>
        <w:ind w:left="999" w:right="0" w:hanging="284"/>
        <w:jc w:val="both"/>
        <w:rPr>
          <w:sz w:val="28"/>
        </w:rPr>
      </w:pPr>
      <w:r>
        <w:rPr>
          <w:sz w:val="28"/>
        </w:rPr>
        <w:t>Eliminer d’office les offres parvenues hors</w:t>
      </w:r>
      <w:r>
        <w:rPr>
          <w:spacing w:val="-3"/>
          <w:sz w:val="28"/>
        </w:rPr>
        <w:t> </w:t>
      </w:r>
      <w:r>
        <w:rPr>
          <w:sz w:val="28"/>
        </w:rPr>
        <w:t>délais.</w:t>
      </w:r>
    </w:p>
    <w:p>
      <w:pPr>
        <w:pStyle w:val="ListParagraph"/>
        <w:numPr>
          <w:ilvl w:val="0"/>
          <w:numId w:val="42"/>
        </w:numPr>
        <w:tabs>
          <w:tab w:pos="1000" w:val="left" w:leader="none"/>
        </w:tabs>
        <w:spacing w:line="322" w:lineRule="exact" w:before="0" w:after="0"/>
        <w:ind w:left="999" w:right="0" w:hanging="284"/>
        <w:jc w:val="both"/>
        <w:rPr>
          <w:sz w:val="28"/>
        </w:rPr>
      </w:pPr>
      <w:r>
        <w:rPr>
          <w:sz w:val="28"/>
        </w:rPr>
        <w:t>Dresser un procès-verbal d’ouverture des offres qui comporte</w:t>
      </w:r>
      <w:r>
        <w:rPr>
          <w:spacing w:val="-5"/>
          <w:sz w:val="28"/>
        </w:rPr>
        <w:t> </w:t>
      </w:r>
      <w:r>
        <w:rPr>
          <w:sz w:val="28"/>
        </w:rPr>
        <w:t>:</w:t>
      </w:r>
    </w:p>
    <w:p>
      <w:pPr>
        <w:pStyle w:val="ListParagraph"/>
        <w:numPr>
          <w:ilvl w:val="1"/>
          <w:numId w:val="42"/>
        </w:numPr>
        <w:tabs>
          <w:tab w:pos="1748" w:val="left" w:leader="none"/>
          <w:tab w:pos="1749" w:val="left" w:leader="none"/>
        </w:tabs>
        <w:spacing w:line="240" w:lineRule="auto" w:before="0" w:after="0"/>
        <w:ind w:left="1748" w:right="758" w:hanging="360"/>
        <w:jc w:val="left"/>
        <w:rPr>
          <w:sz w:val="28"/>
        </w:rPr>
      </w:pPr>
      <w:r>
        <w:rPr>
          <w:sz w:val="28"/>
        </w:rPr>
        <w:t>Les numéros d’ordre attribués aux plis, leur date d’arrivée et les noms des participants.</w:t>
      </w:r>
    </w:p>
    <w:p>
      <w:pPr>
        <w:pStyle w:val="ListParagraph"/>
        <w:numPr>
          <w:ilvl w:val="1"/>
          <w:numId w:val="42"/>
        </w:numPr>
        <w:tabs>
          <w:tab w:pos="1748" w:val="left" w:leader="none"/>
          <w:tab w:pos="1749" w:val="left" w:leader="none"/>
        </w:tabs>
        <w:spacing w:line="322" w:lineRule="exact" w:before="0" w:after="0"/>
        <w:ind w:left="1748" w:right="0" w:hanging="361"/>
        <w:jc w:val="left"/>
        <w:rPr>
          <w:sz w:val="28"/>
        </w:rPr>
      </w:pPr>
      <w:r>
        <w:rPr>
          <w:sz w:val="28"/>
        </w:rPr>
        <w:t>Les documents exigés et accompagnant les</w:t>
      </w:r>
      <w:r>
        <w:rPr>
          <w:spacing w:val="-4"/>
          <w:sz w:val="28"/>
        </w:rPr>
        <w:t> </w:t>
      </w:r>
      <w:r>
        <w:rPr>
          <w:sz w:val="28"/>
        </w:rPr>
        <w:t>offres.</w:t>
      </w:r>
    </w:p>
    <w:p>
      <w:pPr>
        <w:pStyle w:val="ListParagraph"/>
        <w:numPr>
          <w:ilvl w:val="1"/>
          <w:numId w:val="42"/>
        </w:numPr>
        <w:tabs>
          <w:tab w:pos="1748" w:val="left" w:leader="none"/>
          <w:tab w:pos="1749" w:val="left" w:leader="none"/>
        </w:tabs>
        <w:spacing w:line="322" w:lineRule="exact" w:before="0" w:after="0"/>
        <w:ind w:left="1748" w:right="0" w:hanging="361"/>
        <w:jc w:val="left"/>
        <w:rPr>
          <w:sz w:val="28"/>
        </w:rPr>
      </w:pPr>
      <w:r>
        <w:rPr>
          <w:sz w:val="28"/>
        </w:rPr>
        <w:t>Les documents exigés mais non présentés ou dont la validité a</w:t>
      </w:r>
      <w:r>
        <w:rPr>
          <w:spacing w:val="-12"/>
          <w:sz w:val="28"/>
        </w:rPr>
        <w:t> </w:t>
      </w:r>
      <w:r>
        <w:rPr>
          <w:sz w:val="28"/>
        </w:rPr>
        <w:t>expiré.</w:t>
      </w:r>
    </w:p>
    <w:p>
      <w:pPr>
        <w:pStyle w:val="ListParagraph"/>
        <w:numPr>
          <w:ilvl w:val="1"/>
          <w:numId w:val="42"/>
        </w:numPr>
        <w:tabs>
          <w:tab w:pos="1748" w:val="left" w:leader="none"/>
          <w:tab w:pos="1749" w:val="left" w:leader="none"/>
        </w:tabs>
        <w:spacing w:line="240" w:lineRule="auto" w:before="0" w:after="0"/>
        <w:ind w:left="1748" w:right="752" w:hanging="360"/>
        <w:jc w:val="left"/>
        <w:rPr>
          <w:sz w:val="28"/>
        </w:rPr>
      </w:pPr>
      <w:r>
        <w:rPr>
          <w:sz w:val="28"/>
        </w:rPr>
        <w:t>Les offres recevables, les offres irrecevables et les motifs de leur rejet, les observations et les réserves, le cas</w:t>
      </w:r>
      <w:r>
        <w:rPr>
          <w:spacing w:val="-3"/>
          <w:sz w:val="28"/>
        </w:rPr>
        <w:t> </w:t>
      </w:r>
      <w:r>
        <w:rPr>
          <w:sz w:val="28"/>
        </w:rPr>
        <w:t>échéant.</w:t>
      </w:r>
    </w:p>
    <w:p>
      <w:pPr>
        <w:pStyle w:val="ListParagraph"/>
        <w:numPr>
          <w:ilvl w:val="1"/>
          <w:numId w:val="42"/>
        </w:numPr>
        <w:tabs>
          <w:tab w:pos="1748" w:val="left" w:leader="none"/>
          <w:tab w:pos="1749" w:val="left" w:leader="none"/>
        </w:tabs>
        <w:spacing w:line="240" w:lineRule="auto" w:before="0" w:after="0"/>
        <w:ind w:left="1748" w:right="761" w:hanging="360"/>
        <w:jc w:val="left"/>
        <w:rPr>
          <w:sz w:val="28"/>
        </w:rPr>
      </w:pPr>
      <w:r>
        <w:rPr>
          <w:sz w:val="28"/>
        </w:rPr>
        <w:t>La liste des offres acceptées, leurs montants et les rabais consentis le cas échéant.</w:t>
      </w:r>
    </w:p>
    <w:p>
      <w:pPr>
        <w:pStyle w:val="ListParagraph"/>
        <w:numPr>
          <w:ilvl w:val="0"/>
          <w:numId w:val="42"/>
        </w:numPr>
        <w:tabs>
          <w:tab w:pos="999" w:val="left" w:leader="none"/>
          <w:tab w:pos="1000" w:val="left" w:leader="none"/>
        </w:tabs>
        <w:spacing w:line="242" w:lineRule="auto" w:before="0" w:after="0"/>
        <w:ind w:left="999" w:right="759" w:hanging="284"/>
        <w:jc w:val="left"/>
        <w:rPr>
          <w:sz w:val="28"/>
        </w:rPr>
      </w:pPr>
      <w:r>
        <w:rPr>
          <w:sz w:val="28"/>
        </w:rPr>
        <w:t>Inviter les soumissionnaires à compléter les documents administratifs manquants dans un délai supplémentaire de trois (3) à cinq (5) jours</w:t>
      </w:r>
      <w:r>
        <w:rPr>
          <w:spacing w:val="-22"/>
          <w:sz w:val="28"/>
        </w:rPr>
        <w:t> </w:t>
      </w:r>
      <w:r>
        <w:rPr>
          <w:sz w:val="28"/>
        </w:rPr>
        <w:t>ouvrables.</w:t>
      </w:r>
    </w:p>
    <w:p>
      <w:pPr>
        <w:pStyle w:val="BodyText"/>
        <w:spacing w:before="234"/>
        <w:ind w:right="751"/>
      </w:pPr>
      <w:r>
        <w:rPr/>
        <w:t>Le PV d’ouverture doit être signé par tous les membres de la commission d’ouverture, séance tenante.</w:t>
      </w:r>
    </w:p>
    <w:p>
      <w:pPr>
        <w:pStyle w:val="Heading3"/>
        <w:spacing w:before="127"/>
        <w:rPr>
          <w:i/>
        </w:rPr>
      </w:pPr>
      <w:r>
        <w:rPr>
          <w:i/>
        </w:rPr>
        <w:t>Proposition d’attribution</w:t>
      </w:r>
    </w:p>
    <w:p>
      <w:pPr>
        <w:pStyle w:val="BodyText"/>
        <w:ind w:right="752"/>
      </w:pPr>
      <w:r>
        <w:rPr/>
        <w:t>La commission d’évaluation procède à l’évaluation et l’analyse des offres et propose d’attribuer la commande au soumissionnaire ayant soumis l’offre évaluée la moins disante ou la mieux disante et ce en application du mode d’attribution prévu dans les documents de la consultation. Elle établit, par la suite, le rapport d'évaluation des offres qui doit contenir la proposition d’attribution de la commande.</w:t>
      </w:r>
    </w:p>
    <w:p>
      <w:pPr>
        <w:pStyle w:val="BodyText"/>
        <w:ind w:right="749"/>
      </w:pPr>
      <w:r>
        <w:rPr/>
        <w:t>Le rapport d’évaluation doit comporter les détails des résultats des travaux de la commission d’évaluation, et signé par tous les membres et dans lequel ils doivent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line="322" w:lineRule="exact" w:before="89"/>
        <w:ind w:firstLine="0"/>
        <w:jc w:val="left"/>
      </w:pPr>
      <w:r>
        <w:rPr/>
        <w:t>consigner leurs réserves.</w:t>
      </w:r>
    </w:p>
    <w:p>
      <w:pPr>
        <w:pStyle w:val="BodyText"/>
        <w:ind w:right="748"/>
        <w:jc w:val="left"/>
      </w:pPr>
      <w:r>
        <w:rPr/>
        <w:t>La structure d’achat soumet le dossier de consultation contenant les offres et le rapport d’évaluation à l’avis de la CAE.</w:t>
      </w:r>
    </w:p>
    <w:p>
      <w:pPr>
        <w:pStyle w:val="Heading3"/>
        <w:spacing w:before="129"/>
        <w:jc w:val="left"/>
        <w:rPr>
          <w:i/>
        </w:rPr>
      </w:pPr>
      <w:r>
        <w:rPr>
          <w:i/>
        </w:rPr>
        <w:t>Attribution de l’achat</w:t>
      </w:r>
    </w:p>
    <w:p>
      <w:pPr>
        <w:pStyle w:val="BodyText"/>
        <w:ind w:right="748"/>
        <w:jc w:val="left"/>
      </w:pPr>
      <w:r>
        <w:rPr/>
        <w:t>Apres</w:t>
      </w:r>
      <w:r>
        <w:rPr>
          <w:spacing w:val="-11"/>
        </w:rPr>
        <w:t> </w:t>
      </w:r>
      <w:r>
        <w:rPr/>
        <w:t>avoir</w:t>
      </w:r>
      <w:r>
        <w:rPr>
          <w:spacing w:val="-10"/>
        </w:rPr>
        <w:t> </w:t>
      </w:r>
      <w:r>
        <w:rPr/>
        <w:t>examiné</w:t>
      </w:r>
      <w:r>
        <w:rPr>
          <w:spacing w:val="-12"/>
        </w:rPr>
        <w:t> </w:t>
      </w:r>
      <w:r>
        <w:rPr/>
        <w:t>la</w:t>
      </w:r>
      <w:r>
        <w:rPr>
          <w:spacing w:val="-10"/>
        </w:rPr>
        <w:t> </w:t>
      </w:r>
      <w:r>
        <w:rPr/>
        <w:t>régularité</w:t>
      </w:r>
      <w:r>
        <w:rPr>
          <w:spacing w:val="-12"/>
        </w:rPr>
        <w:t> </w:t>
      </w:r>
      <w:r>
        <w:rPr/>
        <w:t>des</w:t>
      </w:r>
      <w:r>
        <w:rPr>
          <w:spacing w:val="-11"/>
        </w:rPr>
        <w:t> </w:t>
      </w:r>
      <w:r>
        <w:rPr/>
        <w:t>procédures</w:t>
      </w:r>
      <w:r>
        <w:rPr>
          <w:spacing w:val="-10"/>
        </w:rPr>
        <w:t> </w:t>
      </w:r>
      <w:r>
        <w:rPr/>
        <w:t>de</w:t>
      </w:r>
      <w:r>
        <w:rPr>
          <w:spacing w:val="-12"/>
        </w:rPr>
        <w:t> </w:t>
      </w:r>
      <w:r>
        <w:rPr/>
        <w:t>mise</w:t>
      </w:r>
      <w:r>
        <w:rPr>
          <w:spacing w:val="-10"/>
        </w:rPr>
        <w:t> </w:t>
      </w:r>
      <w:r>
        <w:rPr/>
        <w:t>en</w:t>
      </w:r>
      <w:r>
        <w:rPr>
          <w:spacing w:val="-9"/>
        </w:rPr>
        <w:t> </w:t>
      </w:r>
      <w:r>
        <w:rPr/>
        <w:t>concurrence,</w:t>
      </w:r>
      <w:r>
        <w:rPr>
          <w:spacing w:val="-13"/>
        </w:rPr>
        <w:t> </w:t>
      </w:r>
      <w:r>
        <w:rPr/>
        <w:t>la</w:t>
      </w:r>
      <w:r>
        <w:rPr>
          <w:spacing w:val="-10"/>
        </w:rPr>
        <w:t> </w:t>
      </w:r>
      <w:r>
        <w:rPr/>
        <w:t>CAE rend son avis sur le rapport d’évaluation comme suit</w:t>
      </w:r>
      <w:r>
        <w:rPr>
          <w:spacing w:val="-2"/>
        </w:rPr>
        <w:t> </w:t>
      </w:r>
      <w:r>
        <w:rPr/>
        <w:t>:</w:t>
      </w:r>
    </w:p>
    <w:p>
      <w:pPr>
        <w:pStyle w:val="ListParagraph"/>
        <w:numPr>
          <w:ilvl w:val="3"/>
          <w:numId w:val="38"/>
        </w:numPr>
        <w:tabs>
          <w:tab w:pos="885" w:val="left" w:leader="none"/>
        </w:tabs>
        <w:spacing w:line="321" w:lineRule="exact" w:before="0" w:after="0"/>
        <w:ind w:left="884" w:right="0" w:hanging="169"/>
        <w:jc w:val="left"/>
        <w:rPr>
          <w:sz w:val="28"/>
        </w:rPr>
      </w:pPr>
      <w:r>
        <w:rPr>
          <w:sz w:val="28"/>
        </w:rPr>
        <w:t>Approuve la proposition d’attribution de</w:t>
      </w:r>
      <w:r>
        <w:rPr>
          <w:spacing w:val="-13"/>
          <w:sz w:val="28"/>
        </w:rPr>
        <w:t> </w:t>
      </w:r>
      <w:r>
        <w:rPr>
          <w:sz w:val="28"/>
        </w:rPr>
        <w:t>l’achat.</w:t>
      </w:r>
    </w:p>
    <w:p>
      <w:pPr>
        <w:pStyle w:val="ListParagraph"/>
        <w:numPr>
          <w:ilvl w:val="3"/>
          <w:numId w:val="38"/>
        </w:numPr>
        <w:tabs>
          <w:tab w:pos="885" w:val="left" w:leader="none"/>
        </w:tabs>
        <w:spacing w:line="322" w:lineRule="exact" w:before="0" w:after="0"/>
        <w:ind w:left="884" w:right="0" w:hanging="169"/>
        <w:jc w:val="left"/>
        <w:rPr>
          <w:sz w:val="28"/>
        </w:rPr>
      </w:pPr>
      <w:r>
        <w:rPr>
          <w:sz w:val="28"/>
        </w:rPr>
        <w:t>Ou demande des</w:t>
      </w:r>
      <w:r>
        <w:rPr>
          <w:spacing w:val="-2"/>
          <w:sz w:val="28"/>
        </w:rPr>
        <w:t> </w:t>
      </w:r>
      <w:r>
        <w:rPr>
          <w:sz w:val="28"/>
        </w:rPr>
        <w:t>éclaircissements.</w:t>
      </w:r>
    </w:p>
    <w:p>
      <w:pPr>
        <w:pStyle w:val="ListParagraph"/>
        <w:numPr>
          <w:ilvl w:val="3"/>
          <w:numId w:val="38"/>
        </w:numPr>
        <w:tabs>
          <w:tab w:pos="885" w:val="left" w:leader="none"/>
        </w:tabs>
        <w:spacing w:line="240" w:lineRule="auto" w:before="0" w:after="0"/>
        <w:ind w:left="884" w:right="0" w:hanging="169"/>
        <w:jc w:val="left"/>
        <w:rPr>
          <w:sz w:val="28"/>
        </w:rPr>
      </w:pPr>
      <w:r>
        <w:rPr>
          <w:sz w:val="28"/>
        </w:rPr>
        <w:t>Ou demande de refaire</w:t>
      </w:r>
      <w:r>
        <w:rPr>
          <w:spacing w:val="-1"/>
          <w:sz w:val="28"/>
        </w:rPr>
        <w:t> </w:t>
      </w:r>
      <w:r>
        <w:rPr>
          <w:sz w:val="28"/>
        </w:rPr>
        <w:t>l’évaluation.</w:t>
      </w:r>
    </w:p>
    <w:p>
      <w:pPr>
        <w:pStyle w:val="ListParagraph"/>
        <w:numPr>
          <w:ilvl w:val="3"/>
          <w:numId w:val="38"/>
        </w:numPr>
        <w:tabs>
          <w:tab w:pos="885" w:val="left" w:leader="none"/>
        </w:tabs>
        <w:spacing w:line="240" w:lineRule="auto" w:before="0" w:after="0"/>
        <w:ind w:left="884" w:right="0" w:hanging="169"/>
        <w:jc w:val="left"/>
        <w:rPr>
          <w:sz w:val="28"/>
        </w:rPr>
      </w:pPr>
      <w:r>
        <w:rPr>
          <w:sz w:val="28"/>
        </w:rPr>
        <w:t>Ou déclare la consultation</w:t>
      </w:r>
      <w:r>
        <w:rPr>
          <w:spacing w:val="-2"/>
          <w:sz w:val="28"/>
        </w:rPr>
        <w:t> </w:t>
      </w:r>
      <w:r>
        <w:rPr>
          <w:sz w:val="28"/>
        </w:rPr>
        <w:t>infructueuse.</w:t>
      </w:r>
    </w:p>
    <w:p>
      <w:pPr>
        <w:pStyle w:val="BodyText"/>
        <w:spacing w:before="117"/>
        <w:jc w:val="left"/>
      </w:pPr>
      <w:r>
        <w:rPr/>
        <w:t>En cas d’avis favorable de la CAE, la structure d’achat concernée, informe les soumissionnaires dont les offres n’ont pas été retenues et notifie l’achat au titulaire.</w:t>
      </w:r>
    </w:p>
    <w:p>
      <w:pPr>
        <w:pStyle w:val="BodyText"/>
        <w:ind w:right="748" w:firstLine="283"/>
        <w:jc w:val="left"/>
      </w:pPr>
      <w:r>
        <w:rPr>
          <w:w w:val="105"/>
        </w:rPr>
        <w:t>Le délai d’exécution commence à courir le lendemain de la date de la réception par le soumissionnaire retenu de l’ordre de service ou du bon de la commande.</w:t>
      </w:r>
    </w:p>
    <w:p>
      <w:pPr>
        <w:pStyle w:val="BodyText"/>
        <w:spacing w:line="278" w:lineRule="auto" w:before="119"/>
        <w:ind w:right="748"/>
        <w:jc w:val="left"/>
      </w:pPr>
      <w:r>
        <w:rPr/>
        <w:t>La structure d’achat concernée publie le résultat de mise en concurrence sur TUNEPS.</w:t>
      </w:r>
    </w:p>
    <w:p>
      <w:pPr>
        <w:pStyle w:val="Heading2"/>
        <w:numPr>
          <w:ilvl w:val="2"/>
          <w:numId w:val="38"/>
        </w:numPr>
        <w:tabs>
          <w:tab w:pos="1321" w:val="left" w:leader="none"/>
        </w:tabs>
        <w:spacing w:line="240" w:lineRule="auto" w:before="120" w:after="0"/>
        <w:ind w:left="1320" w:right="0" w:hanging="888"/>
        <w:jc w:val="both"/>
      </w:pPr>
      <w:bookmarkStart w:name="_TOC_250098" w:id="45"/>
      <w:r>
        <w:rPr/>
        <w:t>Négociation</w:t>
      </w:r>
      <w:r>
        <w:rPr>
          <w:spacing w:val="-4"/>
        </w:rPr>
        <w:t> </w:t>
      </w:r>
      <w:bookmarkEnd w:id="45"/>
      <w:r>
        <w:rPr/>
        <w:t>directe</w:t>
      </w:r>
    </w:p>
    <w:p>
      <w:pPr>
        <w:pStyle w:val="BodyText"/>
        <w:spacing w:before="43"/>
        <w:ind w:right="760"/>
      </w:pPr>
      <w:r>
        <w:rPr/>
        <w:t>Les motifs de recours à la négociation directe pour les achats hors marchés sont identiques à ceux des marchés (voir paragraphe IV.1.5).</w:t>
      </w:r>
    </w:p>
    <w:p>
      <w:pPr>
        <w:pStyle w:val="Heading2"/>
        <w:spacing w:line="321" w:lineRule="exact" w:before="124"/>
      </w:pPr>
      <w:r>
        <w:rPr/>
        <w:t>Procédure :</w:t>
      </w:r>
    </w:p>
    <w:p>
      <w:pPr>
        <w:pStyle w:val="BodyText"/>
        <w:ind w:right="760"/>
      </w:pPr>
      <w:r>
        <w:rPr/>
        <w:t>Suite à la réception de la demande d’achat négocié, la Structure d’achat procède à la négociation directe avec le fournisseur en vue de se concerter sur une proposition d’offre convenable pour les deux parties.</w:t>
      </w:r>
    </w:p>
    <w:p>
      <w:pPr>
        <w:pStyle w:val="BodyText"/>
        <w:spacing w:before="117"/>
        <w:ind w:right="756" w:firstLine="0"/>
      </w:pPr>
      <w:r>
        <w:rPr/>
        <w:t>NB : Pour les achats négociés, les fournisseurs sont exonérés de la présentation du cautionnement provisoire.</w:t>
      </w:r>
    </w:p>
    <w:p>
      <w:pPr>
        <w:pStyle w:val="BodyText"/>
        <w:spacing w:line="242" w:lineRule="auto" w:before="120"/>
        <w:ind w:right="748"/>
        <w:jc w:val="left"/>
      </w:pPr>
      <w:r>
        <w:rPr/>
        <w:t>L’offre du fournisseur doit être envoyée officiellement au GCT par tout moyen matériel ou immatériel laissant trace.</w:t>
      </w:r>
    </w:p>
    <w:p>
      <w:pPr>
        <w:pStyle w:val="BodyText"/>
        <w:spacing w:before="115"/>
        <w:jc w:val="left"/>
      </w:pPr>
      <w:r>
        <w:rPr/>
        <w:t>L’offre reçue est par la suite transmise à l’entité d’évaluation compétente pour évaluation.</w:t>
      </w:r>
    </w:p>
    <w:p>
      <w:pPr>
        <w:pStyle w:val="BodyText"/>
        <w:spacing w:before="120"/>
        <w:ind w:right="748"/>
        <w:jc w:val="left"/>
      </w:pPr>
      <w:r>
        <w:rPr/>
        <w:t>La Structure d’achat prépare une note de présentation de dossier d’achat négocié et la transmet à l’entité de contrôle compétente pour examen et avis.</w:t>
      </w:r>
    </w:p>
    <w:p>
      <w:pPr>
        <w:pStyle w:val="BodyText"/>
        <w:spacing w:line="321" w:lineRule="exact" w:before="119"/>
        <w:ind w:left="999" w:firstLine="0"/>
        <w:jc w:val="left"/>
      </w:pPr>
      <w:r>
        <w:rPr/>
        <w:t>L’entité de Contrôle Compétente donne son avis comme suit :</w:t>
      </w:r>
    </w:p>
    <w:p>
      <w:pPr>
        <w:pStyle w:val="ListParagraph"/>
        <w:numPr>
          <w:ilvl w:val="0"/>
          <w:numId w:val="43"/>
        </w:numPr>
        <w:tabs>
          <w:tab w:pos="1000" w:val="left" w:leader="none"/>
        </w:tabs>
        <w:spacing w:line="342" w:lineRule="exact" w:before="0" w:after="0"/>
        <w:ind w:left="999" w:right="0" w:hanging="284"/>
        <w:jc w:val="left"/>
        <w:rPr>
          <w:sz w:val="28"/>
        </w:rPr>
      </w:pPr>
      <w:r>
        <w:rPr>
          <w:sz w:val="28"/>
        </w:rPr>
        <w:t>Approuve l’attribution de la commande</w:t>
      </w:r>
      <w:r>
        <w:rPr>
          <w:spacing w:val="-5"/>
          <w:sz w:val="28"/>
        </w:rPr>
        <w:t> </w:t>
      </w:r>
      <w:r>
        <w:rPr>
          <w:sz w:val="28"/>
        </w:rPr>
        <w:t>négociée.</w:t>
      </w:r>
    </w:p>
    <w:p>
      <w:pPr>
        <w:pStyle w:val="ListParagraph"/>
        <w:numPr>
          <w:ilvl w:val="0"/>
          <w:numId w:val="43"/>
        </w:numPr>
        <w:tabs>
          <w:tab w:pos="1000" w:val="left" w:leader="none"/>
        </w:tabs>
        <w:spacing w:line="240" w:lineRule="auto" w:before="0" w:after="0"/>
        <w:ind w:left="999" w:right="0" w:hanging="284"/>
        <w:jc w:val="left"/>
        <w:rPr>
          <w:sz w:val="28"/>
        </w:rPr>
      </w:pPr>
      <w:r>
        <w:rPr>
          <w:sz w:val="28"/>
        </w:rPr>
        <w:t>Ou demande des</w:t>
      </w:r>
      <w:r>
        <w:rPr>
          <w:spacing w:val="-2"/>
          <w:sz w:val="28"/>
        </w:rPr>
        <w:t> </w:t>
      </w:r>
      <w:r>
        <w:rPr>
          <w:sz w:val="28"/>
        </w:rPr>
        <w:t>éclaircissements.</w:t>
      </w:r>
    </w:p>
    <w:p>
      <w:pPr>
        <w:pStyle w:val="ListParagraph"/>
        <w:numPr>
          <w:ilvl w:val="0"/>
          <w:numId w:val="43"/>
        </w:numPr>
        <w:tabs>
          <w:tab w:pos="1000" w:val="left" w:leader="none"/>
        </w:tabs>
        <w:spacing w:line="240" w:lineRule="auto" w:before="1" w:after="0"/>
        <w:ind w:left="999" w:right="0" w:hanging="284"/>
        <w:jc w:val="left"/>
        <w:rPr>
          <w:sz w:val="28"/>
        </w:rPr>
      </w:pPr>
      <w:r>
        <w:rPr>
          <w:sz w:val="28"/>
        </w:rPr>
        <w:t>Ou demande de renégocier l’offre avec le</w:t>
      </w:r>
      <w:r>
        <w:rPr>
          <w:spacing w:val="-5"/>
          <w:sz w:val="28"/>
        </w:rPr>
        <w:t> </w:t>
      </w:r>
      <w:r>
        <w:rPr>
          <w:sz w:val="28"/>
        </w:rPr>
        <w:t>fournisseur.</w:t>
      </w:r>
    </w:p>
    <w:p>
      <w:pPr>
        <w:spacing w:after="0" w:line="24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w:pStyle w:val="Heading2"/>
        <w:numPr>
          <w:ilvl w:val="1"/>
          <w:numId w:val="18"/>
        </w:numPr>
        <w:tabs>
          <w:tab w:pos="1113" w:val="left" w:leader="none"/>
        </w:tabs>
        <w:spacing w:line="240" w:lineRule="auto" w:before="89" w:after="0"/>
        <w:ind w:left="1112" w:right="0" w:hanging="680"/>
        <w:jc w:val="left"/>
      </w:pPr>
      <w:bookmarkStart w:name="_TOC_250097" w:id="46"/>
      <w:bookmarkEnd w:id="46"/>
      <w:r>
        <w:rPr/>
        <w:t>Exécution et clôture des achats hors marchés</w:t>
      </w:r>
    </w:p>
    <w:p>
      <w:pPr>
        <w:pStyle w:val="Heading2"/>
        <w:numPr>
          <w:ilvl w:val="2"/>
          <w:numId w:val="44"/>
        </w:numPr>
        <w:tabs>
          <w:tab w:pos="1321" w:val="left" w:leader="none"/>
        </w:tabs>
        <w:spacing w:line="240" w:lineRule="auto" w:before="119" w:after="0"/>
        <w:ind w:left="1320" w:right="0" w:hanging="888"/>
        <w:jc w:val="left"/>
      </w:pPr>
      <w:bookmarkStart w:name="_TOC_250096" w:id="47"/>
      <w:r>
        <w:rPr/>
        <w:t>Établissement des bons de</w:t>
      </w:r>
      <w:r>
        <w:rPr>
          <w:spacing w:val="-4"/>
        </w:rPr>
        <w:t> </w:t>
      </w:r>
      <w:bookmarkEnd w:id="47"/>
      <w:r>
        <w:rPr/>
        <w:t>commandes</w:t>
      </w:r>
    </w:p>
    <w:p>
      <w:pPr>
        <w:pStyle w:val="BodyText"/>
        <w:spacing w:before="46"/>
        <w:ind w:right="748"/>
        <w:jc w:val="left"/>
      </w:pPr>
      <w:r>
        <w:rPr/>
        <w:t>Suite à l’approbation de l’attribution de l’achat la Structure d’achat concernée procède à l’élaboration d’un bon de commande.</w:t>
      </w:r>
    </w:p>
    <w:p>
      <w:pPr>
        <w:pStyle w:val="BodyText"/>
        <w:ind w:right="748"/>
        <w:jc w:val="left"/>
      </w:pPr>
      <w:r>
        <w:rPr/>
        <w:t>Les bons de commandes sont établis conformément à l’offre retenue, et compte tenu du régime fiscal de l’achat concerné et de la monnaie de la commande.</w:t>
      </w:r>
    </w:p>
    <w:p>
      <w:pPr>
        <w:pStyle w:val="BodyText"/>
        <w:ind w:right="748"/>
        <w:jc w:val="left"/>
      </w:pPr>
      <w:r>
        <w:rPr/>
        <w:t>Les bons de commandes relatifs aux achats hors TVA doivent être édités sur les prés imprimés retirés auprès de la Direction des Grandes Entreprises (DGE).</w:t>
      </w:r>
    </w:p>
    <w:p>
      <w:pPr>
        <w:pStyle w:val="BodyText"/>
        <w:ind w:right="748"/>
      </w:pPr>
      <w:r>
        <w:rPr/>
        <w:t>Une fois édité, le bon de commande doit être transmis au signataire habilité pour signature conformément à la note de pouvoir de signature émise par la Direction Générale.</w:t>
      </w:r>
    </w:p>
    <w:p>
      <w:pPr>
        <w:pStyle w:val="BodyText"/>
        <w:ind w:right="751"/>
      </w:pPr>
      <w:r>
        <w:rPr/>
        <w:t>La</w:t>
      </w:r>
      <w:r>
        <w:rPr>
          <w:spacing w:val="-16"/>
        </w:rPr>
        <w:t> </w:t>
      </w:r>
      <w:r>
        <w:rPr/>
        <w:t>Structure</w:t>
      </w:r>
      <w:r>
        <w:rPr>
          <w:spacing w:val="-17"/>
        </w:rPr>
        <w:t> </w:t>
      </w:r>
      <w:r>
        <w:rPr/>
        <w:t>d’achat</w:t>
      </w:r>
      <w:r>
        <w:rPr>
          <w:spacing w:val="-15"/>
        </w:rPr>
        <w:t> </w:t>
      </w:r>
      <w:r>
        <w:rPr/>
        <w:t>envoie</w:t>
      </w:r>
      <w:r>
        <w:rPr>
          <w:spacing w:val="-15"/>
        </w:rPr>
        <w:t> </w:t>
      </w:r>
      <w:r>
        <w:rPr/>
        <w:t>par</w:t>
      </w:r>
      <w:r>
        <w:rPr>
          <w:spacing w:val="-15"/>
        </w:rPr>
        <w:t> </w:t>
      </w:r>
      <w:r>
        <w:rPr/>
        <w:t>la</w:t>
      </w:r>
      <w:r>
        <w:rPr>
          <w:spacing w:val="-18"/>
        </w:rPr>
        <w:t> </w:t>
      </w:r>
      <w:r>
        <w:rPr/>
        <w:t>suite</w:t>
      </w:r>
      <w:r>
        <w:rPr>
          <w:spacing w:val="-15"/>
        </w:rPr>
        <w:t> </w:t>
      </w:r>
      <w:r>
        <w:rPr/>
        <w:t>le</w:t>
      </w:r>
      <w:r>
        <w:rPr>
          <w:spacing w:val="-17"/>
        </w:rPr>
        <w:t> </w:t>
      </w:r>
      <w:r>
        <w:rPr/>
        <w:t>bon</w:t>
      </w:r>
      <w:r>
        <w:rPr>
          <w:spacing w:val="-17"/>
        </w:rPr>
        <w:t> </w:t>
      </w:r>
      <w:r>
        <w:rPr/>
        <w:t>de</w:t>
      </w:r>
      <w:r>
        <w:rPr>
          <w:spacing w:val="-15"/>
        </w:rPr>
        <w:t> </w:t>
      </w:r>
      <w:r>
        <w:rPr/>
        <w:t>commande</w:t>
      </w:r>
      <w:r>
        <w:rPr>
          <w:spacing w:val="-15"/>
        </w:rPr>
        <w:t> </w:t>
      </w:r>
      <w:r>
        <w:rPr/>
        <w:t>au</w:t>
      </w:r>
      <w:r>
        <w:rPr>
          <w:spacing w:val="-15"/>
        </w:rPr>
        <w:t> </w:t>
      </w:r>
      <w:r>
        <w:rPr/>
        <w:t>fournisseur</w:t>
      </w:r>
      <w:r>
        <w:rPr>
          <w:spacing w:val="-15"/>
        </w:rPr>
        <w:t> </w:t>
      </w:r>
      <w:r>
        <w:rPr/>
        <w:t>retenu et</w:t>
      </w:r>
      <w:r>
        <w:rPr>
          <w:spacing w:val="-4"/>
        </w:rPr>
        <w:t> </w:t>
      </w:r>
      <w:r>
        <w:rPr/>
        <w:t>lui</w:t>
      </w:r>
      <w:r>
        <w:rPr>
          <w:spacing w:val="-4"/>
        </w:rPr>
        <w:t> </w:t>
      </w:r>
      <w:r>
        <w:rPr/>
        <w:t>rappelle</w:t>
      </w:r>
      <w:r>
        <w:rPr>
          <w:spacing w:val="-8"/>
        </w:rPr>
        <w:t> </w:t>
      </w:r>
      <w:r>
        <w:rPr/>
        <w:t>de</w:t>
      </w:r>
      <w:r>
        <w:rPr>
          <w:spacing w:val="-5"/>
        </w:rPr>
        <w:t> </w:t>
      </w:r>
      <w:r>
        <w:rPr/>
        <w:t>présenter</w:t>
      </w:r>
      <w:r>
        <w:rPr>
          <w:spacing w:val="-5"/>
        </w:rPr>
        <w:t> </w:t>
      </w:r>
      <w:r>
        <w:rPr/>
        <w:t>le</w:t>
      </w:r>
      <w:r>
        <w:rPr>
          <w:spacing w:val="-4"/>
        </w:rPr>
        <w:t> </w:t>
      </w:r>
      <w:r>
        <w:rPr/>
        <w:t>cautionnement</w:t>
      </w:r>
      <w:r>
        <w:rPr>
          <w:spacing w:val="-7"/>
        </w:rPr>
        <w:t> </w:t>
      </w:r>
      <w:r>
        <w:rPr/>
        <w:t>définitif</w:t>
      </w:r>
      <w:r>
        <w:rPr>
          <w:spacing w:val="-5"/>
        </w:rPr>
        <w:t> </w:t>
      </w:r>
      <w:r>
        <w:rPr/>
        <w:t>(s’il</w:t>
      </w:r>
      <w:r>
        <w:rPr>
          <w:spacing w:val="-4"/>
        </w:rPr>
        <w:t> </w:t>
      </w:r>
      <w:r>
        <w:rPr/>
        <w:t>y</w:t>
      </w:r>
      <w:r>
        <w:rPr>
          <w:spacing w:val="-9"/>
        </w:rPr>
        <w:t> </w:t>
      </w:r>
      <w:r>
        <w:rPr/>
        <w:t>a</w:t>
      </w:r>
      <w:r>
        <w:rPr>
          <w:spacing w:val="-4"/>
        </w:rPr>
        <w:t> </w:t>
      </w:r>
      <w:r>
        <w:rPr/>
        <w:t>lieu)</w:t>
      </w:r>
      <w:r>
        <w:rPr>
          <w:spacing w:val="-5"/>
        </w:rPr>
        <w:t> </w:t>
      </w:r>
      <w:r>
        <w:rPr/>
        <w:t>dans</w:t>
      </w:r>
      <w:r>
        <w:rPr>
          <w:spacing w:val="-5"/>
        </w:rPr>
        <w:t> </w:t>
      </w:r>
      <w:r>
        <w:rPr/>
        <w:t>un</w:t>
      </w:r>
      <w:r>
        <w:rPr>
          <w:spacing w:val="4"/>
        </w:rPr>
        <w:t> </w:t>
      </w:r>
      <w:r>
        <w:rPr/>
        <w:t>délai</w:t>
      </w:r>
      <w:r>
        <w:rPr>
          <w:spacing w:val="-5"/>
        </w:rPr>
        <w:t> </w:t>
      </w:r>
      <w:r>
        <w:rPr/>
        <w:t>de</w:t>
      </w:r>
      <w:r>
        <w:rPr>
          <w:spacing w:val="-8"/>
        </w:rPr>
        <w:t> </w:t>
      </w:r>
      <w:r>
        <w:rPr/>
        <w:t>20 jours.</w:t>
      </w:r>
    </w:p>
    <w:p>
      <w:pPr>
        <w:pStyle w:val="BodyText"/>
        <w:ind w:right="758"/>
      </w:pPr>
      <w:r>
        <w:rPr/>
        <w:t>La Structure d’achat diffuse des copies numérisées du bon de commande vers</w:t>
      </w:r>
      <w:r>
        <w:rPr>
          <w:spacing w:val="-49"/>
        </w:rPr>
        <w:t> </w:t>
      </w:r>
      <w:r>
        <w:rPr/>
        <w:t>les différentes Structures concernées (Structure demandeuse, Structure financière, Structure chargée des formalités,</w:t>
      </w:r>
      <w:r>
        <w:rPr>
          <w:spacing w:val="-6"/>
        </w:rPr>
        <w:t> </w:t>
      </w:r>
      <w:r>
        <w:rPr/>
        <w:t>etc.).</w:t>
      </w:r>
    </w:p>
    <w:p>
      <w:pPr>
        <w:pStyle w:val="BodyText"/>
        <w:spacing w:before="120"/>
        <w:ind w:right="756"/>
      </w:pPr>
      <w:r>
        <w:rPr/>
        <w:t>L’exécution de la commande ne peut être engagée qu’après avoir accompli les formalités nécessaires suivantes :</w:t>
      </w:r>
    </w:p>
    <w:p>
      <w:pPr>
        <w:pStyle w:val="ListParagraph"/>
        <w:numPr>
          <w:ilvl w:val="3"/>
          <w:numId w:val="44"/>
        </w:numPr>
        <w:tabs>
          <w:tab w:pos="1000" w:val="left" w:leader="none"/>
        </w:tabs>
        <w:spacing w:line="341" w:lineRule="exact" w:before="0" w:after="0"/>
        <w:ind w:left="999" w:right="0" w:hanging="284"/>
        <w:jc w:val="left"/>
        <w:rPr>
          <w:sz w:val="28"/>
        </w:rPr>
      </w:pPr>
      <w:r>
        <w:rPr>
          <w:sz w:val="28"/>
        </w:rPr>
        <w:t>Approbation de l’attribution de l’achat ;</w:t>
      </w:r>
    </w:p>
    <w:p>
      <w:pPr>
        <w:pStyle w:val="ListParagraph"/>
        <w:numPr>
          <w:ilvl w:val="3"/>
          <w:numId w:val="44"/>
        </w:numPr>
        <w:tabs>
          <w:tab w:pos="1000" w:val="left" w:leader="none"/>
        </w:tabs>
        <w:spacing w:line="342" w:lineRule="exact" w:before="0" w:after="0"/>
        <w:ind w:left="999" w:right="0" w:hanging="284"/>
        <w:jc w:val="left"/>
        <w:rPr>
          <w:sz w:val="28"/>
        </w:rPr>
      </w:pPr>
      <w:r>
        <w:rPr>
          <w:sz w:val="28"/>
        </w:rPr>
        <w:t>La réception du cautionnement définitif, (s’il y a lieu)</w:t>
      </w:r>
      <w:r>
        <w:rPr>
          <w:spacing w:val="-2"/>
          <w:sz w:val="28"/>
        </w:rPr>
        <w:t> </w:t>
      </w:r>
      <w:r>
        <w:rPr>
          <w:sz w:val="28"/>
        </w:rPr>
        <w:t>;</w:t>
      </w:r>
    </w:p>
    <w:p>
      <w:pPr>
        <w:pStyle w:val="ListParagraph"/>
        <w:numPr>
          <w:ilvl w:val="3"/>
          <w:numId w:val="44"/>
        </w:numPr>
        <w:tabs>
          <w:tab w:pos="1000" w:val="left" w:leader="none"/>
        </w:tabs>
        <w:spacing w:line="342" w:lineRule="exact" w:before="0" w:after="0"/>
        <w:ind w:left="999" w:right="0" w:hanging="284"/>
        <w:jc w:val="left"/>
        <w:rPr>
          <w:sz w:val="28"/>
        </w:rPr>
      </w:pPr>
      <w:r>
        <w:rPr>
          <w:sz w:val="28"/>
        </w:rPr>
        <w:t>Envoi du bon de commande au fournisseur retenu</w:t>
      </w:r>
      <w:r>
        <w:rPr>
          <w:spacing w:val="-9"/>
          <w:sz w:val="28"/>
        </w:rPr>
        <w:t> </w:t>
      </w:r>
      <w:r>
        <w:rPr>
          <w:sz w:val="28"/>
        </w:rPr>
        <w:t>;</w:t>
      </w:r>
    </w:p>
    <w:p>
      <w:pPr>
        <w:pStyle w:val="ListParagraph"/>
        <w:numPr>
          <w:ilvl w:val="3"/>
          <w:numId w:val="44"/>
        </w:numPr>
        <w:tabs>
          <w:tab w:pos="1000" w:val="left" w:leader="none"/>
        </w:tabs>
        <w:spacing w:line="240" w:lineRule="auto" w:before="0" w:after="0"/>
        <w:ind w:left="999" w:right="755" w:hanging="284"/>
        <w:jc w:val="left"/>
        <w:rPr>
          <w:sz w:val="28"/>
        </w:rPr>
      </w:pPr>
      <w:r>
        <w:rPr>
          <w:sz w:val="28"/>
        </w:rPr>
        <w:t>La mise en vigueur conformément aux conditions mentionnées dans le bon de commande</w:t>
      </w:r>
      <w:r>
        <w:rPr>
          <w:spacing w:val="-1"/>
          <w:sz w:val="28"/>
        </w:rPr>
        <w:t> </w:t>
      </w:r>
      <w:r>
        <w:rPr>
          <w:sz w:val="28"/>
        </w:rPr>
        <w:t>;</w:t>
      </w:r>
    </w:p>
    <w:p>
      <w:pPr>
        <w:pStyle w:val="ListParagraph"/>
        <w:numPr>
          <w:ilvl w:val="3"/>
          <w:numId w:val="44"/>
        </w:numPr>
        <w:tabs>
          <w:tab w:pos="1000" w:val="left" w:leader="none"/>
        </w:tabs>
        <w:spacing w:line="340" w:lineRule="exact" w:before="0" w:after="0"/>
        <w:ind w:left="999" w:right="0" w:hanging="284"/>
        <w:jc w:val="left"/>
        <w:rPr>
          <w:sz w:val="28"/>
        </w:rPr>
      </w:pPr>
      <w:r>
        <w:rPr>
          <w:sz w:val="28"/>
        </w:rPr>
        <w:t>Envoi de l’ordre de service au fournisseur retenu, (s’il y a</w:t>
      </w:r>
      <w:r>
        <w:rPr>
          <w:spacing w:val="-18"/>
          <w:sz w:val="28"/>
        </w:rPr>
        <w:t> </w:t>
      </w:r>
      <w:r>
        <w:rPr>
          <w:sz w:val="28"/>
        </w:rPr>
        <w:t>lieu).</w:t>
      </w:r>
    </w:p>
    <w:p>
      <w:pPr>
        <w:pStyle w:val="Heading2"/>
        <w:numPr>
          <w:ilvl w:val="2"/>
          <w:numId w:val="44"/>
        </w:numPr>
        <w:tabs>
          <w:tab w:pos="1321" w:val="left" w:leader="none"/>
        </w:tabs>
        <w:spacing w:line="320" w:lineRule="exact" w:before="126" w:after="0"/>
        <w:ind w:left="1320" w:right="0" w:hanging="888"/>
        <w:jc w:val="left"/>
      </w:pPr>
      <w:bookmarkStart w:name="_TOC_250095" w:id="48"/>
      <w:r>
        <w:rPr/>
        <w:t>Exécution des achats hors</w:t>
      </w:r>
      <w:r>
        <w:rPr>
          <w:spacing w:val="4"/>
        </w:rPr>
        <w:t> </w:t>
      </w:r>
      <w:bookmarkEnd w:id="48"/>
      <w:r>
        <w:rPr/>
        <w:t>marchés</w:t>
      </w:r>
    </w:p>
    <w:p>
      <w:pPr>
        <w:pStyle w:val="BodyText"/>
        <w:ind w:right="736"/>
        <w:jc w:val="left"/>
      </w:pPr>
      <w:r>
        <w:rPr/>
        <w:t>Les aspects ci-dessous sont traités selon les mêmes procédures des marchés (voir paragraphe IV.2) :</w:t>
      </w:r>
    </w:p>
    <w:p>
      <w:pPr>
        <w:pStyle w:val="ListParagraph"/>
        <w:numPr>
          <w:ilvl w:val="3"/>
          <w:numId w:val="44"/>
        </w:numPr>
        <w:tabs>
          <w:tab w:pos="1000" w:val="left" w:leader="none"/>
        </w:tabs>
        <w:spacing w:line="341" w:lineRule="exact" w:before="0" w:after="0"/>
        <w:ind w:left="999" w:right="0" w:hanging="284"/>
        <w:jc w:val="left"/>
        <w:rPr>
          <w:sz w:val="28"/>
        </w:rPr>
      </w:pPr>
      <w:r>
        <w:rPr>
          <w:sz w:val="28"/>
        </w:rPr>
        <w:t>Suivi de l’exécution des</w:t>
      </w:r>
      <w:r>
        <w:rPr>
          <w:spacing w:val="-8"/>
          <w:sz w:val="28"/>
        </w:rPr>
        <w:t> </w:t>
      </w:r>
      <w:r>
        <w:rPr>
          <w:sz w:val="28"/>
        </w:rPr>
        <w:t>commandes</w:t>
      </w:r>
    </w:p>
    <w:p>
      <w:pPr>
        <w:pStyle w:val="ListParagraph"/>
        <w:numPr>
          <w:ilvl w:val="3"/>
          <w:numId w:val="44"/>
        </w:numPr>
        <w:tabs>
          <w:tab w:pos="1000" w:val="left" w:leader="none"/>
        </w:tabs>
        <w:spacing w:line="240" w:lineRule="auto" w:before="0" w:after="0"/>
        <w:ind w:left="999" w:right="0" w:hanging="284"/>
        <w:jc w:val="left"/>
        <w:rPr>
          <w:sz w:val="28"/>
        </w:rPr>
      </w:pPr>
      <w:r>
        <w:rPr>
          <w:sz w:val="28"/>
        </w:rPr>
        <w:t>Réception des prestations objets de</w:t>
      </w:r>
      <w:r>
        <w:rPr>
          <w:spacing w:val="-3"/>
          <w:sz w:val="28"/>
        </w:rPr>
        <w:t> </w:t>
      </w:r>
      <w:r>
        <w:rPr>
          <w:sz w:val="28"/>
        </w:rPr>
        <w:t>l’achat</w:t>
      </w:r>
    </w:p>
    <w:p>
      <w:pPr>
        <w:pStyle w:val="ListParagraph"/>
        <w:numPr>
          <w:ilvl w:val="3"/>
          <w:numId w:val="44"/>
        </w:numPr>
        <w:tabs>
          <w:tab w:pos="1000" w:val="left" w:leader="none"/>
        </w:tabs>
        <w:spacing w:line="342" w:lineRule="exact" w:before="0" w:after="0"/>
        <w:ind w:left="999" w:right="0" w:hanging="284"/>
        <w:jc w:val="left"/>
        <w:rPr>
          <w:sz w:val="28"/>
        </w:rPr>
      </w:pPr>
      <w:r>
        <w:rPr>
          <w:sz w:val="28"/>
        </w:rPr>
        <w:t>Règlement des achats hors</w:t>
      </w:r>
      <w:r>
        <w:rPr>
          <w:spacing w:val="2"/>
          <w:sz w:val="28"/>
        </w:rPr>
        <w:t> </w:t>
      </w:r>
      <w:r>
        <w:rPr>
          <w:sz w:val="28"/>
        </w:rPr>
        <w:t>marchés</w:t>
      </w:r>
    </w:p>
    <w:p>
      <w:pPr>
        <w:pStyle w:val="ListParagraph"/>
        <w:numPr>
          <w:ilvl w:val="3"/>
          <w:numId w:val="44"/>
        </w:numPr>
        <w:tabs>
          <w:tab w:pos="1000" w:val="left" w:leader="none"/>
        </w:tabs>
        <w:spacing w:line="342" w:lineRule="exact" w:before="0" w:after="0"/>
        <w:ind w:left="999" w:right="0" w:hanging="284"/>
        <w:jc w:val="left"/>
        <w:rPr>
          <w:sz w:val="28"/>
        </w:rPr>
      </w:pPr>
      <w:r>
        <w:rPr>
          <w:sz w:val="28"/>
        </w:rPr>
        <w:t>Les avances</w:t>
      </w:r>
    </w:p>
    <w:p>
      <w:pPr>
        <w:pStyle w:val="ListParagraph"/>
        <w:numPr>
          <w:ilvl w:val="3"/>
          <w:numId w:val="44"/>
        </w:numPr>
        <w:tabs>
          <w:tab w:pos="1000" w:val="left" w:leader="none"/>
        </w:tabs>
        <w:spacing w:line="342" w:lineRule="exact" w:before="0" w:after="0"/>
        <w:ind w:left="999" w:right="0" w:hanging="284"/>
        <w:jc w:val="left"/>
        <w:rPr>
          <w:sz w:val="28"/>
        </w:rPr>
      </w:pPr>
      <w:r>
        <w:rPr>
          <w:sz w:val="28"/>
        </w:rPr>
        <w:t>Les acomptes</w:t>
      </w:r>
    </w:p>
    <w:p>
      <w:pPr>
        <w:pStyle w:val="ListParagraph"/>
        <w:numPr>
          <w:ilvl w:val="3"/>
          <w:numId w:val="44"/>
        </w:numPr>
        <w:tabs>
          <w:tab w:pos="1000" w:val="left" w:leader="none"/>
        </w:tabs>
        <w:spacing w:line="342" w:lineRule="exact" w:before="0" w:after="0"/>
        <w:ind w:left="999" w:right="0" w:hanging="284"/>
        <w:jc w:val="left"/>
        <w:rPr>
          <w:sz w:val="28"/>
        </w:rPr>
      </w:pPr>
      <w:r>
        <w:rPr>
          <w:sz w:val="28"/>
        </w:rPr>
        <w:t>Variation dans la masse, changement dans la nature des</w:t>
      </w:r>
      <w:r>
        <w:rPr>
          <w:spacing w:val="-15"/>
          <w:sz w:val="28"/>
        </w:rPr>
        <w:t> </w:t>
      </w:r>
      <w:r>
        <w:rPr>
          <w:sz w:val="28"/>
        </w:rPr>
        <w:t>commandes</w:t>
      </w:r>
    </w:p>
    <w:p>
      <w:pPr>
        <w:pStyle w:val="ListParagraph"/>
        <w:numPr>
          <w:ilvl w:val="3"/>
          <w:numId w:val="44"/>
        </w:numPr>
        <w:tabs>
          <w:tab w:pos="1000" w:val="left" w:leader="none"/>
        </w:tabs>
        <w:spacing w:line="342" w:lineRule="exact" w:before="0" w:after="0"/>
        <w:ind w:left="999" w:right="0" w:hanging="284"/>
        <w:jc w:val="left"/>
        <w:rPr>
          <w:sz w:val="28"/>
        </w:rPr>
      </w:pPr>
      <w:r>
        <w:rPr>
          <w:sz w:val="28"/>
        </w:rPr>
        <w:t>Sous-traitance</w:t>
      </w:r>
    </w:p>
    <w:p>
      <w:pPr>
        <w:pStyle w:val="ListParagraph"/>
        <w:numPr>
          <w:ilvl w:val="3"/>
          <w:numId w:val="44"/>
        </w:numPr>
        <w:tabs>
          <w:tab w:pos="1000" w:val="left" w:leader="none"/>
        </w:tabs>
        <w:spacing w:line="342" w:lineRule="exact" w:before="0" w:after="0"/>
        <w:ind w:left="999" w:right="0" w:hanging="284"/>
        <w:jc w:val="left"/>
        <w:rPr>
          <w:sz w:val="28"/>
        </w:rPr>
      </w:pPr>
      <w:r>
        <w:rPr>
          <w:sz w:val="28"/>
        </w:rPr>
        <w:t>Les avenants</w:t>
      </w:r>
    </w:p>
    <w:p>
      <w:pPr>
        <w:pStyle w:val="ListParagraph"/>
        <w:numPr>
          <w:ilvl w:val="3"/>
          <w:numId w:val="44"/>
        </w:numPr>
        <w:tabs>
          <w:tab w:pos="1000" w:val="left" w:leader="none"/>
        </w:tabs>
        <w:spacing w:line="240" w:lineRule="auto" w:before="0" w:after="0"/>
        <w:ind w:left="999" w:right="0" w:hanging="284"/>
        <w:jc w:val="left"/>
        <w:rPr>
          <w:sz w:val="28"/>
        </w:rPr>
      </w:pPr>
      <w:r>
        <w:rPr>
          <w:sz w:val="28"/>
        </w:rPr>
        <w:t>Formalités</w:t>
      </w:r>
    </w:p>
    <w:p>
      <w:pPr>
        <w:spacing w:after="0" w:line="24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44"/>
        </w:numPr>
        <w:tabs>
          <w:tab w:pos="1321" w:val="left" w:leader="none"/>
        </w:tabs>
        <w:spacing w:line="319" w:lineRule="exact" w:before="89" w:after="0"/>
        <w:ind w:left="1320" w:right="0" w:hanging="888"/>
        <w:jc w:val="both"/>
      </w:pPr>
      <w:bookmarkStart w:name="_TOC_250094" w:id="49"/>
      <w:bookmarkEnd w:id="49"/>
      <w:r>
        <w:rPr/>
        <w:t>Clôture des dossiers d’achat hors marchés</w:t>
      </w:r>
    </w:p>
    <w:p>
      <w:pPr>
        <w:pStyle w:val="BodyText"/>
        <w:ind w:right="755"/>
      </w:pPr>
      <w:r>
        <w:rPr/>
        <w:t>Les dossiers d’achat relevant des compétences sont clôturés au niveau de la Structure d’achat. Les obligations du GCT envers le fournisseur et les obligations du fournisseur envers le GCT doivent être régularisées (restitution des garanties, paiement, pénalités, etc.).</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0"/>
          <w:numId w:val="18"/>
        </w:numPr>
        <w:tabs>
          <w:tab w:pos="885" w:val="left" w:leader="none"/>
        </w:tabs>
        <w:spacing w:line="240" w:lineRule="auto" w:before="89" w:after="0"/>
        <w:ind w:left="884" w:right="0" w:hanging="452"/>
        <w:jc w:val="both"/>
      </w:pPr>
      <w:bookmarkStart w:name="_TOC_250093" w:id="50"/>
      <w:r>
        <w:rPr/>
        <w:t>Procédures des</w:t>
      </w:r>
      <w:r>
        <w:rPr>
          <w:spacing w:val="-1"/>
        </w:rPr>
        <w:t> </w:t>
      </w:r>
      <w:bookmarkEnd w:id="50"/>
      <w:r>
        <w:rPr/>
        <w:t>marchés</w:t>
      </w:r>
    </w:p>
    <w:p>
      <w:pPr>
        <w:pStyle w:val="Heading2"/>
        <w:numPr>
          <w:ilvl w:val="1"/>
          <w:numId w:val="18"/>
        </w:numPr>
        <w:tabs>
          <w:tab w:pos="1096" w:val="left" w:leader="none"/>
        </w:tabs>
        <w:spacing w:line="321" w:lineRule="exact" w:before="167" w:after="0"/>
        <w:ind w:left="1095" w:right="0" w:hanging="663"/>
        <w:jc w:val="both"/>
      </w:pPr>
      <w:bookmarkStart w:name="_TOC_250092" w:id="51"/>
      <w:bookmarkEnd w:id="51"/>
      <w:r>
        <w:rPr/>
        <w:t>Modes et procédures de passation des marchés</w:t>
      </w:r>
    </w:p>
    <w:p>
      <w:pPr>
        <w:pStyle w:val="BodyText"/>
        <w:ind w:right="753"/>
      </w:pPr>
      <w:r>
        <w:rPr/>
        <w:t>Les</w:t>
      </w:r>
      <w:r>
        <w:rPr>
          <w:spacing w:val="-12"/>
        </w:rPr>
        <w:t> </w:t>
      </w:r>
      <w:r>
        <w:rPr/>
        <w:t>marchés</w:t>
      </w:r>
      <w:r>
        <w:rPr>
          <w:spacing w:val="-14"/>
        </w:rPr>
        <w:t> </w:t>
      </w:r>
      <w:r>
        <w:rPr/>
        <w:t>hors</w:t>
      </w:r>
      <w:r>
        <w:rPr>
          <w:spacing w:val="-12"/>
        </w:rPr>
        <w:t> </w:t>
      </w:r>
      <w:r>
        <w:rPr/>
        <w:t>matières</w:t>
      </w:r>
      <w:r>
        <w:rPr>
          <w:spacing w:val="-14"/>
        </w:rPr>
        <w:t> </w:t>
      </w:r>
      <w:r>
        <w:rPr/>
        <w:t>premières</w:t>
      </w:r>
      <w:r>
        <w:rPr>
          <w:spacing w:val="-9"/>
        </w:rPr>
        <w:t> </w:t>
      </w:r>
      <w:r>
        <w:rPr/>
        <w:t>sont</w:t>
      </w:r>
      <w:r>
        <w:rPr>
          <w:spacing w:val="-14"/>
        </w:rPr>
        <w:t> </w:t>
      </w:r>
      <w:r>
        <w:rPr/>
        <w:t>passés</w:t>
      </w:r>
      <w:r>
        <w:rPr>
          <w:spacing w:val="-14"/>
        </w:rPr>
        <w:t> </w:t>
      </w:r>
      <w:r>
        <w:rPr/>
        <w:t>après</w:t>
      </w:r>
      <w:r>
        <w:rPr>
          <w:spacing w:val="-15"/>
        </w:rPr>
        <w:t> </w:t>
      </w:r>
      <w:r>
        <w:rPr/>
        <w:t>mise</w:t>
      </w:r>
      <w:r>
        <w:rPr>
          <w:spacing w:val="-15"/>
        </w:rPr>
        <w:t> </w:t>
      </w:r>
      <w:r>
        <w:rPr/>
        <w:t>en</w:t>
      </w:r>
      <w:r>
        <w:rPr>
          <w:spacing w:val="-14"/>
        </w:rPr>
        <w:t> </w:t>
      </w:r>
      <w:r>
        <w:rPr/>
        <w:t>concurrence</w:t>
      </w:r>
      <w:r>
        <w:rPr>
          <w:spacing w:val="-15"/>
        </w:rPr>
        <w:t> </w:t>
      </w:r>
      <w:r>
        <w:rPr/>
        <w:t>et</w:t>
      </w:r>
      <w:r>
        <w:rPr>
          <w:spacing w:val="-14"/>
        </w:rPr>
        <w:t> </w:t>
      </w:r>
      <w:r>
        <w:rPr/>
        <w:t>par voie</w:t>
      </w:r>
      <w:r>
        <w:rPr>
          <w:spacing w:val="-9"/>
        </w:rPr>
        <w:t> </w:t>
      </w:r>
      <w:r>
        <w:rPr/>
        <w:t>d'appel</w:t>
      </w:r>
      <w:r>
        <w:rPr>
          <w:spacing w:val="-8"/>
        </w:rPr>
        <w:t> </w:t>
      </w:r>
      <w:r>
        <w:rPr/>
        <w:t>d'offres.</w:t>
      </w:r>
      <w:r>
        <w:rPr>
          <w:spacing w:val="-5"/>
        </w:rPr>
        <w:t> </w:t>
      </w:r>
      <w:r>
        <w:rPr/>
        <w:t>Toutefois,</w:t>
      </w:r>
      <w:r>
        <w:rPr>
          <w:spacing w:val="-9"/>
        </w:rPr>
        <w:t> </w:t>
      </w:r>
      <w:r>
        <w:rPr/>
        <w:t>il</w:t>
      </w:r>
      <w:r>
        <w:rPr>
          <w:spacing w:val="-9"/>
        </w:rPr>
        <w:t> </w:t>
      </w:r>
      <w:r>
        <w:rPr/>
        <w:t>peut</w:t>
      </w:r>
      <w:r>
        <w:rPr>
          <w:spacing w:val="-8"/>
        </w:rPr>
        <w:t> </w:t>
      </w:r>
      <w:r>
        <w:rPr/>
        <w:t>être</w:t>
      </w:r>
      <w:r>
        <w:rPr>
          <w:spacing w:val="-10"/>
        </w:rPr>
        <w:t> </w:t>
      </w:r>
      <w:r>
        <w:rPr/>
        <w:t>passé</w:t>
      </w:r>
      <w:r>
        <w:rPr>
          <w:spacing w:val="-9"/>
        </w:rPr>
        <w:t> </w:t>
      </w:r>
      <w:r>
        <w:rPr/>
        <w:t>à</w:t>
      </w:r>
      <w:r>
        <w:rPr>
          <w:spacing w:val="-8"/>
        </w:rPr>
        <w:t> </w:t>
      </w:r>
      <w:r>
        <w:rPr/>
        <w:t>titre</w:t>
      </w:r>
      <w:r>
        <w:rPr>
          <w:spacing w:val="-9"/>
        </w:rPr>
        <w:t> </w:t>
      </w:r>
      <w:r>
        <w:rPr/>
        <w:t>exceptionnel,</w:t>
      </w:r>
      <w:r>
        <w:rPr>
          <w:spacing w:val="-8"/>
        </w:rPr>
        <w:t> </w:t>
      </w:r>
      <w:r>
        <w:rPr/>
        <w:t>des</w:t>
      </w:r>
      <w:r>
        <w:rPr>
          <w:spacing w:val="-8"/>
        </w:rPr>
        <w:t> </w:t>
      </w:r>
      <w:r>
        <w:rPr/>
        <w:t>marchés</w:t>
      </w:r>
      <w:r>
        <w:rPr>
          <w:spacing w:val="-7"/>
        </w:rPr>
        <w:t> </w:t>
      </w:r>
      <w:r>
        <w:rPr/>
        <w:t>soit par voie de consultation, soit par voie de négociation</w:t>
      </w:r>
      <w:r>
        <w:rPr>
          <w:spacing w:val="-21"/>
        </w:rPr>
        <w:t> </w:t>
      </w:r>
      <w:r>
        <w:rPr/>
        <w:t>directe.</w:t>
      </w:r>
    </w:p>
    <w:p>
      <w:pPr>
        <w:pStyle w:val="BodyText"/>
        <w:ind w:right="754"/>
      </w:pPr>
      <w:r>
        <w:rPr/>
        <w:t>En fonction des spécificités du marché et des conditions qui y sont liées, on distingue les modes de passation des marchés suivants :</w:t>
      </w:r>
    </w:p>
    <w:p>
      <w:pPr>
        <w:pStyle w:val="Heading2"/>
        <w:numPr>
          <w:ilvl w:val="2"/>
          <w:numId w:val="45"/>
        </w:numPr>
        <w:tabs>
          <w:tab w:pos="1307" w:val="left" w:leader="none"/>
        </w:tabs>
        <w:spacing w:line="240" w:lineRule="auto" w:before="122" w:after="0"/>
        <w:ind w:left="1306" w:right="0" w:hanging="874"/>
        <w:jc w:val="both"/>
      </w:pPr>
      <w:bookmarkStart w:name="_TOC_250091" w:id="52"/>
      <w:r>
        <w:rPr/>
        <w:t>Appel d’offres</w:t>
      </w:r>
      <w:r>
        <w:rPr>
          <w:spacing w:val="1"/>
        </w:rPr>
        <w:t> </w:t>
      </w:r>
      <w:bookmarkEnd w:id="52"/>
      <w:r>
        <w:rPr/>
        <w:t>ouvert</w:t>
      </w:r>
    </w:p>
    <w:p>
      <w:pPr>
        <w:pStyle w:val="BodyText"/>
        <w:spacing w:before="46"/>
        <w:ind w:right="753"/>
      </w:pPr>
      <w:r>
        <w:rPr/>
        <w:t>Le GCT fait recours à un appel d’offres ouvert lorsqu’il est en mesure de définir avec précision les spécifications, l’étendu, les objectifs attendus et les conditions liées à l’exécution du besoin à satisfaire.</w:t>
      </w:r>
    </w:p>
    <w:p>
      <w:pPr>
        <w:pStyle w:val="Heading2"/>
        <w:spacing w:before="123"/>
        <w:jc w:val="left"/>
      </w:pPr>
      <w:r>
        <w:rPr/>
        <w:t>Procédures</w:t>
      </w:r>
    </w:p>
    <w:p>
      <w:pPr>
        <w:pStyle w:val="Heading3"/>
        <w:spacing w:before="163"/>
        <w:rPr>
          <w:i/>
        </w:rPr>
      </w:pPr>
      <w:r>
        <w:rPr>
          <w:i/>
        </w:rPr>
        <w:t>Mise en concurrence</w:t>
      </w:r>
    </w:p>
    <w:p>
      <w:pPr>
        <w:pStyle w:val="BodyText"/>
        <w:ind w:right="751"/>
      </w:pPr>
      <w:r>
        <w:rPr/>
        <w:t>L’avis d’appel d’offres est préparé et publié par la structure d’achat chargée du dossier d’achat. La publication doit être effectuée sur TUNEPS et par voie de presse dans un journal au minimum.</w:t>
      </w:r>
    </w:p>
    <w:p>
      <w:pPr>
        <w:pStyle w:val="BodyText"/>
        <w:ind w:left="716" w:right="5309" w:firstLine="283"/>
      </w:pPr>
      <w:r>
        <w:rPr/>
        <w:t>L’avis d’appel d’offres doit déterminer : 1- L'objet du marché ;</w:t>
      </w:r>
    </w:p>
    <w:p>
      <w:pPr>
        <w:pStyle w:val="ListParagraph"/>
        <w:numPr>
          <w:ilvl w:val="1"/>
          <w:numId w:val="33"/>
        </w:numPr>
        <w:tabs>
          <w:tab w:pos="1000" w:val="left" w:leader="none"/>
        </w:tabs>
        <w:spacing w:line="240" w:lineRule="auto" w:before="0" w:after="0"/>
        <w:ind w:left="999" w:right="759" w:hanging="284"/>
        <w:jc w:val="both"/>
        <w:rPr>
          <w:sz w:val="28"/>
        </w:rPr>
      </w:pPr>
      <w:r>
        <w:rPr>
          <w:sz w:val="28"/>
        </w:rPr>
        <w:t>Le</w:t>
      </w:r>
      <w:r>
        <w:rPr>
          <w:spacing w:val="-9"/>
          <w:sz w:val="28"/>
        </w:rPr>
        <w:t> </w:t>
      </w:r>
      <w:r>
        <w:rPr>
          <w:sz w:val="28"/>
        </w:rPr>
        <w:t>lieu</w:t>
      </w:r>
      <w:r>
        <w:rPr>
          <w:spacing w:val="-7"/>
          <w:sz w:val="28"/>
        </w:rPr>
        <w:t> </w:t>
      </w:r>
      <w:r>
        <w:rPr>
          <w:sz w:val="28"/>
        </w:rPr>
        <w:t>où</w:t>
      </w:r>
      <w:r>
        <w:rPr>
          <w:spacing w:val="-7"/>
          <w:sz w:val="28"/>
        </w:rPr>
        <w:t> </w:t>
      </w:r>
      <w:r>
        <w:rPr>
          <w:sz w:val="28"/>
        </w:rPr>
        <w:t>l'on</w:t>
      </w:r>
      <w:r>
        <w:rPr>
          <w:spacing w:val="-9"/>
          <w:sz w:val="28"/>
        </w:rPr>
        <w:t> </w:t>
      </w:r>
      <w:r>
        <w:rPr>
          <w:sz w:val="28"/>
        </w:rPr>
        <w:t>peut</w:t>
      </w:r>
      <w:r>
        <w:rPr>
          <w:spacing w:val="-8"/>
          <w:sz w:val="28"/>
        </w:rPr>
        <w:t> </w:t>
      </w:r>
      <w:r>
        <w:rPr>
          <w:sz w:val="28"/>
        </w:rPr>
        <w:t>prendre</w:t>
      </w:r>
      <w:r>
        <w:rPr>
          <w:spacing w:val="-7"/>
          <w:sz w:val="28"/>
        </w:rPr>
        <w:t> </w:t>
      </w:r>
      <w:r>
        <w:rPr>
          <w:sz w:val="28"/>
        </w:rPr>
        <w:t>connaissance</w:t>
      </w:r>
      <w:r>
        <w:rPr>
          <w:spacing w:val="-7"/>
          <w:sz w:val="28"/>
        </w:rPr>
        <w:t> </w:t>
      </w:r>
      <w:r>
        <w:rPr>
          <w:sz w:val="28"/>
        </w:rPr>
        <w:t>des</w:t>
      </w:r>
      <w:r>
        <w:rPr>
          <w:spacing w:val="-6"/>
          <w:sz w:val="28"/>
        </w:rPr>
        <w:t> </w:t>
      </w:r>
      <w:r>
        <w:rPr>
          <w:sz w:val="28"/>
        </w:rPr>
        <w:t>cahiers</w:t>
      </w:r>
      <w:r>
        <w:rPr>
          <w:spacing w:val="-8"/>
          <w:sz w:val="28"/>
        </w:rPr>
        <w:t> </w:t>
      </w:r>
      <w:r>
        <w:rPr>
          <w:sz w:val="28"/>
        </w:rPr>
        <w:t>des</w:t>
      </w:r>
      <w:r>
        <w:rPr>
          <w:spacing w:val="-6"/>
          <w:sz w:val="28"/>
        </w:rPr>
        <w:t> </w:t>
      </w:r>
      <w:r>
        <w:rPr>
          <w:sz w:val="28"/>
        </w:rPr>
        <w:t>charges</w:t>
      </w:r>
      <w:r>
        <w:rPr>
          <w:spacing w:val="-9"/>
          <w:sz w:val="28"/>
        </w:rPr>
        <w:t> </w:t>
      </w:r>
      <w:r>
        <w:rPr>
          <w:sz w:val="28"/>
        </w:rPr>
        <w:t>et</w:t>
      </w:r>
      <w:r>
        <w:rPr>
          <w:spacing w:val="-7"/>
          <w:sz w:val="28"/>
        </w:rPr>
        <w:t> </w:t>
      </w:r>
      <w:r>
        <w:rPr>
          <w:sz w:val="28"/>
        </w:rPr>
        <w:t>le</w:t>
      </w:r>
      <w:r>
        <w:rPr>
          <w:spacing w:val="-9"/>
          <w:sz w:val="28"/>
        </w:rPr>
        <w:t> </w:t>
      </w:r>
      <w:r>
        <w:rPr>
          <w:sz w:val="28"/>
        </w:rPr>
        <w:t>prix</w:t>
      </w:r>
      <w:r>
        <w:rPr>
          <w:spacing w:val="-7"/>
          <w:sz w:val="28"/>
        </w:rPr>
        <w:t> </w:t>
      </w:r>
      <w:r>
        <w:rPr>
          <w:sz w:val="28"/>
        </w:rPr>
        <w:t>de</w:t>
      </w:r>
      <w:r>
        <w:rPr>
          <w:spacing w:val="-8"/>
          <w:sz w:val="28"/>
        </w:rPr>
        <w:t> </w:t>
      </w:r>
      <w:r>
        <w:rPr>
          <w:sz w:val="28"/>
        </w:rPr>
        <w:t>ces cahiers le cas échéant</w:t>
      </w:r>
      <w:r>
        <w:rPr>
          <w:spacing w:val="1"/>
          <w:sz w:val="28"/>
        </w:rPr>
        <w:t> </w:t>
      </w:r>
      <w:r>
        <w:rPr>
          <w:sz w:val="28"/>
        </w:rPr>
        <w:t>;</w:t>
      </w:r>
    </w:p>
    <w:p>
      <w:pPr>
        <w:pStyle w:val="ListParagraph"/>
        <w:numPr>
          <w:ilvl w:val="1"/>
          <w:numId w:val="33"/>
        </w:numPr>
        <w:tabs>
          <w:tab w:pos="1000" w:val="left" w:leader="none"/>
        </w:tabs>
        <w:spacing w:line="322" w:lineRule="exact" w:before="0" w:after="0"/>
        <w:ind w:left="999" w:right="0" w:hanging="284"/>
        <w:jc w:val="both"/>
        <w:rPr>
          <w:sz w:val="28"/>
        </w:rPr>
      </w:pPr>
      <w:r>
        <w:rPr>
          <w:sz w:val="28"/>
        </w:rPr>
        <w:t>Le lieu, la date et l’heure limites de réception des offres</w:t>
      </w:r>
      <w:r>
        <w:rPr>
          <w:spacing w:val="-10"/>
          <w:sz w:val="28"/>
        </w:rPr>
        <w:t> </w:t>
      </w:r>
      <w:r>
        <w:rPr>
          <w:sz w:val="28"/>
        </w:rPr>
        <w:t>;</w:t>
      </w:r>
    </w:p>
    <w:p>
      <w:pPr>
        <w:pStyle w:val="ListParagraph"/>
        <w:numPr>
          <w:ilvl w:val="1"/>
          <w:numId w:val="33"/>
        </w:numPr>
        <w:tabs>
          <w:tab w:pos="1000" w:val="left" w:leader="none"/>
        </w:tabs>
        <w:spacing w:line="240" w:lineRule="auto" w:before="0" w:after="0"/>
        <w:ind w:left="999" w:right="762" w:hanging="284"/>
        <w:jc w:val="both"/>
        <w:rPr>
          <w:sz w:val="28"/>
        </w:rPr>
      </w:pPr>
      <w:r>
        <w:rPr>
          <w:sz w:val="28"/>
        </w:rPr>
        <w:t>Le lieu, la date et l'heure de la séance d'ouverture des offres si la séance est publique</w:t>
      </w:r>
      <w:r>
        <w:rPr>
          <w:spacing w:val="-1"/>
          <w:sz w:val="28"/>
        </w:rPr>
        <w:t> </w:t>
      </w:r>
      <w:r>
        <w:rPr>
          <w:sz w:val="28"/>
        </w:rPr>
        <w:t>;</w:t>
      </w:r>
    </w:p>
    <w:p>
      <w:pPr>
        <w:pStyle w:val="ListParagraph"/>
        <w:numPr>
          <w:ilvl w:val="1"/>
          <w:numId w:val="33"/>
        </w:numPr>
        <w:tabs>
          <w:tab w:pos="1000" w:val="left" w:leader="none"/>
        </w:tabs>
        <w:spacing w:line="240" w:lineRule="auto" w:before="0" w:after="0"/>
        <w:ind w:left="716" w:right="756" w:firstLine="0"/>
        <w:jc w:val="both"/>
        <w:rPr>
          <w:sz w:val="28"/>
        </w:rPr>
      </w:pPr>
      <w:r>
        <w:rPr>
          <w:sz w:val="28"/>
        </w:rPr>
        <w:t>Le délai pendant lequel les soumissionnaires resteront engagés par leurs offres ; 6- Les justifications nécessaires des références et garanties professionnelles</w:t>
      </w:r>
      <w:r>
        <w:rPr>
          <w:spacing w:val="20"/>
          <w:sz w:val="28"/>
        </w:rPr>
        <w:t> </w:t>
      </w:r>
      <w:r>
        <w:rPr>
          <w:sz w:val="28"/>
        </w:rPr>
        <w:t>et</w:t>
      </w:r>
    </w:p>
    <w:p>
      <w:pPr>
        <w:pStyle w:val="BodyText"/>
        <w:ind w:left="716" w:right="5094" w:firstLine="283"/>
      </w:pPr>
      <w:r>
        <w:rPr/>
        <w:t>financières exigées des soumissionnaires ; 7- Le montant du cautionnement provisoire</w:t>
      </w:r>
    </w:p>
    <w:p>
      <w:pPr>
        <w:pStyle w:val="BodyText"/>
        <w:spacing w:before="120"/>
        <w:ind w:right="749"/>
      </w:pPr>
      <w:r>
        <w:rPr/>
        <w:t>Les soumissionnaires, du seul fait de la présentation de leur soumission, sont liés par leurs offres pendant une période de soixante (60) jours à compter du jour suivant la</w:t>
      </w:r>
      <w:r>
        <w:rPr>
          <w:spacing w:val="-5"/>
        </w:rPr>
        <w:t> </w:t>
      </w:r>
      <w:r>
        <w:rPr/>
        <w:t>date</w:t>
      </w:r>
      <w:r>
        <w:rPr>
          <w:spacing w:val="-5"/>
        </w:rPr>
        <w:t> </w:t>
      </w:r>
      <w:r>
        <w:rPr/>
        <w:t>limite</w:t>
      </w:r>
      <w:r>
        <w:rPr>
          <w:spacing w:val="-5"/>
        </w:rPr>
        <w:t> </w:t>
      </w:r>
      <w:r>
        <w:rPr/>
        <w:t>fixée</w:t>
      </w:r>
      <w:r>
        <w:rPr>
          <w:spacing w:val="-5"/>
        </w:rPr>
        <w:t> </w:t>
      </w:r>
      <w:r>
        <w:rPr/>
        <w:t>pour</w:t>
      </w:r>
      <w:r>
        <w:rPr>
          <w:spacing w:val="-5"/>
        </w:rPr>
        <w:t> </w:t>
      </w:r>
      <w:r>
        <w:rPr/>
        <w:t>la</w:t>
      </w:r>
      <w:r>
        <w:rPr>
          <w:spacing w:val="-5"/>
        </w:rPr>
        <w:t> </w:t>
      </w:r>
      <w:r>
        <w:rPr/>
        <w:t>réception</w:t>
      </w:r>
      <w:r>
        <w:rPr>
          <w:spacing w:val="-1"/>
        </w:rPr>
        <w:t> </w:t>
      </w:r>
      <w:r>
        <w:rPr/>
        <w:t>des</w:t>
      </w:r>
      <w:r>
        <w:rPr>
          <w:spacing w:val="-5"/>
        </w:rPr>
        <w:t> </w:t>
      </w:r>
      <w:r>
        <w:rPr/>
        <w:t>offres</w:t>
      </w:r>
      <w:r>
        <w:rPr>
          <w:spacing w:val="-4"/>
        </w:rPr>
        <w:t> </w:t>
      </w:r>
      <w:r>
        <w:rPr/>
        <w:t>sauf</w:t>
      </w:r>
      <w:r>
        <w:rPr>
          <w:spacing w:val="-5"/>
        </w:rPr>
        <w:t> </w:t>
      </w:r>
      <w:r>
        <w:rPr/>
        <w:t>si</w:t>
      </w:r>
      <w:r>
        <w:rPr>
          <w:spacing w:val="-4"/>
        </w:rPr>
        <w:t> </w:t>
      </w:r>
      <w:r>
        <w:rPr/>
        <w:t>l’appel</w:t>
      </w:r>
      <w:r>
        <w:rPr>
          <w:spacing w:val="-7"/>
        </w:rPr>
        <w:t> </w:t>
      </w:r>
      <w:r>
        <w:rPr/>
        <w:t>d’offres</w:t>
      </w:r>
      <w:r>
        <w:rPr>
          <w:spacing w:val="1"/>
        </w:rPr>
        <w:t> </w:t>
      </w:r>
      <w:r>
        <w:rPr/>
        <w:t>prévoit</w:t>
      </w:r>
      <w:r>
        <w:rPr>
          <w:spacing w:val="-5"/>
        </w:rPr>
        <w:t> </w:t>
      </w:r>
      <w:r>
        <w:rPr/>
        <w:t>un</w:t>
      </w:r>
      <w:r>
        <w:rPr>
          <w:spacing w:val="-5"/>
        </w:rPr>
        <w:t> </w:t>
      </w:r>
      <w:r>
        <w:rPr/>
        <w:t>autre délai</w:t>
      </w:r>
      <w:r>
        <w:rPr>
          <w:spacing w:val="-18"/>
        </w:rPr>
        <w:t> </w:t>
      </w:r>
      <w:r>
        <w:rPr/>
        <w:t>qui</w:t>
      </w:r>
      <w:r>
        <w:rPr>
          <w:spacing w:val="-18"/>
        </w:rPr>
        <w:t> </w:t>
      </w:r>
      <w:r>
        <w:rPr/>
        <w:t>ne</w:t>
      </w:r>
      <w:r>
        <w:rPr>
          <w:spacing w:val="-19"/>
        </w:rPr>
        <w:t> </w:t>
      </w:r>
      <w:r>
        <w:rPr/>
        <w:t>peut</w:t>
      </w:r>
      <w:r>
        <w:rPr>
          <w:spacing w:val="-18"/>
        </w:rPr>
        <w:t> </w:t>
      </w:r>
      <w:r>
        <w:rPr/>
        <w:t>dans</w:t>
      </w:r>
      <w:r>
        <w:rPr>
          <w:spacing w:val="-18"/>
        </w:rPr>
        <w:t> </w:t>
      </w:r>
      <w:r>
        <w:rPr/>
        <w:t>tous</w:t>
      </w:r>
      <w:r>
        <w:rPr>
          <w:spacing w:val="-15"/>
        </w:rPr>
        <w:t> </w:t>
      </w:r>
      <w:r>
        <w:rPr/>
        <w:t>les</w:t>
      </w:r>
      <w:r>
        <w:rPr>
          <w:spacing w:val="-15"/>
        </w:rPr>
        <w:t> </w:t>
      </w:r>
      <w:r>
        <w:rPr/>
        <w:t>cas</w:t>
      </w:r>
      <w:r>
        <w:rPr>
          <w:spacing w:val="-14"/>
        </w:rPr>
        <w:t> </w:t>
      </w:r>
      <w:r>
        <w:rPr/>
        <w:t>être</w:t>
      </w:r>
      <w:r>
        <w:rPr>
          <w:spacing w:val="-18"/>
        </w:rPr>
        <w:t> </w:t>
      </w:r>
      <w:r>
        <w:rPr/>
        <w:t>supérieur</w:t>
      </w:r>
      <w:r>
        <w:rPr>
          <w:spacing w:val="-16"/>
        </w:rPr>
        <w:t> </w:t>
      </w:r>
      <w:r>
        <w:rPr/>
        <w:t>à</w:t>
      </w:r>
      <w:r>
        <w:rPr>
          <w:spacing w:val="-16"/>
        </w:rPr>
        <w:t> </w:t>
      </w:r>
      <w:r>
        <w:rPr/>
        <w:t>(120)</w:t>
      </w:r>
      <w:r>
        <w:rPr>
          <w:spacing w:val="-16"/>
        </w:rPr>
        <w:t> </w:t>
      </w:r>
      <w:r>
        <w:rPr/>
        <w:t>jours.</w:t>
      </w:r>
      <w:r>
        <w:rPr>
          <w:spacing w:val="-17"/>
        </w:rPr>
        <w:t> </w:t>
      </w:r>
      <w:r>
        <w:rPr/>
        <w:t>Ce</w:t>
      </w:r>
      <w:r>
        <w:rPr>
          <w:spacing w:val="-19"/>
        </w:rPr>
        <w:t> </w:t>
      </w:r>
      <w:r>
        <w:rPr/>
        <w:t>délai</w:t>
      </w:r>
      <w:r>
        <w:rPr>
          <w:spacing w:val="-17"/>
        </w:rPr>
        <w:t> </w:t>
      </w:r>
      <w:r>
        <w:rPr/>
        <w:t>peut</w:t>
      </w:r>
      <w:r>
        <w:rPr>
          <w:spacing w:val="-18"/>
        </w:rPr>
        <w:t> </w:t>
      </w:r>
      <w:r>
        <w:rPr/>
        <w:t>être</w:t>
      </w:r>
      <w:r>
        <w:rPr>
          <w:spacing w:val="-18"/>
        </w:rPr>
        <w:t> </w:t>
      </w:r>
      <w:r>
        <w:rPr/>
        <w:t>ramené exceptionnellement à (180) jours pour les achats complexes via une note explicative signée par la direction</w:t>
      </w:r>
      <w:r>
        <w:rPr>
          <w:spacing w:val="-3"/>
        </w:rPr>
        <w:t> </w:t>
      </w:r>
      <w:r>
        <w:rPr/>
        <w:t>générale.</w:t>
      </w:r>
    </w:p>
    <w:p>
      <w:pPr>
        <w:pStyle w:val="BodyText"/>
        <w:spacing w:before="120"/>
        <w:ind w:right="749"/>
      </w:pPr>
      <w:r>
        <w:rPr/>
        <w:t>L'offre du fournisseur est constituée de l'offre technique et de l'offre financière et doit être accompagnée, notamment, des documents suivant :</w:t>
      </w:r>
    </w:p>
    <w:p>
      <w:pPr>
        <w:pStyle w:val="ListParagraph"/>
        <w:numPr>
          <w:ilvl w:val="0"/>
          <w:numId w:val="46"/>
        </w:numPr>
        <w:tabs>
          <w:tab w:pos="1000" w:val="left" w:leader="none"/>
        </w:tabs>
        <w:spacing w:line="322" w:lineRule="exact" w:before="119" w:after="0"/>
        <w:ind w:left="999" w:right="0" w:hanging="284"/>
        <w:jc w:val="both"/>
        <w:rPr>
          <w:sz w:val="28"/>
        </w:rPr>
      </w:pPr>
      <w:r>
        <w:rPr>
          <w:sz w:val="28"/>
        </w:rPr>
        <w:t>Le cautionnement provisoire, sauf exception prévue dans le cahier des</w:t>
      </w:r>
      <w:r>
        <w:rPr>
          <w:spacing w:val="-13"/>
          <w:sz w:val="28"/>
        </w:rPr>
        <w:t> </w:t>
      </w:r>
      <w:r>
        <w:rPr>
          <w:sz w:val="28"/>
        </w:rPr>
        <w:t>charges,</w:t>
      </w:r>
    </w:p>
    <w:p>
      <w:pPr>
        <w:pStyle w:val="ListParagraph"/>
        <w:numPr>
          <w:ilvl w:val="0"/>
          <w:numId w:val="46"/>
        </w:numPr>
        <w:tabs>
          <w:tab w:pos="1000" w:val="left" w:leader="none"/>
        </w:tabs>
        <w:spacing w:line="240" w:lineRule="auto" w:before="0" w:after="0"/>
        <w:ind w:left="999" w:right="760" w:hanging="284"/>
        <w:jc w:val="both"/>
        <w:rPr>
          <w:sz w:val="28"/>
        </w:rPr>
      </w:pPr>
      <w:r>
        <w:rPr>
          <w:sz w:val="28"/>
        </w:rPr>
        <w:t>L'attestation relative à la situation fiscale prévue par la législation en vigueur, (seulement pour les soumissionnaires</w:t>
      </w:r>
      <w:r>
        <w:rPr>
          <w:spacing w:val="-6"/>
          <w:sz w:val="28"/>
        </w:rPr>
        <w:t> </w:t>
      </w:r>
      <w:r>
        <w:rPr>
          <w:sz w:val="28"/>
        </w:rPr>
        <w:t>locaux),</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ListParagraph"/>
        <w:numPr>
          <w:ilvl w:val="0"/>
          <w:numId w:val="46"/>
        </w:numPr>
        <w:tabs>
          <w:tab w:pos="1000" w:val="left" w:leader="none"/>
        </w:tabs>
        <w:spacing w:line="240" w:lineRule="auto" w:before="89" w:after="0"/>
        <w:ind w:left="999" w:right="752" w:hanging="284"/>
        <w:jc w:val="both"/>
        <w:rPr>
          <w:sz w:val="28"/>
        </w:rPr>
      </w:pPr>
      <w:r>
        <w:rPr>
          <w:sz w:val="28"/>
        </w:rPr>
        <w:t>Un certificat d'affiliation à un régime de sécurité sociale (seulement pour les soumissionnaires</w:t>
      </w:r>
      <w:r>
        <w:rPr>
          <w:spacing w:val="-3"/>
          <w:sz w:val="28"/>
        </w:rPr>
        <w:t> </w:t>
      </w:r>
      <w:r>
        <w:rPr>
          <w:sz w:val="28"/>
        </w:rPr>
        <w:t>locaux),</w:t>
      </w:r>
    </w:p>
    <w:p>
      <w:pPr>
        <w:pStyle w:val="ListParagraph"/>
        <w:numPr>
          <w:ilvl w:val="0"/>
          <w:numId w:val="46"/>
        </w:numPr>
        <w:tabs>
          <w:tab w:pos="1000" w:val="left" w:leader="none"/>
        </w:tabs>
        <w:spacing w:line="240" w:lineRule="auto" w:before="0" w:after="0"/>
        <w:ind w:left="999" w:right="746" w:hanging="284"/>
        <w:jc w:val="both"/>
        <w:rPr>
          <w:sz w:val="28"/>
        </w:rPr>
      </w:pPr>
      <w:r>
        <w:rPr>
          <w:sz w:val="28"/>
        </w:rPr>
        <w:t>Un certificat de non faillite, de redressement judiciaire ou tout autre document équivalent prévu par le droit du pays d'origine pour les soumissionnaires </w:t>
      </w:r>
      <w:r>
        <w:rPr>
          <w:spacing w:val="3"/>
          <w:sz w:val="28"/>
        </w:rPr>
        <w:t>non- </w:t>
      </w:r>
      <w:r>
        <w:rPr>
          <w:sz w:val="28"/>
        </w:rPr>
        <w:t>résidents en</w:t>
      </w:r>
      <w:r>
        <w:rPr>
          <w:spacing w:val="1"/>
          <w:sz w:val="28"/>
        </w:rPr>
        <w:t> </w:t>
      </w:r>
      <w:r>
        <w:rPr>
          <w:sz w:val="28"/>
        </w:rPr>
        <w:t>Tunisie,</w:t>
      </w:r>
    </w:p>
    <w:p>
      <w:pPr>
        <w:pStyle w:val="ListParagraph"/>
        <w:numPr>
          <w:ilvl w:val="0"/>
          <w:numId w:val="46"/>
        </w:numPr>
        <w:tabs>
          <w:tab w:pos="1000" w:val="left" w:leader="none"/>
        </w:tabs>
        <w:spacing w:line="240" w:lineRule="auto" w:before="0" w:after="0"/>
        <w:ind w:left="999" w:right="750" w:hanging="284"/>
        <w:jc w:val="both"/>
        <w:rPr>
          <w:sz w:val="28"/>
        </w:rPr>
      </w:pPr>
      <w:r>
        <w:rPr>
          <w:sz w:val="28"/>
        </w:rPr>
        <w:t>Un extrait du registre RNE (Registre National des Entreprise) pour les soumissionnaires résidents ou tout autre document équivalent prévu par le droit du pays d'origine, pour les soumissionnaires non-résidents en</w:t>
      </w:r>
      <w:r>
        <w:rPr>
          <w:spacing w:val="-11"/>
          <w:sz w:val="28"/>
        </w:rPr>
        <w:t> </w:t>
      </w:r>
      <w:r>
        <w:rPr>
          <w:sz w:val="28"/>
        </w:rPr>
        <w:t>Tunisie,</w:t>
      </w:r>
    </w:p>
    <w:p>
      <w:pPr>
        <w:pStyle w:val="ListParagraph"/>
        <w:numPr>
          <w:ilvl w:val="0"/>
          <w:numId w:val="46"/>
        </w:numPr>
        <w:tabs>
          <w:tab w:pos="1000" w:val="left" w:leader="none"/>
        </w:tabs>
        <w:spacing w:line="240" w:lineRule="auto" w:before="0" w:after="0"/>
        <w:ind w:left="999" w:right="751" w:hanging="284"/>
        <w:jc w:val="both"/>
        <w:rPr>
          <w:sz w:val="28"/>
        </w:rPr>
      </w:pPr>
      <w:r>
        <w:rPr>
          <w:sz w:val="28"/>
        </w:rPr>
        <w:t>Une déclaration sur l'honneur présentée par les soumissionnaires spécifiant leur engagement de n'avoir pas fait et de ne pas faire par eux-mêmes ou par personne interposée, des promesses, des dons ou des présents en vue d'influer sur les différentes procédures de conclusion d'un marché et des étapes de son</w:t>
      </w:r>
      <w:r>
        <w:rPr>
          <w:spacing w:val="-29"/>
          <w:sz w:val="28"/>
        </w:rPr>
        <w:t> </w:t>
      </w:r>
      <w:r>
        <w:rPr>
          <w:sz w:val="28"/>
        </w:rPr>
        <w:t>exécution,</w:t>
      </w:r>
    </w:p>
    <w:p>
      <w:pPr>
        <w:pStyle w:val="ListParagraph"/>
        <w:numPr>
          <w:ilvl w:val="0"/>
          <w:numId w:val="46"/>
        </w:numPr>
        <w:tabs>
          <w:tab w:pos="1000" w:val="left" w:leader="none"/>
        </w:tabs>
        <w:spacing w:line="240" w:lineRule="auto" w:before="1" w:after="0"/>
        <w:ind w:left="999" w:right="749" w:hanging="284"/>
        <w:jc w:val="both"/>
        <w:rPr>
          <w:sz w:val="28"/>
        </w:rPr>
      </w:pPr>
      <w:r>
        <w:rPr>
          <w:sz w:val="28"/>
        </w:rPr>
        <w:t>Une déclaration sur l'honneur présentée par le soumissionnaire attestant qu'il n'était pas un employé au sein de l'administration, l'établissement ou l'entreprise publique</w:t>
      </w:r>
      <w:r>
        <w:rPr>
          <w:spacing w:val="-12"/>
          <w:sz w:val="28"/>
        </w:rPr>
        <w:t> </w:t>
      </w:r>
      <w:r>
        <w:rPr>
          <w:sz w:val="28"/>
        </w:rPr>
        <w:t>qui</w:t>
      </w:r>
      <w:r>
        <w:rPr>
          <w:spacing w:val="-11"/>
          <w:sz w:val="28"/>
        </w:rPr>
        <w:t> </w:t>
      </w:r>
      <w:r>
        <w:rPr>
          <w:sz w:val="28"/>
        </w:rPr>
        <w:t>va</w:t>
      </w:r>
      <w:r>
        <w:rPr>
          <w:spacing w:val="-11"/>
          <w:sz w:val="28"/>
        </w:rPr>
        <w:t> </w:t>
      </w:r>
      <w:r>
        <w:rPr>
          <w:sz w:val="28"/>
        </w:rPr>
        <w:t>passer</w:t>
      </w:r>
      <w:r>
        <w:rPr>
          <w:spacing w:val="-11"/>
          <w:sz w:val="28"/>
        </w:rPr>
        <w:t> </w:t>
      </w:r>
      <w:r>
        <w:rPr>
          <w:sz w:val="28"/>
        </w:rPr>
        <w:t>le</w:t>
      </w:r>
      <w:r>
        <w:rPr>
          <w:spacing w:val="-9"/>
          <w:sz w:val="28"/>
        </w:rPr>
        <w:t> </w:t>
      </w:r>
      <w:r>
        <w:rPr>
          <w:sz w:val="28"/>
        </w:rPr>
        <w:t>marché</w:t>
      </w:r>
      <w:r>
        <w:rPr>
          <w:spacing w:val="-11"/>
          <w:sz w:val="28"/>
        </w:rPr>
        <w:t> </w:t>
      </w:r>
      <w:r>
        <w:rPr>
          <w:sz w:val="28"/>
        </w:rPr>
        <w:t>de</w:t>
      </w:r>
      <w:r>
        <w:rPr>
          <w:spacing w:val="-11"/>
          <w:sz w:val="28"/>
        </w:rPr>
        <w:t> </w:t>
      </w:r>
      <w:r>
        <w:rPr>
          <w:sz w:val="28"/>
        </w:rPr>
        <w:t>fourniture</w:t>
      </w:r>
      <w:r>
        <w:rPr>
          <w:spacing w:val="-11"/>
          <w:sz w:val="28"/>
        </w:rPr>
        <w:t> </w:t>
      </w:r>
      <w:r>
        <w:rPr>
          <w:sz w:val="28"/>
        </w:rPr>
        <w:t>de</w:t>
      </w:r>
      <w:r>
        <w:rPr>
          <w:spacing w:val="-11"/>
          <w:sz w:val="28"/>
        </w:rPr>
        <w:t> </w:t>
      </w:r>
      <w:r>
        <w:rPr>
          <w:sz w:val="28"/>
        </w:rPr>
        <w:t>biens</w:t>
      </w:r>
      <w:r>
        <w:rPr>
          <w:spacing w:val="-11"/>
          <w:sz w:val="28"/>
        </w:rPr>
        <w:t> </w:t>
      </w:r>
      <w:r>
        <w:rPr>
          <w:sz w:val="28"/>
        </w:rPr>
        <w:t>ou</w:t>
      </w:r>
      <w:r>
        <w:rPr>
          <w:spacing w:val="-11"/>
          <w:sz w:val="28"/>
        </w:rPr>
        <w:t> </w:t>
      </w:r>
      <w:r>
        <w:rPr>
          <w:sz w:val="28"/>
        </w:rPr>
        <w:t>de</w:t>
      </w:r>
      <w:r>
        <w:rPr>
          <w:spacing w:val="-11"/>
          <w:sz w:val="28"/>
        </w:rPr>
        <w:t> </w:t>
      </w:r>
      <w:r>
        <w:rPr>
          <w:sz w:val="28"/>
        </w:rPr>
        <w:t>services</w:t>
      </w:r>
      <w:r>
        <w:rPr>
          <w:spacing w:val="-10"/>
          <w:sz w:val="28"/>
        </w:rPr>
        <w:t> </w:t>
      </w:r>
      <w:r>
        <w:rPr>
          <w:sz w:val="28"/>
        </w:rPr>
        <w:t>ayant</w:t>
      </w:r>
      <w:r>
        <w:rPr>
          <w:spacing w:val="-12"/>
          <w:sz w:val="28"/>
        </w:rPr>
        <w:t> </w:t>
      </w:r>
      <w:r>
        <w:rPr>
          <w:sz w:val="28"/>
        </w:rPr>
        <w:t>cessé son activité depuis moins de cinq</w:t>
      </w:r>
      <w:r>
        <w:rPr>
          <w:spacing w:val="-1"/>
          <w:sz w:val="28"/>
        </w:rPr>
        <w:t> </w:t>
      </w:r>
      <w:r>
        <w:rPr>
          <w:sz w:val="28"/>
        </w:rPr>
        <w:t>ans,</w:t>
      </w:r>
    </w:p>
    <w:p>
      <w:pPr>
        <w:pStyle w:val="ListParagraph"/>
        <w:numPr>
          <w:ilvl w:val="0"/>
          <w:numId w:val="46"/>
        </w:numPr>
        <w:tabs>
          <w:tab w:pos="1000" w:val="left" w:leader="none"/>
        </w:tabs>
        <w:spacing w:line="240" w:lineRule="auto" w:before="1" w:after="0"/>
        <w:ind w:left="999" w:right="0" w:hanging="284"/>
        <w:jc w:val="both"/>
        <w:rPr>
          <w:sz w:val="28"/>
        </w:rPr>
      </w:pPr>
      <w:r>
        <w:rPr>
          <w:sz w:val="28"/>
        </w:rPr>
        <w:t>Toute autre pièce exigée par les documents de mise en</w:t>
      </w:r>
      <w:r>
        <w:rPr>
          <w:spacing w:val="-12"/>
          <w:sz w:val="28"/>
        </w:rPr>
        <w:t> </w:t>
      </w:r>
      <w:r>
        <w:rPr>
          <w:sz w:val="28"/>
        </w:rPr>
        <w:t>concurrence.</w:t>
      </w:r>
    </w:p>
    <w:p>
      <w:pPr>
        <w:pStyle w:val="BodyText"/>
        <w:spacing w:before="120"/>
        <w:ind w:right="755"/>
      </w:pPr>
      <w:r>
        <w:rPr/>
        <w:t>Il est à noter que les documents de soumission pris en charge par TUNEPS ainsi que ceux qui peuvent être vérifiés en ligne via TUNEPS, ne sont pas demandés physiquement.</w:t>
      </w:r>
    </w:p>
    <w:p>
      <w:pPr>
        <w:pStyle w:val="Heading3"/>
        <w:rPr>
          <w:i/>
        </w:rPr>
      </w:pPr>
      <w:r>
        <w:rPr>
          <w:i/>
        </w:rPr>
        <w:t>Réception et enregistrement des offres</w:t>
      </w:r>
    </w:p>
    <w:p>
      <w:pPr>
        <w:pStyle w:val="BodyText"/>
        <w:ind w:right="752"/>
      </w:pPr>
      <w:r>
        <w:rPr/>
        <w:t>En cas de procédure en ligne, La réception des offres se fait sur le Système TUNEPS</w:t>
      </w:r>
      <w:r>
        <w:rPr>
          <w:spacing w:val="-9"/>
        </w:rPr>
        <w:t> </w:t>
      </w:r>
      <w:r>
        <w:rPr/>
        <w:t>à</w:t>
      </w:r>
      <w:r>
        <w:rPr>
          <w:spacing w:val="-8"/>
        </w:rPr>
        <w:t> </w:t>
      </w:r>
      <w:r>
        <w:rPr/>
        <w:t>l’exception</w:t>
      </w:r>
      <w:r>
        <w:rPr>
          <w:spacing w:val="-7"/>
        </w:rPr>
        <w:t> </w:t>
      </w:r>
      <w:r>
        <w:rPr/>
        <w:t>des</w:t>
      </w:r>
      <w:r>
        <w:rPr>
          <w:spacing w:val="-9"/>
        </w:rPr>
        <w:t> </w:t>
      </w:r>
      <w:r>
        <w:rPr/>
        <w:t>pièces</w:t>
      </w:r>
      <w:r>
        <w:rPr>
          <w:spacing w:val="-9"/>
        </w:rPr>
        <w:t> </w:t>
      </w:r>
      <w:r>
        <w:rPr/>
        <w:t>demandées</w:t>
      </w:r>
      <w:r>
        <w:rPr>
          <w:spacing w:val="-10"/>
        </w:rPr>
        <w:t> </w:t>
      </w:r>
      <w:r>
        <w:rPr/>
        <w:t>qui</w:t>
      </w:r>
      <w:r>
        <w:rPr>
          <w:spacing w:val="-9"/>
        </w:rPr>
        <w:t> </w:t>
      </w:r>
      <w:r>
        <w:rPr/>
        <w:t>ne</w:t>
      </w:r>
      <w:r>
        <w:rPr>
          <w:spacing w:val="-10"/>
        </w:rPr>
        <w:t> </w:t>
      </w:r>
      <w:r>
        <w:rPr/>
        <w:t>pourront</w:t>
      </w:r>
      <w:r>
        <w:rPr>
          <w:spacing w:val="-9"/>
        </w:rPr>
        <w:t> </w:t>
      </w:r>
      <w:r>
        <w:rPr/>
        <w:t>pas</w:t>
      </w:r>
      <w:r>
        <w:rPr>
          <w:spacing w:val="-9"/>
        </w:rPr>
        <w:t> </w:t>
      </w:r>
      <w:r>
        <w:rPr/>
        <w:t>être</w:t>
      </w:r>
      <w:r>
        <w:rPr>
          <w:spacing w:val="-10"/>
        </w:rPr>
        <w:t> </w:t>
      </w:r>
      <w:r>
        <w:rPr/>
        <w:t>vérifiées</w:t>
      </w:r>
      <w:r>
        <w:rPr>
          <w:spacing w:val="-8"/>
        </w:rPr>
        <w:t> </w:t>
      </w:r>
      <w:r>
        <w:rPr/>
        <w:t>à</w:t>
      </w:r>
      <w:r>
        <w:rPr>
          <w:spacing w:val="-10"/>
        </w:rPr>
        <w:t> </w:t>
      </w:r>
      <w:r>
        <w:rPr/>
        <w:t>l’état numérisé ou en ligne via TUNEPS, ces dernières doivent être déposées et enregistrées au bureau d’ordre du GCT puis dans un registre spécifique à la Structure d’achat régionale concernée. L’avis d’appel d’offres doit préciser les pièces qui doivent être envoyées par les moyens</w:t>
      </w:r>
      <w:r>
        <w:rPr>
          <w:spacing w:val="1"/>
        </w:rPr>
        <w:t> </w:t>
      </w:r>
      <w:r>
        <w:rPr/>
        <w:t>matérialisés.</w:t>
      </w:r>
    </w:p>
    <w:p>
      <w:pPr>
        <w:pStyle w:val="BodyText"/>
        <w:spacing w:before="117"/>
        <w:ind w:right="751"/>
      </w:pPr>
      <w:r>
        <w:rPr/>
        <w:t>Dans le cas où la taille des fichiers de l’offre dépasse la taille maximale autorisé par le système, une partie de l'offre technique peut être envoyée hors ligne. Dans ce cas,</w:t>
      </w:r>
      <w:r>
        <w:rPr>
          <w:spacing w:val="-6"/>
        </w:rPr>
        <w:t> </w:t>
      </w:r>
      <w:r>
        <w:rPr/>
        <w:t>le</w:t>
      </w:r>
      <w:r>
        <w:rPr>
          <w:spacing w:val="-4"/>
        </w:rPr>
        <w:t> </w:t>
      </w:r>
      <w:r>
        <w:rPr/>
        <w:t>reste</w:t>
      </w:r>
      <w:r>
        <w:rPr>
          <w:spacing w:val="-7"/>
        </w:rPr>
        <w:t> </w:t>
      </w:r>
      <w:r>
        <w:rPr/>
        <w:t>de</w:t>
      </w:r>
      <w:r>
        <w:rPr>
          <w:spacing w:val="-8"/>
        </w:rPr>
        <w:t> </w:t>
      </w:r>
      <w:r>
        <w:rPr/>
        <w:t>l'offre</w:t>
      </w:r>
      <w:r>
        <w:rPr>
          <w:spacing w:val="-6"/>
        </w:rPr>
        <w:t> </w:t>
      </w:r>
      <w:r>
        <w:rPr/>
        <w:t>doit</w:t>
      </w:r>
      <w:r>
        <w:rPr>
          <w:spacing w:val="-6"/>
        </w:rPr>
        <w:t> </w:t>
      </w:r>
      <w:r>
        <w:rPr/>
        <w:t>être</w:t>
      </w:r>
      <w:r>
        <w:rPr>
          <w:spacing w:val="-5"/>
        </w:rPr>
        <w:t> </w:t>
      </w:r>
      <w:r>
        <w:rPr/>
        <w:t>envoyé</w:t>
      </w:r>
      <w:r>
        <w:rPr>
          <w:spacing w:val="-4"/>
        </w:rPr>
        <w:t> </w:t>
      </w:r>
      <w:r>
        <w:rPr/>
        <w:t>par</w:t>
      </w:r>
      <w:r>
        <w:rPr>
          <w:spacing w:val="-4"/>
        </w:rPr>
        <w:t> </w:t>
      </w:r>
      <w:r>
        <w:rPr/>
        <w:t>voie</w:t>
      </w:r>
      <w:r>
        <w:rPr>
          <w:spacing w:val="-7"/>
        </w:rPr>
        <w:t> </w:t>
      </w:r>
      <w:r>
        <w:rPr/>
        <w:t>postale</w:t>
      </w:r>
      <w:r>
        <w:rPr>
          <w:spacing w:val="-8"/>
        </w:rPr>
        <w:t> </w:t>
      </w:r>
      <w:r>
        <w:rPr/>
        <w:t>ou</w:t>
      </w:r>
      <w:r>
        <w:rPr>
          <w:spacing w:val="-6"/>
        </w:rPr>
        <w:t> </w:t>
      </w:r>
      <w:r>
        <w:rPr>
          <w:spacing w:val="2"/>
        </w:rPr>
        <w:t>par</w:t>
      </w:r>
      <w:r>
        <w:rPr>
          <w:spacing w:val="-4"/>
        </w:rPr>
        <w:t> </w:t>
      </w:r>
      <w:r>
        <w:rPr/>
        <w:t>remise</w:t>
      </w:r>
      <w:r>
        <w:rPr>
          <w:spacing w:val="-5"/>
        </w:rPr>
        <w:t> </w:t>
      </w:r>
      <w:r>
        <w:rPr/>
        <w:t>directe</w:t>
      </w:r>
      <w:r>
        <w:rPr>
          <w:spacing w:val="-4"/>
        </w:rPr>
        <w:t> </w:t>
      </w:r>
      <w:r>
        <w:rPr/>
        <w:t>au</w:t>
      </w:r>
      <w:r>
        <w:rPr>
          <w:spacing w:val="-6"/>
        </w:rPr>
        <w:t> </w:t>
      </w:r>
      <w:r>
        <w:rPr/>
        <w:t>bureau d’ordre contre décharge. En cas de discordance entre les éléments de l'offre électronique et l’offre déposée physiquement, l’offre électronique fait</w:t>
      </w:r>
      <w:r>
        <w:rPr>
          <w:spacing w:val="-14"/>
        </w:rPr>
        <w:t> </w:t>
      </w:r>
      <w:r>
        <w:rPr/>
        <w:t>foi.</w:t>
      </w:r>
    </w:p>
    <w:p>
      <w:pPr>
        <w:pStyle w:val="Heading3"/>
        <w:spacing w:before="8"/>
        <w:rPr>
          <w:i/>
        </w:rPr>
      </w:pPr>
      <w:r>
        <w:rPr>
          <w:i/>
        </w:rPr>
        <w:t>Ouverture des offres</w:t>
      </w:r>
    </w:p>
    <w:p>
      <w:pPr>
        <w:pStyle w:val="ListParagraph"/>
        <w:numPr>
          <w:ilvl w:val="0"/>
          <w:numId w:val="1"/>
        </w:numPr>
        <w:tabs>
          <w:tab w:pos="717" w:val="left" w:leader="none"/>
        </w:tabs>
        <w:spacing w:line="240" w:lineRule="auto" w:before="0" w:after="0"/>
        <w:ind w:left="716" w:right="751" w:hanging="284"/>
        <w:jc w:val="both"/>
        <w:rPr>
          <w:rFonts w:ascii="Symbol" w:hAnsi="Symbol"/>
          <w:sz w:val="28"/>
        </w:rPr>
      </w:pPr>
      <w:r>
        <w:rPr>
          <w:sz w:val="28"/>
        </w:rPr>
        <w:t>Les séances d’ouvertures des offres sont publiques pour marchés relevant de la compétence</w:t>
      </w:r>
      <w:r>
        <w:rPr>
          <w:spacing w:val="-15"/>
          <w:sz w:val="28"/>
        </w:rPr>
        <w:t> </w:t>
      </w:r>
      <w:r>
        <w:rPr>
          <w:sz w:val="28"/>
        </w:rPr>
        <w:t>de</w:t>
      </w:r>
      <w:r>
        <w:rPr>
          <w:spacing w:val="-16"/>
          <w:sz w:val="28"/>
        </w:rPr>
        <w:t> </w:t>
      </w:r>
      <w:r>
        <w:rPr>
          <w:sz w:val="28"/>
        </w:rPr>
        <w:t>la</w:t>
      </w:r>
      <w:r>
        <w:rPr>
          <w:spacing w:val="-14"/>
          <w:sz w:val="28"/>
        </w:rPr>
        <w:t> </w:t>
      </w:r>
      <w:r>
        <w:rPr>
          <w:sz w:val="28"/>
        </w:rPr>
        <w:t>CME.</w:t>
      </w:r>
      <w:r>
        <w:rPr>
          <w:spacing w:val="-13"/>
          <w:sz w:val="28"/>
        </w:rPr>
        <w:t> </w:t>
      </w:r>
      <w:r>
        <w:rPr>
          <w:sz w:val="28"/>
        </w:rPr>
        <w:t>Dans</w:t>
      </w:r>
      <w:r>
        <w:rPr>
          <w:spacing w:val="-13"/>
          <w:sz w:val="28"/>
        </w:rPr>
        <w:t> </w:t>
      </w:r>
      <w:r>
        <w:rPr>
          <w:sz w:val="28"/>
        </w:rPr>
        <w:t>le</w:t>
      </w:r>
      <w:r>
        <w:rPr>
          <w:spacing w:val="-14"/>
          <w:sz w:val="28"/>
        </w:rPr>
        <w:t> </w:t>
      </w:r>
      <w:r>
        <w:rPr>
          <w:sz w:val="28"/>
        </w:rPr>
        <w:t>cas</w:t>
      </w:r>
      <w:r>
        <w:rPr>
          <w:spacing w:val="-15"/>
          <w:sz w:val="28"/>
        </w:rPr>
        <w:t> </w:t>
      </w:r>
      <w:r>
        <w:rPr>
          <w:sz w:val="28"/>
        </w:rPr>
        <w:t>où</w:t>
      </w:r>
      <w:r>
        <w:rPr>
          <w:spacing w:val="-16"/>
          <w:sz w:val="28"/>
        </w:rPr>
        <w:t> </w:t>
      </w:r>
      <w:r>
        <w:rPr>
          <w:sz w:val="28"/>
        </w:rPr>
        <w:t>la</w:t>
      </w:r>
      <w:r>
        <w:rPr>
          <w:spacing w:val="-14"/>
          <w:sz w:val="28"/>
        </w:rPr>
        <w:t> </w:t>
      </w:r>
      <w:r>
        <w:rPr>
          <w:sz w:val="28"/>
        </w:rPr>
        <w:t>séance</w:t>
      </w:r>
      <w:r>
        <w:rPr>
          <w:spacing w:val="-16"/>
          <w:sz w:val="28"/>
        </w:rPr>
        <w:t> </w:t>
      </w:r>
      <w:r>
        <w:rPr>
          <w:sz w:val="28"/>
        </w:rPr>
        <w:t>d’ouverture</w:t>
      </w:r>
      <w:r>
        <w:rPr>
          <w:spacing w:val="-14"/>
          <w:sz w:val="28"/>
        </w:rPr>
        <w:t> </w:t>
      </w:r>
      <w:r>
        <w:rPr>
          <w:sz w:val="28"/>
        </w:rPr>
        <w:t>des</w:t>
      </w:r>
      <w:r>
        <w:rPr>
          <w:spacing w:val="-14"/>
          <w:sz w:val="28"/>
        </w:rPr>
        <w:t> </w:t>
      </w:r>
      <w:r>
        <w:rPr>
          <w:sz w:val="28"/>
        </w:rPr>
        <w:t>offres</w:t>
      </w:r>
      <w:r>
        <w:rPr>
          <w:spacing w:val="-13"/>
          <w:sz w:val="28"/>
        </w:rPr>
        <w:t> </w:t>
      </w:r>
      <w:r>
        <w:rPr>
          <w:sz w:val="28"/>
        </w:rPr>
        <w:t>est</w:t>
      </w:r>
      <w:r>
        <w:rPr>
          <w:spacing w:val="-13"/>
          <w:sz w:val="28"/>
        </w:rPr>
        <w:t> </w:t>
      </w:r>
      <w:r>
        <w:rPr>
          <w:sz w:val="28"/>
        </w:rPr>
        <w:t>publique, le SPCM doit vérifier les documents de procurations des représentants des soumissionnaires présents. Ces derniers ne sont pas autorisés à intervenir dans les procédures d’ouverture des offres et ne peuvent pas modifier leurs offres</w:t>
      </w:r>
      <w:r>
        <w:rPr>
          <w:spacing w:val="-10"/>
          <w:sz w:val="28"/>
        </w:rPr>
        <w:t> </w:t>
      </w:r>
      <w:r>
        <w:rPr>
          <w:sz w:val="28"/>
        </w:rPr>
        <w:t>;</w:t>
      </w:r>
    </w:p>
    <w:p>
      <w:pPr>
        <w:pStyle w:val="ListParagraph"/>
        <w:numPr>
          <w:ilvl w:val="0"/>
          <w:numId w:val="1"/>
        </w:numPr>
        <w:tabs>
          <w:tab w:pos="717" w:val="left" w:leader="none"/>
        </w:tabs>
        <w:spacing w:line="240" w:lineRule="auto" w:before="0" w:after="0"/>
        <w:ind w:left="716" w:right="751" w:hanging="284"/>
        <w:jc w:val="both"/>
        <w:rPr>
          <w:rFonts w:ascii="Symbol" w:hAnsi="Symbol"/>
          <w:sz w:val="28"/>
        </w:rPr>
      </w:pPr>
      <w:r>
        <w:rPr>
          <w:sz w:val="28"/>
        </w:rPr>
        <w:t>La Commission Régionale d’ouverture des offres des Marchés procède en premier lieu à la vérification de la recevabilité des offres reçues</w:t>
      </w:r>
      <w:r>
        <w:rPr>
          <w:spacing w:val="-4"/>
          <w:sz w:val="28"/>
        </w:rPr>
        <w:t> </w:t>
      </w:r>
      <w:r>
        <w:rPr>
          <w:sz w:val="28"/>
        </w:rPr>
        <w:t>;</w:t>
      </w:r>
    </w:p>
    <w:p>
      <w:pPr>
        <w:spacing w:after="0" w:line="240" w:lineRule="auto"/>
        <w:jc w:val="both"/>
        <w:rPr>
          <w:rFonts w:ascii="Symbol" w:hAnsi="Symbol"/>
          <w:sz w:val="28"/>
        </w:rPr>
        <w:sectPr>
          <w:pgSz w:w="11910" w:h="16840"/>
          <w:pgMar w:header="722" w:footer="0" w:top="1860" w:bottom="280" w:left="700" w:right="380"/>
        </w:sectPr>
      </w:pPr>
    </w:p>
    <w:p>
      <w:pPr>
        <w:pStyle w:val="BodyText"/>
        <w:spacing w:before="2"/>
        <w:ind w:left="0" w:firstLine="0"/>
        <w:jc w:val="left"/>
        <w:rPr>
          <w:sz w:val="15"/>
        </w:rPr>
      </w:pPr>
    </w:p>
    <w:p>
      <w:pPr>
        <w:pStyle w:val="ListParagraph"/>
        <w:numPr>
          <w:ilvl w:val="0"/>
          <w:numId w:val="1"/>
        </w:numPr>
        <w:tabs>
          <w:tab w:pos="717" w:val="left" w:leader="none"/>
        </w:tabs>
        <w:spacing w:line="240" w:lineRule="auto" w:before="101" w:after="0"/>
        <w:ind w:left="716" w:right="751" w:hanging="284"/>
        <w:jc w:val="both"/>
        <w:rPr>
          <w:rFonts w:ascii="Symbol" w:hAnsi="Symbol"/>
          <w:sz w:val="28"/>
        </w:rPr>
      </w:pPr>
      <w:r>
        <w:rPr>
          <w:sz w:val="28"/>
        </w:rPr>
        <w:t>Si l’appel d’offres prévoit l’envoi de documents complémentaires par les moyens matérialisés sous enveloppes fermées, la commission d’ouverture ouvre également ces enveloppes et consigne la recevabilité des documents qui y sont inclus dans le PV</w:t>
      </w:r>
      <w:r>
        <w:rPr>
          <w:spacing w:val="-2"/>
          <w:sz w:val="28"/>
        </w:rPr>
        <w:t> </w:t>
      </w:r>
      <w:r>
        <w:rPr>
          <w:sz w:val="28"/>
        </w:rPr>
        <w:t>d’ouverture.</w:t>
      </w:r>
    </w:p>
    <w:p>
      <w:pPr>
        <w:pStyle w:val="ListParagraph"/>
        <w:numPr>
          <w:ilvl w:val="0"/>
          <w:numId w:val="1"/>
        </w:numPr>
        <w:tabs>
          <w:tab w:pos="717" w:val="left" w:leader="none"/>
        </w:tabs>
        <w:spacing w:line="240" w:lineRule="auto" w:before="0" w:after="0"/>
        <w:ind w:left="716" w:right="751" w:hanging="284"/>
        <w:jc w:val="both"/>
        <w:rPr>
          <w:rFonts w:ascii="Symbol" w:hAnsi="Symbol"/>
          <w:sz w:val="28"/>
        </w:rPr>
      </w:pPr>
      <w:r>
        <w:rPr>
          <w:sz w:val="28"/>
        </w:rPr>
        <w:t>Toute offre ne comportant les pièces exigées sera éliminée à l'expiration d’un délai supplémentaire éventuellement accordé aux soumissionnaires par la commission d’ouverture pour compléter leurs offres à l’exception du cautionnement provisoire dont la non-présentation constitue un motif de rejet d’office. La Structure d’achat concernée se charge de l’établissement des correspondances aux soumissionnaires</w:t>
      </w:r>
      <w:r>
        <w:rPr>
          <w:spacing w:val="-31"/>
          <w:sz w:val="28"/>
        </w:rPr>
        <w:t> </w:t>
      </w:r>
      <w:r>
        <w:rPr>
          <w:sz w:val="28"/>
        </w:rPr>
        <w:t>;</w:t>
      </w:r>
    </w:p>
    <w:p>
      <w:pPr>
        <w:pStyle w:val="ListParagraph"/>
        <w:numPr>
          <w:ilvl w:val="0"/>
          <w:numId w:val="1"/>
        </w:numPr>
        <w:tabs>
          <w:tab w:pos="717" w:val="left" w:leader="none"/>
        </w:tabs>
        <w:spacing w:line="240" w:lineRule="auto" w:before="0" w:after="0"/>
        <w:ind w:left="716" w:right="746" w:hanging="284"/>
        <w:jc w:val="both"/>
        <w:rPr>
          <w:rFonts w:ascii="Symbol" w:hAnsi="Symbol"/>
          <w:sz w:val="28"/>
        </w:rPr>
      </w:pPr>
      <w:r>
        <w:rPr>
          <w:sz w:val="28"/>
        </w:rPr>
        <w:t>Le rapporteur rédige le PV d’ouverture des offres conformément au paragraphe </w:t>
      </w:r>
      <w:r>
        <w:rPr>
          <w:spacing w:val="3"/>
          <w:sz w:val="28"/>
        </w:rPr>
        <w:t>ci- </w:t>
      </w:r>
      <w:r>
        <w:rPr>
          <w:sz w:val="28"/>
        </w:rPr>
        <w:t>après (contenu du rapport d’ouverture des offres)</w:t>
      </w:r>
      <w:r>
        <w:rPr>
          <w:spacing w:val="-2"/>
          <w:sz w:val="28"/>
        </w:rPr>
        <w:t> </w:t>
      </w:r>
      <w:r>
        <w:rPr>
          <w:sz w:val="28"/>
        </w:rPr>
        <w:t>;</w:t>
      </w:r>
    </w:p>
    <w:p>
      <w:pPr>
        <w:pStyle w:val="ListParagraph"/>
        <w:numPr>
          <w:ilvl w:val="0"/>
          <w:numId w:val="1"/>
        </w:numPr>
        <w:tabs>
          <w:tab w:pos="717" w:val="left" w:leader="none"/>
        </w:tabs>
        <w:spacing w:line="240" w:lineRule="auto" w:before="0" w:after="0"/>
        <w:ind w:left="716" w:right="752" w:hanging="284"/>
        <w:jc w:val="both"/>
        <w:rPr>
          <w:rFonts w:ascii="Symbol" w:hAnsi="Symbol"/>
          <w:sz w:val="28"/>
        </w:rPr>
      </w:pPr>
      <w:r>
        <w:rPr>
          <w:sz w:val="28"/>
        </w:rPr>
        <w:t>Le PV d’ouverture doit être signé par tous les membres de la commission d’ouverture, séance tenante (PV manuscrit et PV généré par TUNEPS)</w:t>
      </w:r>
      <w:r>
        <w:rPr>
          <w:spacing w:val="-12"/>
          <w:sz w:val="28"/>
        </w:rPr>
        <w:t> </w:t>
      </w:r>
      <w:r>
        <w:rPr>
          <w:sz w:val="28"/>
        </w:rPr>
        <w:t>;</w:t>
      </w:r>
    </w:p>
    <w:p>
      <w:pPr>
        <w:pStyle w:val="BodyText"/>
        <w:spacing w:before="118"/>
        <w:ind w:firstLine="0"/>
      </w:pPr>
      <w:r>
        <w:rPr/>
        <w:t>Le PV d’ouverture doit préciser les éléments mentionnés dans l’annexe n°15.</w:t>
      </w:r>
    </w:p>
    <w:p>
      <w:pPr>
        <w:pStyle w:val="Heading3"/>
        <w:spacing w:before="127"/>
        <w:rPr>
          <w:i/>
        </w:rPr>
      </w:pPr>
      <w:r>
        <w:rPr>
          <w:i/>
        </w:rPr>
        <w:t>Évaluation des offres</w:t>
      </w:r>
    </w:p>
    <w:p>
      <w:pPr>
        <w:pStyle w:val="BodyText"/>
        <w:ind w:right="747"/>
      </w:pPr>
      <w:r>
        <w:rPr/>
        <w:t>Tout membre de la commission d’évaluation, ayant des intérêts dans une entreprise soumissionnaire ou ayant connaissance de faits susceptibles de compromettre son indépendance, est tenu d’en avertir le président et doit s'abstenir de participer aux travaux de l'ouverture et l’évaluation.</w:t>
      </w:r>
    </w:p>
    <w:p>
      <w:pPr>
        <w:pStyle w:val="BodyText"/>
        <w:spacing w:line="322" w:lineRule="exact"/>
        <w:ind w:left="999" w:firstLine="0"/>
      </w:pPr>
      <w:r>
        <w:rPr/>
        <w:t>L’évaluation des offres consiste à :</w:t>
      </w:r>
    </w:p>
    <w:p>
      <w:pPr>
        <w:pStyle w:val="ListParagraph"/>
        <w:numPr>
          <w:ilvl w:val="0"/>
          <w:numId w:val="47"/>
        </w:numPr>
        <w:tabs>
          <w:tab w:pos="1000" w:val="left" w:leader="none"/>
        </w:tabs>
        <w:spacing w:line="240" w:lineRule="auto" w:before="0" w:after="0"/>
        <w:ind w:left="999" w:right="757" w:hanging="284"/>
        <w:jc w:val="left"/>
        <w:rPr>
          <w:sz w:val="28"/>
        </w:rPr>
      </w:pPr>
      <w:r>
        <w:rPr>
          <w:sz w:val="28"/>
        </w:rPr>
        <w:t>L’examen des documents administratifs, techniques et financiers envoyés par les soumissionnaires et la vérification de leurs conformités et validités</w:t>
      </w:r>
      <w:r>
        <w:rPr>
          <w:spacing w:val="-14"/>
          <w:sz w:val="28"/>
        </w:rPr>
        <w:t> </w:t>
      </w:r>
      <w:r>
        <w:rPr>
          <w:sz w:val="28"/>
        </w:rPr>
        <w:t>;</w:t>
      </w:r>
    </w:p>
    <w:p>
      <w:pPr>
        <w:pStyle w:val="ListParagraph"/>
        <w:numPr>
          <w:ilvl w:val="0"/>
          <w:numId w:val="47"/>
        </w:numPr>
        <w:tabs>
          <w:tab w:pos="1000" w:val="left" w:leader="none"/>
        </w:tabs>
        <w:spacing w:line="240" w:lineRule="auto" w:before="0" w:after="0"/>
        <w:ind w:left="999" w:right="761" w:hanging="284"/>
        <w:jc w:val="left"/>
        <w:rPr>
          <w:sz w:val="28"/>
        </w:rPr>
      </w:pPr>
      <w:r>
        <w:rPr>
          <w:sz w:val="28"/>
        </w:rPr>
        <w:t>La vérification des soumissions financières en consultant la décomposition des prix de chaque soumission et la correction des montants le cas échéant</w:t>
      </w:r>
      <w:r>
        <w:rPr>
          <w:spacing w:val="-10"/>
          <w:sz w:val="28"/>
        </w:rPr>
        <w:t> </w:t>
      </w:r>
      <w:r>
        <w:rPr>
          <w:sz w:val="28"/>
        </w:rPr>
        <w:t>;</w:t>
      </w:r>
    </w:p>
    <w:p>
      <w:pPr>
        <w:pStyle w:val="ListParagraph"/>
        <w:numPr>
          <w:ilvl w:val="0"/>
          <w:numId w:val="47"/>
        </w:numPr>
        <w:tabs>
          <w:tab w:pos="1000" w:val="left" w:leader="none"/>
        </w:tabs>
        <w:spacing w:line="240" w:lineRule="auto" w:before="0" w:after="0"/>
        <w:ind w:left="999" w:right="759" w:hanging="284"/>
        <w:jc w:val="left"/>
        <w:rPr>
          <w:sz w:val="28"/>
        </w:rPr>
      </w:pPr>
      <w:r>
        <w:rPr>
          <w:sz w:val="28"/>
        </w:rPr>
        <w:t>L’évaluation et l'analyse des offres techniques et financières en application de la méthodologie d'évaluation prévue</w:t>
      </w:r>
      <w:r>
        <w:rPr>
          <w:spacing w:val="-6"/>
          <w:sz w:val="28"/>
        </w:rPr>
        <w:t> </w:t>
      </w:r>
      <w:r>
        <w:rPr>
          <w:sz w:val="28"/>
        </w:rPr>
        <w:t>;</w:t>
      </w:r>
    </w:p>
    <w:p>
      <w:pPr>
        <w:pStyle w:val="ListParagraph"/>
        <w:numPr>
          <w:ilvl w:val="0"/>
          <w:numId w:val="47"/>
        </w:numPr>
        <w:tabs>
          <w:tab w:pos="1000" w:val="left" w:leader="none"/>
        </w:tabs>
        <w:spacing w:line="240" w:lineRule="auto" w:before="0" w:after="0"/>
        <w:ind w:left="999" w:right="750" w:hanging="284"/>
        <w:jc w:val="left"/>
        <w:rPr>
          <w:sz w:val="28"/>
        </w:rPr>
      </w:pPr>
      <w:r>
        <w:rPr>
          <w:sz w:val="28"/>
        </w:rPr>
        <w:t>L'élaboration</w:t>
      </w:r>
      <w:r>
        <w:rPr>
          <w:spacing w:val="-13"/>
          <w:sz w:val="28"/>
        </w:rPr>
        <w:t> </w:t>
      </w:r>
      <w:r>
        <w:rPr>
          <w:sz w:val="28"/>
        </w:rPr>
        <w:t>d'un</w:t>
      </w:r>
      <w:r>
        <w:rPr>
          <w:spacing w:val="-12"/>
          <w:sz w:val="28"/>
        </w:rPr>
        <w:t> </w:t>
      </w:r>
      <w:r>
        <w:rPr>
          <w:sz w:val="28"/>
        </w:rPr>
        <w:t>rapport</w:t>
      </w:r>
      <w:r>
        <w:rPr>
          <w:spacing w:val="-14"/>
          <w:sz w:val="28"/>
        </w:rPr>
        <w:t> </w:t>
      </w:r>
      <w:r>
        <w:rPr>
          <w:sz w:val="28"/>
        </w:rPr>
        <w:t>d'évaluation</w:t>
      </w:r>
      <w:r>
        <w:rPr>
          <w:spacing w:val="-12"/>
          <w:sz w:val="28"/>
        </w:rPr>
        <w:t> </w:t>
      </w:r>
      <w:r>
        <w:rPr>
          <w:sz w:val="28"/>
        </w:rPr>
        <w:t>qui</w:t>
      </w:r>
      <w:r>
        <w:rPr>
          <w:spacing w:val="-14"/>
          <w:sz w:val="28"/>
        </w:rPr>
        <w:t> </w:t>
      </w:r>
      <w:r>
        <w:rPr>
          <w:sz w:val="28"/>
        </w:rPr>
        <w:t>doit</w:t>
      </w:r>
      <w:r>
        <w:rPr>
          <w:spacing w:val="-14"/>
          <w:sz w:val="28"/>
        </w:rPr>
        <w:t> </w:t>
      </w:r>
      <w:r>
        <w:rPr>
          <w:sz w:val="28"/>
        </w:rPr>
        <w:t>être</w:t>
      </w:r>
      <w:r>
        <w:rPr>
          <w:spacing w:val="-15"/>
          <w:sz w:val="28"/>
        </w:rPr>
        <w:t> </w:t>
      </w:r>
      <w:r>
        <w:rPr>
          <w:sz w:val="28"/>
        </w:rPr>
        <w:t>signé</w:t>
      </w:r>
      <w:r>
        <w:rPr>
          <w:spacing w:val="-12"/>
          <w:sz w:val="28"/>
        </w:rPr>
        <w:t> </w:t>
      </w:r>
      <w:r>
        <w:rPr>
          <w:sz w:val="28"/>
        </w:rPr>
        <w:t>par</w:t>
      </w:r>
      <w:r>
        <w:rPr>
          <w:spacing w:val="-12"/>
          <w:sz w:val="28"/>
        </w:rPr>
        <w:t> </w:t>
      </w:r>
      <w:r>
        <w:rPr>
          <w:sz w:val="28"/>
        </w:rPr>
        <w:t>tous</w:t>
      </w:r>
      <w:r>
        <w:rPr>
          <w:spacing w:val="-12"/>
          <w:sz w:val="28"/>
        </w:rPr>
        <w:t> </w:t>
      </w:r>
      <w:r>
        <w:rPr>
          <w:sz w:val="28"/>
        </w:rPr>
        <w:t>les</w:t>
      </w:r>
      <w:r>
        <w:rPr>
          <w:spacing w:val="-12"/>
          <w:sz w:val="28"/>
        </w:rPr>
        <w:t> </w:t>
      </w:r>
      <w:r>
        <w:rPr>
          <w:sz w:val="28"/>
        </w:rPr>
        <w:t>membres</w:t>
      </w:r>
      <w:r>
        <w:rPr>
          <w:spacing w:val="-11"/>
          <w:sz w:val="28"/>
        </w:rPr>
        <w:t> </w:t>
      </w:r>
      <w:r>
        <w:rPr>
          <w:sz w:val="28"/>
        </w:rPr>
        <w:t>de la commission d’évaluation</w:t>
      </w:r>
      <w:r>
        <w:rPr>
          <w:spacing w:val="1"/>
          <w:sz w:val="28"/>
        </w:rPr>
        <w:t> </w:t>
      </w:r>
      <w:r>
        <w:rPr>
          <w:sz w:val="28"/>
        </w:rPr>
        <w:t>;</w:t>
      </w:r>
    </w:p>
    <w:p>
      <w:pPr>
        <w:pStyle w:val="ListParagraph"/>
        <w:numPr>
          <w:ilvl w:val="0"/>
          <w:numId w:val="47"/>
        </w:numPr>
        <w:tabs>
          <w:tab w:pos="1000" w:val="left" w:leader="none"/>
        </w:tabs>
        <w:spacing w:line="240" w:lineRule="auto" w:before="0" w:after="0"/>
        <w:ind w:left="999" w:right="751" w:hanging="284"/>
        <w:jc w:val="both"/>
        <w:rPr>
          <w:sz w:val="28"/>
        </w:rPr>
      </w:pPr>
      <w:r>
        <w:rPr>
          <w:sz w:val="28"/>
        </w:rPr>
        <w:t>La commission d’évaluation peut, le cas échéant, demander, par écrit sur support physique ou en ligne, des précisions, justifications et éclaircissements relatifs à l'offre technique sans que cela ne touche à la teneur de l'offre. La Structure d’Achat concernée se charge de l’envoi des correspondances aux soumissionnaires</w:t>
      </w:r>
      <w:r>
        <w:rPr>
          <w:spacing w:val="-3"/>
          <w:sz w:val="28"/>
        </w:rPr>
        <w:t> </w:t>
      </w:r>
      <w:r>
        <w:rPr>
          <w:sz w:val="28"/>
        </w:rPr>
        <w:t>;</w:t>
      </w:r>
    </w:p>
    <w:p>
      <w:pPr>
        <w:pStyle w:val="ListParagraph"/>
        <w:numPr>
          <w:ilvl w:val="0"/>
          <w:numId w:val="47"/>
        </w:numPr>
        <w:tabs>
          <w:tab w:pos="1000" w:val="left" w:leader="none"/>
        </w:tabs>
        <w:spacing w:line="240" w:lineRule="auto" w:before="0" w:after="0"/>
        <w:ind w:left="999" w:right="751" w:hanging="284"/>
        <w:jc w:val="both"/>
        <w:rPr>
          <w:sz w:val="28"/>
        </w:rPr>
      </w:pPr>
      <w:r>
        <w:rPr>
          <w:sz w:val="28"/>
        </w:rPr>
        <w:t>Les résultats d’évaluation doivent être enregistrés sur TUNEPS et notifiés à la CME pour examen et avis</w:t>
      </w:r>
      <w:r>
        <w:rPr>
          <w:spacing w:val="-4"/>
          <w:sz w:val="28"/>
        </w:rPr>
        <w:t> </w:t>
      </w:r>
      <w:r>
        <w:rPr>
          <w:sz w:val="28"/>
        </w:rPr>
        <w:t>;</w:t>
      </w:r>
    </w:p>
    <w:p>
      <w:pPr>
        <w:pStyle w:val="BodyText"/>
        <w:spacing w:before="117"/>
        <w:ind w:firstLine="0"/>
      </w:pPr>
      <w:r>
        <w:rPr/>
        <w:t>Le rapport d’évaluation doit comporter les éléments mentionnés dans l’annexe n°16.</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pPr>
      <w:r>
        <w:rPr/>
        <w:t>Cas particuliers :</w:t>
      </w:r>
    </w:p>
    <w:p>
      <w:pPr>
        <w:pStyle w:val="Heading3"/>
        <w:numPr>
          <w:ilvl w:val="0"/>
          <w:numId w:val="48"/>
        </w:numPr>
        <w:tabs>
          <w:tab w:pos="1154" w:val="left" w:leader="none"/>
        </w:tabs>
        <w:spacing w:line="340" w:lineRule="exact" w:before="1" w:after="0"/>
        <w:ind w:left="1153" w:right="0" w:hanging="361"/>
        <w:jc w:val="both"/>
        <w:rPr>
          <w:i/>
        </w:rPr>
      </w:pPr>
      <w:r>
        <w:rPr>
          <w:i/>
        </w:rPr>
        <w:t>Négociation du prix de l’offre financière la plus intéressante</w:t>
      </w:r>
      <w:r>
        <w:rPr>
          <w:i/>
          <w:spacing w:val="-6"/>
        </w:rPr>
        <w:t> </w:t>
      </w:r>
      <w:r>
        <w:rPr>
          <w:i/>
        </w:rPr>
        <w:t>:</w:t>
      </w:r>
    </w:p>
    <w:p>
      <w:pPr>
        <w:pStyle w:val="BodyText"/>
        <w:ind w:right="748"/>
      </w:pPr>
      <w:r>
        <w:rPr/>
        <w:t>Dans le cas où il s’avère que l’offre financière jugée la plus intéressante est globalement acceptable mais comporte certains prix qui paraissent excessifs, la commission d’évaluation peut négocier le prix de l’offre à la baisse, et ce, après autorisation de la commission de contrôle.</w:t>
      </w:r>
    </w:p>
    <w:p>
      <w:pPr>
        <w:pStyle w:val="Heading3"/>
        <w:numPr>
          <w:ilvl w:val="0"/>
          <w:numId w:val="48"/>
        </w:numPr>
        <w:tabs>
          <w:tab w:pos="1154" w:val="left" w:leader="none"/>
        </w:tabs>
        <w:spacing w:line="340" w:lineRule="exact" w:before="122" w:after="0"/>
        <w:ind w:left="1153" w:right="0" w:hanging="361"/>
        <w:jc w:val="both"/>
        <w:rPr>
          <w:i/>
        </w:rPr>
      </w:pPr>
      <w:r>
        <w:rPr>
          <w:i/>
        </w:rPr>
        <w:t>Offres anormalement basses</w:t>
      </w:r>
      <w:r>
        <w:rPr>
          <w:i/>
          <w:spacing w:val="1"/>
        </w:rPr>
        <w:t> </w:t>
      </w:r>
      <w:r>
        <w:rPr>
          <w:i/>
        </w:rPr>
        <w:t>:</w:t>
      </w:r>
    </w:p>
    <w:p>
      <w:pPr>
        <w:pStyle w:val="BodyText"/>
        <w:ind w:right="752"/>
      </w:pPr>
      <w:r>
        <w:rPr/>
        <w:t>Si une offre de prix est jugée anormalement basse, la commission d’évaluation compétente propose de la rejeter, et ce, après avoir demandé par écrit les précisions qu'elle juge utiles et après vérification des justifications fournies. Le GCT informe le ministre</w:t>
      </w:r>
      <w:r>
        <w:rPr>
          <w:spacing w:val="-20"/>
        </w:rPr>
        <w:t> </w:t>
      </w:r>
      <w:r>
        <w:rPr/>
        <w:t>chargé</w:t>
      </w:r>
      <w:r>
        <w:rPr>
          <w:spacing w:val="-21"/>
        </w:rPr>
        <w:t> </w:t>
      </w:r>
      <w:r>
        <w:rPr/>
        <w:t>du</w:t>
      </w:r>
      <w:r>
        <w:rPr>
          <w:spacing w:val="-19"/>
        </w:rPr>
        <w:t> </w:t>
      </w:r>
      <w:r>
        <w:rPr/>
        <w:t>commerce</w:t>
      </w:r>
      <w:r>
        <w:rPr>
          <w:spacing w:val="-15"/>
        </w:rPr>
        <w:t> </w:t>
      </w:r>
      <w:r>
        <w:rPr/>
        <w:t>ou</w:t>
      </w:r>
      <w:r>
        <w:rPr>
          <w:spacing w:val="-18"/>
        </w:rPr>
        <w:t> </w:t>
      </w:r>
      <w:r>
        <w:rPr/>
        <w:t>toute</w:t>
      </w:r>
      <w:r>
        <w:rPr>
          <w:spacing w:val="-21"/>
        </w:rPr>
        <w:t> </w:t>
      </w:r>
      <w:r>
        <w:rPr/>
        <w:t>autre</w:t>
      </w:r>
      <w:r>
        <w:rPr>
          <w:spacing w:val="-19"/>
        </w:rPr>
        <w:t> </w:t>
      </w:r>
      <w:r>
        <w:rPr/>
        <w:t>structure</w:t>
      </w:r>
      <w:r>
        <w:rPr>
          <w:spacing w:val="-19"/>
        </w:rPr>
        <w:t> </w:t>
      </w:r>
      <w:r>
        <w:rPr/>
        <w:t>compétente</w:t>
      </w:r>
      <w:r>
        <w:rPr>
          <w:spacing w:val="-16"/>
        </w:rPr>
        <w:t> </w:t>
      </w:r>
      <w:r>
        <w:rPr/>
        <w:t>des</w:t>
      </w:r>
      <w:r>
        <w:rPr>
          <w:spacing w:val="-18"/>
        </w:rPr>
        <w:t> </w:t>
      </w:r>
      <w:r>
        <w:rPr/>
        <w:t>offres</w:t>
      </w:r>
      <w:r>
        <w:rPr>
          <w:spacing w:val="-18"/>
        </w:rPr>
        <w:t> </w:t>
      </w:r>
      <w:r>
        <w:rPr/>
        <w:t>financières éliminées</w:t>
      </w:r>
      <w:r>
        <w:rPr>
          <w:spacing w:val="-14"/>
        </w:rPr>
        <w:t> </w:t>
      </w:r>
      <w:r>
        <w:rPr/>
        <w:t>en</w:t>
      </w:r>
      <w:r>
        <w:rPr>
          <w:spacing w:val="-13"/>
        </w:rPr>
        <w:t> </w:t>
      </w:r>
      <w:r>
        <w:rPr/>
        <w:t>raison</w:t>
      </w:r>
      <w:r>
        <w:rPr>
          <w:spacing w:val="-13"/>
        </w:rPr>
        <w:t> </w:t>
      </w:r>
      <w:r>
        <w:rPr/>
        <w:t>des</w:t>
      </w:r>
      <w:r>
        <w:rPr>
          <w:spacing w:val="-12"/>
        </w:rPr>
        <w:t> </w:t>
      </w:r>
      <w:r>
        <w:rPr/>
        <w:t>prix</w:t>
      </w:r>
      <w:r>
        <w:rPr>
          <w:spacing w:val="-13"/>
        </w:rPr>
        <w:t> </w:t>
      </w:r>
      <w:r>
        <w:rPr/>
        <w:t>excessivement</w:t>
      </w:r>
      <w:r>
        <w:rPr>
          <w:spacing w:val="-14"/>
        </w:rPr>
        <w:t> </w:t>
      </w:r>
      <w:r>
        <w:rPr/>
        <w:t>bas</w:t>
      </w:r>
      <w:r>
        <w:rPr>
          <w:spacing w:val="-15"/>
        </w:rPr>
        <w:t> </w:t>
      </w:r>
      <w:r>
        <w:rPr/>
        <w:t>portant</w:t>
      </w:r>
      <w:r>
        <w:rPr>
          <w:spacing w:val="-13"/>
        </w:rPr>
        <w:t> </w:t>
      </w:r>
      <w:r>
        <w:rPr/>
        <w:t>atteinte</w:t>
      </w:r>
      <w:r>
        <w:rPr>
          <w:spacing w:val="-16"/>
        </w:rPr>
        <w:t> </w:t>
      </w:r>
      <w:r>
        <w:rPr/>
        <w:t>à</w:t>
      </w:r>
      <w:r>
        <w:rPr>
          <w:spacing w:val="-16"/>
        </w:rPr>
        <w:t> </w:t>
      </w:r>
      <w:r>
        <w:rPr/>
        <w:t>la</w:t>
      </w:r>
      <w:r>
        <w:rPr>
          <w:spacing w:val="-13"/>
        </w:rPr>
        <w:t> </w:t>
      </w:r>
      <w:r>
        <w:rPr/>
        <w:t>concurrence</w:t>
      </w:r>
      <w:r>
        <w:rPr>
          <w:spacing w:val="-13"/>
        </w:rPr>
        <w:t> </w:t>
      </w:r>
      <w:r>
        <w:rPr/>
        <w:t>loyale.</w:t>
      </w:r>
    </w:p>
    <w:p>
      <w:pPr>
        <w:pStyle w:val="Heading3"/>
        <w:numPr>
          <w:ilvl w:val="0"/>
          <w:numId w:val="48"/>
        </w:numPr>
        <w:tabs>
          <w:tab w:pos="1154" w:val="left" w:leader="none"/>
        </w:tabs>
        <w:spacing w:line="339" w:lineRule="exact" w:before="124" w:after="0"/>
        <w:ind w:left="1153" w:right="0" w:hanging="361"/>
        <w:jc w:val="both"/>
        <w:rPr>
          <w:i/>
        </w:rPr>
      </w:pPr>
      <w:r>
        <w:rPr>
          <w:i/>
        </w:rPr>
        <w:t>Offres équivalentes</w:t>
      </w:r>
      <w:r>
        <w:rPr>
          <w:i/>
          <w:spacing w:val="2"/>
        </w:rPr>
        <w:t> </w:t>
      </w:r>
      <w:r>
        <w:rPr>
          <w:i/>
        </w:rPr>
        <w:t>:</w:t>
      </w:r>
    </w:p>
    <w:p>
      <w:pPr>
        <w:pStyle w:val="BodyText"/>
        <w:ind w:right="748"/>
      </w:pPr>
      <w:r>
        <w:rPr/>
        <w:t>Dans le cas où plusieurs offres jugées les plus intéressantes sont tenues pour équivalentes, tous éléments considérés, et après avis de la commission de contrôle, la commission d’évaluation peut demander aux soumissionnaires de présenter de nouvelles offres financières.</w:t>
      </w:r>
    </w:p>
    <w:p>
      <w:pPr>
        <w:pStyle w:val="Heading3"/>
        <w:numPr>
          <w:ilvl w:val="0"/>
          <w:numId w:val="48"/>
        </w:numPr>
        <w:tabs>
          <w:tab w:pos="1154" w:val="left" w:leader="none"/>
        </w:tabs>
        <w:spacing w:line="339" w:lineRule="exact" w:before="123" w:after="0"/>
        <w:ind w:left="1153" w:right="0" w:hanging="361"/>
        <w:jc w:val="both"/>
        <w:rPr>
          <w:i/>
        </w:rPr>
      </w:pPr>
      <w:r>
        <w:rPr>
          <w:i/>
        </w:rPr>
        <w:t>Entente manifeste entre les participants</w:t>
      </w:r>
      <w:r>
        <w:rPr>
          <w:i/>
          <w:spacing w:val="-4"/>
        </w:rPr>
        <w:t> </w:t>
      </w:r>
      <w:r>
        <w:rPr>
          <w:i/>
        </w:rPr>
        <w:t>:</w:t>
      </w:r>
    </w:p>
    <w:p>
      <w:pPr>
        <w:pStyle w:val="BodyText"/>
        <w:ind w:right="748"/>
      </w:pPr>
      <w:r>
        <w:rPr/>
        <w:t>Dans le cas d'entente manifeste entre les participants ou certains d’entre eux, la commission d’évaluation doit recommander dans son rapport de déclarer l’appel d’offres infructueux en citant tous les justificatifs nécessaires.</w:t>
      </w:r>
    </w:p>
    <w:p>
      <w:pPr>
        <w:pStyle w:val="BodyText"/>
        <w:spacing w:before="117"/>
        <w:ind w:right="748" w:firstLine="0"/>
      </w:pPr>
      <w:r>
        <w:rPr/>
        <w:t>La structure d’achat peut procéder à une nouvelle consultation après avis de la commission de contrôle (déclaration de l’appel d’offres infructueux).</w:t>
      </w:r>
    </w:p>
    <w:p>
      <w:pPr>
        <w:pStyle w:val="BodyText"/>
        <w:ind w:right="750" w:firstLine="0"/>
      </w:pPr>
      <w:r>
        <w:rPr/>
        <w:t>Le</w:t>
      </w:r>
      <w:r>
        <w:rPr>
          <w:spacing w:val="-10"/>
        </w:rPr>
        <w:t> </w:t>
      </w:r>
      <w:r>
        <w:rPr/>
        <w:t>GCT</w:t>
      </w:r>
      <w:r>
        <w:rPr>
          <w:spacing w:val="-9"/>
        </w:rPr>
        <w:t> </w:t>
      </w:r>
      <w:r>
        <w:rPr/>
        <w:t>informe</w:t>
      </w:r>
      <w:r>
        <w:rPr>
          <w:spacing w:val="-8"/>
        </w:rPr>
        <w:t> </w:t>
      </w:r>
      <w:r>
        <w:rPr/>
        <w:t>le</w:t>
      </w:r>
      <w:r>
        <w:rPr>
          <w:spacing w:val="-8"/>
        </w:rPr>
        <w:t> </w:t>
      </w:r>
      <w:r>
        <w:rPr/>
        <w:t>ministre</w:t>
      </w:r>
      <w:r>
        <w:rPr>
          <w:spacing w:val="-10"/>
        </w:rPr>
        <w:t> </w:t>
      </w:r>
      <w:r>
        <w:rPr/>
        <w:t>chargé</w:t>
      </w:r>
      <w:r>
        <w:rPr>
          <w:spacing w:val="-10"/>
        </w:rPr>
        <w:t> </w:t>
      </w:r>
      <w:r>
        <w:rPr/>
        <w:t>du</w:t>
      </w:r>
      <w:r>
        <w:rPr>
          <w:spacing w:val="-9"/>
        </w:rPr>
        <w:t> </w:t>
      </w:r>
      <w:r>
        <w:rPr/>
        <w:t>commerce</w:t>
      </w:r>
      <w:r>
        <w:rPr>
          <w:spacing w:val="-9"/>
        </w:rPr>
        <w:t> </w:t>
      </w:r>
      <w:r>
        <w:rPr/>
        <w:t>des</w:t>
      </w:r>
      <w:r>
        <w:rPr>
          <w:spacing w:val="-9"/>
        </w:rPr>
        <w:t> </w:t>
      </w:r>
      <w:r>
        <w:rPr/>
        <w:t>cas</w:t>
      </w:r>
      <w:r>
        <w:rPr>
          <w:spacing w:val="-9"/>
        </w:rPr>
        <w:t> </w:t>
      </w:r>
      <w:r>
        <w:rPr/>
        <w:t>d’entente</w:t>
      </w:r>
      <w:r>
        <w:rPr>
          <w:spacing w:val="-8"/>
        </w:rPr>
        <w:t> </w:t>
      </w:r>
      <w:r>
        <w:rPr/>
        <w:t>manifeste.</w:t>
      </w:r>
      <w:r>
        <w:rPr>
          <w:spacing w:val="-10"/>
        </w:rPr>
        <w:t> </w:t>
      </w:r>
      <w:r>
        <w:rPr/>
        <w:t>Dans</w:t>
      </w:r>
      <w:r>
        <w:rPr>
          <w:spacing w:val="-9"/>
        </w:rPr>
        <w:t> </w:t>
      </w:r>
      <w:r>
        <w:rPr/>
        <w:t>ce cas, le ministre chargé du commerce peut saisir le conseil de la concurrence d’une requête à l’encontre des soumissionnaires de ces offres conformément à la législation en vigueur.</w:t>
      </w:r>
    </w:p>
    <w:p>
      <w:pPr>
        <w:pStyle w:val="Heading3"/>
        <w:numPr>
          <w:ilvl w:val="0"/>
          <w:numId w:val="48"/>
        </w:numPr>
        <w:tabs>
          <w:tab w:pos="1154" w:val="left" w:leader="none"/>
        </w:tabs>
        <w:spacing w:line="240" w:lineRule="auto" w:before="7" w:after="0"/>
        <w:ind w:left="1153" w:right="759" w:hanging="360"/>
        <w:jc w:val="both"/>
      </w:pPr>
      <w:r>
        <w:rPr>
          <w:i/>
        </w:rPr>
        <w:t>Absence de participation à la concurrence ou offres inacceptables au plan </w:t>
      </w:r>
      <w:r>
        <w:rPr/>
        <w:t>technique ou financier</w:t>
      </w:r>
      <w:r>
        <w:rPr>
          <w:spacing w:val="2"/>
        </w:rPr>
        <w:t> </w:t>
      </w:r>
      <w:r>
        <w:rPr/>
        <w:t>:</w:t>
      </w:r>
    </w:p>
    <w:p>
      <w:pPr>
        <w:pStyle w:val="BodyText"/>
        <w:ind w:right="755"/>
      </w:pPr>
      <w:r>
        <w:rPr/>
        <w:t>L’appel d’offres doit être déclaré infructueux en cas d’absence de participation à la concurrence ou en cas de réception d’offres inacceptables au plan technique ou financier.</w:t>
      </w:r>
    </w:p>
    <w:p>
      <w:pPr>
        <w:pStyle w:val="Heading3"/>
        <w:numPr>
          <w:ilvl w:val="0"/>
          <w:numId w:val="48"/>
        </w:numPr>
        <w:tabs>
          <w:tab w:pos="1154" w:val="left" w:leader="none"/>
        </w:tabs>
        <w:spacing w:line="339" w:lineRule="exact" w:before="119" w:after="0"/>
        <w:ind w:left="1153" w:right="0" w:hanging="361"/>
        <w:jc w:val="both"/>
        <w:rPr>
          <w:i/>
        </w:rPr>
      </w:pPr>
      <w:r>
        <w:rPr>
          <w:i/>
        </w:rPr>
        <w:t>Offre conforme</w:t>
      </w:r>
      <w:r>
        <w:rPr>
          <w:i/>
          <w:spacing w:val="-4"/>
        </w:rPr>
        <w:t> </w:t>
      </w:r>
      <w:r>
        <w:rPr>
          <w:i/>
        </w:rPr>
        <w:t>substantiellement</w:t>
      </w:r>
    </w:p>
    <w:p>
      <w:pPr>
        <w:pStyle w:val="BodyText"/>
        <w:ind w:right="749"/>
      </w:pPr>
      <w:r>
        <w:rPr/>
        <w:t>Lorsqu’une offre, la moins-disante est intéressante sur le plan financier et conforme</w:t>
      </w:r>
      <w:r>
        <w:rPr>
          <w:spacing w:val="-19"/>
        </w:rPr>
        <w:t> </w:t>
      </w:r>
      <w:r>
        <w:rPr/>
        <w:t>pour</w:t>
      </w:r>
      <w:r>
        <w:rPr>
          <w:spacing w:val="-18"/>
        </w:rPr>
        <w:t> </w:t>
      </w:r>
      <w:r>
        <w:rPr/>
        <w:t>l’essentiel</w:t>
      </w:r>
      <w:r>
        <w:rPr>
          <w:spacing w:val="-12"/>
        </w:rPr>
        <w:t> </w:t>
      </w:r>
      <w:r>
        <w:rPr/>
        <w:t>mais</w:t>
      </w:r>
      <w:r>
        <w:rPr>
          <w:spacing w:val="-17"/>
        </w:rPr>
        <w:t> </w:t>
      </w:r>
      <w:r>
        <w:rPr/>
        <w:t>elle</w:t>
      </w:r>
      <w:r>
        <w:rPr>
          <w:spacing w:val="-18"/>
        </w:rPr>
        <w:t> </w:t>
      </w:r>
      <w:r>
        <w:rPr/>
        <w:t>comporte</w:t>
      </w:r>
      <w:r>
        <w:rPr>
          <w:spacing w:val="-18"/>
        </w:rPr>
        <w:t> </w:t>
      </w:r>
      <w:r>
        <w:rPr/>
        <w:t>des</w:t>
      </w:r>
      <w:r>
        <w:rPr>
          <w:spacing w:val="-18"/>
        </w:rPr>
        <w:t> </w:t>
      </w:r>
      <w:r>
        <w:rPr/>
        <w:t>divergences</w:t>
      </w:r>
      <w:r>
        <w:rPr>
          <w:spacing w:val="-17"/>
        </w:rPr>
        <w:t> </w:t>
      </w:r>
      <w:r>
        <w:rPr/>
        <w:t>mineures</w:t>
      </w:r>
      <w:r>
        <w:rPr>
          <w:spacing w:val="-20"/>
        </w:rPr>
        <w:t> </w:t>
      </w:r>
      <w:r>
        <w:rPr/>
        <w:t>par</w:t>
      </w:r>
      <w:r>
        <w:rPr>
          <w:spacing w:val="-18"/>
        </w:rPr>
        <w:t> </w:t>
      </w:r>
      <w:r>
        <w:rPr/>
        <w:t>rapport</w:t>
      </w:r>
      <w:r>
        <w:rPr>
          <w:spacing w:val="-17"/>
        </w:rPr>
        <w:t> </w:t>
      </w:r>
      <w:r>
        <w:rPr/>
        <w:t>aux termes et conditions commerciaux ou techniques du dossier d’appel d’offres, la commission d’évaluation peut demander au Soumissionnaire de présenter, dans un délai raisonnable, les informations, ou la documentation, nécessaires pour remédier à la non-conformité ou aux omissions mineures constatées dans l’Offre en</w:t>
      </w:r>
      <w:r>
        <w:rPr>
          <w:spacing w:val="-13"/>
        </w:rPr>
        <w:t> </w:t>
      </w:r>
      <w:r>
        <w:rPr/>
        <w:t>comparaison</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4" w:firstLine="0"/>
      </w:pPr>
      <w:r>
        <w:rPr/>
        <w:t>avec la documentation requise par le Dossier d’Appel d’Offres. Une telle demande ne peut, en aucun cas, porter sur un élément reflété dans le Montant de l’offre. Le Soumissionnaire</w:t>
      </w:r>
      <w:r>
        <w:rPr>
          <w:spacing w:val="-12"/>
        </w:rPr>
        <w:t> </w:t>
      </w:r>
      <w:r>
        <w:rPr/>
        <w:t>qui</w:t>
      </w:r>
      <w:r>
        <w:rPr>
          <w:spacing w:val="-14"/>
        </w:rPr>
        <w:t> </w:t>
      </w:r>
      <w:r>
        <w:rPr/>
        <w:t>ne</w:t>
      </w:r>
      <w:r>
        <w:rPr>
          <w:spacing w:val="-11"/>
        </w:rPr>
        <w:t> </w:t>
      </w:r>
      <w:r>
        <w:rPr/>
        <w:t>donnerait</w:t>
      </w:r>
      <w:r>
        <w:rPr>
          <w:spacing w:val="-7"/>
        </w:rPr>
        <w:t> </w:t>
      </w:r>
      <w:r>
        <w:rPr/>
        <w:t>pas</w:t>
      </w:r>
      <w:r>
        <w:rPr>
          <w:spacing w:val="-12"/>
        </w:rPr>
        <w:t> </w:t>
      </w:r>
      <w:r>
        <w:rPr/>
        <w:t>suite</w:t>
      </w:r>
      <w:r>
        <w:rPr>
          <w:spacing w:val="-14"/>
        </w:rPr>
        <w:t> </w:t>
      </w:r>
      <w:r>
        <w:rPr/>
        <w:t>à</w:t>
      </w:r>
      <w:r>
        <w:rPr>
          <w:spacing w:val="-12"/>
        </w:rPr>
        <w:t> </w:t>
      </w:r>
      <w:r>
        <w:rPr/>
        <w:t>cette</w:t>
      </w:r>
      <w:r>
        <w:rPr>
          <w:spacing w:val="-11"/>
        </w:rPr>
        <w:t> </w:t>
      </w:r>
      <w:r>
        <w:rPr/>
        <w:t>demande</w:t>
      </w:r>
      <w:r>
        <w:rPr>
          <w:spacing w:val="-12"/>
        </w:rPr>
        <w:t> </w:t>
      </w:r>
      <w:r>
        <w:rPr/>
        <w:t>peut</w:t>
      </w:r>
      <w:r>
        <w:rPr>
          <w:spacing w:val="-11"/>
        </w:rPr>
        <w:t> </w:t>
      </w:r>
      <w:r>
        <w:rPr/>
        <w:t>voir</w:t>
      </w:r>
      <w:r>
        <w:rPr>
          <w:spacing w:val="-12"/>
        </w:rPr>
        <w:t> </w:t>
      </w:r>
      <w:r>
        <w:rPr/>
        <w:t>son</w:t>
      </w:r>
      <w:r>
        <w:rPr>
          <w:spacing w:val="-12"/>
        </w:rPr>
        <w:t> </w:t>
      </w:r>
      <w:r>
        <w:rPr/>
        <w:t>offre</w:t>
      </w:r>
      <w:r>
        <w:rPr>
          <w:spacing w:val="-11"/>
        </w:rPr>
        <w:t> </w:t>
      </w:r>
      <w:r>
        <w:rPr/>
        <w:t>écartée.</w:t>
      </w:r>
    </w:p>
    <w:p>
      <w:pPr>
        <w:pStyle w:val="Heading3"/>
        <w:spacing w:line="321" w:lineRule="exact" w:before="128"/>
        <w:rPr>
          <w:i/>
        </w:rPr>
      </w:pPr>
      <w:r>
        <w:rPr>
          <w:i/>
        </w:rPr>
        <w:t>Attribution des marchés</w:t>
      </w:r>
    </w:p>
    <w:p>
      <w:pPr>
        <w:pStyle w:val="ListParagraph"/>
        <w:numPr>
          <w:ilvl w:val="0"/>
          <w:numId w:val="49"/>
        </w:numPr>
        <w:tabs>
          <w:tab w:pos="794" w:val="left" w:leader="none"/>
        </w:tabs>
        <w:spacing w:line="321" w:lineRule="exact" w:before="0" w:after="0"/>
        <w:ind w:left="793" w:right="0" w:hanging="361"/>
        <w:jc w:val="both"/>
        <w:rPr>
          <w:b/>
          <w:sz w:val="28"/>
        </w:rPr>
      </w:pPr>
      <w:r>
        <w:rPr>
          <w:b/>
          <w:sz w:val="28"/>
        </w:rPr>
        <w:t>Présentation du dossier de l’appel d’offres à l’avis de la</w:t>
      </w:r>
      <w:r>
        <w:rPr>
          <w:b/>
          <w:spacing w:val="-3"/>
          <w:sz w:val="28"/>
        </w:rPr>
        <w:t> </w:t>
      </w:r>
      <w:r>
        <w:rPr>
          <w:b/>
          <w:sz w:val="28"/>
        </w:rPr>
        <w:t>CME</w:t>
      </w:r>
    </w:p>
    <w:p>
      <w:pPr>
        <w:pStyle w:val="BodyText"/>
        <w:spacing w:before="115"/>
        <w:ind w:right="748"/>
      </w:pPr>
      <w:r>
        <w:rPr/>
        <w:t>Une</w:t>
      </w:r>
      <w:r>
        <w:rPr>
          <w:spacing w:val="-7"/>
        </w:rPr>
        <w:t> </w:t>
      </w:r>
      <w:r>
        <w:rPr/>
        <w:t>fois</w:t>
      </w:r>
      <w:r>
        <w:rPr>
          <w:spacing w:val="-8"/>
        </w:rPr>
        <w:t> </w:t>
      </w:r>
      <w:r>
        <w:rPr/>
        <w:t>l’évaluation</w:t>
      </w:r>
      <w:r>
        <w:rPr>
          <w:spacing w:val="-8"/>
        </w:rPr>
        <w:t> </w:t>
      </w:r>
      <w:r>
        <w:rPr/>
        <w:t>des</w:t>
      </w:r>
      <w:r>
        <w:rPr>
          <w:spacing w:val="-7"/>
        </w:rPr>
        <w:t> </w:t>
      </w:r>
      <w:r>
        <w:rPr/>
        <w:t>offres</w:t>
      </w:r>
      <w:r>
        <w:rPr>
          <w:spacing w:val="-6"/>
        </w:rPr>
        <w:t> </w:t>
      </w:r>
      <w:r>
        <w:rPr/>
        <w:t>effectuée,</w:t>
      </w:r>
      <w:r>
        <w:rPr>
          <w:spacing w:val="-7"/>
        </w:rPr>
        <w:t> </w:t>
      </w:r>
      <w:r>
        <w:rPr/>
        <w:t>la</w:t>
      </w:r>
      <w:r>
        <w:rPr>
          <w:spacing w:val="-7"/>
        </w:rPr>
        <w:t> </w:t>
      </w:r>
      <w:r>
        <w:rPr/>
        <w:t>Structure</w:t>
      </w:r>
      <w:r>
        <w:rPr>
          <w:spacing w:val="-8"/>
        </w:rPr>
        <w:t> </w:t>
      </w:r>
      <w:r>
        <w:rPr/>
        <w:t>d’achat</w:t>
      </w:r>
      <w:r>
        <w:rPr>
          <w:spacing w:val="-5"/>
        </w:rPr>
        <w:t> </w:t>
      </w:r>
      <w:r>
        <w:rPr/>
        <w:t>chargée</w:t>
      </w:r>
      <w:r>
        <w:rPr>
          <w:spacing w:val="-9"/>
        </w:rPr>
        <w:t> </w:t>
      </w:r>
      <w:r>
        <w:rPr/>
        <w:t>du</w:t>
      </w:r>
      <w:r>
        <w:rPr>
          <w:spacing w:val="-8"/>
        </w:rPr>
        <w:t> </w:t>
      </w:r>
      <w:r>
        <w:rPr/>
        <w:t>dossier prépare un rapport de présentation de dossier visé par la Direction Générale et le transmet au secrétariat de la CME (SPCM). Ce rapport doit comporter les éléments mentionnés dans l’annexe</w:t>
      </w:r>
      <w:r>
        <w:rPr>
          <w:spacing w:val="-1"/>
        </w:rPr>
        <w:t> </w:t>
      </w:r>
      <w:r>
        <w:rPr/>
        <w:t>n°17.</w:t>
      </w:r>
    </w:p>
    <w:p>
      <w:pPr>
        <w:pStyle w:val="BodyText"/>
        <w:spacing w:before="122"/>
        <w:ind w:right="758" w:firstLine="0"/>
      </w:pPr>
      <w:r>
        <w:rPr/>
        <w:t>Les résultats de l’appel d'offres sont constatés dans un rapport relatant les procédures et circonstances de l’évaluation et justifiant la proposition d’attribution du GCT. L'ensemble des offres et des cahiers des charges, accompagnés de ce rapport, sont transmis à la CME pour examen et avis.</w:t>
      </w:r>
    </w:p>
    <w:p>
      <w:pPr>
        <w:pStyle w:val="BodyText"/>
        <w:ind w:right="749"/>
      </w:pPr>
      <w:r>
        <w:rPr/>
        <w:t>Le rapport d’évaluation présenté à la CME, doit mentionner expressément l’avis motivé au sujet du choix de l'attributaire du marché et des prix proposés. Il peut éliminer les offres des participants dont les fiches de suivi, prévues à l’article 156 du décret</w:t>
      </w:r>
      <w:r>
        <w:rPr>
          <w:spacing w:val="-7"/>
        </w:rPr>
        <w:t> </w:t>
      </w:r>
      <w:r>
        <w:rPr/>
        <w:t>1039</w:t>
      </w:r>
      <w:r>
        <w:rPr>
          <w:spacing w:val="-7"/>
        </w:rPr>
        <w:t> </w:t>
      </w:r>
      <w:r>
        <w:rPr/>
        <w:t>de</w:t>
      </w:r>
      <w:r>
        <w:rPr>
          <w:spacing w:val="-8"/>
        </w:rPr>
        <w:t> </w:t>
      </w:r>
      <w:r>
        <w:rPr/>
        <w:t>l’année</w:t>
      </w:r>
      <w:r>
        <w:rPr>
          <w:spacing w:val="-8"/>
        </w:rPr>
        <w:t> </w:t>
      </w:r>
      <w:r>
        <w:rPr/>
        <w:t>2014,</w:t>
      </w:r>
      <w:r>
        <w:rPr>
          <w:spacing w:val="-8"/>
        </w:rPr>
        <w:t> </w:t>
      </w:r>
      <w:r>
        <w:rPr/>
        <w:t>révèlent</w:t>
      </w:r>
      <w:r>
        <w:rPr>
          <w:spacing w:val="-7"/>
        </w:rPr>
        <w:t> </w:t>
      </w:r>
      <w:r>
        <w:rPr/>
        <w:t>à</w:t>
      </w:r>
      <w:r>
        <w:rPr>
          <w:spacing w:val="-9"/>
        </w:rPr>
        <w:t> </w:t>
      </w:r>
      <w:r>
        <w:rPr/>
        <w:t>leur</w:t>
      </w:r>
      <w:r>
        <w:rPr>
          <w:spacing w:val="-8"/>
        </w:rPr>
        <w:t> </w:t>
      </w:r>
      <w:r>
        <w:rPr/>
        <w:t>encontre</w:t>
      </w:r>
      <w:r>
        <w:rPr>
          <w:spacing w:val="-7"/>
        </w:rPr>
        <w:t> </w:t>
      </w:r>
      <w:r>
        <w:rPr/>
        <w:t>des</w:t>
      </w:r>
      <w:r>
        <w:rPr>
          <w:spacing w:val="-7"/>
        </w:rPr>
        <w:t> </w:t>
      </w:r>
      <w:r>
        <w:rPr/>
        <w:t>données</w:t>
      </w:r>
      <w:r>
        <w:rPr>
          <w:spacing w:val="-5"/>
        </w:rPr>
        <w:t> </w:t>
      </w:r>
      <w:r>
        <w:rPr/>
        <w:t>mettant</w:t>
      </w:r>
      <w:r>
        <w:rPr>
          <w:spacing w:val="-7"/>
        </w:rPr>
        <w:t> </w:t>
      </w:r>
      <w:r>
        <w:rPr/>
        <w:t>en</w:t>
      </w:r>
      <w:r>
        <w:rPr>
          <w:spacing w:val="-2"/>
        </w:rPr>
        <w:t> </w:t>
      </w:r>
      <w:r>
        <w:rPr/>
        <w:t>cause</w:t>
      </w:r>
      <w:r>
        <w:rPr>
          <w:spacing w:val="-8"/>
        </w:rPr>
        <w:t> </w:t>
      </w:r>
      <w:r>
        <w:rPr/>
        <w:t>les garanties professionnelles nécessaires à la bonne exécution du</w:t>
      </w:r>
      <w:r>
        <w:rPr>
          <w:spacing w:val="-11"/>
        </w:rPr>
        <w:t> </w:t>
      </w:r>
      <w:r>
        <w:rPr/>
        <w:t>marché.</w:t>
      </w:r>
    </w:p>
    <w:p>
      <w:pPr>
        <w:pStyle w:val="BodyText"/>
        <w:ind w:right="750"/>
      </w:pPr>
      <w:r>
        <w:rPr/>
        <w:t>L’avis de la CME sur les rapports d’évaluation doit être notifié dans un délai Maximum</w:t>
      </w:r>
      <w:r>
        <w:rPr>
          <w:spacing w:val="-11"/>
        </w:rPr>
        <w:t> </w:t>
      </w:r>
      <w:r>
        <w:rPr/>
        <w:t>de</w:t>
      </w:r>
      <w:r>
        <w:rPr>
          <w:spacing w:val="-5"/>
        </w:rPr>
        <w:t> </w:t>
      </w:r>
      <w:r>
        <w:rPr/>
        <w:t>vingt</w:t>
      </w:r>
      <w:r>
        <w:rPr>
          <w:spacing w:val="-7"/>
        </w:rPr>
        <w:t> </w:t>
      </w:r>
      <w:r>
        <w:rPr/>
        <w:t>(20)</w:t>
      </w:r>
      <w:r>
        <w:rPr>
          <w:spacing w:val="-5"/>
        </w:rPr>
        <w:t> </w:t>
      </w:r>
      <w:r>
        <w:rPr/>
        <w:t>jours</w:t>
      </w:r>
      <w:r>
        <w:rPr>
          <w:spacing w:val="-5"/>
        </w:rPr>
        <w:t> </w:t>
      </w:r>
      <w:r>
        <w:rPr/>
        <w:t>à</w:t>
      </w:r>
      <w:r>
        <w:rPr>
          <w:spacing w:val="-6"/>
        </w:rPr>
        <w:t> </w:t>
      </w:r>
      <w:r>
        <w:rPr/>
        <w:t>compter</w:t>
      </w:r>
      <w:r>
        <w:rPr>
          <w:spacing w:val="-4"/>
        </w:rPr>
        <w:t> </w:t>
      </w:r>
      <w:r>
        <w:rPr/>
        <w:t>de</w:t>
      </w:r>
      <w:r>
        <w:rPr>
          <w:spacing w:val="-9"/>
        </w:rPr>
        <w:t> </w:t>
      </w:r>
      <w:r>
        <w:rPr/>
        <w:t>la</w:t>
      </w:r>
      <w:r>
        <w:rPr>
          <w:spacing w:val="-5"/>
        </w:rPr>
        <w:t> </w:t>
      </w:r>
      <w:r>
        <w:rPr/>
        <w:t>réception</w:t>
      </w:r>
      <w:r>
        <w:rPr>
          <w:spacing w:val="-7"/>
        </w:rPr>
        <w:t> </w:t>
      </w:r>
      <w:r>
        <w:rPr/>
        <w:t>des</w:t>
      </w:r>
      <w:r>
        <w:rPr>
          <w:spacing w:val="-6"/>
        </w:rPr>
        <w:t> </w:t>
      </w:r>
      <w:r>
        <w:rPr/>
        <w:t>dossiers,</w:t>
      </w:r>
      <w:r>
        <w:rPr>
          <w:spacing w:val="-6"/>
        </w:rPr>
        <w:t> </w:t>
      </w:r>
      <w:r>
        <w:rPr/>
        <w:t>à</w:t>
      </w:r>
      <w:r>
        <w:rPr>
          <w:spacing w:val="-9"/>
        </w:rPr>
        <w:t> </w:t>
      </w:r>
      <w:r>
        <w:rPr/>
        <w:t>condition</w:t>
      </w:r>
      <w:r>
        <w:rPr>
          <w:spacing w:val="-3"/>
        </w:rPr>
        <w:t> </w:t>
      </w:r>
      <w:r>
        <w:rPr/>
        <w:t>qu'ils soient</w:t>
      </w:r>
      <w:r>
        <w:rPr>
          <w:spacing w:val="-21"/>
        </w:rPr>
        <w:t> </w:t>
      </w:r>
      <w:r>
        <w:rPr/>
        <w:t>complétés</w:t>
      </w:r>
      <w:r>
        <w:rPr>
          <w:spacing w:val="-21"/>
        </w:rPr>
        <w:t> </w:t>
      </w:r>
      <w:r>
        <w:rPr/>
        <w:t>par</w:t>
      </w:r>
      <w:r>
        <w:rPr>
          <w:spacing w:val="-21"/>
        </w:rPr>
        <w:t> </w:t>
      </w:r>
      <w:r>
        <w:rPr/>
        <w:t>tous</w:t>
      </w:r>
      <w:r>
        <w:rPr>
          <w:spacing w:val="-20"/>
        </w:rPr>
        <w:t> </w:t>
      </w:r>
      <w:r>
        <w:rPr/>
        <w:t>les</w:t>
      </w:r>
      <w:r>
        <w:rPr>
          <w:spacing w:val="-21"/>
        </w:rPr>
        <w:t> </w:t>
      </w:r>
      <w:r>
        <w:rPr/>
        <w:t>documents</w:t>
      </w:r>
      <w:r>
        <w:rPr>
          <w:spacing w:val="-21"/>
        </w:rPr>
        <w:t> </w:t>
      </w:r>
      <w:r>
        <w:rPr/>
        <w:t>et</w:t>
      </w:r>
      <w:r>
        <w:rPr>
          <w:spacing w:val="-20"/>
        </w:rPr>
        <w:t> </w:t>
      </w:r>
      <w:r>
        <w:rPr/>
        <w:t>les</w:t>
      </w:r>
      <w:r>
        <w:rPr>
          <w:spacing w:val="-15"/>
        </w:rPr>
        <w:t> </w:t>
      </w:r>
      <w:r>
        <w:rPr/>
        <w:t>éclaircissements</w:t>
      </w:r>
      <w:r>
        <w:rPr>
          <w:spacing w:val="-20"/>
        </w:rPr>
        <w:t> </w:t>
      </w:r>
      <w:r>
        <w:rPr/>
        <w:t>nécessaires</w:t>
      </w:r>
      <w:r>
        <w:rPr>
          <w:spacing w:val="-23"/>
        </w:rPr>
        <w:t> </w:t>
      </w:r>
      <w:r>
        <w:rPr/>
        <w:t>pour</w:t>
      </w:r>
      <w:r>
        <w:rPr>
          <w:spacing w:val="-21"/>
        </w:rPr>
        <w:t> </w:t>
      </w:r>
      <w:r>
        <w:rPr/>
        <w:t>étudier et statuer sur le</w:t>
      </w:r>
      <w:r>
        <w:rPr>
          <w:spacing w:val="-2"/>
        </w:rPr>
        <w:t> </w:t>
      </w:r>
      <w:r>
        <w:rPr/>
        <w:t>dossier.</w:t>
      </w:r>
    </w:p>
    <w:p>
      <w:pPr>
        <w:pStyle w:val="Heading2"/>
        <w:numPr>
          <w:ilvl w:val="0"/>
          <w:numId w:val="49"/>
        </w:numPr>
        <w:tabs>
          <w:tab w:pos="791" w:val="left" w:leader="none"/>
        </w:tabs>
        <w:spacing w:line="319" w:lineRule="exact" w:before="125" w:after="0"/>
        <w:ind w:left="790" w:right="0" w:hanging="358"/>
        <w:jc w:val="both"/>
      </w:pPr>
      <w:r>
        <w:rPr/>
        <w:t>Avis de la CME</w:t>
      </w:r>
    </w:p>
    <w:p>
      <w:pPr>
        <w:pStyle w:val="BodyText"/>
        <w:ind w:right="748"/>
        <w:jc w:val="left"/>
      </w:pPr>
      <w:r>
        <w:rPr/>
        <w:t>Après</w:t>
      </w:r>
      <w:r>
        <w:rPr>
          <w:spacing w:val="-14"/>
        </w:rPr>
        <w:t> </w:t>
      </w:r>
      <w:r>
        <w:rPr/>
        <w:t>avoir</w:t>
      </w:r>
      <w:r>
        <w:rPr>
          <w:spacing w:val="-15"/>
        </w:rPr>
        <w:t> </w:t>
      </w:r>
      <w:r>
        <w:rPr/>
        <w:t>examiné</w:t>
      </w:r>
      <w:r>
        <w:rPr>
          <w:spacing w:val="-15"/>
        </w:rPr>
        <w:t> </w:t>
      </w:r>
      <w:r>
        <w:rPr/>
        <w:t>la</w:t>
      </w:r>
      <w:r>
        <w:rPr>
          <w:spacing w:val="-15"/>
        </w:rPr>
        <w:t> </w:t>
      </w:r>
      <w:r>
        <w:rPr/>
        <w:t>régularité</w:t>
      </w:r>
      <w:r>
        <w:rPr>
          <w:spacing w:val="-15"/>
        </w:rPr>
        <w:t> </w:t>
      </w:r>
      <w:r>
        <w:rPr/>
        <w:t>des</w:t>
      </w:r>
      <w:r>
        <w:rPr>
          <w:spacing w:val="-15"/>
        </w:rPr>
        <w:t> </w:t>
      </w:r>
      <w:r>
        <w:rPr/>
        <w:t>procédures</w:t>
      </w:r>
      <w:r>
        <w:rPr>
          <w:spacing w:val="-16"/>
        </w:rPr>
        <w:t> </w:t>
      </w:r>
      <w:r>
        <w:rPr/>
        <w:t>de</w:t>
      </w:r>
      <w:r>
        <w:rPr>
          <w:spacing w:val="-15"/>
        </w:rPr>
        <w:t> </w:t>
      </w:r>
      <w:r>
        <w:rPr/>
        <w:t>mise</w:t>
      </w:r>
      <w:r>
        <w:rPr>
          <w:spacing w:val="-15"/>
        </w:rPr>
        <w:t> </w:t>
      </w:r>
      <w:r>
        <w:rPr/>
        <w:t>en</w:t>
      </w:r>
      <w:r>
        <w:rPr>
          <w:spacing w:val="-14"/>
        </w:rPr>
        <w:t> </w:t>
      </w:r>
      <w:r>
        <w:rPr/>
        <w:t>concurrence,</w:t>
      </w:r>
      <w:r>
        <w:rPr>
          <w:spacing w:val="-7"/>
        </w:rPr>
        <w:t> </w:t>
      </w:r>
      <w:r>
        <w:rPr/>
        <w:t>la</w:t>
      </w:r>
      <w:r>
        <w:rPr>
          <w:spacing w:val="-14"/>
        </w:rPr>
        <w:t> </w:t>
      </w:r>
      <w:r>
        <w:rPr/>
        <w:t>CME rend son avis sur le rapport d’évaluation comme suit</w:t>
      </w:r>
      <w:r>
        <w:rPr>
          <w:spacing w:val="2"/>
        </w:rPr>
        <w:t> </w:t>
      </w:r>
      <w:r>
        <w:rPr/>
        <w:t>:</w:t>
      </w:r>
    </w:p>
    <w:p>
      <w:pPr>
        <w:pStyle w:val="ListParagraph"/>
        <w:numPr>
          <w:ilvl w:val="1"/>
          <w:numId w:val="49"/>
        </w:numPr>
        <w:tabs>
          <w:tab w:pos="1000" w:val="left" w:leader="none"/>
        </w:tabs>
        <w:spacing w:line="341" w:lineRule="exact" w:before="0" w:after="0"/>
        <w:ind w:left="999" w:right="0" w:hanging="284"/>
        <w:jc w:val="left"/>
        <w:rPr>
          <w:sz w:val="28"/>
        </w:rPr>
      </w:pPr>
      <w:r>
        <w:rPr>
          <w:sz w:val="28"/>
        </w:rPr>
        <w:t>Approuve la proposition d’attribution du</w:t>
      </w:r>
      <w:r>
        <w:rPr>
          <w:spacing w:val="-4"/>
          <w:sz w:val="28"/>
        </w:rPr>
        <w:t> </w:t>
      </w:r>
      <w:r>
        <w:rPr>
          <w:sz w:val="28"/>
        </w:rPr>
        <w:t>marché.</w:t>
      </w:r>
    </w:p>
    <w:p>
      <w:pPr>
        <w:pStyle w:val="ListParagraph"/>
        <w:numPr>
          <w:ilvl w:val="1"/>
          <w:numId w:val="49"/>
        </w:numPr>
        <w:tabs>
          <w:tab w:pos="1000" w:val="left" w:leader="none"/>
        </w:tabs>
        <w:spacing w:line="342" w:lineRule="exact" w:before="0" w:after="0"/>
        <w:ind w:left="999" w:right="0" w:hanging="284"/>
        <w:jc w:val="left"/>
        <w:rPr>
          <w:sz w:val="28"/>
        </w:rPr>
      </w:pPr>
      <w:r>
        <w:rPr>
          <w:sz w:val="28"/>
        </w:rPr>
        <w:t>Ou demande des</w:t>
      </w:r>
      <w:r>
        <w:rPr>
          <w:spacing w:val="-2"/>
          <w:sz w:val="28"/>
        </w:rPr>
        <w:t> </w:t>
      </w:r>
      <w:r>
        <w:rPr>
          <w:sz w:val="28"/>
        </w:rPr>
        <w:t>éclaircissements.</w:t>
      </w:r>
    </w:p>
    <w:p>
      <w:pPr>
        <w:pStyle w:val="ListParagraph"/>
        <w:numPr>
          <w:ilvl w:val="1"/>
          <w:numId w:val="49"/>
        </w:numPr>
        <w:tabs>
          <w:tab w:pos="1000" w:val="left" w:leader="none"/>
        </w:tabs>
        <w:spacing w:line="342" w:lineRule="exact" w:before="0" w:after="0"/>
        <w:ind w:left="999" w:right="0" w:hanging="284"/>
        <w:jc w:val="left"/>
        <w:rPr>
          <w:sz w:val="28"/>
        </w:rPr>
      </w:pPr>
      <w:r>
        <w:rPr>
          <w:sz w:val="28"/>
        </w:rPr>
        <w:t>Ou demande de refaire</w:t>
      </w:r>
      <w:r>
        <w:rPr>
          <w:spacing w:val="-3"/>
          <w:sz w:val="28"/>
        </w:rPr>
        <w:t> </w:t>
      </w:r>
      <w:r>
        <w:rPr>
          <w:sz w:val="28"/>
        </w:rPr>
        <w:t>l’évaluation.</w:t>
      </w:r>
    </w:p>
    <w:p>
      <w:pPr>
        <w:pStyle w:val="ListParagraph"/>
        <w:numPr>
          <w:ilvl w:val="1"/>
          <w:numId w:val="49"/>
        </w:numPr>
        <w:tabs>
          <w:tab w:pos="1000" w:val="left" w:leader="none"/>
        </w:tabs>
        <w:spacing w:line="240" w:lineRule="auto" w:before="0" w:after="0"/>
        <w:ind w:left="999" w:right="0" w:hanging="284"/>
        <w:jc w:val="left"/>
        <w:rPr>
          <w:sz w:val="28"/>
        </w:rPr>
      </w:pPr>
      <w:r>
        <w:rPr>
          <w:sz w:val="28"/>
        </w:rPr>
        <w:t>Ou déclare l’appel d’offres</w:t>
      </w:r>
      <w:r>
        <w:rPr>
          <w:spacing w:val="-2"/>
          <w:sz w:val="28"/>
        </w:rPr>
        <w:t> </w:t>
      </w:r>
      <w:r>
        <w:rPr>
          <w:sz w:val="28"/>
        </w:rPr>
        <w:t>infructueux.</w:t>
      </w:r>
    </w:p>
    <w:p>
      <w:pPr>
        <w:pStyle w:val="BodyText"/>
        <w:spacing w:before="117"/>
        <w:ind w:right="759"/>
      </w:pPr>
      <w:r>
        <w:rPr/>
        <w:t>En cas de demande d’éclaircissements, la Structure d’achat concernée collabore avec la commission d’évaluation en vue de formuler les éclaircissements nécessaires.</w:t>
      </w:r>
    </w:p>
    <w:p>
      <w:pPr>
        <w:pStyle w:val="BodyText"/>
        <w:spacing w:before="119"/>
        <w:ind w:right="752"/>
      </w:pPr>
      <w:r>
        <w:rPr/>
        <w:t>Si la déclaration de l'Appel d'Offres infructueux est due à des insuffisances relevées dans les spécifications techniques et/ou les conditions de participation, la Structure demandeuse révise ceux-ci et envoie une nouvelle demande d'achat à la Structure d’achat concernée.</w:t>
      </w:r>
    </w:p>
    <w:p>
      <w:pPr>
        <w:pStyle w:val="Heading2"/>
        <w:numPr>
          <w:ilvl w:val="0"/>
          <w:numId w:val="49"/>
        </w:numPr>
        <w:tabs>
          <w:tab w:pos="794" w:val="left" w:leader="none"/>
        </w:tabs>
        <w:spacing w:line="319" w:lineRule="exact" w:before="126" w:after="0"/>
        <w:ind w:left="793" w:right="0" w:hanging="361"/>
        <w:jc w:val="both"/>
      </w:pPr>
      <w:r>
        <w:rPr/>
        <w:t>La publication de l’avis d’attribution du</w:t>
      </w:r>
      <w:r>
        <w:rPr>
          <w:spacing w:val="1"/>
        </w:rPr>
        <w:t> </w:t>
      </w:r>
      <w:r>
        <w:rPr/>
        <w:t>Marché</w:t>
      </w:r>
    </w:p>
    <w:p>
      <w:pPr>
        <w:pStyle w:val="BodyText"/>
        <w:ind w:right="752"/>
      </w:pPr>
      <w:r>
        <w:rPr/>
        <w:t>En cas d’avis favorable de la CME, la structure d’achat publie les résultats de la mise en concurrence dans un tableau d'affichage destiné au public et éventuellement sur le site du GCT.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line="322" w:lineRule="exact" w:before="89"/>
        <w:ind w:left="999" w:firstLine="0"/>
      </w:pPr>
      <w:r>
        <w:rPr/>
        <w:t>La publication doit au minimum contenir les renseignements ci-après :</w:t>
      </w:r>
    </w:p>
    <w:p>
      <w:pPr>
        <w:pStyle w:val="ListParagraph"/>
        <w:numPr>
          <w:ilvl w:val="1"/>
          <w:numId w:val="46"/>
        </w:numPr>
        <w:tabs>
          <w:tab w:pos="1382" w:val="left" w:leader="none"/>
        </w:tabs>
        <w:spacing w:line="322" w:lineRule="exact" w:before="0" w:after="0"/>
        <w:ind w:left="1381" w:right="0" w:hanging="383"/>
        <w:jc w:val="both"/>
        <w:rPr>
          <w:sz w:val="28"/>
        </w:rPr>
      </w:pPr>
      <w:r>
        <w:rPr>
          <w:sz w:val="28"/>
        </w:rPr>
        <w:t>le nom et l’adresse du Soumissionnaire dont l’offre est retenue</w:t>
      </w:r>
      <w:r>
        <w:rPr>
          <w:spacing w:val="-16"/>
          <w:sz w:val="28"/>
        </w:rPr>
        <w:t> </w:t>
      </w:r>
      <w:r>
        <w:rPr>
          <w:sz w:val="28"/>
        </w:rPr>
        <w:t>;</w:t>
      </w:r>
    </w:p>
    <w:p>
      <w:pPr>
        <w:pStyle w:val="ListParagraph"/>
        <w:numPr>
          <w:ilvl w:val="1"/>
          <w:numId w:val="46"/>
        </w:numPr>
        <w:tabs>
          <w:tab w:pos="1399" w:val="left" w:leader="none"/>
        </w:tabs>
        <w:spacing w:line="240" w:lineRule="auto" w:before="0" w:after="0"/>
        <w:ind w:left="1398" w:right="0" w:hanging="400"/>
        <w:jc w:val="both"/>
        <w:rPr>
          <w:sz w:val="28"/>
        </w:rPr>
      </w:pPr>
      <w:r>
        <w:rPr>
          <w:sz w:val="28"/>
        </w:rPr>
        <w:t>le Montant du Marché de ce Soumissionnaire</w:t>
      </w:r>
      <w:r>
        <w:rPr>
          <w:spacing w:val="-10"/>
          <w:sz w:val="28"/>
        </w:rPr>
        <w:t> </w:t>
      </w:r>
      <w:r>
        <w:rPr>
          <w:sz w:val="28"/>
        </w:rPr>
        <w:t>;</w:t>
      </w:r>
    </w:p>
    <w:p>
      <w:pPr>
        <w:pStyle w:val="ListParagraph"/>
        <w:numPr>
          <w:ilvl w:val="1"/>
          <w:numId w:val="46"/>
        </w:numPr>
        <w:tabs>
          <w:tab w:pos="1386" w:val="left" w:leader="none"/>
        </w:tabs>
        <w:spacing w:line="240" w:lineRule="auto" w:before="2" w:after="0"/>
        <w:ind w:left="999" w:right="751" w:firstLine="0"/>
        <w:jc w:val="both"/>
        <w:rPr>
          <w:sz w:val="28"/>
        </w:rPr>
      </w:pPr>
      <w:r>
        <w:rPr>
          <w:sz w:val="28"/>
        </w:rPr>
        <w:t>le nom de tous les Soumissionnaires ayant remis une offre, et le prix de leurs offres</w:t>
      </w:r>
      <w:r>
        <w:rPr>
          <w:spacing w:val="-5"/>
          <w:sz w:val="28"/>
        </w:rPr>
        <w:t> </w:t>
      </w:r>
      <w:r>
        <w:rPr>
          <w:sz w:val="28"/>
        </w:rPr>
        <w:t>tel</w:t>
      </w:r>
      <w:r>
        <w:rPr>
          <w:spacing w:val="-3"/>
          <w:sz w:val="28"/>
        </w:rPr>
        <w:t> </w:t>
      </w:r>
      <w:r>
        <w:rPr>
          <w:sz w:val="28"/>
        </w:rPr>
        <w:t>qu’annoncé</w:t>
      </w:r>
      <w:r>
        <w:rPr>
          <w:spacing w:val="-7"/>
          <w:sz w:val="28"/>
        </w:rPr>
        <w:t> </w:t>
      </w:r>
      <w:r>
        <w:rPr>
          <w:sz w:val="28"/>
        </w:rPr>
        <w:t>lors</w:t>
      </w:r>
      <w:r>
        <w:rPr>
          <w:spacing w:val="-4"/>
          <w:sz w:val="28"/>
        </w:rPr>
        <w:t> </w:t>
      </w:r>
      <w:r>
        <w:rPr>
          <w:sz w:val="28"/>
        </w:rPr>
        <w:t>de</w:t>
      </w:r>
      <w:r>
        <w:rPr>
          <w:spacing w:val="-7"/>
          <w:sz w:val="28"/>
        </w:rPr>
        <w:t> </w:t>
      </w:r>
      <w:r>
        <w:rPr>
          <w:sz w:val="28"/>
        </w:rPr>
        <w:t>l’ouverture</w:t>
      </w:r>
      <w:r>
        <w:rPr>
          <w:spacing w:val="-5"/>
          <w:sz w:val="28"/>
        </w:rPr>
        <w:t> </w:t>
      </w:r>
      <w:r>
        <w:rPr>
          <w:sz w:val="28"/>
        </w:rPr>
        <w:t>des</w:t>
      </w:r>
      <w:r>
        <w:rPr>
          <w:spacing w:val="-4"/>
          <w:sz w:val="28"/>
        </w:rPr>
        <w:t> </w:t>
      </w:r>
      <w:r>
        <w:rPr>
          <w:sz w:val="28"/>
        </w:rPr>
        <w:t>plis</w:t>
      </w:r>
      <w:r>
        <w:rPr>
          <w:spacing w:val="-4"/>
          <w:sz w:val="28"/>
        </w:rPr>
        <w:t> </w:t>
      </w:r>
      <w:r>
        <w:rPr>
          <w:sz w:val="28"/>
        </w:rPr>
        <w:t>et</w:t>
      </w:r>
      <w:r>
        <w:rPr>
          <w:spacing w:val="-4"/>
          <w:sz w:val="28"/>
        </w:rPr>
        <w:t> </w:t>
      </w:r>
      <w:r>
        <w:rPr>
          <w:sz w:val="28"/>
        </w:rPr>
        <w:t>le</w:t>
      </w:r>
      <w:r>
        <w:rPr>
          <w:spacing w:val="-4"/>
          <w:sz w:val="28"/>
        </w:rPr>
        <w:t> </w:t>
      </w:r>
      <w:r>
        <w:rPr>
          <w:sz w:val="28"/>
        </w:rPr>
        <w:t>coût</w:t>
      </w:r>
      <w:r>
        <w:rPr>
          <w:spacing w:val="-4"/>
          <w:sz w:val="28"/>
        </w:rPr>
        <w:t> </w:t>
      </w:r>
      <w:r>
        <w:rPr>
          <w:sz w:val="28"/>
        </w:rPr>
        <w:t>évalué</w:t>
      </w:r>
      <w:r>
        <w:rPr>
          <w:spacing w:val="-5"/>
          <w:sz w:val="28"/>
        </w:rPr>
        <w:t> </w:t>
      </w:r>
      <w:r>
        <w:rPr>
          <w:sz w:val="28"/>
        </w:rPr>
        <w:t>de</w:t>
      </w:r>
      <w:r>
        <w:rPr>
          <w:spacing w:val="-4"/>
          <w:sz w:val="28"/>
        </w:rPr>
        <w:t> </w:t>
      </w:r>
      <w:r>
        <w:rPr>
          <w:sz w:val="28"/>
        </w:rPr>
        <w:t>chacune</w:t>
      </w:r>
      <w:r>
        <w:rPr>
          <w:spacing w:val="-4"/>
          <w:sz w:val="28"/>
        </w:rPr>
        <w:t> </w:t>
      </w:r>
      <w:r>
        <w:rPr>
          <w:sz w:val="28"/>
        </w:rPr>
        <w:t>des offres</w:t>
      </w:r>
      <w:r>
        <w:rPr>
          <w:spacing w:val="1"/>
          <w:sz w:val="28"/>
        </w:rPr>
        <w:t> </w:t>
      </w:r>
      <w:r>
        <w:rPr>
          <w:sz w:val="28"/>
        </w:rPr>
        <w:t>;</w:t>
      </w:r>
    </w:p>
    <w:p>
      <w:pPr>
        <w:pStyle w:val="ListParagraph"/>
        <w:numPr>
          <w:ilvl w:val="1"/>
          <w:numId w:val="46"/>
        </w:numPr>
        <w:tabs>
          <w:tab w:pos="1525" w:val="left" w:leader="none"/>
        </w:tabs>
        <w:spacing w:line="240" w:lineRule="auto" w:before="0" w:after="0"/>
        <w:ind w:left="999" w:right="759" w:firstLine="0"/>
        <w:jc w:val="both"/>
        <w:rPr>
          <w:sz w:val="28"/>
        </w:rPr>
      </w:pPr>
      <w:r>
        <w:rPr>
          <w:sz w:val="28"/>
        </w:rPr>
        <w:t>une déclaration indiquant le(s) motif(s) pour le(s)quel(s) l’Offre du Soumissionnaire non retenu, destinataire de la notification, n’a pas </w:t>
      </w:r>
      <w:r>
        <w:rPr>
          <w:spacing w:val="3"/>
          <w:sz w:val="28"/>
        </w:rPr>
        <w:t>été </w:t>
      </w:r>
      <w:r>
        <w:rPr>
          <w:sz w:val="28"/>
        </w:rPr>
        <w:t>retenue</w:t>
      </w:r>
      <w:r>
        <w:rPr>
          <w:spacing w:val="-45"/>
          <w:sz w:val="28"/>
        </w:rPr>
        <w:t> </w:t>
      </w:r>
      <w:r>
        <w:rPr>
          <w:sz w:val="28"/>
        </w:rPr>
        <w:t>;</w:t>
      </w:r>
    </w:p>
    <w:p>
      <w:pPr>
        <w:pStyle w:val="ListParagraph"/>
        <w:numPr>
          <w:ilvl w:val="1"/>
          <w:numId w:val="46"/>
        </w:numPr>
        <w:tabs>
          <w:tab w:pos="1382" w:val="left" w:leader="none"/>
        </w:tabs>
        <w:spacing w:line="240" w:lineRule="auto" w:before="0" w:after="0"/>
        <w:ind w:left="1381" w:right="0" w:hanging="383"/>
        <w:jc w:val="both"/>
        <w:rPr>
          <w:sz w:val="28"/>
        </w:rPr>
      </w:pPr>
      <w:r>
        <w:rPr>
          <w:sz w:val="28"/>
        </w:rPr>
        <w:t>la date d’expiration de la période d’attente ;</w:t>
      </w:r>
      <w:r>
        <w:rPr>
          <w:spacing w:val="-9"/>
          <w:sz w:val="28"/>
        </w:rPr>
        <w:t> </w:t>
      </w:r>
      <w:r>
        <w:rPr>
          <w:sz w:val="28"/>
        </w:rPr>
        <w:t>et</w:t>
      </w:r>
    </w:p>
    <w:p>
      <w:pPr>
        <w:pStyle w:val="ListParagraph"/>
        <w:numPr>
          <w:ilvl w:val="1"/>
          <w:numId w:val="46"/>
        </w:numPr>
        <w:tabs>
          <w:tab w:pos="1355" w:val="left" w:leader="none"/>
        </w:tabs>
        <w:spacing w:line="240" w:lineRule="auto" w:before="1" w:after="0"/>
        <w:ind w:left="999" w:right="762" w:firstLine="0"/>
        <w:jc w:val="both"/>
        <w:rPr>
          <w:sz w:val="28"/>
        </w:rPr>
      </w:pPr>
      <w:r>
        <w:rPr>
          <w:sz w:val="28"/>
        </w:rPr>
        <w:t>les instructions concernant la présentation d’une demande de débriefing et/ou d’un recours durant la période</w:t>
      </w:r>
      <w:r>
        <w:rPr>
          <w:spacing w:val="-5"/>
          <w:sz w:val="28"/>
        </w:rPr>
        <w:t> </w:t>
      </w:r>
      <w:r>
        <w:rPr>
          <w:sz w:val="28"/>
        </w:rPr>
        <w:t>d’attente</w:t>
      </w:r>
    </w:p>
    <w:p>
      <w:pPr>
        <w:pStyle w:val="BodyText"/>
        <w:spacing w:before="239"/>
        <w:ind w:right="750"/>
      </w:pPr>
      <w:r>
        <w:rPr/>
        <w:t>Le marché ne peut être soumis à l’avis du Conseil d’Administration qu'après l'expiration d'un délai de cinq (5) jours ouvrables à compter de la date de publication de l’avis d’attribution.</w:t>
      </w:r>
    </w:p>
    <w:p>
      <w:pPr>
        <w:pStyle w:val="Heading2"/>
        <w:numPr>
          <w:ilvl w:val="0"/>
          <w:numId w:val="49"/>
        </w:numPr>
        <w:tabs>
          <w:tab w:pos="794" w:val="left" w:leader="none"/>
        </w:tabs>
        <w:spacing w:line="319" w:lineRule="exact" w:before="123" w:after="0"/>
        <w:ind w:left="793" w:right="0" w:hanging="361"/>
        <w:jc w:val="both"/>
      </w:pPr>
      <w:r>
        <w:rPr/>
        <w:t>Allégation</w:t>
      </w:r>
    </w:p>
    <w:p>
      <w:pPr>
        <w:pStyle w:val="BodyText"/>
        <w:ind w:right="746"/>
      </w:pPr>
      <w:r>
        <w:rPr/>
        <w:t>Tout candidat non retenu, ayant des contestations ou allégations contre les résultats</w:t>
      </w:r>
      <w:r>
        <w:rPr>
          <w:spacing w:val="-15"/>
        </w:rPr>
        <w:t> </w:t>
      </w:r>
      <w:r>
        <w:rPr/>
        <w:t>de</w:t>
      </w:r>
      <w:r>
        <w:rPr>
          <w:spacing w:val="-12"/>
        </w:rPr>
        <w:t> </w:t>
      </w:r>
      <w:r>
        <w:rPr/>
        <w:t>mise</w:t>
      </w:r>
      <w:r>
        <w:rPr>
          <w:spacing w:val="-12"/>
        </w:rPr>
        <w:t> </w:t>
      </w:r>
      <w:r>
        <w:rPr/>
        <w:t>en</w:t>
      </w:r>
      <w:r>
        <w:rPr>
          <w:spacing w:val="-11"/>
        </w:rPr>
        <w:t> </w:t>
      </w:r>
      <w:r>
        <w:rPr/>
        <w:t>concurrence,</w:t>
      </w:r>
      <w:r>
        <w:rPr>
          <w:spacing w:val="48"/>
        </w:rPr>
        <w:t> </w:t>
      </w:r>
      <w:r>
        <w:rPr/>
        <w:t>dispose</w:t>
      </w:r>
      <w:r>
        <w:rPr>
          <w:spacing w:val="-14"/>
        </w:rPr>
        <w:t> </w:t>
      </w:r>
      <w:r>
        <w:rPr/>
        <w:t>de</w:t>
      </w:r>
      <w:r>
        <w:rPr>
          <w:spacing w:val="-12"/>
        </w:rPr>
        <w:t> </w:t>
      </w:r>
      <w:r>
        <w:rPr/>
        <w:t>trois</w:t>
      </w:r>
      <w:r>
        <w:rPr>
          <w:spacing w:val="-13"/>
        </w:rPr>
        <w:t> </w:t>
      </w:r>
      <w:r>
        <w:rPr/>
        <w:t>(3)</w:t>
      </w:r>
      <w:r>
        <w:rPr>
          <w:spacing w:val="-12"/>
        </w:rPr>
        <w:t> </w:t>
      </w:r>
      <w:r>
        <w:rPr/>
        <w:t>jours</w:t>
      </w:r>
      <w:r>
        <w:rPr>
          <w:spacing w:val="-12"/>
        </w:rPr>
        <w:t> </w:t>
      </w:r>
      <w:r>
        <w:rPr/>
        <w:t>ouvrables</w:t>
      </w:r>
      <w:r>
        <w:rPr>
          <w:spacing w:val="-14"/>
        </w:rPr>
        <w:t> </w:t>
      </w:r>
      <w:r>
        <w:rPr/>
        <w:t>pour</w:t>
      </w:r>
      <w:r>
        <w:rPr>
          <w:spacing w:val="-13"/>
        </w:rPr>
        <w:t> </w:t>
      </w:r>
      <w:r>
        <w:rPr/>
        <w:t>déposer</w:t>
      </w:r>
      <w:r>
        <w:rPr>
          <w:spacing w:val="-15"/>
        </w:rPr>
        <w:t> </w:t>
      </w:r>
      <w:r>
        <w:rPr/>
        <w:t>une demande écrite d’éclaircissement adressée au GCT, qui devra accorder un compte- rendu à tout soumissionnaire non retenu qui en aura fait la demande dans ce</w:t>
      </w:r>
      <w:r>
        <w:rPr>
          <w:spacing w:val="-21"/>
        </w:rPr>
        <w:t> </w:t>
      </w:r>
      <w:r>
        <w:rPr/>
        <w:t>délai.</w:t>
      </w:r>
    </w:p>
    <w:p>
      <w:pPr>
        <w:pStyle w:val="BodyText"/>
        <w:ind w:right="748"/>
      </w:pPr>
      <w:r>
        <w:rPr/>
        <w:t>Lorsqu’une demande d’éclaircissement aura été présentée dans le délai prescrit, le GCT accordera un compte-rendu dans le délai de deux (2) jours ouvrables. Le compte-rendu peut être oral ou par écrit. Le soumissionnaire réclamant un éclaircissement devra prendre à sa charge toute dépense y afférente.</w:t>
      </w:r>
    </w:p>
    <w:p>
      <w:pPr>
        <w:pStyle w:val="BodyText"/>
        <w:ind w:right="749"/>
      </w:pPr>
      <w:r>
        <w:rPr/>
        <w:t>Le marché ne peut être signé qu'après l'expiration d'un délai de cinq (05) jours ouvrables à compter de la date de publication de l’avis d’attribution provisoires du marché. Les participants peuvent au cours du délai sus visé, présenter une requête au sujet des résultats de la mise en concurrence, auprès de la commission de recours et d’intégrité. Cette requête doit être accompagnée d’un rapport détaillé et circonstancié, appuyé des justificatifs nécessaires.</w:t>
      </w:r>
    </w:p>
    <w:p>
      <w:pPr>
        <w:pStyle w:val="BodyText"/>
        <w:spacing w:before="1"/>
        <w:ind w:right="750"/>
      </w:pPr>
      <w:r>
        <w:rPr/>
        <w:t>Passé ce délai, la structure d’achat concernée soumet le dossier de marché à l’approbation du Conseil d'administration.</w:t>
      </w:r>
    </w:p>
    <w:p>
      <w:pPr>
        <w:pStyle w:val="Heading2"/>
        <w:numPr>
          <w:ilvl w:val="0"/>
          <w:numId w:val="49"/>
        </w:numPr>
        <w:tabs>
          <w:tab w:pos="791" w:val="left" w:leader="none"/>
        </w:tabs>
        <w:spacing w:line="319" w:lineRule="exact" w:before="124" w:after="0"/>
        <w:ind w:left="790" w:right="0" w:hanging="358"/>
        <w:jc w:val="both"/>
      </w:pPr>
      <w:r>
        <w:rPr/>
        <w:t>Approbation du Conseil d’administration</w:t>
      </w:r>
    </w:p>
    <w:p>
      <w:pPr>
        <w:pStyle w:val="BodyText"/>
        <w:ind w:right="754"/>
        <w:jc w:val="right"/>
      </w:pPr>
      <w:r>
        <w:rPr/>
        <w:t>La Structure d’achat concernée prépare une note de présentation de</w:t>
      </w:r>
      <w:r>
        <w:rPr>
          <w:spacing w:val="62"/>
        </w:rPr>
        <w:t> </w:t>
      </w:r>
      <w:r>
        <w:rPr/>
        <w:t>dossier</w:t>
      </w:r>
      <w:r>
        <w:rPr>
          <w:w w:val="100"/>
        </w:rPr>
        <w:t> </w:t>
      </w:r>
      <w:r>
        <w:rPr/>
        <w:t>d’attribution de marché et la transfère au Conseil d’Administration pour approbation ;</w:t>
      </w:r>
    </w:p>
    <w:p>
      <w:pPr>
        <w:pStyle w:val="BodyText"/>
        <w:spacing w:line="242" w:lineRule="auto"/>
        <w:ind w:right="759"/>
      </w:pPr>
      <w:r>
        <w:rPr/>
        <w:t>Le conseil d’administration délibère sur le dossier d’attribution du marché au premier conseil tenu après réception de l’avis de la CME.</w:t>
      </w:r>
    </w:p>
    <w:p>
      <w:pPr>
        <w:pStyle w:val="BodyText"/>
        <w:ind w:right="755"/>
      </w:pPr>
      <w:r>
        <w:rPr/>
        <w:t>L’avis de la CME est consultatif et ne lie pas le Conseil d'administration. Toutefois, dans le cas </w:t>
      </w:r>
      <w:r>
        <w:rPr>
          <w:spacing w:val="2"/>
        </w:rPr>
        <w:t>où </w:t>
      </w:r>
      <w:r>
        <w:rPr/>
        <w:t>le conseil d'administration passe outre l'avis de la CME ou lorsque</w:t>
      </w:r>
      <w:r>
        <w:rPr>
          <w:spacing w:val="-19"/>
        </w:rPr>
        <w:t> </w:t>
      </w:r>
      <w:r>
        <w:rPr/>
        <w:t>l'avis</w:t>
      </w:r>
      <w:r>
        <w:rPr>
          <w:spacing w:val="-19"/>
        </w:rPr>
        <w:t> </w:t>
      </w:r>
      <w:r>
        <w:rPr/>
        <w:t>de</w:t>
      </w:r>
      <w:r>
        <w:rPr>
          <w:spacing w:val="-19"/>
        </w:rPr>
        <w:t> </w:t>
      </w:r>
      <w:r>
        <w:rPr/>
        <w:t>la</w:t>
      </w:r>
      <w:r>
        <w:rPr>
          <w:spacing w:val="-18"/>
        </w:rPr>
        <w:t> </w:t>
      </w:r>
      <w:r>
        <w:rPr/>
        <w:t>CME</w:t>
      </w:r>
      <w:r>
        <w:rPr>
          <w:spacing w:val="-19"/>
        </w:rPr>
        <w:t> </w:t>
      </w:r>
      <w:r>
        <w:rPr/>
        <w:t>comporte</w:t>
      </w:r>
      <w:r>
        <w:rPr>
          <w:spacing w:val="-22"/>
        </w:rPr>
        <w:t> </w:t>
      </w:r>
      <w:r>
        <w:rPr/>
        <w:t>des</w:t>
      </w:r>
      <w:r>
        <w:rPr>
          <w:spacing w:val="-19"/>
        </w:rPr>
        <w:t> </w:t>
      </w:r>
      <w:r>
        <w:rPr/>
        <w:t>réserves</w:t>
      </w:r>
      <w:r>
        <w:rPr>
          <w:spacing w:val="-20"/>
        </w:rPr>
        <w:t> </w:t>
      </w:r>
      <w:r>
        <w:rPr/>
        <w:t>ou</w:t>
      </w:r>
      <w:r>
        <w:rPr>
          <w:spacing w:val="-20"/>
        </w:rPr>
        <w:t> </w:t>
      </w:r>
      <w:r>
        <w:rPr/>
        <w:t>oppositions</w:t>
      </w:r>
      <w:r>
        <w:rPr>
          <w:spacing w:val="-17"/>
        </w:rPr>
        <w:t> </w:t>
      </w:r>
      <w:r>
        <w:rPr/>
        <w:t>émises</w:t>
      </w:r>
      <w:r>
        <w:rPr>
          <w:spacing w:val="-18"/>
        </w:rPr>
        <w:t> </w:t>
      </w:r>
      <w:r>
        <w:rPr/>
        <w:t>par</w:t>
      </w:r>
      <w:r>
        <w:rPr>
          <w:spacing w:val="-18"/>
        </w:rPr>
        <w:t> </w:t>
      </w:r>
      <w:r>
        <w:rPr/>
        <w:t>le</w:t>
      </w:r>
      <w:r>
        <w:rPr>
          <w:spacing w:val="-18"/>
        </w:rPr>
        <w:t> </w:t>
      </w:r>
      <w:r>
        <w:rPr/>
        <w:t>Contrôleur</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1" w:firstLine="0"/>
      </w:pPr>
      <w:r>
        <w:rPr/>
        <w:t>d'Etat, le Conseil d'Administration doit, lors de l'approbation du marché, citer expressément ces réserves et oppositions dans un procès-verbal.</w:t>
      </w:r>
    </w:p>
    <w:p>
      <w:pPr>
        <w:pStyle w:val="BodyText"/>
        <w:ind w:right="749"/>
      </w:pPr>
      <w:r>
        <w:rPr/>
        <w:t>La décision du Conseil d’Administration est communiquée à la DCAHMP et à</w:t>
      </w:r>
      <w:r>
        <w:rPr>
          <w:spacing w:val="-45"/>
        </w:rPr>
        <w:t> </w:t>
      </w:r>
      <w:r>
        <w:rPr/>
        <w:t>la Structure d’Achat concernée. La Structure d’achat concernée informe la Structure demandeuse du sort du dossier</w:t>
      </w:r>
      <w:r>
        <w:rPr>
          <w:spacing w:val="-9"/>
        </w:rPr>
        <w:t> </w:t>
      </w:r>
      <w:r>
        <w:rPr/>
        <w:t>d'achat.</w:t>
      </w:r>
    </w:p>
    <w:p>
      <w:pPr>
        <w:pStyle w:val="Heading2"/>
        <w:numPr>
          <w:ilvl w:val="2"/>
          <w:numId w:val="45"/>
        </w:numPr>
        <w:tabs>
          <w:tab w:pos="1307" w:val="left" w:leader="none"/>
        </w:tabs>
        <w:spacing w:line="240" w:lineRule="auto" w:before="125" w:after="0"/>
        <w:ind w:left="1306" w:right="0" w:hanging="874"/>
        <w:jc w:val="both"/>
      </w:pPr>
      <w:bookmarkStart w:name="_TOC_250090" w:id="53"/>
      <w:r>
        <w:rPr/>
        <w:t>Appel d’offres précédé d’une</w:t>
      </w:r>
      <w:r>
        <w:rPr>
          <w:spacing w:val="-2"/>
        </w:rPr>
        <w:t> </w:t>
      </w:r>
      <w:bookmarkEnd w:id="53"/>
      <w:r>
        <w:rPr/>
        <w:t>pré-qualification</w:t>
      </w:r>
    </w:p>
    <w:p>
      <w:pPr>
        <w:pStyle w:val="BodyText"/>
        <w:spacing w:before="43"/>
        <w:ind w:right="753"/>
      </w:pPr>
      <w:r>
        <w:rPr/>
        <w:t>Lorsqu’il est précédé d'un appel public de candidature, il ne s'adresse qu'aux Candidats pré qualifiés en raison de l'importance du marché et de la complexité des prestations.</w:t>
      </w:r>
    </w:p>
    <w:p>
      <w:pPr>
        <w:pStyle w:val="Heading2"/>
        <w:spacing w:line="319" w:lineRule="exact" w:before="127"/>
        <w:jc w:val="left"/>
      </w:pPr>
      <w:r>
        <w:rPr/>
        <w:t>Procédure</w:t>
      </w:r>
    </w:p>
    <w:p>
      <w:pPr>
        <w:pStyle w:val="BodyText"/>
        <w:spacing w:line="319" w:lineRule="exact"/>
        <w:ind w:left="999" w:firstLine="0"/>
      </w:pPr>
      <w:r>
        <w:rPr/>
        <w:t>Il se déroule en deux phases :</w:t>
      </w:r>
    </w:p>
    <w:p>
      <w:pPr>
        <w:pStyle w:val="BodyText"/>
        <w:ind w:right="757"/>
      </w:pPr>
      <w:r>
        <w:rPr/>
        <w:t>La</w:t>
      </w:r>
      <w:r>
        <w:rPr>
          <w:spacing w:val="-13"/>
        </w:rPr>
        <w:t> </w:t>
      </w:r>
      <w:r>
        <w:rPr/>
        <w:t>première</w:t>
      </w:r>
      <w:r>
        <w:rPr>
          <w:spacing w:val="-13"/>
        </w:rPr>
        <w:t> </w:t>
      </w:r>
      <w:r>
        <w:rPr/>
        <w:t>phase</w:t>
      </w:r>
      <w:r>
        <w:rPr>
          <w:spacing w:val="-13"/>
        </w:rPr>
        <w:t> </w:t>
      </w:r>
      <w:r>
        <w:rPr/>
        <w:t>consiste</w:t>
      </w:r>
      <w:r>
        <w:rPr>
          <w:spacing w:val="-13"/>
        </w:rPr>
        <w:t> </w:t>
      </w:r>
      <w:r>
        <w:rPr/>
        <w:t>à</w:t>
      </w:r>
      <w:r>
        <w:rPr>
          <w:spacing w:val="-15"/>
        </w:rPr>
        <w:t> </w:t>
      </w:r>
      <w:r>
        <w:rPr/>
        <w:t>publier</w:t>
      </w:r>
      <w:r>
        <w:rPr>
          <w:spacing w:val="-13"/>
        </w:rPr>
        <w:t> </w:t>
      </w:r>
      <w:r>
        <w:rPr/>
        <w:t>un</w:t>
      </w:r>
      <w:r>
        <w:rPr>
          <w:spacing w:val="-13"/>
        </w:rPr>
        <w:t> </w:t>
      </w:r>
      <w:r>
        <w:rPr/>
        <w:t>avis</w:t>
      </w:r>
      <w:r>
        <w:rPr>
          <w:spacing w:val="-13"/>
        </w:rPr>
        <w:t> </w:t>
      </w:r>
      <w:r>
        <w:rPr/>
        <w:t>d'appel</w:t>
      </w:r>
      <w:r>
        <w:rPr>
          <w:spacing w:val="-13"/>
        </w:rPr>
        <w:t> </w:t>
      </w:r>
      <w:r>
        <w:rPr/>
        <w:t>à</w:t>
      </w:r>
      <w:r>
        <w:rPr>
          <w:spacing w:val="-12"/>
        </w:rPr>
        <w:t> </w:t>
      </w:r>
      <w:r>
        <w:rPr/>
        <w:t>manifestation</w:t>
      </w:r>
      <w:r>
        <w:rPr>
          <w:spacing w:val="-15"/>
        </w:rPr>
        <w:t> </w:t>
      </w:r>
      <w:r>
        <w:rPr/>
        <w:t>d'intérêts,</w:t>
      </w:r>
      <w:r>
        <w:rPr>
          <w:spacing w:val="-16"/>
        </w:rPr>
        <w:t> </w:t>
      </w:r>
      <w:r>
        <w:rPr/>
        <w:t>sur la</w:t>
      </w:r>
      <w:r>
        <w:rPr>
          <w:spacing w:val="-21"/>
        </w:rPr>
        <w:t> </w:t>
      </w:r>
      <w:r>
        <w:rPr/>
        <w:t>base</w:t>
      </w:r>
      <w:r>
        <w:rPr>
          <w:spacing w:val="-23"/>
        </w:rPr>
        <w:t> </w:t>
      </w:r>
      <w:r>
        <w:rPr/>
        <w:t>du</w:t>
      </w:r>
      <w:r>
        <w:rPr>
          <w:spacing w:val="-20"/>
        </w:rPr>
        <w:t> </w:t>
      </w:r>
      <w:r>
        <w:rPr/>
        <w:t>cahier</w:t>
      </w:r>
      <w:r>
        <w:rPr>
          <w:spacing w:val="-22"/>
        </w:rPr>
        <w:t> </w:t>
      </w:r>
      <w:r>
        <w:rPr/>
        <w:t>des</w:t>
      </w:r>
      <w:r>
        <w:rPr>
          <w:spacing w:val="-20"/>
        </w:rPr>
        <w:t> </w:t>
      </w:r>
      <w:r>
        <w:rPr/>
        <w:t>termes</w:t>
      </w:r>
      <w:r>
        <w:rPr>
          <w:spacing w:val="-20"/>
        </w:rPr>
        <w:t> </w:t>
      </w:r>
      <w:r>
        <w:rPr/>
        <w:t>de</w:t>
      </w:r>
      <w:r>
        <w:rPr>
          <w:spacing w:val="-20"/>
        </w:rPr>
        <w:t> </w:t>
      </w:r>
      <w:r>
        <w:rPr/>
        <w:t>références</w:t>
      </w:r>
      <w:r>
        <w:rPr>
          <w:spacing w:val="-20"/>
        </w:rPr>
        <w:t> </w:t>
      </w:r>
      <w:r>
        <w:rPr/>
        <w:t>qui</w:t>
      </w:r>
      <w:r>
        <w:rPr>
          <w:spacing w:val="-22"/>
        </w:rPr>
        <w:t> </w:t>
      </w:r>
      <w:r>
        <w:rPr/>
        <w:t>prévoient</w:t>
      </w:r>
      <w:r>
        <w:rPr>
          <w:spacing w:val="-19"/>
        </w:rPr>
        <w:t> </w:t>
      </w:r>
      <w:r>
        <w:rPr/>
        <w:t>les</w:t>
      </w:r>
      <w:r>
        <w:rPr>
          <w:spacing w:val="-20"/>
        </w:rPr>
        <w:t> </w:t>
      </w:r>
      <w:r>
        <w:rPr/>
        <w:t>conditions</w:t>
      </w:r>
      <w:r>
        <w:rPr>
          <w:spacing w:val="-20"/>
        </w:rPr>
        <w:t> </w:t>
      </w:r>
      <w:r>
        <w:rPr/>
        <w:t>de</w:t>
      </w:r>
      <w:r>
        <w:rPr>
          <w:spacing w:val="-22"/>
        </w:rPr>
        <w:t> </w:t>
      </w:r>
      <w:r>
        <w:rPr/>
        <w:t>participations, la méthodologie et les critères de présélection des</w:t>
      </w:r>
      <w:r>
        <w:rPr>
          <w:spacing w:val="-3"/>
        </w:rPr>
        <w:t> </w:t>
      </w:r>
      <w:r>
        <w:rPr/>
        <w:t>candidats.</w:t>
      </w:r>
    </w:p>
    <w:p>
      <w:pPr>
        <w:pStyle w:val="BodyText"/>
        <w:spacing w:line="242" w:lineRule="auto"/>
        <w:ind w:right="758"/>
      </w:pPr>
      <w:r>
        <w:rPr/>
        <w:t>La deuxième phase consiste à inviter, les candidats présélectionnés à présenter leurs offres sur la base des termes de références détaillés.</w:t>
      </w:r>
    </w:p>
    <w:p>
      <w:pPr>
        <w:pStyle w:val="BodyText"/>
        <w:ind w:right="761"/>
      </w:pPr>
      <w:r>
        <w:rPr/>
        <w:t>Le passage à la deuxième phase se fait après approbation du rapport de pré qualification par la Commission de contrôle.</w:t>
      </w:r>
    </w:p>
    <w:p>
      <w:pPr>
        <w:pStyle w:val="Heading2"/>
        <w:numPr>
          <w:ilvl w:val="2"/>
          <w:numId w:val="45"/>
        </w:numPr>
        <w:tabs>
          <w:tab w:pos="1307" w:val="left" w:leader="none"/>
        </w:tabs>
        <w:spacing w:line="240" w:lineRule="auto" w:before="118" w:after="0"/>
        <w:ind w:left="1306" w:right="0" w:hanging="874"/>
        <w:jc w:val="both"/>
      </w:pPr>
      <w:bookmarkStart w:name="_TOC_250089" w:id="54"/>
      <w:r>
        <w:rPr/>
        <w:t>Appel d’offres en deux</w:t>
      </w:r>
      <w:r>
        <w:rPr>
          <w:spacing w:val="1"/>
        </w:rPr>
        <w:t> </w:t>
      </w:r>
      <w:bookmarkEnd w:id="54"/>
      <w:r>
        <w:rPr/>
        <w:t>étapes</w:t>
      </w:r>
    </w:p>
    <w:p>
      <w:pPr>
        <w:pStyle w:val="BodyText"/>
        <w:spacing w:before="43"/>
        <w:ind w:right="758"/>
      </w:pPr>
      <w:r>
        <w:rPr/>
        <w:t>Pour les commandes revêtant un caractère technique spécifique ou qui</w:t>
      </w:r>
      <w:r>
        <w:rPr>
          <w:spacing w:val="-46"/>
        </w:rPr>
        <w:t> </w:t>
      </w:r>
      <w:r>
        <w:rPr/>
        <w:t>requièrent une technologie nouvelle que le GCT cherche à explorer et à exploiter et dont les spécifications techniques ne peuvent être définies au</w:t>
      </w:r>
      <w:r>
        <w:rPr>
          <w:spacing w:val="-5"/>
        </w:rPr>
        <w:t> </w:t>
      </w:r>
      <w:r>
        <w:rPr/>
        <w:t>préalable.</w:t>
      </w:r>
    </w:p>
    <w:p>
      <w:pPr>
        <w:pStyle w:val="Heading2"/>
        <w:spacing w:line="319" w:lineRule="exact" w:before="126"/>
        <w:jc w:val="left"/>
      </w:pPr>
      <w:r>
        <w:rPr/>
        <w:t>Procédure</w:t>
      </w:r>
    </w:p>
    <w:p>
      <w:pPr>
        <w:pStyle w:val="BodyText"/>
        <w:spacing w:line="319" w:lineRule="exact"/>
        <w:ind w:left="999" w:firstLine="0"/>
      </w:pPr>
      <w:r>
        <w:rPr/>
        <w:t>Cet appel d’offres se déroule en deux phases :</w:t>
      </w:r>
    </w:p>
    <w:p>
      <w:pPr>
        <w:pStyle w:val="BodyText"/>
        <w:ind w:right="755"/>
      </w:pPr>
      <w:r>
        <w:rPr/>
        <w:t>La première phase consiste à lancer un appel à la concurrence invitant les candidats potentiels à présenter des offres techniques comportant uniquement les conceptions,</w:t>
      </w:r>
      <w:r>
        <w:rPr>
          <w:spacing w:val="-9"/>
        </w:rPr>
        <w:t> </w:t>
      </w:r>
      <w:r>
        <w:rPr/>
        <w:t>les</w:t>
      </w:r>
      <w:r>
        <w:rPr>
          <w:spacing w:val="-6"/>
        </w:rPr>
        <w:t> </w:t>
      </w:r>
      <w:r>
        <w:rPr/>
        <w:t>études</w:t>
      </w:r>
      <w:r>
        <w:rPr>
          <w:spacing w:val="-6"/>
        </w:rPr>
        <w:t> </w:t>
      </w:r>
      <w:r>
        <w:rPr/>
        <w:t>et</w:t>
      </w:r>
      <w:r>
        <w:rPr>
          <w:spacing w:val="-7"/>
        </w:rPr>
        <w:t> </w:t>
      </w:r>
      <w:r>
        <w:rPr/>
        <w:t>les</w:t>
      </w:r>
      <w:r>
        <w:rPr>
          <w:spacing w:val="-3"/>
        </w:rPr>
        <w:t> </w:t>
      </w:r>
      <w:r>
        <w:rPr/>
        <w:t>solutions</w:t>
      </w:r>
      <w:r>
        <w:rPr>
          <w:spacing w:val="-8"/>
        </w:rPr>
        <w:t> </w:t>
      </w:r>
      <w:r>
        <w:rPr/>
        <w:t>sur</w:t>
      </w:r>
      <w:r>
        <w:rPr>
          <w:spacing w:val="-10"/>
        </w:rPr>
        <w:t> </w:t>
      </w:r>
      <w:r>
        <w:rPr/>
        <w:t>la</w:t>
      </w:r>
      <w:r>
        <w:rPr>
          <w:spacing w:val="-8"/>
        </w:rPr>
        <w:t> </w:t>
      </w:r>
      <w:r>
        <w:rPr/>
        <w:t>base</w:t>
      </w:r>
      <w:r>
        <w:rPr>
          <w:spacing w:val="-8"/>
        </w:rPr>
        <w:t> </w:t>
      </w:r>
      <w:r>
        <w:rPr/>
        <w:t>des</w:t>
      </w:r>
      <w:r>
        <w:rPr>
          <w:spacing w:val="-7"/>
        </w:rPr>
        <w:t> </w:t>
      </w:r>
      <w:r>
        <w:rPr/>
        <w:t>termes</w:t>
      </w:r>
      <w:r>
        <w:rPr>
          <w:spacing w:val="-6"/>
        </w:rPr>
        <w:t> </w:t>
      </w:r>
      <w:r>
        <w:rPr/>
        <w:t>de</w:t>
      </w:r>
      <w:r>
        <w:rPr>
          <w:spacing w:val="-8"/>
        </w:rPr>
        <w:t> </w:t>
      </w:r>
      <w:r>
        <w:rPr/>
        <w:t>référence</w:t>
      </w:r>
      <w:r>
        <w:rPr>
          <w:spacing w:val="-7"/>
        </w:rPr>
        <w:t> </w:t>
      </w:r>
      <w:r>
        <w:rPr/>
        <w:t>élaborés</w:t>
      </w:r>
      <w:r>
        <w:rPr>
          <w:spacing w:val="-7"/>
        </w:rPr>
        <w:t> </w:t>
      </w:r>
      <w:r>
        <w:rPr/>
        <w:t>par le</w:t>
      </w:r>
      <w:r>
        <w:rPr>
          <w:spacing w:val="-1"/>
        </w:rPr>
        <w:t> </w:t>
      </w:r>
      <w:r>
        <w:rPr/>
        <w:t>GCT.</w:t>
      </w:r>
    </w:p>
    <w:p>
      <w:pPr>
        <w:pStyle w:val="BodyText"/>
        <w:spacing w:before="1"/>
        <w:ind w:right="763"/>
      </w:pPr>
      <w:r>
        <w:rPr/>
        <w:t>Le GCT détermine ses besoins définitivement et arrête les spécifications techniques exigées au vu des solutions techniques proposées par les participants et élabore en conséquence les cahiers des charges qui serviront pour la seconde étape.</w:t>
      </w:r>
    </w:p>
    <w:p>
      <w:pPr>
        <w:pStyle w:val="BodyText"/>
        <w:ind w:right="755"/>
      </w:pPr>
      <w:r>
        <w:rPr/>
        <w:t>La deuxième phase: Seuls les candidats ayant participé à la première étape sont invités lors de la deuxième phase à présenter leurs offres techniques et financières.</w:t>
      </w:r>
    </w:p>
    <w:p>
      <w:pPr>
        <w:pStyle w:val="Heading2"/>
        <w:numPr>
          <w:ilvl w:val="2"/>
          <w:numId w:val="45"/>
        </w:numPr>
        <w:tabs>
          <w:tab w:pos="1307" w:val="left" w:leader="none"/>
        </w:tabs>
        <w:spacing w:line="240" w:lineRule="auto" w:before="123" w:after="0"/>
        <w:ind w:left="1306" w:right="0" w:hanging="874"/>
        <w:jc w:val="both"/>
      </w:pPr>
      <w:bookmarkStart w:name="_TOC_250088" w:id="55"/>
      <w:bookmarkEnd w:id="55"/>
      <w:r>
        <w:rPr/>
        <w:t>Consultation</w:t>
      </w:r>
    </w:p>
    <w:p>
      <w:pPr>
        <w:pStyle w:val="BodyText"/>
        <w:spacing w:before="46"/>
        <w:ind w:left="999" w:firstLine="0"/>
      </w:pPr>
      <w:r>
        <w:rPr/>
        <w:t>Le GCT peut recourir à ce type de procédure dans les cas suivants :</w:t>
      </w:r>
    </w:p>
    <w:p>
      <w:pPr>
        <w:pStyle w:val="ListParagraph"/>
        <w:numPr>
          <w:ilvl w:val="3"/>
          <w:numId w:val="45"/>
        </w:numPr>
        <w:tabs>
          <w:tab w:pos="1000" w:val="left" w:leader="none"/>
        </w:tabs>
        <w:spacing w:line="322" w:lineRule="exact" w:before="0" w:after="0"/>
        <w:ind w:left="999" w:right="0" w:hanging="284"/>
        <w:jc w:val="both"/>
        <w:rPr>
          <w:sz w:val="28"/>
        </w:rPr>
      </w:pPr>
      <w:r>
        <w:rPr>
          <w:sz w:val="28"/>
        </w:rPr>
        <w:t>Pour répondre à un besoin très spécifique</w:t>
      </w:r>
      <w:r>
        <w:rPr>
          <w:spacing w:val="-7"/>
          <w:sz w:val="28"/>
        </w:rPr>
        <w:t> </w:t>
      </w:r>
      <w:r>
        <w:rPr>
          <w:sz w:val="28"/>
        </w:rPr>
        <w:t>;</w:t>
      </w:r>
    </w:p>
    <w:p>
      <w:pPr>
        <w:pStyle w:val="ListParagraph"/>
        <w:numPr>
          <w:ilvl w:val="3"/>
          <w:numId w:val="45"/>
        </w:numPr>
        <w:tabs>
          <w:tab w:pos="1000" w:val="left" w:leader="none"/>
        </w:tabs>
        <w:spacing w:line="322" w:lineRule="exact" w:before="0" w:after="0"/>
        <w:ind w:left="999" w:right="0" w:hanging="284"/>
        <w:jc w:val="both"/>
        <w:rPr>
          <w:sz w:val="28"/>
        </w:rPr>
      </w:pPr>
      <w:r>
        <w:rPr>
          <w:sz w:val="28"/>
        </w:rPr>
        <w:t>Besoin présentant un caractère de sécurité et de</w:t>
      </w:r>
      <w:r>
        <w:rPr>
          <w:spacing w:val="-14"/>
          <w:sz w:val="28"/>
        </w:rPr>
        <w:t> </w:t>
      </w:r>
      <w:r>
        <w:rPr>
          <w:sz w:val="28"/>
        </w:rPr>
        <w:t>confidentialité.</w:t>
      </w:r>
    </w:p>
    <w:p>
      <w:pPr>
        <w:pStyle w:val="ListParagraph"/>
        <w:numPr>
          <w:ilvl w:val="3"/>
          <w:numId w:val="45"/>
        </w:numPr>
        <w:tabs>
          <w:tab w:pos="1000" w:val="left" w:leader="none"/>
        </w:tabs>
        <w:spacing w:line="240" w:lineRule="auto" w:before="0" w:after="0"/>
        <w:ind w:left="999" w:right="762" w:hanging="284"/>
        <w:jc w:val="both"/>
        <w:rPr>
          <w:sz w:val="28"/>
        </w:rPr>
      </w:pPr>
      <w:r>
        <w:rPr>
          <w:sz w:val="28"/>
        </w:rPr>
        <w:t>Les commandes qui ne peuvent être exécutées que par un nombre limité de prestataires</w:t>
      </w:r>
      <w:r>
        <w:rPr>
          <w:spacing w:val="39"/>
          <w:sz w:val="28"/>
        </w:rPr>
        <w:t> </w:t>
      </w:r>
      <w:r>
        <w:rPr>
          <w:sz w:val="28"/>
        </w:rPr>
        <w:t>en</w:t>
      </w:r>
      <w:r>
        <w:rPr>
          <w:spacing w:val="40"/>
          <w:sz w:val="28"/>
        </w:rPr>
        <w:t> </w:t>
      </w:r>
      <w:r>
        <w:rPr>
          <w:sz w:val="28"/>
        </w:rPr>
        <w:t>raison</w:t>
      </w:r>
      <w:r>
        <w:rPr>
          <w:spacing w:val="39"/>
          <w:sz w:val="28"/>
        </w:rPr>
        <w:t> </w:t>
      </w:r>
      <w:r>
        <w:rPr>
          <w:sz w:val="28"/>
        </w:rPr>
        <w:t>de</w:t>
      </w:r>
      <w:r>
        <w:rPr>
          <w:spacing w:val="39"/>
          <w:sz w:val="28"/>
        </w:rPr>
        <w:t> </w:t>
      </w:r>
      <w:r>
        <w:rPr>
          <w:sz w:val="28"/>
        </w:rPr>
        <w:t>la</w:t>
      </w:r>
      <w:r>
        <w:rPr>
          <w:spacing w:val="36"/>
          <w:sz w:val="28"/>
        </w:rPr>
        <w:t> </w:t>
      </w:r>
      <w:r>
        <w:rPr>
          <w:sz w:val="28"/>
        </w:rPr>
        <w:t>nature</w:t>
      </w:r>
      <w:r>
        <w:rPr>
          <w:spacing w:val="38"/>
          <w:sz w:val="28"/>
        </w:rPr>
        <w:t> </w:t>
      </w:r>
      <w:r>
        <w:rPr>
          <w:sz w:val="28"/>
        </w:rPr>
        <w:t>et</w:t>
      </w:r>
      <w:r>
        <w:rPr>
          <w:spacing w:val="37"/>
          <w:sz w:val="28"/>
        </w:rPr>
        <w:t> </w:t>
      </w:r>
      <w:r>
        <w:rPr>
          <w:sz w:val="28"/>
        </w:rPr>
        <w:t>la</w:t>
      </w:r>
      <w:r>
        <w:rPr>
          <w:spacing w:val="38"/>
          <w:sz w:val="28"/>
        </w:rPr>
        <w:t> </w:t>
      </w:r>
      <w:r>
        <w:rPr>
          <w:sz w:val="28"/>
        </w:rPr>
        <w:t>particularité</w:t>
      </w:r>
      <w:r>
        <w:rPr>
          <w:spacing w:val="36"/>
          <w:sz w:val="28"/>
        </w:rPr>
        <w:t> </w:t>
      </w:r>
      <w:r>
        <w:rPr>
          <w:sz w:val="28"/>
        </w:rPr>
        <w:t>des</w:t>
      </w:r>
      <w:r>
        <w:rPr>
          <w:spacing w:val="38"/>
          <w:sz w:val="28"/>
        </w:rPr>
        <w:t> </w:t>
      </w:r>
      <w:r>
        <w:rPr>
          <w:sz w:val="28"/>
        </w:rPr>
        <w:t>prestations,</w:t>
      </w:r>
      <w:r>
        <w:rPr>
          <w:spacing w:val="37"/>
          <w:sz w:val="28"/>
        </w:rPr>
        <w:t> </w:t>
      </w:r>
      <w:r>
        <w:rPr>
          <w:sz w:val="28"/>
        </w:rPr>
        <w:t>de</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59" w:firstLine="0"/>
      </w:pPr>
      <w:r>
        <w:rPr/>
        <w:t>l’importance des compétences et des ressources à mobiliser et des moyens et de l’outillage à utiliser.</w:t>
      </w:r>
    </w:p>
    <w:p>
      <w:pPr>
        <w:pStyle w:val="ListParagraph"/>
        <w:numPr>
          <w:ilvl w:val="3"/>
          <w:numId w:val="45"/>
        </w:numPr>
        <w:tabs>
          <w:tab w:pos="1000" w:val="left" w:leader="none"/>
        </w:tabs>
        <w:spacing w:line="240" w:lineRule="auto" w:before="0" w:after="0"/>
        <w:ind w:left="999" w:right="752" w:hanging="284"/>
        <w:jc w:val="both"/>
        <w:rPr>
          <w:sz w:val="28"/>
        </w:rPr>
      </w:pPr>
      <w:r>
        <w:rPr>
          <w:sz w:val="28"/>
        </w:rPr>
        <w:t>Les marchés qui ont été déclarés infructueux une fois, à condition qu’une telle situation ne soit pas la conséquence d’insuffisances relevées dans le dossier d’appel</w:t>
      </w:r>
      <w:r>
        <w:rPr>
          <w:spacing w:val="-2"/>
          <w:sz w:val="28"/>
        </w:rPr>
        <w:t> </w:t>
      </w:r>
      <w:r>
        <w:rPr>
          <w:sz w:val="28"/>
        </w:rPr>
        <w:t>d’offres.</w:t>
      </w:r>
    </w:p>
    <w:p>
      <w:pPr>
        <w:pStyle w:val="ListParagraph"/>
        <w:numPr>
          <w:ilvl w:val="3"/>
          <w:numId w:val="45"/>
        </w:numPr>
        <w:tabs>
          <w:tab w:pos="1000" w:val="left" w:leader="none"/>
        </w:tabs>
        <w:spacing w:line="240" w:lineRule="auto" w:before="0" w:after="0"/>
        <w:ind w:left="999" w:right="0" w:hanging="284"/>
        <w:jc w:val="both"/>
        <w:rPr>
          <w:sz w:val="32"/>
        </w:rPr>
      </w:pPr>
      <w:r>
        <w:rPr>
          <w:sz w:val="28"/>
        </w:rPr>
        <w:t>Délai contraignant de mise sur le marché</w:t>
      </w:r>
      <w:r>
        <w:rPr>
          <w:spacing w:val="13"/>
          <w:sz w:val="28"/>
        </w:rPr>
        <w:t> </w:t>
      </w:r>
      <w:r>
        <w:rPr>
          <w:sz w:val="28"/>
        </w:rPr>
        <w:t>;</w:t>
      </w:r>
    </w:p>
    <w:p>
      <w:pPr>
        <w:pStyle w:val="Heading2"/>
        <w:spacing w:line="320" w:lineRule="exact" w:before="117"/>
        <w:jc w:val="left"/>
      </w:pPr>
      <w:r>
        <w:rPr/>
        <w:t>Procédure</w:t>
      </w:r>
    </w:p>
    <w:p>
      <w:pPr>
        <w:pStyle w:val="BodyText"/>
        <w:spacing w:line="320" w:lineRule="exact"/>
        <w:ind w:left="999" w:firstLine="0"/>
        <w:jc w:val="left"/>
      </w:pPr>
      <w:r>
        <w:rPr>
          <w:spacing w:val="-5"/>
        </w:rPr>
        <w:t>La </w:t>
      </w:r>
      <w:r>
        <w:rPr/>
        <w:t>procédure de passation de ce </w:t>
      </w:r>
      <w:r>
        <w:rPr>
          <w:spacing w:val="-3"/>
        </w:rPr>
        <w:t>type </w:t>
      </w:r>
      <w:r>
        <w:rPr/>
        <w:t>de consultation se fait en respectant ce</w:t>
      </w:r>
      <w:r>
        <w:rPr>
          <w:spacing w:val="64"/>
        </w:rPr>
        <w:t> </w:t>
      </w:r>
      <w:r>
        <w:rPr/>
        <w:t>qui</w:t>
      </w:r>
    </w:p>
    <w:p>
      <w:pPr>
        <w:pStyle w:val="BodyText"/>
        <w:spacing w:line="320" w:lineRule="exact"/>
        <w:ind w:firstLine="0"/>
      </w:pPr>
      <w:r>
        <w:rPr/>
        <w:t>suit :</w:t>
      </w:r>
    </w:p>
    <w:p>
      <w:pPr>
        <w:pStyle w:val="ListParagraph"/>
        <w:numPr>
          <w:ilvl w:val="0"/>
          <w:numId w:val="50"/>
        </w:numPr>
        <w:tabs>
          <w:tab w:pos="1000" w:val="left" w:leader="none"/>
        </w:tabs>
        <w:spacing w:line="240" w:lineRule="auto" w:before="162" w:after="0"/>
        <w:ind w:left="999" w:right="749" w:hanging="284"/>
        <w:jc w:val="both"/>
        <w:rPr>
          <w:sz w:val="28"/>
        </w:rPr>
      </w:pPr>
      <w:r>
        <w:rPr>
          <w:spacing w:val="-5"/>
          <w:sz w:val="28"/>
        </w:rPr>
        <w:t>La </w:t>
      </w:r>
      <w:r>
        <w:rPr>
          <w:spacing w:val="-7"/>
          <w:sz w:val="28"/>
        </w:rPr>
        <w:t>Structure d’achat concernée </w:t>
      </w:r>
      <w:r>
        <w:rPr>
          <w:sz w:val="28"/>
        </w:rPr>
        <w:t>veille à informer le même jour tous les fournisseurs inscrits sur la liste des fournisseurs approuvée par la Direction Générale du lieu où les documents de la consultation élargie sont mis à leur disposition ou/et par la voie</w:t>
      </w:r>
      <w:r>
        <w:rPr>
          <w:spacing w:val="-16"/>
          <w:sz w:val="28"/>
        </w:rPr>
        <w:t> </w:t>
      </w:r>
      <w:r>
        <w:rPr>
          <w:sz w:val="28"/>
        </w:rPr>
        <w:t>électronique.</w:t>
      </w:r>
    </w:p>
    <w:p>
      <w:pPr>
        <w:pStyle w:val="ListParagraph"/>
        <w:numPr>
          <w:ilvl w:val="0"/>
          <w:numId w:val="50"/>
        </w:numPr>
        <w:tabs>
          <w:tab w:pos="1000" w:val="left" w:leader="none"/>
        </w:tabs>
        <w:spacing w:line="240" w:lineRule="auto" w:before="0" w:after="0"/>
        <w:ind w:left="999" w:right="748" w:hanging="284"/>
        <w:jc w:val="both"/>
        <w:rPr>
          <w:sz w:val="28"/>
        </w:rPr>
      </w:pPr>
      <w:r>
        <w:rPr>
          <w:sz w:val="28"/>
        </w:rPr>
        <w:t>La date limite de remise  des offres  est fixée  à 10 jours  à partir  de la date de  la lettre d’invitation à soumissionner. Cette date peut être, prorogée en cas de nécessité.</w:t>
      </w:r>
    </w:p>
    <w:p>
      <w:pPr>
        <w:pStyle w:val="ListParagraph"/>
        <w:numPr>
          <w:ilvl w:val="0"/>
          <w:numId w:val="50"/>
        </w:numPr>
        <w:tabs>
          <w:tab w:pos="1000" w:val="left" w:leader="none"/>
        </w:tabs>
        <w:spacing w:line="240" w:lineRule="auto" w:before="0" w:after="0"/>
        <w:ind w:left="999" w:right="748" w:hanging="284"/>
        <w:jc w:val="both"/>
        <w:rPr>
          <w:sz w:val="28"/>
        </w:rPr>
      </w:pPr>
      <w:r>
        <w:rPr>
          <w:sz w:val="28"/>
        </w:rPr>
        <w:t>Les offres parvenues suite à la consultation élargie doivent être établies conformément aux modèles présentés dans les cahiers des charges et signées par les soumissionnaires qui les présentent directement ou par leurs mandataires dûment habilités sans qu'un même mandataire puisse représenter plus d'un candidat dans le cadre d'une mise en</w:t>
      </w:r>
      <w:r>
        <w:rPr>
          <w:spacing w:val="-6"/>
          <w:sz w:val="28"/>
        </w:rPr>
        <w:t> </w:t>
      </w:r>
      <w:r>
        <w:rPr>
          <w:sz w:val="28"/>
        </w:rPr>
        <w:t>concurrence.</w:t>
      </w:r>
    </w:p>
    <w:p>
      <w:pPr>
        <w:pStyle w:val="Heading2"/>
        <w:numPr>
          <w:ilvl w:val="2"/>
          <w:numId w:val="45"/>
        </w:numPr>
        <w:tabs>
          <w:tab w:pos="1307" w:val="left" w:leader="none"/>
        </w:tabs>
        <w:spacing w:line="240" w:lineRule="auto" w:before="161" w:after="0"/>
        <w:ind w:left="1306" w:right="0" w:hanging="874"/>
        <w:jc w:val="both"/>
      </w:pPr>
      <w:bookmarkStart w:name="_TOC_250087" w:id="56"/>
      <w:r>
        <w:rPr/>
        <w:t>Négociation</w:t>
      </w:r>
      <w:r>
        <w:rPr>
          <w:spacing w:val="-3"/>
        </w:rPr>
        <w:t> </w:t>
      </w:r>
      <w:bookmarkEnd w:id="56"/>
      <w:r>
        <w:rPr/>
        <w:t>directe</w:t>
      </w:r>
    </w:p>
    <w:p>
      <w:pPr>
        <w:pStyle w:val="BodyText"/>
        <w:spacing w:before="46"/>
        <w:ind w:left="999" w:firstLine="0"/>
      </w:pPr>
      <w:r>
        <w:rPr/>
        <w:t>Le GCT peut recourir à la procédure de négociation directe dans les cas ci-après :</w:t>
      </w:r>
    </w:p>
    <w:p>
      <w:pPr>
        <w:pStyle w:val="ListParagraph"/>
        <w:numPr>
          <w:ilvl w:val="3"/>
          <w:numId w:val="45"/>
        </w:numPr>
        <w:tabs>
          <w:tab w:pos="1000" w:val="left" w:leader="none"/>
        </w:tabs>
        <w:spacing w:line="240" w:lineRule="auto" w:before="119" w:after="0"/>
        <w:ind w:left="999" w:right="750" w:hanging="284"/>
        <w:jc w:val="both"/>
        <w:rPr>
          <w:sz w:val="28"/>
        </w:rPr>
      </w:pPr>
      <w:r>
        <w:rPr>
          <w:sz w:val="28"/>
        </w:rPr>
        <w:t>Les marchés de travaux, de fournitures de biens et services et d’études dont la réalisation ne peut, en raison de nécessités techniques, être confiée qu’à un entrepreneur, un fournisseur ou à un prestataire de services déterminé et les fournitures</w:t>
      </w:r>
      <w:r>
        <w:rPr>
          <w:spacing w:val="-10"/>
          <w:sz w:val="28"/>
        </w:rPr>
        <w:t> </w:t>
      </w:r>
      <w:r>
        <w:rPr>
          <w:sz w:val="28"/>
        </w:rPr>
        <w:t>dont</w:t>
      </w:r>
      <w:r>
        <w:rPr>
          <w:spacing w:val="-10"/>
          <w:sz w:val="28"/>
        </w:rPr>
        <w:t> </w:t>
      </w:r>
      <w:r>
        <w:rPr>
          <w:sz w:val="28"/>
        </w:rPr>
        <w:t>la</w:t>
      </w:r>
      <w:r>
        <w:rPr>
          <w:spacing w:val="-9"/>
          <w:sz w:val="28"/>
        </w:rPr>
        <w:t> </w:t>
      </w:r>
      <w:r>
        <w:rPr>
          <w:sz w:val="28"/>
        </w:rPr>
        <w:t>fabrication</w:t>
      </w:r>
      <w:r>
        <w:rPr>
          <w:spacing w:val="-8"/>
          <w:sz w:val="28"/>
        </w:rPr>
        <w:t> </w:t>
      </w:r>
      <w:r>
        <w:rPr>
          <w:sz w:val="28"/>
        </w:rPr>
        <w:t>est</w:t>
      </w:r>
      <w:r>
        <w:rPr>
          <w:spacing w:val="-8"/>
          <w:sz w:val="28"/>
        </w:rPr>
        <w:t> </w:t>
      </w:r>
      <w:r>
        <w:rPr>
          <w:sz w:val="28"/>
        </w:rPr>
        <w:t>exclusivement</w:t>
      </w:r>
      <w:r>
        <w:rPr>
          <w:spacing w:val="-8"/>
          <w:sz w:val="28"/>
        </w:rPr>
        <w:t> </w:t>
      </w:r>
      <w:r>
        <w:rPr>
          <w:sz w:val="28"/>
        </w:rPr>
        <w:t>réservée,</w:t>
      </w:r>
      <w:r>
        <w:rPr>
          <w:spacing w:val="-9"/>
          <w:sz w:val="28"/>
        </w:rPr>
        <w:t> </w:t>
      </w:r>
      <w:r>
        <w:rPr>
          <w:sz w:val="28"/>
        </w:rPr>
        <w:t>par</w:t>
      </w:r>
      <w:r>
        <w:rPr>
          <w:spacing w:val="-8"/>
          <w:sz w:val="28"/>
        </w:rPr>
        <w:t> </w:t>
      </w:r>
      <w:r>
        <w:rPr>
          <w:sz w:val="28"/>
        </w:rPr>
        <w:t>les</w:t>
      </w:r>
      <w:r>
        <w:rPr>
          <w:spacing w:val="-8"/>
          <w:sz w:val="28"/>
        </w:rPr>
        <w:t> </w:t>
      </w:r>
      <w:r>
        <w:rPr>
          <w:sz w:val="28"/>
        </w:rPr>
        <w:t>propriétaires</w:t>
      </w:r>
      <w:r>
        <w:rPr>
          <w:spacing w:val="-8"/>
          <w:sz w:val="28"/>
        </w:rPr>
        <w:t> </w:t>
      </w:r>
      <w:r>
        <w:rPr>
          <w:sz w:val="28"/>
        </w:rPr>
        <w:t>de brevets</w:t>
      </w:r>
      <w:r>
        <w:rPr>
          <w:spacing w:val="-10"/>
          <w:sz w:val="28"/>
        </w:rPr>
        <w:t> </w:t>
      </w:r>
      <w:r>
        <w:rPr>
          <w:sz w:val="28"/>
        </w:rPr>
        <w:t>d’inventions</w:t>
      </w:r>
      <w:r>
        <w:rPr>
          <w:spacing w:val="-13"/>
          <w:sz w:val="28"/>
        </w:rPr>
        <w:t> </w:t>
      </w:r>
      <w:r>
        <w:rPr>
          <w:sz w:val="28"/>
        </w:rPr>
        <w:t>enregistrés</w:t>
      </w:r>
      <w:r>
        <w:rPr>
          <w:spacing w:val="-10"/>
          <w:sz w:val="28"/>
        </w:rPr>
        <w:t> </w:t>
      </w:r>
      <w:r>
        <w:rPr>
          <w:sz w:val="28"/>
        </w:rPr>
        <w:t>conformément</w:t>
      </w:r>
      <w:r>
        <w:rPr>
          <w:spacing w:val="-9"/>
          <w:sz w:val="28"/>
        </w:rPr>
        <w:t> </w:t>
      </w:r>
      <w:r>
        <w:rPr>
          <w:sz w:val="28"/>
        </w:rPr>
        <w:t>au</w:t>
      </w:r>
      <w:r>
        <w:rPr>
          <w:spacing w:val="-10"/>
          <w:sz w:val="28"/>
        </w:rPr>
        <w:t> </w:t>
      </w:r>
      <w:r>
        <w:rPr>
          <w:sz w:val="28"/>
        </w:rPr>
        <w:t>droit</w:t>
      </w:r>
      <w:r>
        <w:rPr>
          <w:spacing w:val="-10"/>
          <w:sz w:val="28"/>
        </w:rPr>
        <w:t> </w:t>
      </w:r>
      <w:r>
        <w:rPr>
          <w:sz w:val="28"/>
        </w:rPr>
        <w:t>tunisien,</w:t>
      </w:r>
      <w:r>
        <w:rPr>
          <w:spacing w:val="-12"/>
          <w:sz w:val="28"/>
        </w:rPr>
        <w:t> </w:t>
      </w:r>
      <w:r>
        <w:rPr>
          <w:sz w:val="28"/>
        </w:rPr>
        <w:t>à</w:t>
      </w:r>
      <w:r>
        <w:rPr>
          <w:spacing w:val="-10"/>
          <w:sz w:val="28"/>
        </w:rPr>
        <w:t> </w:t>
      </w:r>
      <w:r>
        <w:rPr>
          <w:sz w:val="28"/>
        </w:rPr>
        <w:t>eux-mêmes</w:t>
      </w:r>
      <w:r>
        <w:rPr>
          <w:spacing w:val="-10"/>
          <w:sz w:val="28"/>
        </w:rPr>
        <w:t> </w:t>
      </w:r>
      <w:r>
        <w:rPr>
          <w:sz w:val="28"/>
        </w:rPr>
        <w:t>ou à leurs représentants, ou pour des prestations qui ne peuvent être obtenues que d’un entrepreneur ou fournisseur</w:t>
      </w:r>
      <w:r>
        <w:rPr>
          <w:spacing w:val="-5"/>
          <w:sz w:val="28"/>
        </w:rPr>
        <w:t> </w:t>
      </w:r>
      <w:r>
        <w:rPr>
          <w:sz w:val="28"/>
        </w:rPr>
        <w:t>unique,</w:t>
      </w:r>
    </w:p>
    <w:p>
      <w:pPr>
        <w:pStyle w:val="ListParagraph"/>
        <w:numPr>
          <w:ilvl w:val="3"/>
          <w:numId w:val="45"/>
        </w:numPr>
        <w:tabs>
          <w:tab w:pos="1000" w:val="left" w:leader="none"/>
        </w:tabs>
        <w:spacing w:line="240" w:lineRule="auto" w:before="1" w:after="0"/>
        <w:ind w:left="999" w:right="751" w:hanging="284"/>
        <w:jc w:val="both"/>
        <w:rPr>
          <w:sz w:val="28"/>
        </w:rPr>
      </w:pPr>
      <w:r>
        <w:rPr>
          <w:sz w:val="28"/>
        </w:rPr>
        <w:t>Les commandes ne pouvant être réalisées </w:t>
      </w:r>
      <w:r>
        <w:rPr>
          <w:spacing w:val="2"/>
          <w:sz w:val="28"/>
        </w:rPr>
        <w:t>par </w:t>
      </w:r>
      <w:r>
        <w:rPr>
          <w:sz w:val="28"/>
        </w:rPr>
        <w:t>voie d’appel à la concurrence par appel</w:t>
      </w:r>
      <w:r>
        <w:rPr>
          <w:spacing w:val="-13"/>
          <w:sz w:val="28"/>
        </w:rPr>
        <w:t> </w:t>
      </w:r>
      <w:r>
        <w:rPr>
          <w:sz w:val="28"/>
        </w:rPr>
        <w:t>d’offres</w:t>
      </w:r>
      <w:r>
        <w:rPr>
          <w:spacing w:val="-9"/>
          <w:sz w:val="28"/>
        </w:rPr>
        <w:t> </w:t>
      </w:r>
      <w:r>
        <w:rPr>
          <w:sz w:val="28"/>
        </w:rPr>
        <w:t>pour</w:t>
      </w:r>
      <w:r>
        <w:rPr>
          <w:spacing w:val="-11"/>
          <w:sz w:val="28"/>
        </w:rPr>
        <w:t> </w:t>
      </w:r>
      <w:r>
        <w:rPr>
          <w:sz w:val="28"/>
        </w:rPr>
        <w:t>des</w:t>
      </w:r>
      <w:r>
        <w:rPr>
          <w:spacing w:val="-9"/>
          <w:sz w:val="28"/>
        </w:rPr>
        <w:t> </w:t>
      </w:r>
      <w:r>
        <w:rPr>
          <w:sz w:val="28"/>
        </w:rPr>
        <w:t>motifs</w:t>
      </w:r>
      <w:r>
        <w:rPr>
          <w:spacing w:val="-12"/>
          <w:sz w:val="28"/>
        </w:rPr>
        <w:t> </w:t>
      </w:r>
      <w:r>
        <w:rPr>
          <w:sz w:val="28"/>
        </w:rPr>
        <w:t>de</w:t>
      </w:r>
      <w:r>
        <w:rPr>
          <w:spacing w:val="-13"/>
          <w:sz w:val="28"/>
        </w:rPr>
        <w:t> </w:t>
      </w:r>
      <w:r>
        <w:rPr>
          <w:sz w:val="28"/>
        </w:rPr>
        <w:t>sûreté</w:t>
      </w:r>
      <w:r>
        <w:rPr>
          <w:spacing w:val="-10"/>
          <w:sz w:val="28"/>
        </w:rPr>
        <w:t> </w:t>
      </w:r>
      <w:r>
        <w:rPr>
          <w:sz w:val="28"/>
        </w:rPr>
        <w:t>publique</w:t>
      </w:r>
      <w:r>
        <w:rPr>
          <w:spacing w:val="-12"/>
          <w:sz w:val="28"/>
        </w:rPr>
        <w:t> </w:t>
      </w:r>
      <w:r>
        <w:rPr>
          <w:sz w:val="28"/>
        </w:rPr>
        <w:t>ou</w:t>
      </w:r>
      <w:r>
        <w:rPr>
          <w:spacing w:val="-10"/>
          <w:sz w:val="28"/>
        </w:rPr>
        <w:t> </w:t>
      </w:r>
      <w:r>
        <w:rPr>
          <w:sz w:val="28"/>
        </w:rPr>
        <w:t>lorsque</w:t>
      </w:r>
      <w:r>
        <w:rPr>
          <w:spacing w:val="-10"/>
          <w:sz w:val="28"/>
        </w:rPr>
        <w:t> </w:t>
      </w:r>
      <w:r>
        <w:rPr>
          <w:sz w:val="28"/>
        </w:rPr>
        <w:t>l’intérêt</w:t>
      </w:r>
      <w:r>
        <w:rPr>
          <w:spacing w:val="-9"/>
          <w:sz w:val="28"/>
        </w:rPr>
        <w:t> </w:t>
      </w:r>
      <w:r>
        <w:rPr>
          <w:sz w:val="28"/>
        </w:rPr>
        <w:t>supérieur</w:t>
      </w:r>
      <w:r>
        <w:rPr>
          <w:spacing w:val="-13"/>
          <w:sz w:val="28"/>
        </w:rPr>
        <w:t> </w:t>
      </w:r>
      <w:r>
        <w:rPr>
          <w:sz w:val="28"/>
        </w:rPr>
        <w:t>du pays l’exige ou dans les cas d’urgence impérieuse qui correspondent à des circonstances difficilement prévisibles. Notamment les achats de prestations, de biens et d’équipements relatifs aux opérations de réparations des pannes imprévisibles des systèmes de production, de logistique, d’information, de sécurité ou de contrôle</w:t>
      </w:r>
      <w:r>
        <w:rPr>
          <w:spacing w:val="-7"/>
          <w:sz w:val="28"/>
        </w:rPr>
        <w:t> </w:t>
      </w:r>
      <w:r>
        <w:rPr>
          <w:sz w:val="28"/>
        </w:rPr>
        <w:t>qualité,</w:t>
      </w:r>
    </w:p>
    <w:p>
      <w:pPr>
        <w:pStyle w:val="ListParagraph"/>
        <w:numPr>
          <w:ilvl w:val="3"/>
          <w:numId w:val="45"/>
        </w:numPr>
        <w:tabs>
          <w:tab w:pos="1000" w:val="left" w:leader="none"/>
        </w:tabs>
        <w:spacing w:line="240" w:lineRule="auto" w:before="0" w:after="0"/>
        <w:ind w:left="999" w:right="752" w:hanging="284"/>
        <w:jc w:val="both"/>
        <w:rPr>
          <w:sz w:val="28"/>
        </w:rPr>
      </w:pPr>
      <w:r>
        <w:rPr>
          <w:sz w:val="28"/>
        </w:rPr>
        <w:t>Les marchés qui, suite à une procédure d’appel à la concurrence pour deux fois consécutives</w:t>
      </w:r>
      <w:r>
        <w:rPr>
          <w:spacing w:val="-8"/>
          <w:sz w:val="28"/>
        </w:rPr>
        <w:t> </w:t>
      </w:r>
      <w:r>
        <w:rPr>
          <w:sz w:val="28"/>
        </w:rPr>
        <w:t>au</w:t>
      </w:r>
      <w:r>
        <w:rPr>
          <w:spacing w:val="-8"/>
          <w:sz w:val="28"/>
        </w:rPr>
        <w:t> </w:t>
      </w:r>
      <w:r>
        <w:rPr>
          <w:sz w:val="28"/>
        </w:rPr>
        <w:t>moins,</w:t>
      </w:r>
      <w:r>
        <w:rPr>
          <w:spacing w:val="-9"/>
          <w:sz w:val="28"/>
        </w:rPr>
        <w:t> </w:t>
      </w:r>
      <w:r>
        <w:rPr>
          <w:sz w:val="28"/>
        </w:rPr>
        <w:t>n’ont</w:t>
      </w:r>
      <w:r>
        <w:rPr>
          <w:spacing w:val="-8"/>
          <w:sz w:val="28"/>
        </w:rPr>
        <w:t> </w:t>
      </w:r>
      <w:r>
        <w:rPr>
          <w:sz w:val="28"/>
        </w:rPr>
        <w:t>fait</w:t>
      </w:r>
      <w:r>
        <w:rPr>
          <w:spacing w:val="-10"/>
          <w:sz w:val="28"/>
        </w:rPr>
        <w:t> </w:t>
      </w:r>
      <w:r>
        <w:rPr>
          <w:sz w:val="28"/>
        </w:rPr>
        <w:t>l’objet</w:t>
      </w:r>
      <w:r>
        <w:rPr>
          <w:spacing w:val="-8"/>
          <w:sz w:val="28"/>
        </w:rPr>
        <w:t> </w:t>
      </w:r>
      <w:r>
        <w:rPr>
          <w:sz w:val="28"/>
        </w:rPr>
        <w:t>d’aucune</w:t>
      </w:r>
      <w:r>
        <w:rPr>
          <w:spacing w:val="-8"/>
          <w:sz w:val="28"/>
        </w:rPr>
        <w:t> </w:t>
      </w:r>
      <w:r>
        <w:rPr>
          <w:sz w:val="28"/>
        </w:rPr>
        <w:t>offre</w:t>
      </w:r>
      <w:r>
        <w:rPr>
          <w:spacing w:val="-8"/>
          <w:sz w:val="28"/>
        </w:rPr>
        <w:t> </w:t>
      </w:r>
      <w:r>
        <w:rPr>
          <w:sz w:val="28"/>
        </w:rPr>
        <w:t>ou</w:t>
      </w:r>
      <w:r>
        <w:rPr>
          <w:spacing w:val="-8"/>
          <w:sz w:val="28"/>
        </w:rPr>
        <w:t> </w:t>
      </w:r>
      <w:r>
        <w:rPr>
          <w:sz w:val="28"/>
        </w:rPr>
        <w:t>à</w:t>
      </w:r>
      <w:r>
        <w:rPr>
          <w:spacing w:val="-11"/>
          <w:sz w:val="28"/>
        </w:rPr>
        <w:t> </w:t>
      </w:r>
      <w:r>
        <w:rPr>
          <w:sz w:val="28"/>
        </w:rPr>
        <w:t>l’égard</w:t>
      </w:r>
      <w:r>
        <w:rPr>
          <w:spacing w:val="-10"/>
          <w:sz w:val="28"/>
        </w:rPr>
        <w:t> </w:t>
      </w:r>
      <w:r>
        <w:rPr>
          <w:sz w:val="28"/>
        </w:rPr>
        <w:t>desquels,</w:t>
      </w:r>
      <w:r>
        <w:rPr>
          <w:spacing w:val="-9"/>
          <w:sz w:val="28"/>
        </w:rPr>
        <w:t> </w:t>
      </w:r>
      <w:r>
        <w:rPr>
          <w:sz w:val="28"/>
        </w:rPr>
        <w:t>il</w:t>
      </w:r>
      <w:r>
        <w:rPr>
          <w:spacing w:val="-7"/>
          <w:sz w:val="28"/>
        </w:rPr>
        <w:t> </w:t>
      </w:r>
      <w:r>
        <w:rPr>
          <w:sz w:val="28"/>
        </w:rPr>
        <w:t>a</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51" w:firstLine="0"/>
      </w:pPr>
      <w:r>
        <w:rPr/>
        <w:t>été proposé des offres inacceptables à condition qu’une telle situation ne soit pas la conséquence d’insuffisances relevées dans les cahiers des charges et que le recours à cette procédure permette la passation d’un marché dans des conditions plus avantageuses,</w:t>
      </w:r>
    </w:p>
    <w:p>
      <w:pPr>
        <w:pStyle w:val="ListParagraph"/>
        <w:numPr>
          <w:ilvl w:val="3"/>
          <w:numId w:val="45"/>
        </w:numPr>
        <w:tabs>
          <w:tab w:pos="1000" w:val="left" w:leader="none"/>
        </w:tabs>
        <w:spacing w:line="240" w:lineRule="auto" w:before="1" w:after="0"/>
        <w:ind w:left="999" w:right="748" w:hanging="284"/>
        <w:jc w:val="both"/>
        <w:rPr>
          <w:sz w:val="28"/>
        </w:rPr>
      </w:pPr>
      <w:r>
        <w:rPr>
          <w:sz w:val="28"/>
        </w:rPr>
        <w:t>Les marchés de fourniture de biens ou services conclus avec les filiales du GCT ou</w:t>
      </w:r>
      <w:r>
        <w:rPr>
          <w:spacing w:val="-14"/>
          <w:sz w:val="28"/>
        </w:rPr>
        <w:t> </w:t>
      </w:r>
      <w:r>
        <w:rPr>
          <w:sz w:val="28"/>
        </w:rPr>
        <w:t>avec</w:t>
      </w:r>
      <w:r>
        <w:rPr>
          <w:spacing w:val="-13"/>
          <w:sz w:val="28"/>
        </w:rPr>
        <w:t> </w:t>
      </w:r>
      <w:r>
        <w:rPr>
          <w:sz w:val="28"/>
        </w:rPr>
        <w:t>les</w:t>
      </w:r>
      <w:r>
        <w:rPr>
          <w:spacing w:val="-13"/>
          <w:sz w:val="28"/>
        </w:rPr>
        <w:t> </w:t>
      </w:r>
      <w:r>
        <w:rPr>
          <w:sz w:val="28"/>
        </w:rPr>
        <w:t>établissements</w:t>
      </w:r>
      <w:r>
        <w:rPr>
          <w:spacing w:val="-16"/>
          <w:sz w:val="28"/>
        </w:rPr>
        <w:t> </w:t>
      </w:r>
      <w:r>
        <w:rPr>
          <w:sz w:val="28"/>
        </w:rPr>
        <w:t>ou</w:t>
      </w:r>
      <w:r>
        <w:rPr>
          <w:spacing w:val="-13"/>
          <w:sz w:val="28"/>
        </w:rPr>
        <w:t> </w:t>
      </w:r>
      <w:r>
        <w:rPr>
          <w:sz w:val="28"/>
        </w:rPr>
        <w:t>les</w:t>
      </w:r>
      <w:r>
        <w:rPr>
          <w:spacing w:val="-14"/>
          <w:sz w:val="28"/>
        </w:rPr>
        <w:t> </w:t>
      </w:r>
      <w:r>
        <w:rPr>
          <w:sz w:val="28"/>
        </w:rPr>
        <w:t>entreprises</w:t>
      </w:r>
      <w:r>
        <w:rPr>
          <w:spacing w:val="-12"/>
          <w:sz w:val="28"/>
        </w:rPr>
        <w:t> </w:t>
      </w:r>
      <w:r>
        <w:rPr>
          <w:sz w:val="28"/>
        </w:rPr>
        <w:t>publiques</w:t>
      </w:r>
      <w:r>
        <w:rPr>
          <w:spacing w:val="-10"/>
          <w:sz w:val="28"/>
        </w:rPr>
        <w:t> </w:t>
      </w:r>
      <w:r>
        <w:rPr>
          <w:sz w:val="28"/>
        </w:rPr>
        <w:t>ou</w:t>
      </w:r>
      <w:r>
        <w:rPr>
          <w:spacing w:val="-13"/>
          <w:sz w:val="28"/>
        </w:rPr>
        <w:t> </w:t>
      </w:r>
      <w:r>
        <w:rPr>
          <w:sz w:val="28"/>
        </w:rPr>
        <w:t>avec</w:t>
      </w:r>
      <w:r>
        <w:rPr>
          <w:spacing w:val="-14"/>
          <w:sz w:val="28"/>
        </w:rPr>
        <w:t> </w:t>
      </w:r>
      <w:r>
        <w:rPr>
          <w:sz w:val="28"/>
        </w:rPr>
        <w:t>les</w:t>
      </w:r>
      <w:r>
        <w:rPr>
          <w:spacing w:val="-12"/>
          <w:sz w:val="28"/>
        </w:rPr>
        <w:t> </w:t>
      </w:r>
      <w:r>
        <w:rPr>
          <w:sz w:val="28"/>
        </w:rPr>
        <w:t>entreprises</w:t>
      </w:r>
      <w:r>
        <w:rPr>
          <w:spacing w:val="-16"/>
          <w:sz w:val="28"/>
        </w:rPr>
        <w:t> </w:t>
      </w:r>
      <w:r>
        <w:rPr>
          <w:sz w:val="28"/>
        </w:rPr>
        <w:t>que le GCT a essaimées, et ce, pour une période de quatre années à partir de la date de</w:t>
      </w:r>
      <w:r>
        <w:rPr>
          <w:spacing w:val="-20"/>
          <w:sz w:val="28"/>
        </w:rPr>
        <w:t> </w:t>
      </w:r>
      <w:r>
        <w:rPr>
          <w:sz w:val="28"/>
        </w:rPr>
        <w:t>leur</w:t>
      </w:r>
      <w:r>
        <w:rPr>
          <w:spacing w:val="-20"/>
          <w:sz w:val="28"/>
        </w:rPr>
        <w:t> </w:t>
      </w:r>
      <w:r>
        <w:rPr>
          <w:sz w:val="28"/>
        </w:rPr>
        <w:t>création</w:t>
      </w:r>
      <w:r>
        <w:rPr>
          <w:spacing w:val="-20"/>
          <w:sz w:val="28"/>
        </w:rPr>
        <w:t> </w:t>
      </w:r>
      <w:r>
        <w:rPr>
          <w:sz w:val="28"/>
        </w:rPr>
        <w:t>et</w:t>
      </w:r>
      <w:r>
        <w:rPr>
          <w:spacing w:val="-21"/>
          <w:sz w:val="28"/>
        </w:rPr>
        <w:t> </w:t>
      </w:r>
      <w:r>
        <w:rPr>
          <w:sz w:val="28"/>
        </w:rPr>
        <w:t>dans</w:t>
      </w:r>
      <w:r>
        <w:rPr>
          <w:spacing w:val="-18"/>
          <w:sz w:val="28"/>
        </w:rPr>
        <w:t> </w:t>
      </w:r>
      <w:r>
        <w:rPr>
          <w:sz w:val="28"/>
        </w:rPr>
        <w:t>la</w:t>
      </w:r>
      <w:r>
        <w:rPr>
          <w:spacing w:val="-22"/>
          <w:sz w:val="28"/>
        </w:rPr>
        <w:t> </w:t>
      </w:r>
      <w:r>
        <w:rPr>
          <w:sz w:val="28"/>
        </w:rPr>
        <w:t>limite</w:t>
      </w:r>
      <w:r>
        <w:rPr>
          <w:spacing w:val="-20"/>
          <w:sz w:val="28"/>
        </w:rPr>
        <w:t> </w:t>
      </w:r>
      <w:r>
        <w:rPr>
          <w:sz w:val="28"/>
        </w:rPr>
        <w:t>du</w:t>
      </w:r>
      <w:r>
        <w:rPr>
          <w:spacing w:val="-18"/>
          <w:sz w:val="28"/>
        </w:rPr>
        <w:t> </w:t>
      </w:r>
      <w:r>
        <w:rPr>
          <w:sz w:val="28"/>
        </w:rPr>
        <w:t>montant</w:t>
      </w:r>
      <w:r>
        <w:rPr>
          <w:spacing w:val="-19"/>
          <w:sz w:val="28"/>
        </w:rPr>
        <w:t> </w:t>
      </w:r>
      <w:r>
        <w:rPr>
          <w:sz w:val="28"/>
        </w:rPr>
        <w:t>maximum</w:t>
      </w:r>
      <w:r>
        <w:rPr>
          <w:spacing w:val="-23"/>
          <w:sz w:val="28"/>
        </w:rPr>
        <w:t> </w:t>
      </w:r>
      <w:r>
        <w:rPr>
          <w:sz w:val="28"/>
        </w:rPr>
        <w:t>prévu</w:t>
      </w:r>
      <w:r>
        <w:rPr>
          <w:spacing w:val="-21"/>
          <w:sz w:val="28"/>
        </w:rPr>
        <w:t> </w:t>
      </w:r>
      <w:r>
        <w:rPr>
          <w:sz w:val="28"/>
        </w:rPr>
        <w:t>par</w:t>
      </w:r>
      <w:r>
        <w:rPr>
          <w:spacing w:val="-18"/>
          <w:sz w:val="28"/>
        </w:rPr>
        <w:t> </w:t>
      </w:r>
      <w:r>
        <w:rPr>
          <w:sz w:val="28"/>
        </w:rPr>
        <w:t>la</w:t>
      </w:r>
      <w:r>
        <w:rPr>
          <w:spacing w:val="-20"/>
          <w:sz w:val="28"/>
        </w:rPr>
        <w:t> </w:t>
      </w:r>
      <w:r>
        <w:rPr>
          <w:sz w:val="28"/>
        </w:rPr>
        <w:t>réglementation en</w:t>
      </w:r>
      <w:r>
        <w:rPr>
          <w:spacing w:val="-17"/>
          <w:sz w:val="28"/>
        </w:rPr>
        <w:t> </w:t>
      </w:r>
      <w:r>
        <w:rPr>
          <w:sz w:val="28"/>
        </w:rPr>
        <w:t>vigueur</w:t>
      </w:r>
      <w:r>
        <w:rPr>
          <w:spacing w:val="-17"/>
          <w:sz w:val="28"/>
        </w:rPr>
        <w:t> </w:t>
      </w:r>
      <w:r>
        <w:rPr>
          <w:sz w:val="28"/>
        </w:rPr>
        <w:t>dans</w:t>
      </w:r>
      <w:r>
        <w:rPr>
          <w:spacing w:val="-16"/>
          <w:sz w:val="28"/>
        </w:rPr>
        <w:t> </w:t>
      </w:r>
      <w:r>
        <w:rPr>
          <w:sz w:val="28"/>
        </w:rPr>
        <w:t>ce</w:t>
      </w:r>
      <w:r>
        <w:rPr>
          <w:spacing w:val="-18"/>
          <w:sz w:val="28"/>
        </w:rPr>
        <w:t> </w:t>
      </w:r>
      <w:r>
        <w:rPr>
          <w:sz w:val="28"/>
        </w:rPr>
        <w:t>domaine.</w:t>
      </w:r>
      <w:r>
        <w:rPr>
          <w:spacing w:val="-18"/>
          <w:sz w:val="28"/>
        </w:rPr>
        <w:t> </w:t>
      </w:r>
      <w:r>
        <w:rPr>
          <w:sz w:val="28"/>
        </w:rPr>
        <w:t>Les</w:t>
      </w:r>
      <w:r>
        <w:rPr>
          <w:spacing w:val="-16"/>
          <w:sz w:val="28"/>
        </w:rPr>
        <w:t> </w:t>
      </w:r>
      <w:r>
        <w:rPr>
          <w:sz w:val="28"/>
        </w:rPr>
        <w:t>marchés</w:t>
      </w:r>
      <w:r>
        <w:rPr>
          <w:spacing w:val="-17"/>
          <w:sz w:val="28"/>
        </w:rPr>
        <w:t> </w:t>
      </w:r>
      <w:r>
        <w:rPr>
          <w:sz w:val="28"/>
        </w:rPr>
        <w:t>conclus</w:t>
      </w:r>
      <w:r>
        <w:rPr>
          <w:spacing w:val="-16"/>
          <w:sz w:val="28"/>
        </w:rPr>
        <w:t> </w:t>
      </w:r>
      <w:r>
        <w:rPr>
          <w:sz w:val="28"/>
        </w:rPr>
        <w:t>avec</w:t>
      </w:r>
      <w:r>
        <w:rPr>
          <w:spacing w:val="-17"/>
          <w:sz w:val="28"/>
        </w:rPr>
        <w:t> </w:t>
      </w:r>
      <w:r>
        <w:rPr>
          <w:sz w:val="28"/>
        </w:rPr>
        <w:t>ces</w:t>
      </w:r>
      <w:r>
        <w:rPr>
          <w:spacing w:val="-17"/>
          <w:sz w:val="28"/>
        </w:rPr>
        <w:t> </w:t>
      </w:r>
      <w:r>
        <w:rPr>
          <w:sz w:val="28"/>
        </w:rPr>
        <w:t>entreprises</w:t>
      </w:r>
      <w:r>
        <w:rPr>
          <w:spacing w:val="-16"/>
          <w:sz w:val="28"/>
        </w:rPr>
        <w:t> </w:t>
      </w:r>
      <w:r>
        <w:rPr>
          <w:sz w:val="28"/>
        </w:rPr>
        <w:t>s'inscrivent dans le cadre du pourcentage réservé annuellement aux petites</w:t>
      </w:r>
      <w:r>
        <w:rPr>
          <w:spacing w:val="-19"/>
          <w:sz w:val="28"/>
        </w:rPr>
        <w:t> </w:t>
      </w:r>
      <w:r>
        <w:rPr>
          <w:sz w:val="28"/>
        </w:rPr>
        <w:t>entreprises,</w:t>
      </w:r>
    </w:p>
    <w:p>
      <w:pPr>
        <w:pStyle w:val="ListParagraph"/>
        <w:numPr>
          <w:ilvl w:val="3"/>
          <w:numId w:val="45"/>
        </w:numPr>
        <w:tabs>
          <w:tab w:pos="1000" w:val="left" w:leader="none"/>
        </w:tabs>
        <w:spacing w:line="240" w:lineRule="auto" w:before="1" w:after="0"/>
        <w:ind w:left="999" w:right="752" w:hanging="284"/>
        <w:jc w:val="both"/>
        <w:rPr>
          <w:sz w:val="28"/>
        </w:rPr>
      </w:pPr>
      <w:r>
        <w:rPr>
          <w:sz w:val="28"/>
        </w:rPr>
        <w:t>Les marchés conclus avec les établissements publics ou avec les entreprises publiques/à participation</w:t>
      </w:r>
      <w:r>
        <w:rPr>
          <w:spacing w:val="-3"/>
          <w:sz w:val="28"/>
        </w:rPr>
        <w:t> </w:t>
      </w:r>
      <w:r>
        <w:rPr>
          <w:sz w:val="28"/>
        </w:rPr>
        <w:t>publique,</w:t>
      </w:r>
    </w:p>
    <w:p>
      <w:pPr>
        <w:pStyle w:val="ListParagraph"/>
        <w:numPr>
          <w:ilvl w:val="3"/>
          <w:numId w:val="45"/>
        </w:numPr>
        <w:tabs>
          <w:tab w:pos="1000" w:val="left" w:leader="none"/>
        </w:tabs>
        <w:spacing w:line="240" w:lineRule="auto" w:before="0" w:after="0"/>
        <w:ind w:left="999" w:right="748" w:hanging="284"/>
        <w:jc w:val="both"/>
        <w:rPr>
          <w:sz w:val="28"/>
        </w:rPr>
      </w:pPr>
      <w:r>
        <w:rPr>
          <w:sz w:val="28"/>
        </w:rPr>
        <w:t>Les</w:t>
      </w:r>
      <w:r>
        <w:rPr>
          <w:spacing w:val="-13"/>
          <w:sz w:val="28"/>
        </w:rPr>
        <w:t> </w:t>
      </w:r>
      <w:r>
        <w:rPr>
          <w:sz w:val="28"/>
        </w:rPr>
        <w:t>marchés</w:t>
      </w:r>
      <w:r>
        <w:rPr>
          <w:spacing w:val="-13"/>
          <w:sz w:val="28"/>
        </w:rPr>
        <w:t> </w:t>
      </w:r>
      <w:r>
        <w:rPr>
          <w:sz w:val="28"/>
        </w:rPr>
        <w:t>considérés</w:t>
      </w:r>
      <w:r>
        <w:rPr>
          <w:spacing w:val="-13"/>
          <w:sz w:val="28"/>
        </w:rPr>
        <w:t> </w:t>
      </w:r>
      <w:r>
        <w:rPr>
          <w:sz w:val="28"/>
        </w:rPr>
        <w:t>comme</w:t>
      </w:r>
      <w:r>
        <w:rPr>
          <w:spacing w:val="-13"/>
          <w:sz w:val="28"/>
        </w:rPr>
        <w:t> </w:t>
      </w:r>
      <w:r>
        <w:rPr>
          <w:sz w:val="28"/>
        </w:rPr>
        <w:t>étant</w:t>
      </w:r>
      <w:r>
        <w:rPr>
          <w:spacing w:val="-14"/>
          <w:sz w:val="28"/>
        </w:rPr>
        <w:t> </w:t>
      </w:r>
      <w:r>
        <w:rPr>
          <w:sz w:val="28"/>
        </w:rPr>
        <w:t>complémentaires</w:t>
      </w:r>
      <w:r>
        <w:rPr>
          <w:spacing w:val="-15"/>
          <w:sz w:val="28"/>
        </w:rPr>
        <w:t> </w:t>
      </w:r>
      <w:r>
        <w:rPr>
          <w:sz w:val="28"/>
        </w:rPr>
        <w:t>à</w:t>
      </w:r>
      <w:r>
        <w:rPr>
          <w:spacing w:val="-14"/>
          <w:sz w:val="28"/>
        </w:rPr>
        <w:t> </w:t>
      </w:r>
      <w:r>
        <w:rPr>
          <w:sz w:val="28"/>
        </w:rPr>
        <w:t>un</w:t>
      </w:r>
      <w:r>
        <w:rPr>
          <w:spacing w:val="-7"/>
          <w:sz w:val="28"/>
        </w:rPr>
        <w:t> </w:t>
      </w:r>
      <w:r>
        <w:rPr>
          <w:sz w:val="28"/>
        </w:rPr>
        <w:t>marché</w:t>
      </w:r>
      <w:r>
        <w:rPr>
          <w:spacing w:val="-16"/>
          <w:sz w:val="28"/>
        </w:rPr>
        <w:t> </w:t>
      </w:r>
      <w:r>
        <w:rPr>
          <w:sz w:val="28"/>
        </w:rPr>
        <w:t>initial</w:t>
      </w:r>
      <w:r>
        <w:rPr>
          <w:spacing w:val="-16"/>
          <w:sz w:val="28"/>
        </w:rPr>
        <w:t> </w:t>
      </w:r>
      <w:r>
        <w:rPr>
          <w:sz w:val="28"/>
        </w:rPr>
        <w:t>portant sur des travaux ou fournitures ou des services imprévisibles au moment de la conclusion du marché initial et non prévus au niveau du programme fonctionnel ou des estimations préalables et dont l’attribution par voie de négociation directe présente des intérêts certains tant au point de vue du coût de réalisation ou des délais ou encore des conditions</w:t>
      </w:r>
      <w:r>
        <w:rPr>
          <w:spacing w:val="-1"/>
          <w:sz w:val="28"/>
        </w:rPr>
        <w:t> </w:t>
      </w:r>
      <w:r>
        <w:rPr>
          <w:sz w:val="28"/>
        </w:rPr>
        <w:t>d’exécution.</w:t>
      </w:r>
    </w:p>
    <w:p>
      <w:pPr>
        <w:pStyle w:val="BodyText"/>
        <w:spacing w:before="119"/>
        <w:ind w:right="756"/>
      </w:pPr>
      <w:r>
        <w:rPr/>
        <w:t>Les motifs 1), 4) et 5) sont arrêtés dans la liste des achats spécifiques du GCT actualisée périodiquement par la DCAHMP et approuvée par le Conseil d’Administration.</w:t>
      </w:r>
    </w:p>
    <w:p>
      <w:pPr>
        <w:pStyle w:val="Heading2"/>
        <w:spacing w:line="321" w:lineRule="exact" w:before="124"/>
        <w:jc w:val="left"/>
      </w:pPr>
      <w:r>
        <w:rPr/>
        <w:t>Procédure</w:t>
      </w:r>
    </w:p>
    <w:p>
      <w:pPr>
        <w:pStyle w:val="BodyText"/>
        <w:ind w:right="756"/>
      </w:pPr>
      <w:r>
        <w:rPr/>
        <w:t>Suite à la réception de la demande d’achat négocié, la Structure d’achat prépare, en</w:t>
      </w:r>
      <w:r>
        <w:rPr>
          <w:spacing w:val="-5"/>
        </w:rPr>
        <w:t> </w:t>
      </w:r>
      <w:r>
        <w:rPr/>
        <w:t>fonction</w:t>
      </w:r>
      <w:r>
        <w:rPr>
          <w:spacing w:val="-5"/>
        </w:rPr>
        <w:t> </w:t>
      </w:r>
      <w:r>
        <w:rPr/>
        <w:t>de</w:t>
      </w:r>
      <w:r>
        <w:rPr>
          <w:spacing w:val="-5"/>
        </w:rPr>
        <w:t> </w:t>
      </w:r>
      <w:r>
        <w:rPr/>
        <w:t>la</w:t>
      </w:r>
      <w:r>
        <w:rPr>
          <w:spacing w:val="-6"/>
        </w:rPr>
        <w:t> </w:t>
      </w:r>
      <w:r>
        <w:rPr/>
        <w:t>catégorie</w:t>
      </w:r>
      <w:r>
        <w:rPr>
          <w:spacing w:val="-5"/>
        </w:rPr>
        <w:t> </w:t>
      </w:r>
      <w:r>
        <w:rPr/>
        <w:t>et</w:t>
      </w:r>
      <w:r>
        <w:rPr>
          <w:spacing w:val="-4"/>
        </w:rPr>
        <w:t> </w:t>
      </w:r>
      <w:r>
        <w:rPr/>
        <w:t>du</w:t>
      </w:r>
      <w:r>
        <w:rPr>
          <w:spacing w:val="-2"/>
        </w:rPr>
        <w:t> </w:t>
      </w:r>
      <w:r>
        <w:rPr/>
        <w:t>montant</w:t>
      </w:r>
      <w:r>
        <w:rPr>
          <w:spacing w:val="-4"/>
        </w:rPr>
        <w:t> </w:t>
      </w:r>
      <w:r>
        <w:rPr/>
        <w:t>de</w:t>
      </w:r>
      <w:r>
        <w:rPr>
          <w:spacing w:val="-6"/>
        </w:rPr>
        <w:t> </w:t>
      </w:r>
      <w:r>
        <w:rPr/>
        <w:t>l’achat</w:t>
      </w:r>
      <w:r>
        <w:rPr>
          <w:spacing w:val="-7"/>
        </w:rPr>
        <w:t> </w:t>
      </w:r>
      <w:r>
        <w:rPr/>
        <w:t>négocié,</w:t>
      </w:r>
      <w:r>
        <w:rPr>
          <w:spacing w:val="-6"/>
        </w:rPr>
        <w:t> </w:t>
      </w:r>
      <w:r>
        <w:rPr/>
        <w:t>un</w:t>
      </w:r>
      <w:r>
        <w:rPr>
          <w:spacing w:val="-5"/>
        </w:rPr>
        <w:t> </w:t>
      </w:r>
      <w:r>
        <w:rPr/>
        <w:t>projet</w:t>
      </w:r>
      <w:r>
        <w:rPr>
          <w:spacing w:val="-5"/>
        </w:rPr>
        <w:t> </w:t>
      </w:r>
      <w:r>
        <w:rPr/>
        <w:t>d’achat</w:t>
      </w:r>
      <w:r>
        <w:rPr>
          <w:spacing w:val="-4"/>
        </w:rPr>
        <w:t> </w:t>
      </w:r>
      <w:r>
        <w:rPr/>
        <w:t>négocié (CCAP, projet de contrat, CCT, etc.), et procède à la négociation directe avec le fournisseur</w:t>
      </w:r>
      <w:r>
        <w:rPr>
          <w:spacing w:val="-18"/>
        </w:rPr>
        <w:t> </w:t>
      </w:r>
      <w:r>
        <w:rPr/>
        <w:t>en</w:t>
      </w:r>
      <w:r>
        <w:rPr>
          <w:spacing w:val="-16"/>
        </w:rPr>
        <w:t> </w:t>
      </w:r>
      <w:r>
        <w:rPr/>
        <w:t>vue</w:t>
      </w:r>
      <w:r>
        <w:rPr>
          <w:spacing w:val="-17"/>
        </w:rPr>
        <w:t> </w:t>
      </w:r>
      <w:r>
        <w:rPr/>
        <w:t>de</w:t>
      </w:r>
      <w:r>
        <w:rPr>
          <w:spacing w:val="-21"/>
        </w:rPr>
        <w:t> </w:t>
      </w:r>
      <w:r>
        <w:rPr/>
        <w:t>se</w:t>
      </w:r>
      <w:r>
        <w:rPr>
          <w:spacing w:val="-17"/>
        </w:rPr>
        <w:t> </w:t>
      </w:r>
      <w:r>
        <w:rPr/>
        <w:t>concerter</w:t>
      </w:r>
      <w:r>
        <w:rPr>
          <w:spacing w:val="-19"/>
        </w:rPr>
        <w:t> </w:t>
      </w:r>
      <w:r>
        <w:rPr/>
        <w:t>sur</w:t>
      </w:r>
      <w:r>
        <w:rPr>
          <w:spacing w:val="-17"/>
        </w:rPr>
        <w:t> </w:t>
      </w:r>
      <w:r>
        <w:rPr/>
        <w:t>une</w:t>
      </w:r>
      <w:r>
        <w:rPr>
          <w:spacing w:val="-18"/>
        </w:rPr>
        <w:t> </w:t>
      </w:r>
      <w:r>
        <w:rPr/>
        <w:t>proposition</w:t>
      </w:r>
      <w:r>
        <w:rPr>
          <w:spacing w:val="-16"/>
        </w:rPr>
        <w:t> </w:t>
      </w:r>
      <w:r>
        <w:rPr/>
        <w:t>d’offre</w:t>
      </w:r>
      <w:r>
        <w:rPr>
          <w:spacing w:val="-17"/>
        </w:rPr>
        <w:t> </w:t>
      </w:r>
      <w:r>
        <w:rPr/>
        <w:t>convenable</w:t>
      </w:r>
      <w:r>
        <w:rPr>
          <w:spacing w:val="-20"/>
        </w:rPr>
        <w:t> </w:t>
      </w:r>
      <w:r>
        <w:rPr/>
        <w:t>pour</w:t>
      </w:r>
      <w:r>
        <w:rPr>
          <w:spacing w:val="-18"/>
        </w:rPr>
        <w:t> </w:t>
      </w:r>
      <w:r>
        <w:rPr/>
        <w:t>les</w:t>
      </w:r>
      <w:r>
        <w:rPr>
          <w:spacing w:val="-16"/>
        </w:rPr>
        <w:t> </w:t>
      </w:r>
      <w:r>
        <w:rPr/>
        <w:t>deux parties. La Structure d’achat valide également le CCAP et le projet de contrat (s’il y lieu) avec le</w:t>
      </w:r>
      <w:r>
        <w:rPr>
          <w:spacing w:val="-4"/>
        </w:rPr>
        <w:t> </w:t>
      </w:r>
      <w:r>
        <w:rPr/>
        <w:t>fournisseur.</w:t>
      </w:r>
    </w:p>
    <w:p>
      <w:pPr>
        <w:pStyle w:val="BodyText"/>
        <w:spacing w:line="242" w:lineRule="auto" w:before="117"/>
        <w:ind w:right="758" w:firstLine="0"/>
      </w:pPr>
      <w:r>
        <w:rPr/>
        <w:t>NB : Pour les marchés négociés, les fournisseurs sont exonérés de la présentation du cautionnement provisoire.</w:t>
      </w:r>
    </w:p>
    <w:p>
      <w:pPr>
        <w:pStyle w:val="BodyText"/>
        <w:spacing w:before="115"/>
        <w:ind w:right="754"/>
      </w:pPr>
      <w:r>
        <w:rPr/>
        <w:t>L’offre convenue doit être envoyée officiellement au GCT par tout moyen matériel ou immatériel laissant trace.</w:t>
      </w:r>
    </w:p>
    <w:p>
      <w:pPr>
        <w:pStyle w:val="BodyText"/>
        <w:spacing w:before="120"/>
        <w:ind w:right="750"/>
      </w:pPr>
      <w:r>
        <w:rPr/>
        <w:t>La</w:t>
      </w:r>
      <w:r>
        <w:rPr>
          <w:spacing w:val="-9"/>
        </w:rPr>
        <w:t> </w:t>
      </w:r>
      <w:r>
        <w:rPr/>
        <w:t>structure</w:t>
      </w:r>
      <w:r>
        <w:rPr>
          <w:spacing w:val="-10"/>
        </w:rPr>
        <w:t> </w:t>
      </w:r>
      <w:r>
        <w:rPr/>
        <w:t>d’achat</w:t>
      </w:r>
      <w:r>
        <w:rPr>
          <w:spacing w:val="-9"/>
        </w:rPr>
        <w:t> </w:t>
      </w:r>
      <w:r>
        <w:rPr/>
        <w:t>transmet</w:t>
      </w:r>
      <w:r>
        <w:rPr>
          <w:spacing w:val="-7"/>
        </w:rPr>
        <w:t> </w:t>
      </w:r>
      <w:r>
        <w:rPr/>
        <w:t>successivement</w:t>
      </w:r>
      <w:r>
        <w:rPr>
          <w:spacing w:val="-10"/>
        </w:rPr>
        <w:t> </w:t>
      </w:r>
      <w:r>
        <w:rPr/>
        <w:t>le</w:t>
      </w:r>
      <w:r>
        <w:rPr>
          <w:spacing w:val="-8"/>
        </w:rPr>
        <w:t> </w:t>
      </w:r>
      <w:r>
        <w:rPr/>
        <w:t>CCAP</w:t>
      </w:r>
      <w:r>
        <w:rPr>
          <w:spacing w:val="-10"/>
        </w:rPr>
        <w:t> </w:t>
      </w:r>
      <w:r>
        <w:rPr/>
        <w:t>et</w:t>
      </w:r>
      <w:r>
        <w:rPr>
          <w:spacing w:val="-9"/>
        </w:rPr>
        <w:t> </w:t>
      </w:r>
      <w:r>
        <w:rPr/>
        <w:t>le</w:t>
      </w:r>
      <w:r>
        <w:rPr>
          <w:spacing w:val="-10"/>
        </w:rPr>
        <w:t> </w:t>
      </w:r>
      <w:r>
        <w:rPr/>
        <w:t>contrat</w:t>
      </w:r>
      <w:r>
        <w:rPr>
          <w:spacing w:val="-8"/>
        </w:rPr>
        <w:t> </w:t>
      </w:r>
      <w:r>
        <w:rPr/>
        <w:t>à</w:t>
      </w:r>
      <w:r>
        <w:rPr>
          <w:spacing w:val="-10"/>
        </w:rPr>
        <w:t> </w:t>
      </w:r>
      <w:r>
        <w:rPr/>
        <w:t>la</w:t>
      </w:r>
      <w:r>
        <w:rPr>
          <w:spacing w:val="-2"/>
        </w:rPr>
        <w:t> </w:t>
      </w:r>
      <w:r>
        <w:rPr/>
        <w:t>Direction de Contrôle des Cahiers des Charges et à la Structure Chargée des Affaires juridiques pour</w:t>
      </w:r>
      <w:r>
        <w:rPr>
          <w:spacing w:val="-1"/>
        </w:rPr>
        <w:t> </w:t>
      </w:r>
      <w:r>
        <w:rPr/>
        <w:t>approbation.</w:t>
      </w:r>
    </w:p>
    <w:p>
      <w:pPr>
        <w:pStyle w:val="BodyText"/>
        <w:spacing w:before="121"/>
        <w:ind w:right="756"/>
      </w:pPr>
      <w:r>
        <w:rPr/>
        <w:t>La</w:t>
      </w:r>
      <w:r>
        <w:rPr>
          <w:spacing w:val="-6"/>
        </w:rPr>
        <w:t> </w:t>
      </w:r>
      <w:r>
        <w:rPr/>
        <w:t>Structure</w:t>
      </w:r>
      <w:r>
        <w:rPr>
          <w:spacing w:val="-5"/>
        </w:rPr>
        <w:t> </w:t>
      </w:r>
      <w:r>
        <w:rPr/>
        <w:t>d’achat</w:t>
      </w:r>
      <w:r>
        <w:rPr>
          <w:spacing w:val="-4"/>
        </w:rPr>
        <w:t> </w:t>
      </w:r>
      <w:r>
        <w:rPr/>
        <w:t>insère</w:t>
      </w:r>
      <w:r>
        <w:rPr>
          <w:spacing w:val="-6"/>
        </w:rPr>
        <w:t> </w:t>
      </w:r>
      <w:r>
        <w:rPr/>
        <w:t>par</w:t>
      </w:r>
      <w:r>
        <w:rPr>
          <w:spacing w:val="-7"/>
        </w:rPr>
        <w:t> </w:t>
      </w:r>
      <w:r>
        <w:rPr/>
        <w:t>la</w:t>
      </w:r>
      <w:r>
        <w:rPr>
          <w:spacing w:val="-5"/>
        </w:rPr>
        <w:t> </w:t>
      </w:r>
      <w:r>
        <w:rPr/>
        <w:t>suite</w:t>
      </w:r>
      <w:r>
        <w:rPr>
          <w:spacing w:val="-6"/>
        </w:rPr>
        <w:t> </w:t>
      </w:r>
      <w:r>
        <w:rPr/>
        <w:t>le</w:t>
      </w:r>
      <w:r>
        <w:rPr>
          <w:spacing w:val="-5"/>
        </w:rPr>
        <w:t> </w:t>
      </w:r>
      <w:r>
        <w:rPr/>
        <w:t>projet</w:t>
      </w:r>
      <w:r>
        <w:rPr>
          <w:spacing w:val="-4"/>
        </w:rPr>
        <w:t> </w:t>
      </w:r>
      <w:r>
        <w:rPr/>
        <w:t>de</w:t>
      </w:r>
      <w:r>
        <w:rPr>
          <w:spacing w:val="-3"/>
        </w:rPr>
        <w:t> </w:t>
      </w:r>
      <w:r>
        <w:rPr/>
        <w:t>marché</w:t>
      </w:r>
      <w:r>
        <w:rPr>
          <w:spacing w:val="-5"/>
        </w:rPr>
        <w:t> </w:t>
      </w:r>
      <w:r>
        <w:rPr/>
        <w:t>négocié</w:t>
      </w:r>
      <w:r>
        <w:rPr>
          <w:spacing w:val="-5"/>
        </w:rPr>
        <w:t> </w:t>
      </w:r>
      <w:r>
        <w:rPr/>
        <w:t>sur</w:t>
      </w:r>
      <w:r>
        <w:rPr>
          <w:spacing w:val="-5"/>
        </w:rPr>
        <w:t> </w:t>
      </w:r>
      <w:r>
        <w:rPr/>
        <w:t>TUNEPS. Le</w:t>
      </w:r>
      <w:r>
        <w:rPr>
          <w:spacing w:val="-12"/>
        </w:rPr>
        <w:t> </w:t>
      </w:r>
      <w:r>
        <w:rPr/>
        <w:t>fournisseur</w:t>
      </w:r>
      <w:r>
        <w:rPr>
          <w:spacing w:val="-11"/>
        </w:rPr>
        <w:t> </w:t>
      </w:r>
      <w:r>
        <w:rPr/>
        <w:t>accepte</w:t>
      </w:r>
      <w:r>
        <w:rPr>
          <w:spacing w:val="-11"/>
        </w:rPr>
        <w:t> </w:t>
      </w:r>
      <w:r>
        <w:rPr/>
        <w:t>et</w:t>
      </w:r>
      <w:r>
        <w:rPr>
          <w:spacing w:val="-12"/>
        </w:rPr>
        <w:t> </w:t>
      </w:r>
      <w:r>
        <w:rPr/>
        <w:t>valide</w:t>
      </w:r>
      <w:r>
        <w:rPr>
          <w:spacing w:val="-11"/>
        </w:rPr>
        <w:t> </w:t>
      </w:r>
      <w:r>
        <w:rPr/>
        <w:t>le</w:t>
      </w:r>
      <w:r>
        <w:rPr>
          <w:spacing w:val="-11"/>
        </w:rPr>
        <w:t> </w:t>
      </w:r>
      <w:r>
        <w:rPr/>
        <w:t>projet</w:t>
      </w:r>
      <w:r>
        <w:rPr>
          <w:spacing w:val="-12"/>
        </w:rPr>
        <w:t> </w:t>
      </w:r>
      <w:r>
        <w:rPr/>
        <w:t>de</w:t>
      </w:r>
      <w:r>
        <w:rPr>
          <w:spacing w:val="-11"/>
        </w:rPr>
        <w:t> </w:t>
      </w:r>
      <w:r>
        <w:rPr/>
        <w:t>marché</w:t>
      </w:r>
      <w:r>
        <w:rPr>
          <w:spacing w:val="-11"/>
        </w:rPr>
        <w:t> </w:t>
      </w:r>
      <w:r>
        <w:rPr/>
        <w:t>négocié</w:t>
      </w:r>
      <w:r>
        <w:rPr>
          <w:spacing w:val="-12"/>
        </w:rPr>
        <w:t> </w:t>
      </w:r>
      <w:r>
        <w:rPr/>
        <w:t>sur</w:t>
      </w:r>
      <w:r>
        <w:rPr>
          <w:spacing w:val="-11"/>
        </w:rPr>
        <w:t> </w:t>
      </w:r>
      <w:r>
        <w:rPr/>
        <w:t>TUNEPS.</w:t>
      </w:r>
      <w:r>
        <w:rPr>
          <w:spacing w:val="-12"/>
        </w:rPr>
        <w:t> </w:t>
      </w:r>
      <w:r>
        <w:rPr/>
        <w:t>(Cette</w:t>
      </w:r>
      <w:r>
        <w:rPr>
          <w:spacing w:val="-12"/>
        </w:rPr>
        <w:t> </w:t>
      </w:r>
      <w:r>
        <w:rPr/>
        <w:t>tâche est effectuée uniquement dans le cas d’utilisation de</w:t>
      </w:r>
      <w:r>
        <w:rPr>
          <w:spacing w:val="-8"/>
        </w:rPr>
        <w:t> </w:t>
      </w:r>
      <w:r>
        <w:rPr/>
        <w:t>TUNEPS).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6"/>
      </w:pPr>
      <w:r>
        <w:rPr/>
        <w:t>La Structure d’achat prépare une note de présentation de dossier d’achat négocié et la transmet à la Commission de contrôle pour examen et avis. Le montant de</w:t>
      </w:r>
      <w:r>
        <w:rPr>
          <w:spacing w:val="-43"/>
        </w:rPr>
        <w:t> </w:t>
      </w:r>
      <w:r>
        <w:rPr/>
        <w:t>l’offre financière convenue détermine la Commission de contrôle pour les marchés</w:t>
      </w:r>
      <w:r>
        <w:rPr>
          <w:spacing w:val="-30"/>
        </w:rPr>
        <w:t> </w:t>
      </w:r>
      <w:r>
        <w:rPr/>
        <w:t>négociés.</w:t>
      </w:r>
    </w:p>
    <w:p>
      <w:pPr>
        <w:pStyle w:val="BodyText"/>
        <w:spacing w:line="321" w:lineRule="exact" w:before="121"/>
        <w:ind w:left="999" w:firstLine="0"/>
      </w:pPr>
      <w:r>
        <w:rPr/>
        <w:t>La Commission de Contrôle donne son avis comme suit :</w:t>
      </w:r>
    </w:p>
    <w:p>
      <w:pPr>
        <w:pStyle w:val="ListParagraph"/>
        <w:numPr>
          <w:ilvl w:val="0"/>
          <w:numId w:val="51"/>
        </w:numPr>
        <w:tabs>
          <w:tab w:pos="1000" w:val="left" w:leader="none"/>
        </w:tabs>
        <w:spacing w:line="341" w:lineRule="exact" w:before="0" w:after="0"/>
        <w:ind w:left="999" w:right="0" w:hanging="284"/>
        <w:jc w:val="left"/>
        <w:rPr>
          <w:sz w:val="28"/>
        </w:rPr>
      </w:pPr>
      <w:r>
        <w:rPr>
          <w:sz w:val="28"/>
        </w:rPr>
        <w:t>Approuve l’attribution du marché/commande</w:t>
      </w:r>
      <w:r>
        <w:rPr>
          <w:spacing w:val="-3"/>
          <w:sz w:val="28"/>
        </w:rPr>
        <w:t> </w:t>
      </w:r>
      <w:r>
        <w:rPr>
          <w:sz w:val="28"/>
        </w:rPr>
        <w:t>négocié(e).</w:t>
      </w:r>
    </w:p>
    <w:p>
      <w:pPr>
        <w:pStyle w:val="ListParagraph"/>
        <w:numPr>
          <w:ilvl w:val="0"/>
          <w:numId w:val="51"/>
        </w:numPr>
        <w:tabs>
          <w:tab w:pos="1000" w:val="left" w:leader="none"/>
        </w:tabs>
        <w:spacing w:line="342" w:lineRule="exact" w:before="0" w:after="0"/>
        <w:ind w:left="999" w:right="0" w:hanging="284"/>
        <w:jc w:val="left"/>
        <w:rPr>
          <w:sz w:val="28"/>
        </w:rPr>
      </w:pPr>
      <w:r>
        <w:rPr>
          <w:sz w:val="28"/>
        </w:rPr>
        <w:t>Ou demande des</w:t>
      </w:r>
      <w:r>
        <w:rPr>
          <w:spacing w:val="-2"/>
          <w:sz w:val="28"/>
        </w:rPr>
        <w:t> </w:t>
      </w:r>
      <w:r>
        <w:rPr>
          <w:sz w:val="28"/>
        </w:rPr>
        <w:t>éclaircissements.</w:t>
      </w:r>
    </w:p>
    <w:p>
      <w:pPr>
        <w:pStyle w:val="ListParagraph"/>
        <w:numPr>
          <w:ilvl w:val="0"/>
          <w:numId w:val="51"/>
        </w:numPr>
        <w:tabs>
          <w:tab w:pos="1000" w:val="left" w:leader="none"/>
        </w:tabs>
        <w:spacing w:line="343" w:lineRule="exact" w:before="0" w:after="0"/>
        <w:ind w:left="999" w:right="0" w:hanging="284"/>
        <w:jc w:val="left"/>
        <w:rPr>
          <w:sz w:val="28"/>
        </w:rPr>
      </w:pPr>
      <w:r>
        <w:rPr>
          <w:sz w:val="28"/>
        </w:rPr>
        <w:t>Ou demande de renégocier l’offre avec le</w:t>
      </w:r>
      <w:r>
        <w:rPr>
          <w:spacing w:val="-5"/>
          <w:sz w:val="28"/>
        </w:rPr>
        <w:t> </w:t>
      </w:r>
      <w:r>
        <w:rPr>
          <w:sz w:val="28"/>
        </w:rPr>
        <w:t>fournisseur.</w:t>
      </w:r>
    </w:p>
    <w:p>
      <w:pPr>
        <w:pStyle w:val="BodyText"/>
        <w:ind w:right="759"/>
      </w:pPr>
      <w:r>
        <w:rPr/>
        <w:t>Après approbation de l’attribution du marché négocié par la CME, La structure d’achat concernée notifie le marché à son titulaire en lui envoyant le contrat signé par le GCT par tout moyen matériel ou immatériel permettant de lui conférer une date certaine.</w:t>
      </w:r>
    </w:p>
    <w:p>
      <w:pPr>
        <w:pStyle w:val="Heading2"/>
        <w:numPr>
          <w:ilvl w:val="2"/>
          <w:numId w:val="45"/>
        </w:numPr>
        <w:tabs>
          <w:tab w:pos="1307" w:val="left" w:leader="none"/>
        </w:tabs>
        <w:spacing w:line="240" w:lineRule="auto" w:before="126" w:after="0"/>
        <w:ind w:left="1306" w:right="0" w:hanging="874"/>
        <w:jc w:val="both"/>
      </w:pPr>
      <w:bookmarkStart w:name="_TOC_250086" w:id="57"/>
      <w:r>
        <w:rPr/>
        <w:t>Appel d’offres avec demande de</w:t>
      </w:r>
      <w:r>
        <w:rPr>
          <w:spacing w:val="1"/>
        </w:rPr>
        <w:t> </w:t>
      </w:r>
      <w:bookmarkEnd w:id="57"/>
      <w:r>
        <w:rPr/>
        <w:t>financement</w:t>
      </w:r>
    </w:p>
    <w:p>
      <w:pPr>
        <w:pStyle w:val="BodyText"/>
        <w:spacing w:before="43"/>
        <w:ind w:right="759"/>
      </w:pPr>
      <w:r>
        <w:rPr/>
        <w:t>Lorsque le GCT n’arrive pas à trouver le financement total ou partiel pour un projet d’investissement lourd ou lorsqu’il veut chercher des taux meilleurs, il peut lancer un appel d’offres avec et sans demande de financement</w:t>
      </w:r>
    </w:p>
    <w:p>
      <w:pPr>
        <w:pStyle w:val="Heading2"/>
        <w:spacing w:line="320" w:lineRule="exact" w:before="126"/>
        <w:jc w:val="left"/>
      </w:pPr>
      <w:r>
        <w:rPr/>
        <w:t>Procédure</w:t>
      </w:r>
    </w:p>
    <w:p>
      <w:pPr>
        <w:pStyle w:val="BodyText"/>
        <w:jc w:val="left"/>
      </w:pPr>
      <w:r>
        <w:rPr/>
        <w:t>Dans ce cas, le dossier d’appel à la concurrence doit prévoir le pourcentage de financement demandé.</w:t>
      </w:r>
    </w:p>
    <w:p>
      <w:pPr>
        <w:pStyle w:val="BodyText"/>
        <w:ind w:right="748" w:firstLine="0"/>
        <w:jc w:val="left"/>
      </w:pPr>
      <w:r>
        <w:rPr/>
        <w:t>Les soumissionnaires sont tenus de présenter des offres sans proposition de financement et autres avec proposition de financement.</w:t>
      </w:r>
    </w:p>
    <w:p>
      <w:pPr>
        <w:pStyle w:val="BodyText"/>
        <w:ind w:right="752"/>
      </w:pPr>
      <w:r>
        <w:rPr/>
        <w:t>Les marchés financés par les institutions et les organismes de financement financier étrangers sont exemptés du contrôle préalable des commissions de contrôles des marchés. Néanmoins, ces marchés restent soumis aux autres mécanismes de contrôle conformément à la législation en</w:t>
      </w:r>
      <w:r>
        <w:rPr>
          <w:spacing w:val="-7"/>
        </w:rPr>
        <w:t> </w:t>
      </w:r>
      <w:r>
        <w:rPr/>
        <w:t>vigueur.</w:t>
      </w:r>
    </w:p>
    <w:p>
      <w:pPr>
        <w:pStyle w:val="Heading2"/>
        <w:numPr>
          <w:ilvl w:val="2"/>
          <w:numId w:val="45"/>
        </w:numPr>
        <w:tabs>
          <w:tab w:pos="1307" w:val="left" w:leader="none"/>
        </w:tabs>
        <w:spacing w:line="240" w:lineRule="auto" w:before="121" w:after="0"/>
        <w:ind w:left="1306" w:right="0" w:hanging="874"/>
        <w:jc w:val="both"/>
      </w:pPr>
      <w:bookmarkStart w:name="_TOC_250085" w:id="58"/>
      <w:r>
        <w:rPr/>
        <w:t>Appel d’offres avec</w:t>
      </w:r>
      <w:r>
        <w:rPr>
          <w:spacing w:val="-12"/>
        </w:rPr>
        <w:t> </w:t>
      </w:r>
      <w:bookmarkEnd w:id="58"/>
      <w:r>
        <w:rPr/>
        <w:t>concours</w:t>
      </w:r>
    </w:p>
    <w:p>
      <w:pPr>
        <w:pStyle w:val="BodyText"/>
        <w:spacing w:before="44"/>
        <w:ind w:right="750"/>
      </w:pPr>
      <w:r>
        <w:rPr/>
        <w:t>Il est organisé sur la base d'un programme établi par le GCT, lorsque des motifs d'ordre technique, esthétique ou financier justifient des recherches particulières ou nécessitent</w:t>
      </w:r>
      <w:r>
        <w:rPr>
          <w:spacing w:val="-13"/>
        </w:rPr>
        <w:t> </w:t>
      </w:r>
      <w:r>
        <w:rPr/>
        <w:t>une</w:t>
      </w:r>
      <w:r>
        <w:rPr>
          <w:spacing w:val="-12"/>
        </w:rPr>
        <w:t> </w:t>
      </w:r>
      <w:r>
        <w:rPr/>
        <w:t>spécialisation</w:t>
      </w:r>
      <w:r>
        <w:rPr>
          <w:spacing w:val="-10"/>
        </w:rPr>
        <w:t> </w:t>
      </w:r>
      <w:r>
        <w:rPr/>
        <w:t>particulière</w:t>
      </w:r>
      <w:r>
        <w:rPr>
          <w:spacing w:val="-12"/>
        </w:rPr>
        <w:t> </w:t>
      </w:r>
      <w:r>
        <w:rPr/>
        <w:t>de</w:t>
      </w:r>
      <w:r>
        <w:rPr>
          <w:spacing w:val="-11"/>
        </w:rPr>
        <w:t> </w:t>
      </w:r>
      <w:r>
        <w:rPr/>
        <w:t>la</w:t>
      </w:r>
      <w:r>
        <w:rPr>
          <w:spacing w:val="-10"/>
        </w:rPr>
        <w:t> </w:t>
      </w:r>
      <w:r>
        <w:rPr/>
        <w:t>part</w:t>
      </w:r>
      <w:r>
        <w:rPr>
          <w:spacing w:val="-10"/>
        </w:rPr>
        <w:t> </w:t>
      </w:r>
      <w:r>
        <w:rPr/>
        <w:t>des</w:t>
      </w:r>
      <w:r>
        <w:rPr>
          <w:spacing w:val="-12"/>
        </w:rPr>
        <w:t> </w:t>
      </w:r>
      <w:r>
        <w:rPr/>
        <w:t>participants.</w:t>
      </w:r>
      <w:r>
        <w:rPr>
          <w:spacing w:val="-11"/>
        </w:rPr>
        <w:t> </w:t>
      </w:r>
      <w:r>
        <w:rPr/>
        <w:t>Le</w:t>
      </w:r>
      <w:r>
        <w:rPr>
          <w:spacing w:val="-11"/>
        </w:rPr>
        <w:t> </w:t>
      </w:r>
      <w:r>
        <w:rPr/>
        <w:t>programme</w:t>
      </w:r>
      <w:r>
        <w:rPr>
          <w:spacing w:val="-10"/>
        </w:rPr>
        <w:t> </w:t>
      </w:r>
      <w:r>
        <w:rPr/>
        <w:t>du concours</w:t>
      </w:r>
      <w:r>
        <w:rPr>
          <w:spacing w:val="-12"/>
        </w:rPr>
        <w:t> </w:t>
      </w:r>
      <w:r>
        <w:rPr/>
        <w:t>précise</w:t>
      </w:r>
      <w:r>
        <w:rPr>
          <w:spacing w:val="-10"/>
        </w:rPr>
        <w:t> </w:t>
      </w:r>
      <w:r>
        <w:rPr/>
        <w:t>le</w:t>
      </w:r>
      <w:r>
        <w:rPr>
          <w:spacing w:val="-11"/>
        </w:rPr>
        <w:t> </w:t>
      </w:r>
      <w:r>
        <w:rPr/>
        <w:t>contenu</w:t>
      </w:r>
      <w:r>
        <w:rPr>
          <w:spacing w:val="-13"/>
        </w:rPr>
        <w:t> </w:t>
      </w:r>
      <w:r>
        <w:rPr/>
        <w:t>des</w:t>
      </w:r>
      <w:r>
        <w:rPr>
          <w:spacing w:val="-12"/>
        </w:rPr>
        <w:t> </w:t>
      </w:r>
      <w:r>
        <w:rPr/>
        <w:t>besoins</w:t>
      </w:r>
      <w:r>
        <w:rPr>
          <w:spacing w:val="-10"/>
        </w:rPr>
        <w:t> </w:t>
      </w:r>
      <w:r>
        <w:rPr/>
        <w:t>auxquels</w:t>
      </w:r>
      <w:r>
        <w:rPr>
          <w:spacing w:val="-13"/>
        </w:rPr>
        <w:t> </w:t>
      </w:r>
      <w:r>
        <w:rPr/>
        <w:t>doit</w:t>
      </w:r>
      <w:r>
        <w:rPr>
          <w:spacing w:val="-11"/>
        </w:rPr>
        <w:t> </w:t>
      </w:r>
      <w:r>
        <w:rPr/>
        <w:t>répondre</w:t>
      </w:r>
      <w:r>
        <w:rPr>
          <w:spacing w:val="-13"/>
        </w:rPr>
        <w:t> </w:t>
      </w:r>
      <w:r>
        <w:rPr/>
        <w:t>la</w:t>
      </w:r>
      <w:r>
        <w:rPr>
          <w:spacing w:val="-13"/>
        </w:rPr>
        <w:t> </w:t>
      </w:r>
      <w:r>
        <w:rPr/>
        <w:t>commande</w:t>
      </w:r>
      <w:r>
        <w:rPr>
          <w:spacing w:val="-11"/>
        </w:rPr>
        <w:t> </w:t>
      </w:r>
      <w:r>
        <w:rPr/>
        <w:t>ainsi</w:t>
      </w:r>
      <w:r>
        <w:rPr>
          <w:spacing w:val="-13"/>
        </w:rPr>
        <w:t> </w:t>
      </w:r>
      <w:r>
        <w:rPr/>
        <w:t>que la</w:t>
      </w:r>
      <w:r>
        <w:rPr>
          <w:spacing w:val="-15"/>
        </w:rPr>
        <w:t> </w:t>
      </w:r>
      <w:r>
        <w:rPr/>
        <w:t>méthodologie</w:t>
      </w:r>
      <w:r>
        <w:rPr>
          <w:spacing w:val="-17"/>
        </w:rPr>
        <w:t> </w:t>
      </w:r>
      <w:r>
        <w:rPr/>
        <w:t>et</w:t>
      </w:r>
      <w:r>
        <w:rPr>
          <w:spacing w:val="-16"/>
        </w:rPr>
        <w:t> </w:t>
      </w:r>
      <w:r>
        <w:rPr/>
        <w:t>les</w:t>
      </w:r>
      <w:r>
        <w:rPr>
          <w:spacing w:val="-15"/>
        </w:rPr>
        <w:t> </w:t>
      </w:r>
      <w:r>
        <w:rPr/>
        <w:t>critères</w:t>
      </w:r>
      <w:r>
        <w:rPr>
          <w:spacing w:val="-16"/>
        </w:rPr>
        <w:t> </w:t>
      </w:r>
      <w:r>
        <w:rPr/>
        <w:t>d'évaluation</w:t>
      </w:r>
      <w:r>
        <w:rPr>
          <w:spacing w:val="-16"/>
        </w:rPr>
        <w:t> </w:t>
      </w:r>
      <w:r>
        <w:rPr/>
        <w:t>des</w:t>
      </w:r>
      <w:r>
        <w:rPr>
          <w:spacing w:val="-15"/>
        </w:rPr>
        <w:t> </w:t>
      </w:r>
      <w:r>
        <w:rPr/>
        <w:t>offres</w:t>
      </w:r>
      <w:r>
        <w:rPr>
          <w:spacing w:val="-16"/>
        </w:rPr>
        <w:t> </w:t>
      </w:r>
      <w:r>
        <w:rPr/>
        <w:t>et</w:t>
      </w:r>
      <w:r>
        <w:rPr>
          <w:spacing w:val="-16"/>
        </w:rPr>
        <w:t> </w:t>
      </w:r>
      <w:r>
        <w:rPr/>
        <w:t>fixe</w:t>
      </w:r>
      <w:r>
        <w:rPr>
          <w:spacing w:val="-16"/>
        </w:rPr>
        <w:t> </w:t>
      </w:r>
      <w:r>
        <w:rPr/>
        <w:t>le</w:t>
      </w:r>
      <w:r>
        <w:rPr>
          <w:spacing w:val="-15"/>
        </w:rPr>
        <w:t> </w:t>
      </w:r>
      <w:r>
        <w:rPr/>
        <w:t>maximum</w:t>
      </w:r>
      <w:r>
        <w:rPr>
          <w:spacing w:val="-19"/>
        </w:rPr>
        <w:t> </w:t>
      </w:r>
      <w:r>
        <w:rPr/>
        <w:t>du</w:t>
      </w:r>
      <w:r>
        <w:rPr>
          <w:spacing w:val="-14"/>
        </w:rPr>
        <w:t> </w:t>
      </w:r>
      <w:r>
        <w:rPr/>
        <w:t>coût</w:t>
      </w:r>
      <w:r>
        <w:rPr>
          <w:spacing w:val="-16"/>
        </w:rPr>
        <w:t> </w:t>
      </w:r>
      <w:r>
        <w:rPr/>
        <w:t>prévu pour l'exécution de l’opération objet du</w:t>
      </w:r>
      <w:r>
        <w:rPr>
          <w:spacing w:val="-6"/>
        </w:rPr>
        <w:t> </w:t>
      </w:r>
      <w:r>
        <w:rPr/>
        <w:t>concours.</w:t>
      </w:r>
    </w:p>
    <w:p>
      <w:pPr>
        <w:pStyle w:val="BodyText"/>
        <w:spacing w:line="322" w:lineRule="exact"/>
        <w:ind w:firstLine="0"/>
        <w:jc w:val="left"/>
      </w:pPr>
      <w:r>
        <w:rPr/>
        <w:t>Le concours peut porter soit sur :</w:t>
      </w:r>
    </w:p>
    <w:p>
      <w:pPr>
        <w:pStyle w:val="ListParagraph"/>
        <w:numPr>
          <w:ilvl w:val="0"/>
          <w:numId w:val="52"/>
        </w:numPr>
        <w:tabs>
          <w:tab w:pos="739" w:val="left" w:leader="none"/>
        </w:tabs>
        <w:spacing w:line="240" w:lineRule="auto" w:before="0" w:after="0"/>
        <w:ind w:left="738" w:right="0" w:hanging="306"/>
        <w:jc w:val="left"/>
        <w:rPr>
          <w:sz w:val="28"/>
        </w:rPr>
      </w:pPr>
      <w:r>
        <w:rPr>
          <w:sz w:val="28"/>
        </w:rPr>
        <w:t>L’étude d’un projet</w:t>
      </w:r>
    </w:p>
    <w:p>
      <w:pPr>
        <w:pStyle w:val="ListParagraph"/>
        <w:numPr>
          <w:ilvl w:val="0"/>
          <w:numId w:val="52"/>
        </w:numPr>
        <w:tabs>
          <w:tab w:pos="739" w:val="left" w:leader="none"/>
        </w:tabs>
        <w:spacing w:line="240" w:lineRule="auto" w:before="2" w:after="0"/>
        <w:ind w:left="433" w:right="5018" w:firstLine="0"/>
        <w:jc w:val="left"/>
        <w:rPr>
          <w:sz w:val="28"/>
        </w:rPr>
      </w:pPr>
      <w:r>
        <w:rPr>
          <w:sz w:val="28"/>
        </w:rPr>
        <w:t>L’exécution d’un projet préalablement étudié 3- L’étude d’un projet et son exécution à la</w:t>
      </w:r>
      <w:r>
        <w:rPr>
          <w:spacing w:val="-19"/>
          <w:sz w:val="28"/>
        </w:rPr>
        <w:t> </w:t>
      </w:r>
      <w:r>
        <w:rPr>
          <w:sz w:val="28"/>
        </w:rPr>
        <w:t>fois</w:t>
      </w:r>
    </w:p>
    <w:p>
      <w:pPr>
        <w:pStyle w:val="BodyText"/>
        <w:ind w:left="999" w:right="704" w:hanging="567"/>
        <w:jc w:val="left"/>
      </w:pPr>
      <w:r>
        <w:rPr/>
        <w:t>L’appel d’offres avec concours peut être ouvert ou précédé d’une présélection : L'appel d'offres avec concours ouvert comporte un appel public à la concurrence.</w:t>
      </w:r>
    </w:p>
    <w:p>
      <w:pPr>
        <w:pStyle w:val="BodyText"/>
        <w:ind w:right="761"/>
      </w:pPr>
      <w:r>
        <w:rPr/>
        <w:t>L'appel d'offres avec concours précédé d'une présélection comporte un appel public de candidature lancé sur la base des termes de référence qui fixe l'objet du concours, les conditions de participation et la méthodologie de présélection.</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2" w:firstLine="0"/>
      </w:pPr>
      <w:r>
        <w:rPr/>
        <w:t>Seuls les candidats présélectionnés sont admis à présenter des offres après examen du rapport de présélection par la commission des marchés.</w:t>
      </w:r>
    </w:p>
    <w:p>
      <w:pPr>
        <w:pStyle w:val="BodyText"/>
        <w:ind w:right="762"/>
      </w:pPr>
      <w:r>
        <w:rPr/>
        <w:t>Les propositions sont examinées et classées par un jury désigné par décision du directeur général du GCT et composé de membres indépendants des participants au concours.</w:t>
      </w:r>
    </w:p>
    <w:p>
      <w:pPr>
        <w:pStyle w:val="BodyText"/>
        <w:ind w:right="759"/>
      </w:pPr>
      <w:r>
        <w:rPr/>
        <w:t>Le</w:t>
      </w:r>
      <w:r>
        <w:rPr>
          <w:spacing w:val="-18"/>
        </w:rPr>
        <w:t> </w:t>
      </w:r>
      <w:r>
        <w:rPr/>
        <w:t>jury</w:t>
      </w:r>
      <w:r>
        <w:rPr>
          <w:spacing w:val="-19"/>
        </w:rPr>
        <w:t> </w:t>
      </w:r>
      <w:r>
        <w:rPr/>
        <w:t>de</w:t>
      </w:r>
      <w:r>
        <w:rPr>
          <w:spacing w:val="-18"/>
        </w:rPr>
        <w:t> </w:t>
      </w:r>
      <w:r>
        <w:rPr/>
        <w:t>concours</w:t>
      </w:r>
      <w:r>
        <w:rPr>
          <w:spacing w:val="-17"/>
        </w:rPr>
        <w:t> </w:t>
      </w:r>
      <w:r>
        <w:rPr/>
        <w:t>consigne</w:t>
      </w:r>
      <w:r>
        <w:rPr>
          <w:spacing w:val="-18"/>
        </w:rPr>
        <w:t> </w:t>
      </w:r>
      <w:r>
        <w:rPr/>
        <w:t>la</w:t>
      </w:r>
      <w:r>
        <w:rPr>
          <w:spacing w:val="-16"/>
        </w:rPr>
        <w:t> </w:t>
      </w:r>
      <w:r>
        <w:rPr/>
        <w:t>méthodologie</w:t>
      </w:r>
      <w:r>
        <w:rPr>
          <w:spacing w:val="-21"/>
        </w:rPr>
        <w:t> </w:t>
      </w:r>
      <w:r>
        <w:rPr/>
        <w:t>d'examen</w:t>
      </w:r>
      <w:r>
        <w:rPr>
          <w:spacing w:val="-17"/>
        </w:rPr>
        <w:t> </w:t>
      </w:r>
      <w:r>
        <w:rPr/>
        <w:t>des</w:t>
      </w:r>
      <w:r>
        <w:rPr>
          <w:spacing w:val="-19"/>
        </w:rPr>
        <w:t> </w:t>
      </w:r>
      <w:r>
        <w:rPr/>
        <w:t>projets</w:t>
      </w:r>
      <w:r>
        <w:rPr>
          <w:spacing w:val="-17"/>
        </w:rPr>
        <w:t> </w:t>
      </w:r>
      <w:r>
        <w:rPr/>
        <w:t>et</w:t>
      </w:r>
      <w:r>
        <w:rPr>
          <w:spacing w:val="-17"/>
        </w:rPr>
        <w:t> </w:t>
      </w:r>
      <w:r>
        <w:rPr/>
        <w:t>les</w:t>
      </w:r>
      <w:r>
        <w:rPr>
          <w:spacing w:val="-17"/>
        </w:rPr>
        <w:t> </w:t>
      </w:r>
      <w:r>
        <w:rPr/>
        <w:t>résultats de ses travaux ainsi que ses propositions dans un rapport signé par tous ses membres et</w:t>
      </w:r>
      <w:r>
        <w:rPr>
          <w:spacing w:val="-18"/>
        </w:rPr>
        <w:t> </w:t>
      </w:r>
      <w:r>
        <w:rPr/>
        <w:t>comportant,</w:t>
      </w:r>
      <w:r>
        <w:rPr>
          <w:spacing w:val="-19"/>
        </w:rPr>
        <w:t> </w:t>
      </w:r>
      <w:r>
        <w:rPr/>
        <w:t>le</w:t>
      </w:r>
      <w:r>
        <w:rPr>
          <w:spacing w:val="-20"/>
        </w:rPr>
        <w:t> </w:t>
      </w:r>
      <w:r>
        <w:rPr/>
        <w:t>cas</w:t>
      </w:r>
      <w:r>
        <w:rPr>
          <w:spacing w:val="-18"/>
        </w:rPr>
        <w:t> </w:t>
      </w:r>
      <w:r>
        <w:rPr/>
        <w:t>échéant,</w:t>
      </w:r>
      <w:r>
        <w:rPr>
          <w:spacing w:val="-20"/>
        </w:rPr>
        <w:t> </w:t>
      </w:r>
      <w:r>
        <w:rPr/>
        <w:t>leurs</w:t>
      </w:r>
      <w:r>
        <w:rPr>
          <w:spacing w:val="-18"/>
        </w:rPr>
        <w:t> </w:t>
      </w:r>
      <w:r>
        <w:rPr/>
        <w:t>réserves.</w:t>
      </w:r>
      <w:r>
        <w:rPr>
          <w:spacing w:val="-23"/>
        </w:rPr>
        <w:t> </w:t>
      </w:r>
      <w:r>
        <w:rPr/>
        <w:t>Ce</w:t>
      </w:r>
      <w:r>
        <w:rPr>
          <w:spacing w:val="-19"/>
        </w:rPr>
        <w:t> </w:t>
      </w:r>
      <w:r>
        <w:rPr/>
        <w:t>rapport</w:t>
      </w:r>
      <w:r>
        <w:rPr>
          <w:spacing w:val="-18"/>
        </w:rPr>
        <w:t> </w:t>
      </w:r>
      <w:r>
        <w:rPr/>
        <w:t>est</w:t>
      </w:r>
      <w:r>
        <w:rPr>
          <w:spacing w:val="-19"/>
        </w:rPr>
        <w:t> </w:t>
      </w:r>
      <w:r>
        <w:rPr/>
        <w:t>soumis</w:t>
      </w:r>
      <w:r>
        <w:rPr>
          <w:spacing w:val="-18"/>
        </w:rPr>
        <w:t> </w:t>
      </w:r>
      <w:r>
        <w:rPr/>
        <w:t>à</w:t>
      </w:r>
      <w:r>
        <w:rPr>
          <w:spacing w:val="-20"/>
        </w:rPr>
        <w:t> </w:t>
      </w:r>
      <w:r>
        <w:rPr/>
        <w:t>l'examen</w:t>
      </w:r>
      <w:r>
        <w:rPr>
          <w:spacing w:val="-18"/>
        </w:rPr>
        <w:t> </w:t>
      </w:r>
      <w:r>
        <w:rPr/>
        <w:t>préalable de la</w:t>
      </w:r>
      <w:r>
        <w:rPr>
          <w:spacing w:val="-1"/>
        </w:rPr>
        <w:t> </w:t>
      </w:r>
      <w:r>
        <w:rPr/>
        <w:t>CME.</w:t>
      </w:r>
    </w:p>
    <w:p>
      <w:pPr>
        <w:pStyle w:val="BodyText"/>
        <w:spacing w:before="2"/>
        <w:ind w:right="749"/>
      </w:pPr>
      <w:r>
        <w:rPr/>
        <w:t>Lorsque le concours ne porte que sur l'étude d'un projet, le programme peut fixer les</w:t>
      </w:r>
      <w:r>
        <w:rPr>
          <w:spacing w:val="-19"/>
        </w:rPr>
        <w:t> </w:t>
      </w:r>
      <w:r>
        <w:rPr/>
        <w:t>primes,</w:t>
      </w:r>
      <w:r>
        <w:rPr>
          <w:spacing w:val="-18"/>
        </w:rPr>
        <w:t> </w:t>
      </w:r>
      <w:r>
        <w:rPr/>
        <w:t>récompenses</w:t>
      </w:r>
      <w:r>
        <w:rPr>
          <w:spacing w:val="-18"/>
        </w:rPr>
        <w:t> </w:t>
      </w:r>
      <w:r>
        <w:rPr/>
        <w:t>ou</w:t>
      </w:r>
      <w:r>
        <w:rPr>
          <w:spacing w:val="-16"/>
        </w:rPr>
        <w:t> </w:t>
      </w:r>
      <w:r>
        <w:rPr/>
        <w:t>avantages</w:t>
      </w:r>
      <w:r>
        <w:rPr>
          <w:spacing w:val="-19"/>
        </w:rPr>
        <w:t> </w:t>
      </w:r>
      <w:r>
        <w:rPr/>
        <w:t>alloués</w:t>
      </w:r>
      <w:r>
        <w:rPr>
          <w:spacing w:val="-15"/>
        </w:rPr>
        <w:t> </w:t>
      </w:r>
      <w:r>
        <w:rPr/>
        <w:t>aux</w:t>
      </w:r>
      <w:r>
        <w:rPr>
          <w:spacing w:val="-16"/>
        </w:rPr>
        <w:t> </w:t>
      </w:r>
      <w:r>
        <w:rPr/>
        <w:t>auteurs</w:t>
      </w:r>
      <w:r>
        <w:rPr>
          <w:spacing w:val="-19"/>
        </w:rPr>
        <w:t> </w:t>
      </w:r>
      <w:r>
        <w:rPr/>
        <w:t>des</w:t>
      </w:r>
      <w:r>
        <w:rPr>
          <w:spacing w:val="-18"/>
        </w:rPr>
        <w:t> </w:t>
      </w:r>
      <w:r>
        <w:rPr/>
        <w:t>projets</w:t>
      </w:r>
      <w:r>
        <w:rPr>
          <w:spacing w:val="-16"/>
        </w:rPr>
        <w:t> </w:t>
      </w:r>
      <w:r>
        <w:rPr/>
        <w:t>les</w:t>
      </w:r>
      <w:r>
        <w:rPr>
          <w:spacing w:val="-16"/>
        </w:rPr>
        <w:t> </w:t>
      </w:r>
      <w:r>
        <w:rPr/>
        <w:t>mieux</w:t>
      </w:r>
      <w:r>
        <w:rPr>
          <w:spacing w:val="-18"/>
        </w:rPr>
        <w:t> </w:t>
      </w:r>
      <w:r>
        <w:rPr/>
        <w:t>classés. Le programme prévoit en outre</w:t>
      </w:r>
      <w:r>
        <w:rPr>
          <w:spacing w:val="-5"/>
        </w:rPr>
        <w:t> </w:t>
      </w:r>
      <w:r>
        <w:rPr/>
        <w:t>:</w:t>
      </w:r>
    </w:p>
    <w:p>
      <w:pPr>
        <w:pStyle w:val="ListParagraph"/>
        <w:numPr>
          <w:ilvl w:val="0"/>
          <w:numId w:val="53"/>
        </w:numPr>
        <w:tabs>
          <w:tab w:pos="1154" w:val="left" w:leader="none"/>
        </w:tabs>
        <w:spacing w:line="333" w:lineRule="exact" w:before="0" w:after="0"/>
        <w:ind w:left="1153" w:right="0" w:hanging="361"/>
        <w:jc w:val="both"/>
        <w:rPr>
          <w:sz w:val="28"/>
        </w:rPr>
      </w:pPr>
      <w:r>
        <w:rPr>
          <w:sz w:val="28"/>
        </w:rPr>
        <w:t>Soit</w:t>
      </w:r>
      <w:r>
        <w:rPr>
          <w:spacing w:val="-9"/>
          <w:sz w:val="28"/>
        </w:rPr>
        <w:t> </w:t>
      </w:r>
      <w:r>
        <w:rPr>
          <w:sz w:val="28"/>
        </w:rPr>
        <w:t>que</w:t>
      </w:r>
      <w:r>
        <w:rPr>
          <w:spacing w:val="-9"/>
          <w:sz w:val="28"/>
        </w:rPr>
        <w:t> </w:t>
      </w:r>
      <w:r>
        <w:rPr>
          <w:sz w:val="28"/>
        </w:rPr>
        <w:t>les</w:t>
      </w:r>
      <w:r>
        <w:rPr>
          <w:spacing w:val="-8"/>
          <w:sz w:val="28"/>
        </w:rPr>
        <w:t> </w:t>
      </w:r>
      <w:r>
        <w:rPr>
          <w:sz w:val="28"/>
        </w:rPr>
        <w:t>projets</w:t>
      </w:r>
      <w:r>
        <w:rPr>
          <w:spacing w:val="-8"/>
          <w:sz w:val="28"/>
        </w:rPr>
        <w:t> </w:t>
      </w:r>
      <w:r>
        <w:rPr>
          <w:sz w:val="28"/>
        </w:rPr>
        <w:t>primés</w:t>
      </w:r>
      <w:r>
        <w:rPr>
          <w:spacing w:val="-8"/>
          <w:sz w:val="28"/>
        </w:rPr>
        <w:t> </w:t>
      </w:r>
      <w:r>
        <w:rPr>
          <w:sz w:val="28"/>
        </w:rPr>
        <w:t>deviendront</w:t>
      </w:r>
      <w:r>
        <w:rPr>
          <w:spacing w:val="-8"/>
          <w:sz w:val="28"/>
        </w:rPr>
        <w:t> </w:t>
      </w:r>
      <w:r>
        <w:rPr>
          <w:sz w:val="28"/>
        </w:rPr>
        <w:t>en</w:t>
      </w:r>
      <w:r>
        <w:rPr>
          <w:spacing w:val="-10"/>
          <w:sz w:val="28"/>
        </w:rPr>
        <w:t> </w:t>
      </w:r>
      <w:r>
        <w:rPr>
          <w:sz w:val="28"/>
        </w:rPr>
        <w:t>tout</w:t>
      </w:r>
      <w:r>
        <w:rPr>
          <w:spacing w:val="-8"/>
          <w:sz w:val="28"/>
        </w:rPr>
        <w:t> </w:t>
      </w:r>
      <w:r>
        <w:rPr>
          <w:sz w:val="28"/>
        </w:rPr>
        <w:t>ou</w:t>
      </w:r>
      <w:r>
        <w:rPr>
          <w:spacing w:val="-8"/>
          <w:sz w:val="28"/>
        </w:rPr>
        <w:t> </w:t>
      </w:r>
      <w:r>
        <w:rPr>
          <w:sz w:val="28"/>
        </w:rPr>
        <w:t>en</w:t>
      </w:r>
      <w:r>
        <w:rPr>
          <w:spacing w:val="-10"/>
          <w:sz w:val="28"/>
        </w:rPr>
        <w:t> </w:t>
      </w:r>
      <w:r>
        <w:rPr>
          <w:sz w:val="28"/>
        </w:rPr>
        <w:t>partie</w:t>
      </w:r>
      <w:r>
        <w:rPr>
          <w:spacing w:val="-11"/>
          <w:sz w:val="28"/>
        </w:rPr>
        <w:t> </w:t>
      </w:r>
      <w:r>
        <w:rPr>
          <w:sz w:val="28"/>
        </w:rPr>
        <w:t>la</w:t>
      </w:r>
      <w:r>
        <w:rPr>
          <w:spacing w:val="-9"/>
          <w:sz w:val="28"/>
        </w:rPr>
        <w:t> </w:t>
      </w:r>
      <w:r>
        <w:rPr>
          <w:sz w:val="28"/>
        </w:rPr>
        <w:t>propriété</w:t>
      </w:r>
      <w:r>
        <w:rPr>
          <w:spacing w:val="-11"/>
          <w:sz w:val="28"/>
        </w:rPr>
        <w:t> </w:t>
      </w:r>
      <w:r>
        <w:rPr>
          <w:sz w:val="28"/>
        </w:rPr>
        <w:t>du</w:t>
      </w:r>
      <w:r>
        <w:rPr>
          <w:spacing w:val="-8"/>
          <w:sz w:val="28"/>
        </w:rPr>
        <w:t> </w:t>
      </w:r>
      <w:r>
        <w:rPr>
          <w:sz w:val="28"/>
        </w:rPr>
        <w:t>GCT,</w:t>
      </w:r>
    </w:p>
    <w:p>
      <w:pPr>
        <w:pStyle w:val="ListParagraph"/>
        <w:numPr>
          <w:ilvl w:val="0"/>
          <w:numId w:val="53"/>
        </w:numPr>
        <w:tabs>
          <w:tab w:pos="1154" w:val="left" w:leader="none"/>
        </w:tabs>
        <w:spacing w:line="237" w:lineRule="auto" w:before="0" w:after="0"/>
        <w:ind w:left="1153" w:right="748" w:hanging="360"/>
        <w:jc w:val="both"/>
        <w:rPr>
          <w:sz w:val="28"/>
        </w:rPr>
      </w:pPr>
      <w:r>
        <w:rPr>
          <w:sz w:val="28"/>
        </w:rPr>
        <w:t>Soit que le GCT se réserve le droit de faire exécuter par le prestataire tout ou partie des projets primés, moyennant le versement d'un montant le cas échéant. Le programme du concours, fixe le montant de la mission dudit concours. Le programme du concours doit indiquer si les auteurs des projets peuvent participer à l'exécution de leurs projets primés et dans quelles</w:t>
      </w:r>
      <w:r>
        <w:rPr>
          <w:spacing w:val="-21"/>
          <w:sz w:val="28"/>
        </w:rPr>
        <w:t> </w:t>
      </w:r>
      <w:r>
        <w:rPr>
          <w:sz w:val="28"/>
        </w:rPr>
        <w:t>conditions.</w:t>
      </w:r>
    </w:p>
    <w:p>
      <w:pPr>
        <w:pStyle w:val="BodyText"/>
        <w:ind w:right="758"/>
      </w:pPr>
      <w:r>
        <w:rPr/>
        <w:t>Les</w:t>
      </w:r>
      <w:r>
        <w:rPr>
          <w:spacing w:val="-13"/>
        </w:rPr>
        <w:t> </w:t>
      </w:r>
      <w:r>
        <w:rPr/>
        <w:t>primes,</w:t>
      </w:r>
      <w:r>
        <w:rPr>
          <w:spacing w:val="-14"/>
        </w:rPr>
        <w:t> </w:t>
      </w:r>
      <w:r>
        <w:rPr/>
        <w:t>récompenses</w:t>
      </w:r>
      <w:r>
        <w:rPr>
          <w:spacing w:val="-13"/>
        </w:rPr>
        <w:t> </w:t>
      </w:r>
      <w:r>
        <w:rPr/>
        <w:t>ou</w:t>
      </w:r>
      <w:r>
        <w:rPr>
          <w:spacing w:val="-13"/>
        </w:rPr>
        <w:t> </w:t>
      </w:r>
      <w:r>
        <w:rPr/>
        <w:t>avantages</w:t>
      </w:r>
      <w:r>
        <w:rPr>
          <w:spacing w:val="-13"/>
        </w:rPr>
        <w:t> </w:t>
      </w:r>
      <w:r>
        <w:rPr/>
        <w:t>sont</w:t>
      </w:r>
      <w:r>
        <w:rPr>
          <w:spacing w:val="-13"/>
        </w:rPr>
        <w:t> </w:t>
      </w:r>
      <w:r>
        <w:rPr/>
        <w:t>alloués</w:t>
      </w:r>
      <w:r>
        <w:rPr>
          <w:spacing w:val="-13"/>
        </w:rPr>
        <w:t> </w:t>
      </w:r>
      <w:r>
        <w:rPr/>
        <w:t>par</w:t>
      </w:r>
      <w:r>
        <w:rPr>
          <w:spacing w:val="-13"/>
        </w:rPr>
        <w:t> </w:t>
      </w:r>
      <w:r>
        <w:rPr/>
        <w:t>le</w:t>
      </w:r>
      <w:r>
        <w:rPr>
          <w:spacing w:val="-13"/>
        </w:rPr>
        <w:t> </w:t>
      </w:r>
      <w:r>
        <w:rPr/>
        <w:t>GCT</w:t>
      </w:r>
      <w:r>
        <w:rPr>
          <w:spacing w:val="-15"/>
        </w:rPr>
        <w:t> </w:t>
      </w:r>
      <w:r>
        <w:rPr/>
        <w:t>sur</w:t>
      </w:r>
      <w:r>
        <w:rPr>
          <w:spacing w:val="-13"/>
        </w:rPr>
        <w:t> </w:t>
      </w:r>
      <w:r>
        <w:rPr/>
        <w:t>proposition</w:t>
      </w:r>
      <w:r>
        <w:rPr>
          <w:spacing w:val="-13"/>
        </w:rPr>
        <w:t> </w:t>
      </w:r>
      <w:r>
        <w:rPr/>
        <w:t>du jury. Il peut être prévu l'allocation de primes, récompenses ou avantages aux concurrents non retenus et dont les projets ont été les mieux classés. Les primes, récompenses ou avantages peuvent ne pas être accordés en tout ou en partie, si les projets</w:t>
      </w:r>
      <w:r>
        <w:rPr>
          <w:spacing w:val="-16"/>
        </w:rPr>
        <w:t> </w:t>
      </w:r>
      <w:r>
        <w:rPr/>
        <w:t>reçus</w:t>
      </w:r>
      <w:r>
        <w:rPr>
          <w:spacing w:val="-16"/>
        </w:rPr>
        <w:t> </w:t>
      </w:r>
      <w:r>
        <w:rPr/>
        <w:t>ne</w:t>
      </w:r>
      <w:r>
        <w:rPr>
          <w:spacing w:val="-20"/>
        </w:rPr>
        <w:t> </w:t>
      </w:r>
      <w:r>
        <w:rPr/>
        <w:t>sont</w:t>
      </w:r>
      <w:r>
        <w:rPr>
          <w:spacing w:val="-16"/>
        </w:rPr>
        <w:t> </w:t>
      </w:r>
      <w:r>
        <w:rPr/>
        <w:t>pas</w:t>
      </w:r>
      <w:r>
        <w:rPr>
          <w:spacing w:val="-16"/>
        </w:rPr>
        <w:t> </w:t>
      </w:r>
      <w:r>
        <w:rPr/>
        <w:t>jugés</w:t>
      </w:r>
      <w:r>
        <w:rPr>
          <w:spacing w:val="-15"/>
        </w:rPr>
        <w:t> </w:t>
      </w:r>
      <w:r>
        <w:rPr/>
        <w:t>acceptables.</w:t>
      </w:r>
      <w:r>
        <w:rPr>
          <w:spacing w:val="-18"/>
        </w:rPr>
        <w:t> </w:t>
      </w:r>
      <w:r>
        <w:rPr/>
        <w:t>Il</w:t>
      </w:r>
      <w:r>
        <w:rPr>
          <w:spacing w:val="-16"/>
        </w:rPr>
        <w:t> </w:t>
      </w:r>
      <w:r>
        <w:rPr/>
        <w:t>n'est</w:t>
      </w:r>
      <w:r>
        <w:rPr>
          <w:spacing w:val="-19"/>
        </w:rPr>
        <w:t> </w:t>
      </w:r>
      <w:r>
        <w:rPr/>
        <w:t>pas</w:t>
      </w:r>
      <w:r>
        <w:rPr>
          <w:spacing w:val="-18"/>
        </w:rPr>
        <w:t> </w:t>
      </w:r>
      <w:r>
        <w:rPr/>
        <w:t>donné</w:t>
      </w:r>
      <w:r>
        <w:rPr>
          <w:spacing w:val="-17"/>
        </w:rPr>
        <w:t> </w:t>
      </w:r>
      <w:r>
        <w:rPr/>
        <w:t>suite</w:t>
      </w:r>
      <w:r>
        <w:rPr>
          <w:spacing w:val="-20"/>
        </w:rPr>
        <w:t> </w:t>
      </w:r>
      <w:r>
        <w:rPr/>
        <w:t>au</w:t>
      </w:r>
      <w:r>
        <w:rPr>
          <w:spacing w:val="-16"/>
        </w:rPr>
        <w:t> </w:t>
      </w:r>
      <w:r>
        <w:rPr/>
        <w:t>concours</w:t>
      </w:r>
      <w:r>
        <w:rPr>
          <w:spacing w:val="-18"/>
        </w:rPr>
        <w:t> </w:t>
      </w:r>
      <w:r>
        <w:rPr/>
        <w:t>si</w:t>
      </w:r>
      <w:r>
        <w:rPr>
          <w:spacing w:val="-16"/>
        </w:rPr>
        <w:t> </w:t>
      </w:r>
      <w:r>
        <w:rPr/>
        <w:t>aucun projet n'est jugé acceptable. Dans tous les cas, les concurrents sont avisés de la suite réservée à leur</w:t>
      </w:r>
      <w:r>
        <w:rPr>
          <w:spacing w:val="-4"/>
        </w:rPr>
        <w:t> </w:t>
      </w:r>
      <w:r>
        <w:rPr/>
        <w:t>projet.</w:t>
      </w:r>
    </w:p>
    <w:p>
      <w:pPr>
        <w:pStyle w:val="Heading2"/>
        <w:numPr>
          <w:ilvl w:val="2"/>
          <w:numId w:val="45"/>
        </w:numPr>
        <w:tabs>
          <w:tab w:pos="1307" w:val="left" w:leader="none"/>
        </w:tabs>
        <w:spacing w:line="240" w:lineRule="auto" w:before="119" w:after="0"/>
        <w:ind w:left="1306" w:right="0" w:hanging="874"/>
        <w:jc w:val="both"/>
      </w:pPr>
      <w:bookmarkStart w:name="_TOC_250084" w:id="59"/>
      <w:r>
        <w:rPr/>
        <w:t>Dialogue</w:t>
      </w:r>
      <w:r>
        <w:rPr>
          <w:spacing w:val="-1"/>
        </w:rPr>
        <w:t> </w:t>
      </w:r>
      <w:bookmarkEnd w:id="59"/>
      <w:r>
        <w:rPr/>
        <w:t>compétitif</w:t>
      </w:r>
    </w:p>
    <w:p>
      <w:pPr>
        <w:pStyle w:val="BodyText"/>
        <w:spacing w:before="46"/>
        <w:ind w:right="762"/>
      </w:pPr>
      <w:r>
        <w:rPr/>
        <w:t>Il est possible de procéder au dialogue compétitif lorsqu’il s’agit de marchés portant</w:t>
      </w:r>
      <w:r>
        <w:rPr>
          <w:spacing w:val="-3"/>
        </w:rPr>
        <w:t> </w:t>
      </w:r>
      <w:r>
        <w:rPr/>
        <w:t>sur</w:t>
      </w:r>
      <w:r>
        <w:rPr>
          <w:spacing w:val="-5"/>
        </w:rPr>
        <w:t> </w:t>
      </w:r>
      <w:r>
        <w:rPr/>
        <w:t>un</w:t>
      </w:r>
      <w:r>
        <w:rPr>
          <w:spacing w:val="-2"/>
        </w:rPr>
        <w:t> </w:t>
      </w:r>
      <w:r>
        <w:rPr/>
        <w:t>édifice</w:t>
      </w:r>
      <w:r>
        <w:rPr>
          <w:spacing w:val="-9"/>
        </w:rPr>
        <w:t> </w:t>
      </w:r>
      <w:r>
        <w:rPr/>
        <w:t>important</w:t>
      </w:r>
      <w:r>
        <w:rPr>
          <w:spacing w:val="-4"/>
        </w:rPr>
        <w:t> </w:t>
      </w:r>
      <w:r>
        <w:rPr/>
        <w:t>d’une</w:t>
      </w:r>
      <w:r>
        <w:rPr>
          <w:spacing w:val="-6"/>
        </w:rPr>
        <w:t> </w:t>
      </w:r>
      <w:r>
        <w:rPr/>
        <w:t>grande</w:t>
      </w:r>
      <w:r>
        <w:rPr>
          <w:spacing w:val="-3"/>
        </w:rPr>
        <w:t> </w:t>
      </w:r>
      <w:r>
        <w:rPr/>
        <w:t>complexité</w:t>
      </w:r>
      <w:r>
        <w:rPr>
          <w:spacing w:val="-3"/>
        </w:rPr>
        <w:t> </w:t>
      </w:r>
      <w:r>
        <w:rPr/>
        <w:t>ou</w:t>
      </w:r>
      <w:r>
        <w:rPr>
          <w:spacing w:val="-6"/>
        </w:rPr>
        <w:t> </w:t>
      </w:r>
      <w:r>
        <w:rPr/>
        <w:t>sur</w:t>
      </w:r>
      <w:r>
        <w:rPr>
          <w:spacing w:val="-6"/>
        </w:rPr>
        <w:t> </w:t>
      </w:r>
      <w:r>
        <w:rPr/>
        <w:t>des</w:t>
      </w:r>
      <w:r>
        <w:rPr>
          <w:spacing w:val="-4"/>
        </w:rPr>
        <w:t> </w:t>
      </w:r>
      <w:r>
        <w:rPr/>
        <w:t>travaux</w:t>
      </w:r>
      <w:r>
        <w:rPr>
          <w:spacing w:val="-6"/>
        </w:rPr>
        <w:t> </w:t>
      </w:r>
      <w:r>
        <w:rPr/>
        <w:t>d’un</w:t>
      </w:r>
      <w:r>
        <w:rPr>
          <w:spacing w:val="-5"/>
        </w:rPr>
        <w:t> </w:t>
      </w:r>
      <w:r>
        <w:rPr/>
        <w:t>type particulier ou de technologie</w:t>
      </w:r>
      <w:r>
        <w:rPr>
          <w:spacing w:val="-3"/>
        </w:rPr>
        <w:t> </w:t>
      </w:r>
      <w:r>
        <w:rPr/>
        <w:t>complexe,</w:t>
      </w:r>
    </w:p>
    <w:p>
      <w:pPr>
        <w:pStyle w:val="BodyText"/>
        <w:ind w:right="755"/>
      </w:pPr>
      <w:r>
        <w:rPr/>
        <w:t>Il n’est pas possible de mettre au point à l’avance les spécifications techniques définitives.</w:t>
      </w:r>
      <w:r>
        <w:rPr>
          <w:spacing w:val="-9"/>
        </w:rPr>
        <w:t> </w:t>
      </w:r>
      <w:r>
        <w:rPr/>
        <w:t>Le</w:t>
      </w:r>
      <w:r>
        <w:rPr>
          <w:spacing w:val="-10"/>
        </w:rPr>
        <w:t> </w:t>
      </w:r>
      <w:r>
        <w:rPr/>
        <w:t>GCT</w:t>
      </w:r>
      <w:r>
        <w:rPr>
          <w:spacing w:val="-10"/>
        </w:rPr>
        <w:t> </w:t>
      </w:r>
      <w:r>
        <w:rPr/>
        <w:t>peut</w:t>
      </w:r>
      <w:r>
        <w:rPr>
          <w:spacing w:val="-9"/>
        </w:rPr>
        <w:t> </w:t>
      </w:r>
      <w:r>
        <w:rPr/>
        <w:t>recourir</w:t>
      </w:r>
      <w:r>
        <w:rPr>
          <w:spacing w:val="-10"/>
        </w:rPr>
        <w:t> </w:t>
      </w:r>
      <w:r>
        <w:rPr/>
        <w:t>à</w:t>
      </w:r>
      <w:r>
        <w:rPr>
          <w:spacing w:val="-9"/>
        </w:rPr>
        <w:t> </w:t>
      </w:r>
      <w:r>
        <w:rPr/>
        <w:t>la</w:t>
      </w:r>
      <w:r>
        <w:rPr>
          <w:spacing w:val="-10"/>
        </w:rPr>
        <w:t> </w:t>
      </w:r>
      <w:r>
        <w:rPr/>
        <w:t>procédure</w:t>
      </w:r>
      <w:r>
        <w:rPr>
          <w:spacing w:val="-10"/>
        </w:rPr>
        <w:t> </w:t>
      </w:r>
      <w:r>
        <w:rPr/>
        <w:t>de</w:t>
      </w:r>
      <w:r>
        <w:rPr>
          <w:spacing w:val="-9"/>
        </w:rPr>
        <w:t> </w:t>
      </w:r>
      <w:r>
        <w:rPr/>
        <w:t>dialogue</w:t>
      </w:r>
      <w:r>
        <w:rPr>
          <w:spacing w:val="-10"/>
        </w:rPr>
        <w:t> </w:t>
      </w:r>
      <w:r>
        <w:rPr/>
        <w:t>compétitif</w:t>
      </w:r>
      <w:r>
        <w:rPr>
          <w:spacing w:val="-10"/>
        </w:rPr>
        <w:t> </w:t>
      </w:r>
      <w:r>
        <w:rPr/>
        <w:t>afin</w:t>
      </w:r>
      <w:r>
        <w:rPr>
          <w:spacing w:val="-8"/>
        </w:rPr>
        <w:t> </w:t>
      </w:r>
      <w:r>
        <w:rPr/>
        <w:t>de</w:t>
      </w:r>
      <w:r>
        <w:rPr>
          <w:spacing w:val="-10"/>
        </w:rPr>
        <w:t> </w:t>
      </w:r>
      <w:r>
        <w:rPr/>
        <w:t>trouver la solution technique pouvant répondre à ses</w:t>
      </w:r>
      <w:r>
        <w:rPr>
          <w:spacing w:val="-8"/>
        </w:rPr>
        <w:t> </w:t>
      </w:r>
      <w:r>
        <w:rPr/>
        <w:t>besoins.</w:t>
      </w:r>
    </w:p>
    <w:p>
      <w:pPr>
        <w:pStyle w:val="BodyText"/>
        <w:ind w:right="753"/>
      </w:pPr>
      <w:r>
        <w:rPr/>
        <w:t>Une commission spéciale désignée par la Direction Générale est créée à cet effet et</w:t>
      </w:r>
      <w:r>
        <w:rPr>
          <w:spacing w:val="-19"/>
        </w:rPr>
        <w:t> </w:t>
      </w:r>
      <w:r>
        <w:rPr/>
        <w:t>qui</w:t>
      </w:r>
      <w:r>
        <w:rPr>
          <w:spacing w:val="-19"/>
        </w:rPr>
        <w:t> </w:t>
      </w:r>
      <w:r>
        <w:rPr/>
        <w:t>sera</w:t>
      </w:r>
      <w:r>
        <w:rPr>
          <w:spacing w:val="-19"/>
        </w:rPr>
        <w:t> </w:t>
      </w:r>
      <w:r>
        <w:rPr/>
        <w:t>chargée</w:t>
      </w:r>
      <w:r>
        <w:rPr>
          <w:spacing w:val="-21"/>
        </w:rPr>
        <w:t> </w:t>
      </w:r>
      <w:r>
        <w:rPr/>
        <w:t>de</w:t>
      </w:r>
      <w:r>
        <w:rPr>
          <w:spacing w:val="-22"/>
        </w:rPr>
        <w:t> </w:t>
      </w:r>
      <w:r>
        <w:rPr/>
        <w:t>mener</w:t>
      </w:r>
      <w:r>
        <w:rPr>
          <w:spacing w:val="-18"/>
        </w:rPr>
        <w:t> </w:t>
      </w:r>
      <w:r>
        <w:rPr/>
        <w:t>la</w:t>
      </w:r>
      <w:r>
        <w:rPr>
          <w:spacing w:val="-22"/>
        </w:rPr>
        <w:t> </w:t>
      </w:r>
      <w:r>
        <w:rPr/>
        <w:t>procédure</w:t>
      </w:r>
      <w:r>
        <w:rPr>
          <w:spacing w:val="-22"/>
        </w:rPr>
        <w:t> </w:t>
      </w:r>
      <w:r>
        <w:rPr/>
        <w:t>de</w:t>
      </w:r>
      <w:r>
        <w:rPr>
          <w:spacing w:val="-21"/>
        </w:rPr>
        <w:t> </w:t>
      </w:r>
      <w:r>
        <w:rPr/>
        <w:t>dialogue</w:t>
      </w:r>
      <w:r>
        <w:rPr>
          <w:spacing w:val="-22"/>
        </w:rPr>
        <w:t> </w:t>
      </w:r>
      <w:r>
        <w:rPr/>
        <w:t>compétitif.</w:t>
      </w:r>
      <w:r>
        <w:rPr>
          <w:spacing w:val="-22"/>
        </w:rPr>
        <w:t> </w:t>
      </w:r>
      <w:r>
        <w:rPr/>
        <w:t>Elle</w:t>
      </w:r>
      <w:r>
        <w:rPr>
          <w:spacing w:val="-22"/>
        </w:rPr>
        <w:t> </w:t>
      </w:r>
      <w:r>
        <w:rPr/>
        <w:t>peut</w:t>
      </w:r>
      <w:r>
        <w:rPr>
          <w:spacing w:val="-21"/>
        </w:rPr>
        <w:t> </w:t>
      </w:r>
      <w:r>
        <w:rPr/>
        <w:t>être</w:t>
      </w:r>
      <w:r>
        <w:rPr>
          <w:spacing w:val="-21"/>
        </w:rPr>
        <w:t> </w:t>
      </w:r>
      <w:r>
        <w:rPr/>
        <w:t>appuyée par des personnes désignées par la Direction Générale en raison de leur compétence dans la matière objet du dialogue</w:t>
      </w:r>
      <w:r>
        <w:rPr>
          <w:spacing w:val="-7"/>
        </w:rPr>
        <w:t> </w:t>
      </w:r>
      <w:r>
        <w:rPr/>
        <w:t>compétitif.</w:t>
      </w:r>
    </w:p>
    <w:p>
      <w:pPr>
        <w:pStyle w:val="Heading2"/>
        <w:spacing w:line="319" w:lineRule="exact" w:before="124"/>
        <w:jc w:val="left"/>
      </w:pPr>
      <w:r>
        <w:rPr/>
        <w:t>Procédure</w:t>
      </w:r>
    </w:p>
    <w:p>
      <w:pPr>
        <w:pStyle w:val="BodyText"/>
        <w:ind w:left="999" w:right="1820" w:firstLine="0"/>
        <w:jc w:val="left"/>
      </w:pPr>
      <w:r>
        <w:rPr/>
        <w:t>Le dialogue compétitif est organisé conformément aux étapes ci-après : a- Publication d’un avis à manifestation d’intérêt :</w:t>
      </w:r>
    </w:p>
    <w:p>
      <w:pPr>
        <w:pStyle w:val="BodyText"/>
        <w:ind w:right="748" w:firstLine="0"/>
        <w:jc w:val="left"/>
      </w:pPr>
      <w:r>
        <w:rPr/>
        <w:t>Le</w:t>
      </w:r>
      <w:r>
        <w:rPr>
          <w:spacing w:val="-18"/>
        </w:rPr>
        <w:t> </w:t>
      </w:r>
      <w:r>
        <w:rPr/>
        <w:t>Structure</w:t>
      </w:r>
      <w:r>
        <w:rPr>
          <w:spacing w:val="-20"/>
        </w:rPr>
        <w:t> </w:t>
      </w:r>
      <w:r>
        <w:rPr/>
        <w:t>d’achat</w:t>
      </w:r>
      <w:r>
        <w:rPr>
          <w:spacing w:val="-15"/>
        </w:rPr>
        <w:t> </w:t>
      </w:r>
      <w:r>
        <w:rPr/>
        <w:t>procède</w:t>
      </w:r>
      <w:r>
        <w:rPr>
          <w:spacing w:val="-18"/>
        </w:rPr>
        <w:t> </w:t>
      </w:r>
      <w:r>
        <w:rPr/>
        <w:t>à</w:t>
      </w:r>
      <w:r>
        <w:rPr>
          <w:spacing w:val="-21"/>
        </w:rPr>
        <w:t> </w:t>
      </w:r>
      <w:r>
        <w:rPr/>
        <w:t>la</w:t>
      </w:r>
      <w:r>
        <w:rPr>
          <w:spacing w:val="-20"/>
        </w:rPr>
        <w:t> </w:t>
      </w:r>
      <w:r>
        <w:rPr/>
        <w:t>publication</w:t>
      </w:r>
      <w:r>
        <w:rPr>
          <w:spacing w:val="-17"/>
        </w:rPr>
        <w:t> </w:t>
      </w:r>
      <w:r>
        <w:rPr/>
        <w:t>d’un</w:t>
      </w:r>
      <w:r>
        <w:rPr>
          <w:spacing w:val="-17"/>
        </w:rPr>
        <w:t> </w:t>
      </w:r>
      <w:r>
        <w:rPr/>
        <w:t>avis</w:t>
      </w:r>
      <w:r>
        <w:rPr>
          <w:spacing w:val="-17"/>
        </w:rPr>
        <w:t> </w:t>
      </w:r>
      <w:r>
        <w:rPr/>
        <w:t>d'appel</w:t>
      </w:r>
      <w:r>
        <w:rPr>
          <w:spacing w:val="-17"/>
        </w:rPr>
        <w:t> </w:t>
      </w:r>
      <w:r>
        <w:rPr/>
        <w:t>à</w:t>
      </w:r>
      <w:r>
        <w:rPr>
          <w:spacing w:val="-20"/>
        </w:rPr>
        <w:t> </w:t>
      </w:r>
      <w:r>
        <w:rPr/>
        <w:t>manifestation</w:t>
      </w:r>
      <w:r>
        <w:rPr>
          <w:spacing w:val="-20"/>
        </w:rPr>
        <w:t> </w:t>
      </w:r>
      <w:r>
        <w:rPr/>
        <w:t>d’intérêt qui définit</w:t>
      </w:r>
      <w:r>
        <w:rPr>
          <w:spacing w:val="-1"/>
        </w:rPr>
        <w:t> </w:t>
      </w:r>
      <w:r>
        <w:rPr/>
        <w:t>:</w:t>
      </w:r>
    </w:p>
    <w:p>
      <w:pPr>
        <w:spacing w:after="0"/>
        <w:jc w:val="left"/>
        <w:sectPr>
          <w:pgSz w:w="11910" w:h="16840"/>
          <w:pgMar w:header="722" w:footer="0" w:top="1860" w:bottom="280" w:left="700" w:right="380"/>
        </w:sectPr>
      </w:pPr>
    </w:p>
    <w:p>
      <w:pPr>
        <w:pStyle w:val="BodyText"/>
        <w:spacing w:before="2"/>
        <w:ind w:left="0" w:firstLine="0"/>
        <w:jc w:val="left"/>
        <w:rPr>
          <w:sz w:val="15"/>
        </w:rPr>
      </w:pPr>
    </w:p>
    <w:p>
      <w:pPr>
        <w:pStyle w:val="ListParagraph"/>
        <w:numPr>
          <w:ilvl w:val="0"/>
          <w:numId w:val="54"/>
        </w:numPr>
        <w:tabs>
          <w:tab w:pos="1000" w:val="left" w:leader="none"/>
        </w:tabs>
        <w:spacing w:line="240" w:lineRule="auto" w:before="101" w:after="0"/>
        <w:ind w:left="999" w:right="0" w:hanging="284"/>
        <w:jc w:val="both"/>
        <w:rPr>
          <w:sz w:val="28"/>
        </w:rPr>
      </w:pPr>
      <w:r>
        <w:rPr>
          <w:sz w:val="28"/>
        </w:rPr>
        <w:t>Les besoins et exigences du</w:t>
      </w:r>
      <w:r>
        <w:rPr>
          <w:spacing w:val="1"/>
          <w:sz w:val="28"/>
        </w:rPr>
        <w:t> </w:t>
      </w:r>
      <w:r>
        <w:rPr>
          <w:sz w:val="28"/>
        </w:rPr>
        <w:t>GCT,</w:t>
      </w:r>
    </w:p>
    <w:p>
      <w:pPr>
        <w:pStyle w:val="ListParagraph"/>
        <w:numPr>
          <w:ilvl w:val="0"/>
          <w:numId w:val="54"/>
        </w:numPr>
        <w:tabs>
          <w:tab w:pos="1000" w:val="left" w:leader="none"/>
        </w:tabs>
        <w:spacing w:line="342" w:lineRule="exact" w:before="0" w:after="0"/>
        <w:ind w:left="999" w:right="0" w:hanging="284"/>
        <w:jc w:val="both"/>
        <w:rPr>
          <w:sz w:val="28"/>
        </w:rPr>
      </w:pPr>
      <w:r>
        <w:rPr>
          <w:sz w:val="28"/>
        </w:rPr>
        <w:t>Les modalités du déroulement du dialogue</w:t>
      </w:r>
      <w:r>
        <w:rPr>
          <w:spacing w:val="-1"/>
          <w:sz w:val="28"/>
        </w:rPr>
        <w:t> </w:t>
      </w:r>
      <w:r>
        <w:rPr>
          <w:sz w:val="28"/>
        </w:rPr>
        <w:t>compétitif.</w:t>
      </w:r>
    </w:p>
    <w:p>
      <w:pPr>
        <w:pStyle w:val="BodyText"/>
        <w:ind w:left="999" w:right="2286" w:hanging="567"/>
      </w:pPr>
      <w:r>
        <w:rPr/>
        <w:t>Le nombre des candidats admis à participer ne peut être inférieur à trois. b- Sélection des candidats :</w:t>
      </w:r>
    </w:p>
    <w:p>
      <w:pPr>
        <w:pStyle w:val="BodyText"/>
        <w:ind w:right="749" w:firstLine="0"/>
      </w:pPr>
      <w:r>
        <w:rPr/>
        <w:t>Passé le délai de réception des candidatures, la commission spéciale désignée par la Direction</w:t>
      </w:r>
      <w:r>
        <w:rPr>
          <w:spacing w:val="-7"/>
        </w:rPr>
        <w:t> </w:t>
      </w:r>
      <w:r>
        <w:rPr/>
        <w:t>Générale,</w:t>
      </w:r>
      <w:r>
        <w:rPr>
          <w:spacing w:val="-7"/>
        </w:rPr>
        <w:t> </w:t>
      </w:r>
      <w:r>
        <w:rPr/>
        <w:t>procède</w:t>
      </w:r>
      <w:r>
        <w:rPr>
          <w:spacing w:val="-7"/>
        </w:rPr>
        <w:t> </w:t>
      </w:r>
      <w:r>
        <w:rPr/>
        <w:t>à</w:t>
      </w:r>
      <w:r>
        <w:rPr>
          <w:spacing w:val="-6"/>
        </w:rPr>
        <w:t> </w:t>
      </w:r>
      <w:r>
        <w:rPr/>
        <w:t>la</w:t>
      </w:r>
      <w:r>
        <w:rPr>
          <w:spacing w:val="-7"/>
        </w:rPr>
        <w:t> </w:t>
      </w:r>
      <w:r>
        <w:rPr/>
        <w:t>sélection</w:t>
      </w:r>
      <w:r>
        <w:rPr>
          <w:spacing w:val="-8"/>
        </w:rPr>
        <w:t> </w:t>
      </w:r>
      <w:r>
        <w:rPr/>
        <w:t>des</w:t>
      </w:r>
      <w:r>
        <w:rPr>
          <w:spacing w:val="-5"/>
        </w:rPr>
        <w:t> </w:t>
      </w:r>
      <w:r>
        <w:rPr/>
        <w:t>candidats</w:t>
      </w:r>
      <w:r>
        <w:rPr>
          <w:spacing w:val="-7"/>
        </w:rPr>
        <w:t> </w:t>
      </w:r>
      <w:r>
        <w:rPr/>
        <w:t>admis</w:t>
      </w:r>
      <w:r>
        <w:rPr>
          <w:spacing w:val="-6"/>
        </w:rPr>
        <w:t> </w:t>
      </w:r>
      <w:r>
        <w:rPr/>
        <w:t>au</w:t>
      </w:r>
      <w:r>
        <w:rPr>
          <w:spacing w:val="-7"/>
        </w:rPr>
        <w:t> </w:t>
      </w:r>
      <w:r>
        <w:rPr/>
        <w:t>dialogue</w:t>
      </w:r>
      <w:r>
        <w:rPr>
          <w:spacing w:val="-6"/>
        </w:rPr>
        <w:t> </w:t>
      </w:r>
      <w:r>
        <w:rPr/>
        <w:t>compétitif. La liste des candidats invités à dialoguer est établie conformément aux critères de présélection. La Structure d’achat informe les candidats éliminés et indique les motifs pour lesquels ils n'ont pas été</w:t>
      </w:r>
      <w:r>
        <w:rPr>
          <w:spacing w:val="-3"/>
        </w:rPr>
        <w:t> </w:t>
      </w:r>
      <w:r>
        <w:rPr/>
        <w:t>retenus.</w:t>
      </w:r>
    </w:p>
    <w:p>
      <w:pPr>
        <w:pStyle w:val="ListParagraph"/>
        <w:numPr>
          <w:ilvl w:val="1"/>
          <w:numId w:val="54"/>
        </w:numPr>
        <w:tabs>
          <w:tab w:pos="1288" w:val="left" w:leader="none"/>
        </w:tabs>
        <w:spacing w:line="322" w:lineRule="exact" w:before="0" w:after="0"/>
        <w:ind w:left="1287" w:right="0" w:hanging="289"/>
        <w:jc w:val="both"/>
        <w:rPr>
          <w:sz w:val="28"/>
        </w:rPr>
      </w:pPr>
      <w:r>
        <w:rPr>
          <w:sz w:val="28"/>
        </w:rPr>
        <w:t>Invitation des candidats au dialogue compétitif :</w:t>
      </w:r>
    </w:p>
    <w:p>
      <w:pPr>
        <w:pStyle w:val="BodyText"/>
        <w:ind w:right="751" w:firstLine="0"/>
      </w:pPr>
      <w:r>
        <w:rPr/>
        <w:t>Les candidats sélectionnés sont invités à participer au dialogue compétitif selon les conditions prévues par l’appel à manifestation d’intérêt. Le dialogue compétitif se déroule</w:t>
      </w:r>
      <w:r>
        <w:rPr>
          <w:spacing w:val="-16"/>
        </w:rPr>
        <w:t> </w:t>
      </w:r>
      <w:r>
        <w:rPr/>
        <w:t>en</w:t>
      </w:r>
      <w:r>
        <w:rPr>
          <w:spacing w:val="-15"/>
        </w:rPr>
        <w:t> </w:t>
      </w:r>
      <w:r>
        <w:rPr/>
        <w:t>phases</w:t>
      </w:r>
      <w:r>
        <w:rPr>
          <w:spacing w:val="-14"/>
        </w:rPr>
        <w:t> </w:t>
      </w:r>
      <w:r>
        <w:rPr/>
        <w:t>successives,</w:t>
      </w:r>
      <w:r>
        <w:rPr>
          <w:spacing w:val="-16"/>
        </w:rPr>
        <w:t> </w:t>
      </w:r>
      <w:r>
        <w:rPr/>
        <w:t>de</w:t>
      </w:r>
      <w:r>
        <w:rPr>
          <w:spacing w:val="-15"/>
        </w:rPr>
        <w:t> </w:t>
      </w:r>
      <w:r>
        <w:rPr/>
        <w:t>manière</w:t>
      </w:r>
      <w:r>
        <w:rPr>
          <w:spacing w:val="-16"/>
        </w:rPr>
        <w:t> </w:t>
      </w:r>
      <w:r>
        <w:rPr/>
        <w:t>à</w:t>
      </w:r>
      <w:r>
        <w:rPr>
          <w:spacing w:val="-15"/>
        </w:rPr>
        <w:t> </w:t>
      </w:r>
      <w:r>
        <w:rPr/>
        <w:t>réduire</w:t>
      </w:r>
      <w:r>
        <w:rPr>
          <w:spacing w:val="-16"/>
        </w:rPr>
        <w:t> </w:t>
      </w:r>
      <w:r>
        <w:rPr/>
        <w:t>le</w:t>
      </w:r>
      <w:r>
        <w:rPr>
          <w:spacing w:val="-17"/>
        </w:rPr>
        <w:t> </w:t>
      </w:r>
      <w:r>
        <w:rPr/>
        <w:t>nombre</w:t>
      </w:r>
      <w:r>
        <w:rPr>
          <w:spacing w:val="-16"/>
        </w:rPr>
        <w:t> </w:t>
      </w:r>
      <w:r>
        <w:rPr/>
        <w:t>des</w:t>
      </w:r>
      <w:r>
        <w:rPr>
          <w:spacing w:val="-14"/>
        </w:rPr>
        <w:t> </w:t>
      </w:r>
      <w:r>
        <w:rPr/>
        <w:t>solutions</w:t>
      </w:r>
      <w:r>
        <w:rPr>
          <w:spacing w:val="-15"/>
        </w:rPr>
        <w:t> </w:t>
      </w:r>
      <w:r>
        <w:rPr/>
        <w:t>techniques jusqu’à ce que le GCT décide de retenir la solution finale. Les offres irrégulières ou inappropriées et qui ne sont pas en mesure de répondre aux besoins du GCT, sont éliminées. La commission spéciale assure l’égalité de traitement de tous les soumissionnaires. Aucune information susceptible de donner à certains candidats des avantages par rapport à d'autres n’est permise. Il ne peut révéler aux autres candidats des solutions proposées ou des informations confidentielles communiquées par un candidat, sans l'accord de celui-ci.</w:t>
      </w:r>
    </w:p>
    <w:p>
      <w:pPr>
        <w:pStyle w:val="ListParagraph"/>
        <w:numPr>
          <w:ilvl w:val="1"/>
          <w:numId w:val="54"/>
        </w:numPr>
        <w:tabs>
          <w:tab w:pos="1305" w:val="left" w:leader="none"/>
        </w:tabs>
        <w:spacing w:line="322" w:lineRule="exact" w:before="1" w:after="0"/>
        <w:ind w:left="1304" w:right="0" w:hanging="306"/>
        <w:jc w:val="both"/>
        <w:rPr>
          <w:sz w:val="28"/>
        </w:rPr>
      </w:pPr>
      <w:r>
        <w:rPr>
          <w:sz w:val="28"/>
        </w:rPr>
        <w:t>Remise et analyse des offres finales</w:t>
      </w:r>
      <w:r>
        <w:rPr>
          <w:spacing w:val="1"/>
          <w:sz w:val="28"/>
        </w:rPr>
        <w:t> </w:t>
      </w:r>
      <w:r>
        <w:rPr>
          <w:sz w:val="28"/>
        </w:rPr>
        <w:t>:</w:t>
      </w:r>
    </w:p>
    <w:p>
      <w:pPr>
        <w:pStyle w:val="BodyText"/>
        <w:ind w:right="749" w:firstLine="0"/>
      </w:pPr>
      <w:r>
        <w:rPr/>
        <w:t>La commission spéciale invite les candidats à remettre leurs offres techniques et financières finales sur la base de la ou des solutions techniques retenues.</w:t>
      </w:r>
    </w:p>
    <w:p>
      <w:pPr>
        <w:pStyle w:val="BodyText"/>
        <w:ind w:right="748" w:firstLine="0"/>
      </w:pPr>
      <w:r>
        <w:rPr/>
        <w:t>L'invitation aux candidats à remettre leurs offres finales est assurée par la Structure d’achat dans laquelle il est précisé la date et l'heure limites de réception de ces offres, l'adresse à laquelle elles seront transmises.</w:t>
      </w:r>
    </w:p>
    <w:p>
      <w:pPr>
        <w:pStyle w:val="BodyText"/>
        <w:ind w:right="759" w:firstLine="0"/>
      </w:pPr>
      <w:r>
        <w:rPr/>
        <w:t>La commission spéciale peut demander des précisions, clarifications, perfectionnements ou compléments aux candidats sur leurs offres finales. Cependant ces demandes ne peuvent avoir pour effet de fausser la concurrence.</w:t>
      </w:r>
    </w:p>
    <w:p>
      <w:pPr>
        <w:pStyle w:val="BodyText"/>
        <w:ind w:right="756" w:firstLine="0"/>
      </w:pPr>
      <w:r>
        <w:rPr/>
        <w:t>L'offre</w:t>
      </w:r>
      <w:r>
        <w:rPr>
          <w:spacing w:val="-14"/>
        </w:rPr>
        <w:t> </w:t>
      </w:r>
      <w:r>
        <w:rPr/>
        <w:t>retenue</w:t>
      </w:r>
      <w:r>
        <w:rPr>
          <w:spacing w:val="-14"/>
        </w:rPr>
        <w:t> </w:t>
      </w:r>
      <w:r>
        <w:rPr/>
        <w:t>est</w:t>
      </w:r>
      <w:r>
        <w:rPr>
          <w:spacing w:val="-14"/>
        </w:rPr>
        <w:t> </w:t>
      </w:r>
      <w:r>
        <w:rPr/>
        <w:t>choisie</w:t>
      </w:r>
      <w:r>
        <w:rPr>
          <w:spacing w:val="-14"/>
        </w:rPr>
        <w:t> </w:t>
      </w:r>
      <w:r>
        <w:rPr/>
        <w:t>en</w:t>
      </w:r>
      <w:r>
        <w:rPr>
          <w:spacing w:val="-13"/>
        </w:rPr>
        <w:t> </w:t>
      </w:r>
      <w:r>
        <w:rPr/>
        <w:t>application</w:t>
      </w:r>
      <w:r>
        <w:rPr>
          <w:spacing w:val="-14"/>
        </w:rPr>
        <w:t> </w:t>
      </w:r>
      <w:r>
        <w:rPr/>
        <w:t>des</w:t>
      </w:r>
      <w:r>
        <w:rPr>
          <w:spacing w:val="-13"/>
        </w:rPr>
        <w:t> </w:t>
      </w:r>
      <w:r>
        <w:rPr/>
        <w:t>critères</w:t>
      </w:r>
      <w:r>
        <w:rPr>
          <w:spacing w:val="-13"/>
        </w:rPr>
        <w:t> </w:t>
      </w:r>
      <w:r>
        <w:rPr/>
        <w:t>établis</w:t>
      </w:r>
      <w:r>
        <w:rPr>
          <w:spacing w:val="-14"/>
        </w:rPr>
        <w:t> </w:t>
      </w:r>
      <w:r>
        <w:rPr/>
        <w:t>dans</w:t>
      </w:r>
      <w:r>
        <w:rPr>
          <w:spacing w:val="-14"/>
        </w:rPr>
        <w:t> </w:t>
      </w:r>
      <w:r>
        <w:rPr/>
        <w:t>l’avis</w:t>
      </w:r>
      <w:r>
        <w:rPr>
          <w:spacing w:val="-14"/>
        </w:rPr>
        <w:t> </w:t>
      </w:r>
      <w:r>
        <w:rPr/>
        <w:t>à</w:t>
      </w:r>
      <w:r>
        <w:rPr>
          <w:spacing w:val="-14"/>
        </w:rPr>
        <w:t> </w:t>
      </w:r>
      <w:r>
        <w:rPr/>
        <w:t>manifestation d’intérêt</w:t>
      </w:r>
      <w:r>
        <w:rPr>
          <w:spacing w:val="-3"/>
        </w:rPr>
        <w:t> </w:t>
      </w:r>
      <w:r>
        <w:rPr/>
        <w:t>et</w:t>
      </w:r>
      <w:r>
        <w:rPr>
          <w:spacing w:val="-2"/>
        </w:rPr>
        <w:t> </w:t>
      </w:r>
      <w:r>
        <w:rPr/>
        <w:t>sur</w:t>
      </w:r>
      <w:r>
        <w:rPr>
          <w:spacing w:val="-6"/>
        </w:rPr>
        <w:t> </w:t>
      </w:r>
      <w:r>
        <w:rPr/>
        <w:t>la</w:t>
      </w:r>
      <w:r>
        <w:rPr>
          <w:spacing w:val="-6"/>
        </w:rPr>
        <w:t> </w:t>
      </w:r>
      <w:r>
        <w:rPr/>
        <w:t>seule</w:t>
      </w:r>
      <w:r>
        <w:rPr>
          <w:spacing w:val="-3"/>
        </w:rPr>
        <w:t> </w:t>
      </w:r>
      <w:r>
        <w:rPr/>
        <w:t>base</w:t>
      </w:r>
      <w:r>
        <w:rPr>
          <w:spacing w:val="-6"/>
        </w:rPr>
        <w:t> </w:t>
      </w:r>
      <w:r>
        <w:rPr/>
        <w:t>du</w:t>
      </w:r>
      <w:r>
        <w:rPr>
          <w:spacing w:val="-3"/>
        </w:rPr>
        <w:t> </w:t>
      </w:r>
      <w:r>
        <w:rPr/>
        <w:t>critère</w:t>
      </w:r>
      <w:r>
        <w:rPr>
          <w:spacing w:val="-6"/>
        </w:rPr>
        <w:t> </w:t>
      </w:r>
      <w:r>
        <w:rPr/>
        <w:t>d’attribution</w:t>
      </w:r>
      <w:r>
        <w:rPr>
          <w:spacing w:val="-2"/>
        </w:rPr>
        <w:t> </w:t>
      </w:r>
      <w:r>
        <w:rPr/>
        <w:t>de</w:t>
      </w:r>
      <w:r>
        <w:rPr>
          <w:spacing w:val="-3"/>
        </w:rPr>
        <w:t> </w:t>
      </w:r>
      <w:r>
        <w:rPr/>
        <w:t>l’offre</w:t>
      </w:r>
      <w:r>
        <w:rPr>
          <w:spacing w:val="-3"/>
        </w:rPr>
        <w:t> </w:t>
      </w:r>
      <w:r>
        <w:rPr/>
        <w:t>économiquement</w:t>
      </w:r>
      <w:r>
        <w:rPr>
          <w:spacing w:val="-5"/>
        </w:rPr>
        <w:t> </w:t>
      </w:r>
      <w:r>
        <w:rPr/>
        <w:t>la</w:t>
      </w:r>
      <w:r>
        <w:rPr>
          <w:spacing w:val="-6"/>
        </w:rPr>
        <w:t> </w:t>
      </w:r>
      <w:r>
        <w:rPr/>
        <w:t>plus avantageuse.</w:t>
      </w:r>
    </w:p>
    <w:p>
      <w:pPr>
        <w:pStyle w:val="BodyText"/>
        <w:spacing w:before="1"/>
        <w:ind w:right="751" w:firstLine="0"/>
      </w:pPr>
      <w:r>
        <w:rPr/>
        <w:t>Lorsqu’aucune offre finale n’a été remise ou lorsqu’il n’a été proposé que des offres inappropriées, ou irrégulières, le dialogue compétitif est déclaré infructueux.</w:t>
      </w:r>
    </w:p>
    <w:p>
      <w:pPr>
        <w:pStyle w:val="Heading2"/>
        <w:numPr>
          <w:ilvl w:val="2"/>
          <w:numId w:val="45"/>
        </w:numPr>
        <w:tabs>
          <w:tab w:pos="1307" w:val="left" w:leader="none"/>
        </w:tabs>
        <w:spacing w:line="240" w:lineRule="auto" w:before="124" w:after="0"/>
        <w:ind w:left="1306" w:right="0" w:hanging="874"/>
        <w:jc w:val="both"/>
      </w:pPr>
      <w:bookmarkStart w:name="_TOC_250083" w:id="60"/>
      <w:r>
        <w:rPr/>
        <w:t>Appel à Propositions avec meilleure offre finale après</w:t>
      </w:r>
      <w:r>
        <w:rPr>
          <w:spacing w:val="-9"/>
        </w:rPr>
        <w:t> </w:t>
      </w:r>
      <w:bookmarkEnd w:id="60"/>
      <w:r>
        <w:rPr/>
        <w:t>négociation</w:t>
      </w:r>
    </w:p>
    <w:p>
      <w:pPr>
        <w:pStyle w:val="BodyText"/>
        <w:spacing w:before="43"/>
        <w:ind w:right="751"/>
      </w:pPr>
      <w:r>
        <w:rPr/>
        <w:t>L’appel à propositions est une méthode de mise en concurrence utilisée pour obtenir des Propositions. Elle doit être employée lorsque, du fait de la nature et de la complexité</w:t>
      </w:r>
      <w:r>
        <w:rPr>
          <w:spacing w:val="-17"/>
        </w:rPr>
        <w:t> </w:t>
      </w:r>
      <w:r>
        <w:rPr/>
        <w:t>ou</w:t>
      </w:r>
      <w:r>
        <w:rPr>
          <w:spacing w:val="-15"/>
        </w:rPr>
        <w:t> </w:t>
      </w:r>
      <w:r>
        <w:rPr/>
        <w:t>de</w:t>
      </w:r>
      <w:r>
        <w:rPr>
          <w:spacing w:val="-14"/>
        </w:rPr>
        <w:t> </w:t>
      </w:r>
      <w:r>
        <w:rPr/>
        <w:t>la</w:t>
      </w:r>
      <w:r>
        <w:rPr>
          <w:spacing w:val="-16"/>
        </w:rPr>
        <w:t> </w:t>
      </w:r>
      <w:r>
        <w:rPr/>
        <w:t>spécificité</w:t>
      </w:r>
      <w:r>
        <w:rPr>
          <w:spacing w:val="-16"/>
        </w:rPr>
        <w:t> </w:t>
      </w:r>
      <w:r>
        <w:rPr/>
        <w:t>des</w:t>
      </w:r>
      <w:r>
        <w:rPr>
          <w:spacing w:val="-15"/>
        </w:rPr>
        <w:t> </w:t>
      </w:r>
      <w:r>
        <w:rPr/>
        <w:t>Fournitures</w:t>
      </w:r>
      <w:r>
        <w:rPr>
          <w:spacing w:val="-12"/>
        </w:rPr>
        <w:t> </w:t>
      </w:r>
      <w:r>
        <w:rPr/>
        <w:t>ou</w:t>
      </w:r>
      <w:r>
        <w:rPr>
          <w:spacing w:val="-15"/>
        </w:rPr>
        <w:t> </w:t>
      </w:r>
      <w:r>
        <w:rPr/>
        <w:t>des</w:t>
      </w:r>
      <w:r>
        <w:rPr>
          <w:spacing w:val="-15"/>
        </w:rPr>
        <w:t> </w:t>
      </w:r>
      <w:r>
        <w:rPr/>
        <w:t>Services</w:t>
      </w:r>
      <w:r>
        <w:rPr>
          <w:spacing w:val="-15"/>
        </w:rPr>
        <w:t> </w:t>
      </w:r>
      <w:r>
        <w:rPr/>
        <w:t>pour</w:t>
      </w:r>
      <w:r>
        <w:rPr>
          <w:spacing w:val="-18"/>
        </w:rPr>
        <w:t> </w:t>
      </w:r>
      <w:r>
        <w:rPr/>
        <w:t>lesquels</w:t>
      </w:r>
      <w:r>
        <w:rPr>
          <w:spacing w:val="-17"/>
        </w:rPr>
        <w:t> </w:t>
      </w:r>
      <w:r>
        <w:rPr/>
        <w:t>un</w:t>
      </w:r>
      <w:r>
        <w:rPr>
          <w:spacing w:val="-15"/>
        </w:rPr>
        <w:t> </w:t>
      </w:r>
      <w:r>
        <w:rPr/>
        <w:t>contrat doit être passé, en satisfaisant le mieux les besoins du</w:t>
      </w:r>
      <w:r>
        <w:rPr>
          <w:spacing w:val="-15"/>
        </w:rPr>
        <w:t> </w:t>
      </w:r>
      <w:r>
        <w:rPr/>
        <w:t>GCT</w:t>
      </w:r>
    </w:p>
    <w:p>
      <w:pPr>
        <w:pStyle w:val="Heading2"/>
        <w:spacing w:line="316" w:lineRule="exact" w:before="126"/>
        <w:jc w:val="left"/>
      </w:pPr>
      <w:r>
        <w:rPr/>
        <w:t>Procédure</w:t>
      </w:r>
    </w:p>
    <w:p>
      <w:pPr>
        <w:pStyle w:val="BodyText"/>
        <w:spacing w:line="323" w:lineRule="exact"/>
        <w:ind w:firstLine="0"/>
        <w:jc w:val="left"/>
      </w:pPr>
      <w:r>
        <w:rPr/>
        <w:pict>
          <v:line style="position:absolute;mso-position-horizontal-relative:page;mso-position-vertical-relative:paragraph;z-index:251662336" from="56.664001pt,15.027027pt" to="117.504001pt,15.027027pt" stroked="true" strokeweight=".71997pt" strokecolor="#000000">
            <v:stroke dashstyle="solid"/>
            <w10:wrap type="none"/>
          </v:line>
        </w:pict>
      </w:r>
      <w:r>
        <w:rPr/>
        <w:t>1</w:t>
      </w:r>
      <w:r>
        <w:rPr>
          <w:position w:val="10"/>
          <w:sz w:val="18"/>
        </w:rPr>
        <w:t>ère </w:t>
      </w:r>
      <w:r>
        <w:rPr/>
        <w:t>phase : Sélection Initiale de la liste des fournisseurs ou prestataires des services</w:t>
      </w:r>
    </w:p>
    <w:p>
      <w:pPr>
        <w:spacing w:after="0" w:line="323" w:lineRule="exact"/>
        <w:jc w:val="left"/>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49" w:firstLine="0"/>
      </w:pPr>
      <w:r>
        <w:rPr/>
        <w:t>La sélection initiale des fournisseurs ou prestataires de services est constituée des fournisseurs comme suit :</w:t>
      </w:r>
    </w:p>
    <w:p>
      <w:pPr>
        <w:pStyle w:val="ListParagraph"/>
        <w:numPr>
          <w:ilvl w:val="0"/>
          <w:numId w:val="55"/>
        </w:numPr>
        <w:tabs>
          <w:tab w:pos="1000" w:val="left" w:leader="none"/>
        </w:tabs>
        <w:spacing w:line="240" w:lineRule="auto" w:before="0" w:after="0"/>
        <w:ind w:left="716" w:right="751" w:firstLine="0"/>
        <w:jc w:val="both"/>
        <w:rPr>
          <w:sz w:val="28"/>
        </w:rPr>
      </w:pPr>
      <w:r>
        <w:rPr>
          <w:sz w:val="28"/>
        </w:rPr>
        <w:t>Les fournisseurs ou prestataires de services qui ont signés avec le GCT au moins un</w:t>
      </w:r>
      <w:r>
        <w:rPr>
          <w:spacing w:val="-7"/>
          <w:sz w:val="28"/>
        </w:rPr>
        <w:t> </w:t>
      </w:r>
      <w:r>
        <w:rPr>
          <w:sz w:val="28"/>
        </w:rPr>
        <w:t>contrat</w:t>
      </w:r>
      <w:r>
        <w:rPr>
          <w:spacing w:val="-6"/>
          <w:sz w:val="28"/>
        </w:rPr>
        <w:t> </w:t>
      </w:r>
      <w:r>
        <w:rPr>
          <w:sz w:val="28"/>
        </w:rPr>
        <w:t>durant</w:t>
      </w:r>
      <w:r>
        <w:rPr>
          <w:spacing w:val="-7"/>
          <w:sz w:val="28"/>
        </w:rPr>
        <w:t> </w:t>
      </w:r>
      <w:r>
        <w:rPr>
          <w:sz w:val="28"/>
        </w:rPr>
        <w:t>les</w:t>
      </w:r>
      <w:r>
        <w:rPr>
          <w:spacing w:val="-6"/>
          <w:sz w:val="28"/>
        </w:rPr>
        <w:t> </w:t>
      </w:r>
      <w:r>
        <w:rPr>
          <w:sz w:val="28"/>
        </w:rPr>
        <w:t>trois</w:t>
      </w:r>
      <w:r>
        <w:rPr>
          <w:spacing w:val="-7"/>
          <w:sz w:val="28"/>
        </w:rPr>
        <w:t> </w:t>
      </w:r>
      <w:r>
        <w:rPr>
          <w:sz w:val="28"/>
        </w:rPr>
        <w:t>(03)</w:t>
      </w:r>
      <w:r>
        <w:rPr>
          <w:spacing w:val="-7"/>
          <w:sz w:val="28"/>
        </w:rPr>
        <w:t> </w:t>
      </w:r>
      <w:r>
        <w:rPr>
          <w:sz w:val="28"/>
        </w:rPr>
        <w:t>dernières</w:t>
      </w:r>
      <w:r>
        <w:rPr>
          <w:spacing w:val="-7"/>
          <w:sz w:val="28"/>
        </w:rPr>
        <w:t> </w:t>
      </w:r>
      <w:r>
        <w:rPr>
          <w:sz w:val="28"/>
        </w:rPr>
        <w:t>années</w:t>
      </w:r>
      <w:r>
        <w:rPr>
          <w:spacing w:val="-6"/>
          <w:sz w:val="28"/>
        </w:rPr>
        <w:t> </w:t>
      </w:r>
      <w:r>
        <w:rPr>
          <w:sz w:val="28"/>
        </w:rPr>
        <w:t>précédentes</w:t>
      </w:r>
      <w:r>
        <w:rPr>
          <w:spacing w:val="-6"/>
          <w:sz w:val="28"/>
        </w:rPr>
        <w:t> </w:t>
      </w:r>
      <w:r>
        <w:rPr>
          <w:sz w:val="28"/>
        </w:rPr>
        <w:t>à</w:t>
      </w:r>
      <w:r>
        <w:rPr>
          <w:spacing w:val="-7"/>
          <w:sz w:val="28"/>
        </w:rPr>
        <w:t> </w:t>
      </w:r>
      <w:r>
        <w:rPr>
          <w:sz w:val="28"/>
        </w:rPr>
        <w:t>l’année</w:t>
      </w:r>
      <w:r>
        <w:rPr>
          <w:spacing w:val="-7"/>
          <w:sz w:val="28"/>
        </w:rPr>
        <w:t> </w:t>
      </w:r>
      <w:r>
        <w:rPr>
          <w:sz w:val="28"/>
        </w:rPr>
        <w:t>en</w:t>
      </w:r>
      <w:r>
        <w:rPr>
          <w:spacing w:val="-5"/>
          <w:sz w:val="28"/>
        </w:rPr>
        <w:t> </w:t>
      </w:r>
      <w:r>
        <w:rPr>
          <w:sz w:val="28"/>
        </w:rPr>
        <w:t>cours</w:t>
      </w:r>
      <w:r>
        <w:rPr>
          <w:spacing w:val="-7"/>
          <w:sz w:val="28"/>
        </w:rPr>
        <w:t> </w:t>
      </w:r>
      <w:r>
        <w:rPr>
          <w:sz w:val="28"/>
        </w:rPr>
        <w:t>et</w:t>
      </w:r>
      <w:r>
        <w:rPr>
          <w:spacing w:val="-6"/>
          <w:sz w:val="28"/>
        </w:rPr>
        <w:t> </w:t>
      </w:r>
      <w:r>
        <w:rPr>
          <w:sz w:val="28"/>
        </w:rPr>
        <w:t>ce pour tout achat</w:t>
      </w:r>
      <w:r>
        <w:rPr>
          <w:spacing w:val="-2"/>
          <w:sz w:val="28"/>
        </w:rPr>
        <w:t> </w:t>
      </w:r>
      <w:r>
        <w:rPr>
          <w:sz w:val="28"/>
        </w:rPr>
        <w:t>confondu,</w:t>
      </w:r>
    </w:p>
    <w:p>
      <w:pPr>
        <w:pStyle w:val="ListParagraph"/>
        <w:numPr>
          <w:ilvl w:val="0"/>
          <w:numId w:val="55"/>
        </w:numPr>
        <w:tabs>
          <w:tab w:pos="1000" w:val="left" w:leader="none"/>
        </w:tabs>
        <w:spacing w:line="240" w:lineRule="auto" w:before="0" w:after="0"/>
        <w:ind w:left="716" w:right="750" w:firstLine="0"/>
        <w:jc w:val="both"/>
        <w:rPr>
          <w:sz w:val="28"/>
        </w:rPr>
      </w:pPr>
      <w:r>
        <w:rPr>
          <w:sz w:val="28"/>
        </w:rPr>
        <w:t>Les fournisseurs ou prestataires de services qui ont été consultés par le GCT durant les trois dernières années précédant l’année en cours de l’établissement de la liste</w:t>
      </w:r>
      <w:r>
        <w:rPr>
          <w:spacing w:val="-12"/>
          <w:sz w:val="28"/>
        </w:rPr>
        <w:t> </w:t>
      </w:r>
      <w:r>
        <w:rPr>
          <w:sz w:val="28"/>
        </w:rPr>
        <w:t>et</w:t>
      </w:r>
      <w:r>
        <w:rPr>
          <w:spacing w:val="-11"/>
          <w:sz w:val="28"/>
        </w:rPr>
        <w:t> </w:t>
      </w:r>
      <w:r>
        <w:rPr>
          <w:sz w:val="28"/>
        </w:rPr>
        <w:t>qui</w:t>
      </w:r>
      <w:r>
        <w:rPr>
          <w:spacing w:val="-11"/>
          <w:sz w:val="28"/>
        </w:rPr>
        <w:t> </w:t>
      </w:r>
      <w:r>
        <w:rPr>
          <w:sz w:val="28"/>
        </w:rPr>
        <w:t>ont</w:t>
      </w:r>
      <w:r>
        <w:rPr>
          <w:spacing w:val="-11"/>
          <w:sz w:val="28"/>
        </w:rPr>
        <w:t> </w:t>
      </w:r>
      <w:r>
        <w:rPr>
          <w:sz w:val="28"/>
        </w:rPr>
        <w:t>répondu</w:t>
      </w:r>
      <w:r>
        <w:rPr>
          <w:spacing w:val="-11"/>
          <w:sz w:val="28"/>
        </w:rPr>
        <w:t> </w:t>
      </w:r>
      <w:r>
        <w:rPr>
          <w:sz w:val="28"/>
        </w:rPr>
        <w:t>soit</w:t>
      </w:r>
      <w:r>
        <w:rPr>
          <w:spacing w:val="-12"/>
          <w:sz w:val="28"/>
        </w:rPr>
        <w:t> </w:t>
      </w:r>
      <w:r>
        <w:rPr>
          <w:sz w:val="28"/>
        </w:rPr>
        <w:t>par</w:t>
      </w:r>
      <w:r>
        <w:rPr>
          <w:spacing w:val="-11"/>
          <w:sz w:val="28"/>
        </w:rPr>
        <w:t> </w:t>
      </w:r>
      <w:r>
        <w:rPr>
          <w:sz w:val="28"/>
        </w:rPr>
        <w:t>une</w:t>
      </w:r>
      <w:r>
        <w:rPr>
          <w:spacing w:val="-11"/>
          <w:sz w:val="28"/>
        </w:rPr>
        <w:t> </w:t>
      </w:r>
      <w:r>
        <w:rPr>
          <w:sz w:val="28"/>
        </w:rPr>
        <w:t>offre</w:t>
      </w:r>
      <w:r>
        <w:rPr>
          <w:spacing w:val="-11"/>
          <w:sz w:val="28"/>
        </w:rPr>
        <w:t> </w:t>
      </w:r>
      <w:r>
        <w:rPr>
          <w:sz w:val="28"/>
        </w:rPr>
        <w:t>et</w:t>
      </w:r>
      <w:r>
        <w:rPr>
          <w:spacing w:val="-11"/>
          <w:sz w:val="28"/>
        </w:rPr>
        <w:t> </w:t>
      </w:r>
      <w:r>
        <w:rPr>
          <w:sz w:val="28"/>
        </w:rPr>
        <w:t>n’ont</w:t>
      </w:r>
      <w:r>
        <w:rPr>
          <w:spacing w:val="-12"/>
          <w:sz w:val="28"/>
        </w:rPr>
        <w:t> </w:t>
      </w:r>
      <w:r>
        <w:rPr>
          <w:sz w:val="28"/>
        </w:rPr>
        <w:t>pas</w:t>
      </w:r>
      <w:r>
        <w:rPr>
          <w:spacing w:val="-11"/>
          <w:sz w:val="28"/>
        </w:rPr>
        <w:t> </w:t>
      </w:r>
      <w:r>
        <w:rPr>
          <w:sz w:val="28"/>
        </w:rPr>
        <w:t>été</w:t>
      </w:r>
      <w:r>
        <w:rPr>
          <w:spacing w:val="-11"/>
          <w:sz w:val="28"/>
        </w:rPr>
        <w:t> </w:t>
      </w:r>
      <w:r>
        <w:rPr>
          <w:sz w:val="28"/>
        </w:rPr>
        <w:t>retenus</w:t>
      </w:r>
      <w:r>
        <w:rPr>
          <w:spacing w:val="-11"/>
          <w:sz w:val="28"/>
        </w:rPr>
        <w:t> </w:t>
      </w:r>
      <w:r>
        <w:rPr>
          <w:sz w:val="28"/>
        </w:rPr>
        <w:t>soit</w:t>
      </w:r>
      <w:r>
        <w:rPr>
          <w:spacing w:val="-11"/>
          <w:sz w:val="28"/>
        </w:rPr>
        <w:t> </w:t>
      </w:r>
      <w:r>
        <w:rPr>
          <w:sz w:val="28"/>
        </w:rPr>
        <w:t>par</w:t>
      </w:r>
      <w:r>
        <w:rPr>
          <w:spacing w:val="-12"/>
          <w:sz w:val="28"/>
        </w:rPr>
        <w:t> </w:t>
      </w:r>
      <w:r>
        <w:rPr>
          <w:sz w:val="28"/>
        </w:rPr>
        <w:t>une</w:t>
      </w:r>
      <w:r>
        <w:rPr>
          <w:spacing w:val="-11"/>
          <w:sz w:val="28"/>
        </w:rPr>
        <w:t> </w:t>
      </w:r>
      <w:r>
        <w:rPr>
          <w:sz w:val="28"/>
        </w:rPr>
        <w:t>excuse, 3-</w:t>
      </w:r>
      <w:r>
        <w:rPr>
          <w:spacing w:val="-22"/>
          <w:sz w:val="28"/>
        </w:rPr>
        <w:t> </w:t>
      </w:r>
      <w:r>
        <w:rPr>
          <w:sz w:val="28"/>
        </w:rPr>
        <w:t>Les</w:t>
      </w:r>
      <w:r>
        <w:rPr>
          <w:spacing w:val="-20"/>
          <w:sz w:val="28"/>
        </w:rPr>
        <w:t> </w:t>
      </w:r>
      <w:r>
        <w:rPr>
          <w:sz w:val="28"/>
        </w:rPr>
        <w:t>nouveaux</w:t>
      </w:r>
      <w:r>
        <w:rPr>
          <w:spacing w:val="-19"/>
          <w:sz w:val="28"/>
        </w:rPr>
        <w:t> </w:t>
      </w:r>
      <w:r>
        <w:rPr>
          <w:sz w:val="28"/>
        </w:rPr>
        <w:t>fournisseurs</w:t>
      </w:r>
      <w:r>
        <w:rPr>
          <w:spacing w:val="-19"/>
          <w:sz w:val="28"/>
        </w:rPr>
        <w:t> </w:t>
      </w:r>
      <w:r>
        <w:rPr>
          <w:sz w:val="28"/>
        </w:rPr>
        <w:t>ou</w:t>
      </w:r>
      <w:r>
        <w:rPr>
          <w:spacing w:val="-19"/>
          <w:sz w:val="28"/>
        </w:rPr>
        <w:t> </w:t>
      </w:r>
      <w:r>
        <w:rPr>
          <w:sz w:val="28"/>
        </w:rPr>
        <w:t>prestataires</w:t>
      </w:r>
      <w:r>
        <w:rPr>
          <w:spacing w:val="-19"/>
          <w:sz w:val="28"/>
        </w:rPr>
        <w:t> </w:t>
      </w:r>
      <w:r>
        <w:rPr>
          <w:sz w:val="28"/>
        </w:rPr>
        <w:t>de</w:t>
      </w:r>
      <w:r>
        <w:rPr>
          <w:spacing w:val="-20"/>
          <w:sz w:val="28"/>
        </w:rPr>
        <w:t> </w:t>
      </w:r>
      <w:r>
        <w:rPr>
          <w:sz w:val="28"/>
        </w:rPr>
        <w:t>services</w:t>
      </w:r>
      <w:r>
        <w:rPr>
          <w:spacing w:val="-19"/>
          <w:sz w:val="28"/>
        </w:rPr>
        <w:t> </w:t>
      </w:r>
      <w:r>
        <w:rPr>
          <w:sz w:val="28"/>
        </w:rPr>
        <w:t>retenus</w:t>
      </w:r>
      <w:r>
        <w:rPr>
          <w:spacing w:val="-19"/>
          <w:sz w:val="28"/>
        </w:rPr>
        <w:t> </w:t>
      </w:r>
      <w:r>
        <w:rPr>
          <w:sz w:val="28"/>
        </w:rPr>
        <w:t>suite</w:t>
      </w:r>
      <w:r>
        <w:rPr>
          <w:spacing w:val="-20"/>
          <w:sz w:val="28"/>
        </w:rPr>
        <w:t> </w:t>
      </w:r>
      <w:r>
        <w:rPr>
          <w:sz w:val="28"/>
        </w:rPr>
        <w:t>à</w:t>
      </w:r>
      <w:r>
        <w:rPr>
          <w:spacing w:val="-20"/>
          <w:sz w:val="28"/>
        </w:rPr>
        <w:t> </w:t>
      </w:r>
      <w:r>
        <w:rPr>
          <w:sz w:val="28"/>
        </w:rPr>
        <w:t>l’envoi</w:t>
      </w:r>
      <w:r>
        <w:rPr>
          <w:spacing w:val="-19"/>
          <w:sz w:val="28"/>
        </w:rPr>
        <w:t> </w:t>
      </w:r>
      <w:r>
        <w:rPr>
          <w:sz w:val="28"/>
        </w:rPr>
        <w:t>d’une proposition spontanée soit spontanément ou après un appel à la manifestation d’intérêts,</w:t>
      </w:r>
    </w:p>
    <w:p>
      <w:pPr>
        <w:pStyle w:val="BodyText"/>
        <w:spacing w:line="323" w:lineRule="exact"/>
        <w:ind w:firstLine="0"/>
      </w:pPr>
      <w:r>
        <w:rPr/>
        <w:pict>
          <v:line style="position:absolute;mso-position-horizontal-relative:page;mso-position-vertical-relative:paragraph;z-index:251663360" from="56.664001pt,15.028545pt" to="121.464001pt,15.028545pt" stroked="true" strokeweight=".71997pt" strokecolor="#000000">
            <v:stroke dashstyle="solid"/>
            <w10:wrap type="none"/>
          </v:line>
        </w:pict>
      </w:r>
      <w:r>
        <w:rPr>
          <w:w w:val="105"/>
        </w:rPr>
        <w:t>2</w:t>
      </w:r>
      <w:r>
        <w:rPr>
          <w:w w:val="105"/>
          <w:position w:val="10"/>
          <w:sz w:val="18"/>
        </w:rPr>
        <w:t>ème </w:t>
      </w:r>
      <w:r>
        <w:rPr>
          <w:w w:val="105"/>
        </w:rPr>
        <w:t>phase : Emission de la Demande de proposition et remise des propositions</w:t>
      </w:r>
    </w:p>
    <w:p>
      <w:pPr>
        <w:pStyle w:val="ListParagraph"/>
        <w:numPr>
          <w:ilvl w:val="0"/>
          <w:numId w:val="56"/>
        </w:numPr>
        <w:tabs>
          <w:tab w:pos="1000" w:val="left" w:leader="none"/>
        </w:tabs>
        <w:spacing w:line="240" w:lineRule="auto" w:before="0" w:after="0"/>
        <w:ind w:left="999" w:right="752" w:hanging="284"/>
        <w:jc w:val="both"/>
        <w:rPr>
          <w:sz w:val="28"/>
        </w:rPr>
      </w:pPr>
      <w:r>
        <w:rPr>
          <w:w w:val="105"/>
          <w:sz w:val="28"/>
        </w:rPr>
        <w:t>L’émission de la Demande de proposition est le fait d’adresser à tous les fournisseurs ou prestataires des services figurant sur la liste restreinte un dossier qui sert à la préparation et la soumission d’une proposition. La DDP doit inclure : la Lettre d’invitation, les Termes de référence, la méthodologie d’évaluation et le projet de contrat</w:t>
      </w:r>
      <w:r>
        <w:rPr>
          <w:spacing w:val="1"/>
          <w:w w:val="105"/>
          <w:sz w:val="28"/>
        </w:rPr>
        <w:t> </w:t>
      </w:r>
      <w:r>
        <w:rPr>
          <w:w w:val="105"/>
          <w:sz w:val="28"/>
        </w:rPr>
        <w:t>proposé.</w:t>
      </w:r>
    </w:p>
    <w:p>
      <w:pPr>
        <w:pStyle w:val="ListParagraph"/>
        <w:numPr>
          <w:ilvl w:val="0"/>
          <w:numId w:val="56"/>
        </w:numPr>
        <w:tabs>
          <w:tab w:pos="1000" w:val="left" w:leader="none"/>
        </w:tabs>
        <w:spacing w:line="237" w:lineRule="auto" w:before="4" w:after="0"/>
        <w:ind w:left="433" w:right="751" w:firstLine="283"/>
        <w:jc w:val="both"/>
        <w:rPr>
          <w:sz w:val="28"/>
        </w:rPr>
      </w:pPr>
      <w:r>
        <w:rPr/>
        <w:pict>
          <v:line style="position:absolute;mso-position-horizontal-relative:page;mso-position-vertical-relative:paragraph;z-index:-256645120" from="56.664001pt,31.139624pt" to="120.144001pt,31.139624pt" stroked="true" strokeweight=".72pt" strokecolor="#000000">
            <v:stroke dashstyle="solid"/>
            <w10:wrap type="none"/>
          </v:line>
        </w:pict>
      </w:r>
      <w:r>
        <w:rPr>
          <w:w w:val="105"/>
          <w:sz w:val="28"/>
        </w:rPr>
        <w:t>La</w:t>
      </w:r>
      <w:r>
        <w:rPr>
          <w:spacing w:val="-17"/>
          <w:w w:val="105"/>
          <w:sz w:val="28"/>
        </w:rPr>
        <w:t> </w:t>
      </w:r>
      <w:r>
        <w:rPr>
          <w:w w:val="105"/>
          <w:sz w:val="28"/>
        </w:rPr>
        <w:t>remise</w:t>
      </w:r>
      <w:r>
        <w:rPr>
          <w:spacing w:val="-17"/>
          <w:w w:val="105"/>
          <w:sz w:val="28"/>
        </w:rPr>
        <w:t> </w:t>
      </w:r>
      <w:r>
        <w:rPr>
          <w:w w:val="105"/>
          <w:sz w:val="28"/>
        </w:rPr>
        <w:t>des</w:t>
      </w:r>
      <w:r>
        <w:rPr>
          <w:spacing w:val="-15"/>
          <w:w w:val="105"/>
          <w:sz w:val="28"/>
        </w:rPr>
        <w:t> </w:t>
      </w:r>
      <w:r>
        <w:rPr>
          <w:w w:val="105"/>
          <w:sz w:val="28"/>
        </w:rPr>
        <w:t>propositions</w:t>
      </w:r>
      <w:r>
        <w:rPr>
          <w:spacing w:val="-15"/>
          <w:w w:val="105"/>
          <w:sz w:val="28"/>
        </w:rPr>
        <w:t> </w:t>
      </w:r>
      <w:r>
        <w:rPr>
          <w:w w:val="105"/>
          <w:sz w:val="28"/>
        </w:rPr>
        <w:t>est</w:t>
      </w:r>
      <w:r>
        <w:rPr>
          <w:spacing w:val="-16"/>
          <w:w w:val="105"/>
          <w:sz w:val="28"/>
        </w:rPr>
        <w:t> </w:t>
      </w:r>
      <w:r>
        <w:rPr>
          <w:w w:val="105"/>
          <w:sz w:val="28"/>
        </w:rPr>
        <w:t>faite</w:t>
      </w:r>
      <w:r>
        <w:rPr>
          <w:spacing w:val="-16"/>
          <w:w w:val="105"/>
          <w:sz w:val="28"/>
        </w:rPr>
        <w:t> </w:t>
      </w:r>
      <w:r>
        <w:rPr>
          <w:w w:val="105"/>
          <w:sz w:val="28"/>
        </w:rPr>
        <w:t>selon</w:t>
      </w:r>
      <w:r>
        <w:rPr>
          <w:spacing w:val="-14"/>
          <w:w w:val="105"/>
          <w:sz w:val="28"/>
        </w:rPr>
        <w:t> </w:t>
      </w:r>
      <w:r>
        <w:rPr>
          <w:w w:val="105"/>
          <w:sz w:val="28"/>
        </w:rPr>
        <w:t>les</w:t>
      </w:r>
      <w:r>
        <w:rPr>
          <w:spacing w:val="-16"/>
          <w:w w:val="105"/>
          <w:sz w:val="28"/>
        </w:rPr>
        <w:t> </w:t>
      </w:r>
      <w:r>
        <w:rPr>
          <w:w w:val="105"/>
          <w:sz w:val="28"/>
        </w:rPr>
        <w:t>procédures</w:t>
      </w:r>
      <w:r>
        <w:rPr>
          <w:spacing w:val="-15"/>
          <w:w w:val="105"/>
          <w:sz w:val="28"/>
        </w:rPr>
        <w:t> </w:t>
      </w:r>
      <w:r>
        <w:rPr>
          <w:w w:val="105"/>
          <w:sz w:val="28"/>
        </w:rPr>
        <w:t>prévues</w:t>
      </w:r>
      <w:r>
        <w:rPr>
          <w:spacing w:val="-16"/>
          <w:w w:val="105"/>
          <w:sz w:val="28"/>
        </w:rPr>
        <w:t> </w:t>
      </w:r>
      <w:r>
        <w:rPr>
          <w:w w:val="105"/>
          <w:sz w:val="28"/>
        </w:rPr>
        <w:t>dans</w:t>
      </w:r>
      <w:r>
        <w:rPr>
          <w:spacing w:val="-15"/>
          <w:w w:val="105"/>
          <w:sz w:val="28"/>
        </w:rPr>
        <w:t> </w:t>
      </w:r>
      <w:r>
        <w:rPr>
          <w:w w:val="105"/>
          <w:sz w:val="28"/>
        </w:rPr>
        <w:t>la</w:t>
      </w:r>
      <w:r>
        <w:rPr>
          <w:spacing w:val="-14"/>
          <w:w w:val="105"/>
          <w:sz w:val="28"/>
        </w:rPr>
        <w:t> </w:t>
      </w:r>
      <w:r>
        <w:rPr>
          <w:w w:val="105"/>
          <w:sz w:val="28"/>
        </w:rPr>
        <w:t>DDP. 3</w:t>
      </w:r>
      <w:r>
        <w:rPr>
          <w:w w:val="105"/>
          <w:position w:val="10"/>
          <w:sz w:val="18"/>
        </w:rPr>
        <w:t>ème</w:t>
      </w:r>
      <w:r>
        <w:rPr>
          <w:spacing w:val="1"/>
          <w:w w:val="105"/>
          <w:position w:val="10"/>
          <w:sz w:val="18"/>
        </w:rPr>
        <w:t> </w:t>
      </w:r>
      <w:r>
        <w:rPr>
          <w:w w:val="105"/>
          <w:sz w:val="28"/>
        </w:rPr>
        <w:t>phase</w:t>
      </w:r>
      <w:r>
        <w:rPr>
          <w:spacing w:val="-25"/>
          <w:w w:val="105"/>
          <w:sz w:val="28"/>
        </w:rPr>
        <w:t> </w:t>
      </w:r>
      <w:r>
        <w:rPr>
          <w:w w:val="105"/>
          <w:sz w:val="28"/>
        </w:rPr>
        <w:t>:</w:t>
      </w:r>
      <w:r>
        <w:rPr>
          <w:spacing w:val="-17"/>
          <w:w w:val="105"/>
          <w:sz w:val="28"/>
        </w:rPr>
        <w:t> </w:t>
      </w:r>
      <w:r>
        <w:rPr>
          <w:w w:val="105"/>
          <w:sz w:val="28"/>
        </w:rPr>
        <w:t>Attribution</w:t>
      </w:r>
      <w:r>
        <w:rPr>
          <w:spacing w:val="-20"/>
          <w:w w:val="105"/>
          <w:sz w:val="28"/>
        </w:rPr>
        <w:t> </w:t>
      </w:r>
      <w:r>
        <w:rPr>
          <w:w w:val="105"/>
          <w:sz w:val="28"/>
        </w:rPr>
        <w:t>de</w:t>
      </w:r>
      <w:r>
        <w:rPr>
          <w:spacing w:val="-22"/>
          <w:w w:val="105"/>
          <w:sz w:val="28"/>
        </w:rPr>
        <w:t> </w:t>
      </w:r>
      <w:r>
        <w:rPr>
          <w:w w:val="105"/>
          <w:sz w:val="28"/>
        </w:rPr>
        <w:t>l’exécution</w:t>
      </w:r>
      <w:r>
        <w:rPr>
          <w:spacing w:val="-21"/>
          <w:w w:val="105"/>
          <w:sz w:val="28"/>
        </w:rPr>
        <w:t> </w:t>
      </w:r>
      <w:r>
        <w:rPr>
          <w:w w:val="105"/>
          <w:sz w:val="28"/>
        </w:rPr>
        <w:t>de</w:t>
      </w:r>
      <w:r>
        <w:rPr>
          <w:spacing w:val="-22"/>
          <w:w w:val="105"/>
          <w:sz w:val="28"/>
        </w:rPr>
        <w:t> </w:t>
      </w:r>
      <w:r>
        <w:rPr>
          <w:w w:val="105"/>
          <w:sz w:val="28"/>
        </w:rPr>
        <w:t>la</w:t>
      </w:r>
      <w:r>
        <w:rPr>
          <w:spacing w:val="-21"/>
          <w:w w:val="105"/>
          <w:sz w:val="28"/>
        </w:rPr>
        <w:t> </w:t>
      </w:r>
      <w:r>
        <w:rPr>
          <w:w w:val="105"/>
          <w:sz w:val="28"/>
        </w:rPr>
        <w:t>commande</w:t>
      </w:r>
      <w:r>
        <w:rPr>
          <w:spacing w:val="-22"/>
          <w:w w:val="105"/>
          <w:sz w:val="28"/>
        </w:rPr>
        <w:t> </w:t>
      </w:r>
      <w:r>
        <w:rPr>
          <w:w w:val="105"/>
          <w:sz w:val="28"/>
        </w:rPr>
        <w:t>à/aux</w:t>
      </w:r>
      <w:r>
        <w:rPr>
          <w:spacing w:val="-22"/>
          <w:w w:val="105"/>
          <w:sz w:val="28"/>
        </w:rPr>
        <w:t> </w:t>
      </w:r>
      <w:r>
        <w:rPr>
          <w:w w:val="105"/>
          <w:sz w:val="28"/>
        </w:rPr>
        <w:t>soumissionnaires</w:t>
      </w:r>
      <w:r>
        <w:rPr>
          <w:spacing w:val="-21"/>
          <w:w w:val="105"/>
          <w:sz w:val="28"/>
        </w:rPr>
        <w:t> </w:t>
      </w:r>
      <w:r>
        <w:rPr>
          <w:w w:val="105"/>
          <w:sz w:val="28"/>
        </w:rPr>
        <w:t>déjà sélectionnés</w:t>
      </w:r>
      <w:r>
        <w:rPr>
          <w:spacing w:val="-19"/>
          <w:w w:val="105"/>
          <w:sz w:val="28"/>
        </w:rPr>
        <w:t> </w:t>
      </w:r>
      <w:r>
        <w:rPr>
          <w:w w:val="105"/>
          <w:sz w:val="28"/>
        </w:rPr>
        <w:t>et</w:t>
      </w:r>
      <w:r>
        <w:rPr>
          <w:spacing w:val="-19"/>
          <w:w w:val="105"/>
          <w:sz w:val="28"/>
        </w:rPr>
        <w:t> </w:t>
      </w:r>
      <w:r>
        <w:rPr>
          <w:w w:val="105"/>
          <w:sz w:val="28"/>
        </w:rPr>
        <w:t>ayant</w:t>
      </w:r>
      <w:r>
        <w:rPr>
          <w:spacing w:val="-18"/>
          <w:w w:val="105"/>
          <w:sz w:val="28"/>
        </w:rPr>
        <w:t> </w:t>
      </w:r>
      <w:r>
        <w:rPr>
          <w:w w:val="105"/>
          <w:sz w:val="28"/>
        </w:rPr>
        <w:t>présentés</w:t>
      </w:r>
      <w:r>
        <w:rPr>
          <w:spacing w:val="-18"/>
          <w:w w:val="105"/>
          <w:sz w:val="28"/>
        </w:rPr>
        <w:t> </w:t>
      </w:r>
      <w:r>
        <w:rPr>
          <w:w w:val="105"/>
          <w:sz w:val="28"/>
        </w:rPr>
        <w:t>la</w:t>
      </w:r>
      <w:r>
        <w:rPr>
          <w:spacing w:val="-19"/>
          <w:w w:val="105"/>
          <w:sz w:val="28"/>
        </w:rPr>
        <w:t> </w:t>
      </w:r>
      <w:r>
        <w:rPr>
          <w:w w:val="105"/>
          <w:sz w:val="28"/>
        </w:rPr>
        <w:t>meilleure</w:t>
      </w:r>
      <w:r>
        <w:rPr>
          <w:spacing w:val="-20"/>
          <w:w w:val="105"/>
          <w:sz w:val="28"/>
        </w:rPr>
        <w:t> </w:t>
      </w:r>
      <w:r>
        <w:rPr>
          <w:w w:val="105"/>
          <w:sz w:val="28"/>
        </w:rPr>
        <w:t>offre</w:t>
      </w:r>
      <w:r>
        <w:rPr>
          <w:spacing w:val="-19"/>
          <w:w w:val="105"/>
          <w:sz w:val="28"/>
        </w:rPr>
        <w:t> </w:t>
      </w:r>
      <w:r>
        <w:rPr>
          <w:w w:val="105"/>
          <w:sz w:val="28"/>
        </w:rPr>
        <w:t>finale</w:t>
      </w:r>
      <w:r>
        <w:rPr>
          <w:spacing w:val="-19"/>
          <w:w w:val="105"/>
          <w:sz w:val="28"/>
        </w:rPr>
        <w:t> </w:t>
      </w:r>
      <w:r>
        <w:rPr>
          <w:w w:val="105"/>
          <w:sz w:val="28"/>
        </w:rPr>
        <w:t>après</w:t>
      </w:r>
      <w:r>
        <w:rPr>
          <w:spacing w:val="-14"/>
          <w:w w:val="105"/>
          <w:sz w:val="28"/>
        </w:rPr>
        <w:t> </w:t>
      </w:r>
      <w:r>
        <w:rPr>
          <w:w w:val="105"/>
          <w:sz w:val="28"/>
        </w:rPr>
        <w:t>négociation</w:t>
      </w:r>
      <w:r>
        <w:rPr>
          <w:spacing w:val="-19"/>
          <w:w w:val="105"/>
          <w:sz w:val="28"/>
        </w:rPr>
        <w:t> </w:t>
      </w:r>
      <w:r>
        <w:rPr>
          <w:w w:val="105"/>
          <w:sz w:val="28"/>
        </w:rPr>
        <w:t>technique et/ou financière.</w:t>
      </w:r>
    </w:p>
    <w:p>
      <w:pPr>
        <w:pStyle w:val="Heading2"/>
        <w:numPr>
          <w:ilvl w:val="1"/>
          <w:numId w:val="18"/>
        </w:numPr>
        <w:tabs>
          <w:tab w:pos="1096" w:val="left" w:leader="none"/>
        </w:tabs>
        <w:spacing w:line="240" w:lineRule="auto" w:before="127" w:after="0"/>
        <w:ind w:left="1095" w:right="0" w:hanging="663"/>
        <w:jc w:val="both"/>
      </w:pPr>
      <w:bookmarkStart w:name="_TOC_250082" w:id="61"/>
      <w:bookmarkEnd w:id="61"/>
      <w:r>
        <w:rPr/>
        <w:t>Exécution et clôture des marchés</w:t>
      </w:r>
    </w:p>
    <w:p>
      <w:pPr>
        <w:pStyle w:val="Heading2"/>
        <w:numPr>
          <w:ilvl w:val="2"/>
          <w:numId w:val="57"/>
        </w:numPr>
        <w:tabs>
          <w:tab w:pos="1307" w:val="left" w:leader="none"/>
        </w:tabs>
        <w:spacing w:line="240" w:lineRule="auto" w:before="122" w:after="0"/>
        <w:ind w:left="1306" w:right="0" w:hanging="874"/>
        <w:jc w:val="both"/>
      </w:pPr>
      <w:bookmarkStart w:name="_TOC_250081" w:id="62"/>
      <w:r>
        <w:rPr/>
        <w:t>Établissement des</w:t>
      </w:r>
      <w:r>
        <w:rPr>
          <w:spacing w:val="-1"/>
        </w:rPr>
        <w:t> </w:t>
      </w:r>
      <w:bookmarkEnd w:id="62"/>
      <w:r>
        <w:rPr/>
        <w:t>contrats</w:t>
      </w:r>
    </w:p>
    <w:p>
      <w:pPr>
        <w:pStyle w:val="BodyText"/>
        <w:spacing w:before="43"/>
        <w:ind w:right="748"/>
      </w:pPr>
      <w:r>
        <w:rPr/>
        <w:t>Suite à l’approbation de l’attribution du marché la Structure d’achat concernée procède à l’élaboration d’un projet de contrat (conformément à l’annexe n°18) et le transmet à la Structure chargée des affaires juridiques pour avis et approbation.</w:t>
      </w:r>
    </w:p>
    <w:p>
      <w:pPr>
        <w:pStyle w:val="BodyText"/>
        <w:ind w:right="760"/>
      </w:pPr>
      <w:r>
        <w:rPr/>
        <w:t>L’élaboration du projet de contrat ne doit pas dépasser (5) jours ouvrables à compter de la date de réception de la décision d’attribution.</w:t>
      </w:r>
    </w:p>
    <w:p>
      <w:pPr>
        <w:pStyle w:val="BodyText"/>
        <w:spacing w:before="1"/>
        <w:ind w:right="748"/>
      </w:pPr>
      <w:r>
        <w:rPr/>
        <w:t>La Structure d’achat transmet le projet de contrat à la Structure chargée des affaires juridiques pour approbation. Cette dernière étudie le projet de contrat et émet son avis à la structure d’achat soit par l’approbation ou par la proposition de rectifications, et ce, dans un délai ne dépassant pas les (10) jours ouvrables.</w:t>
      </w:r>
    </w:p>
    <w:p>
      <w:pPr>
        <w:pStyle w:val="BodyText"/>
        <w:spacing w:before="118"/>
        <w:ind w:right="747"/>
      </w:pPr>
      <w:r>
        <w:rPr/>
        <w:t>Une fois approuvé par la Structure chargée des affaires juridiques, le contrat doit être édité en (5) exemplaires puis transmis au Signataire habilité pour signature, et ce, conformément à la note de pouvoir de signature émise par la Direction Générale.</w:t>
      </w:r>
    </w:p>
    <w:p>
      <w:pPr>
        <w:pStyle w:val="BodyText"/>
        <w:spacing w:before="122"/>
        <w:ind w:right="750"/>
      </w:pPr>
      <w:r>
        <w:rPr/>
        <w:t>À</w:t>
      </w:r>
      <w:r>
        <w:rPr>
          <w:spacing w:val="-14"/>
        </w:rPr>
        <w:t> </w:t>
      </w:r>
      <w:r>
        <w:rPr/>
        <w:t>l'expiration</w:t>
      </w:r>
      <w:r>
        <w:rPr>
          <w:spacing w:val="-12"/>
        </w:rPr>
        <w:t> </w:t>
      </w:r>
      <w:r>
        <w:rPr/>
        <w:t>d'un</w:t>
      </w:r>
      <w:r>
        <w:rPr>
          <w:spacing w:val="-14"/>
        </w:rPr>
        <w:t> </w:t>
      </w:r>
      <w:r>
        <w:rPr/>
        <w:t>délai</w:t>
      </w:r>
      <w:r>
        <w:rPr>
          <w:spacing w:val="-14"/>
        </w:rPr>
        <w:t> </w:t>
      </w:r>
      <w:r>
        <w:rPr/>
        <w:t>de</w:t>
      </w:r>
      <w:r>
        <w:rPr>
          <w:spacing w:val="-12"/>
        </w:rPr>
        <w:t> </w:t>
      </w:r>
      <w:r>
        <w:rPr/>
        <w:t>(5)</w:t>
      </w:r>
      <w:r>
        <w:rPr>
          <w:spacing w:val="-12"/>
        </w:rPr>
        <w:t> </w:t>
      </w:r>
      <w:r>
        <w:rPr/>
        <w:t>jours</w:t>
      </w:r>
      <w:r>
        <w:rPr>
          <w:spacing w:val="-6"/>
        </w:rPr>
        <w:t> </w:t>
      </w:r>
      <w:r>
        <w:rPr/>
        <w:t>ouvrables</w:t>
      </w:r>
      <w:r>
        <w:rPr>
          <w:spacing w:val="-10"/>
        </w:rPr>
        <w:t> </w:t>
      </w:r>
      <w:r>
        <w:rPr/>
        <w:t>à</w:t>
      </w:r>
      <w:r>
        <w:rPr>
          <w:spacing w:val="-12"/>
        </w:rPr>
        <w:t> </w:t>
      </w:r>
      <w:r>
        <w:rPr/>
        <w:t>compter</w:t>
      </w:r>
      <w:r>
        <w:rPr>
          <w:spacing w:val="-12"/>
        </w:rPr>
        <w:t> </w:t>
      </w:r>
      <w:r>
        <w:rPr/>
        <w:t>de</w:t>
      </w:r>
      <w:r>
        <w:rPr>
          <w:spacing w:val="-12"/>
        </w:rPr>
        <w:t> </w:t>
      </w:r>
      <w:r>
        <w:rPr/>
        <w:t>la</w:t>
      </w:r>
      <w:r>
        <w:rPr>
          <w:spacing w:val="-15"/>
        </w:rPr>
        <w:t> </w:t>
      </w:r>
      <w:r>
        <w:rPr/>
        <w:t>date</w:t>
      </w:r>
      <w:r>
        <w:rPr>
          <w:spacing w:val="-12"/>
        </w:rPr>
        <w:t> </w:t>
      </w:r>
      <w:r>
        <w:rPr/>
        <w:t>de</w:t>
      </w:r>
      <w:r>
        <w:rPr>
          <w:spacing w:val="-12"/>
        </w:rPr>
        <w:t> </w:t>
      </w:r>
      <w:r>
        <w:rPr/>
        <w:t>publication de</w:t>
      </w:r>
      <w:r>
        <w:rPr>
          <w:spacing w:val="-15"/>
        </w:rPr>
        <w:t> </w:t>
      </w:r>
      <w:r>
        <w:rPr/>
        <w:t>l’avis</w:t>
      </w:r>
      <w:r>
        <w:rPr>
          <w:spacing w:val="-13"/>
        </w:rPr>
        <w:t> </w:t>
      </w:r>
      <w:r>
        <w:rPr/>
        <w:t>de</w:t>
      </w:r>
      <w:r>
        <w:rPr>
          <w:spacing w:val="-14"/>
        </w:rPr>
        <w:t> </w:t>
      </w:r>
      <w:r>
        <w:rPr/>
        <w:t>l'attribution</w:t>
      </w:r>
      <w:r>
        <w:rPr>
          <w:spacing w:val="-13"/>
        </w:rPr>
        <w:t> </w:t>
      </w:r>
      <w:r>
        <w:rPr/>
        <w:t>du</w:t>
      </w:r>
      <w:r>
        <w:rPr>
          <w:spacing w:val="-14"/>
        </w:rPr>
        <w:t> </w:t>
      </w:r>
      <w:r>
        <w:rPr/>
        <w:t>marché,</w:t>
      </w:r>
      <w:r>
        <w:rPr>
          <w:spacing w:val="-15"/>
        </w:rPr>
        <w:t> </w:t>
      </w:r>
      <w:r>
        <w:rPr/>
        <w:t>la</w:t>
      </w:r>
      <w:r>
        <w:rPr>
          <w:spacing w:val="-15"/>
        </w:rPr>
        <w:t> </w:t>
      </w:r>
      <w:r>
        <w:rPr/>
        <w:t>Structure</w:t>
      </w:r>
      <w:r>
        <w:rPr>
          <w:spacing w:val="-14"/>
        </w:rPr>
        <w:t> </w:t>
      </w:r>
      <w:r>
        <w:rPr/>
        <w:t>d’achat</w:t>
      </w:r>
      <w:r>
        <w:rPr>
          <w:spacing w:val="-14"/>
        </w:rPr>
        <w:t> </w:t>
      </w:r>
      <w:r>
        <w:rPr/>
        <w:t>notifie</w:t>
      </w:r>
      <w:r>
        <w:rPr>
          <w:spacing w:val="-15"/>
        </w:rPr>
        <w:t> </w:t>
      </w:r>
      <w:r>
        <w:rPr/>
        <w:t>le</w:t>
      </w:r>
      <w:r>
        <w:rPr>
          <w:spacing w:val="-12"/>
        </w:rPr>
        <w:t> </w:t>
      </w:r>
      <w:r>
        <w:rPr/>
        <w:t>marché</w:t>
      </w:r>
      <w:r>
        <w:rPr>
          <w:spacing w:val="-14"/>
        </w:rPr>
        <w:t> </w:t>
      </w:r>
      <w:r>
        <w:rPr/>
        <w:t>à</w:t>
      </w:r>
      <w:r>
        <w:rPr>
          <w:spacing w:val="-15"/>
        </w:rPr>
        <w:t> </w:t>
      </w:r>
      <w:r>
        <w:rPr/>
        <w:t>son</w:t>
      </w:r>
      <w:r>
        <w:rPr>
          <w:spacing w:val="-14"/>
        </w:rPr>
        <w:t> </w:t>
      </w:r>
      <w:r>
        <w:rPr/>
        <w:t>titulaire en envoyant à celui-ci les (5) exemplaires du contrat signé par le GCT. Le titulaire du marché signe et enregistre-les (5) exemplaires du contrat à la recette des finances puis restitue un exemplaire original au</w:t>
      </w:r>
      <w:r>
        <w:rPr>
          <w:spacing w:val="1"/>
        </w:rPr>
        <w:t> </w:t>
      </w:r>
      <w:r>
        <w:rPr/>
        <w:t>GCT.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49"/>
      </w:pPr>
      <w:r>
        <w:rPr/>
        <w:t>La</w:t>
      </w:r>
      <w:r>
        <w:rPr>
          <w:spacing w:val="-12"/>
        </w:rPr>
        <w:t> </w:t>
      </w:r>
      <w:r>
        <w:rPr/>
        <w:t>Structure</w:t>
      </w:r>
      <w:r>
        <w:rPr>
          <w:spacing w:val="-12"/>
        </w:rPr>
        <w:t> </w:t>
      </w:r>
      <w:r>
        <w:rPr/>
        <w:t>d’achat</w:t>
      </w:r>
      <w:r>
        <w:rPr>
          <w:spacing w:val="-12"/>
        </w:rPr>
        <w:t> </w:t>
      </w:r>
      <w:r>
        <w:rPr/>
        <w:t>doit,</w:t>
      </w:r>
      <w:r>
        <w:rPr>
          <w:spacing w:val="-13"/>
        </w:rPr>
        <w:t> </w:t>
      </w:r>
      <w:r>
        <w:rPr/>
        <w:t>lors</w:t>
      </w:r>
      <w:r>
        <w:rPr>
          <w:spacing w:val="-8"/>
        </w:rPr>
        <w:t> </w:t>
      </w:r>
      <w:r>
        <w:rPr/>
        <w:t>de</w:t>
      </w:r>
      <w:r>
        <w:rPr>
          <w:spacing w:val="-12"/>
        </w:rPr>
        <w:t> </w:t>
      </w:r>
      <w:r>
        <w:rPr/>
        <w:t>la</w:t>
      </w:r>
      <w:r>
        <w:rPr>
          <w:spacing w:val="-11"/>
        </w:rPr>
        <w:t> </w:t>
      </w:r>
      <w:r>
        <w:rPr/>
        <w:t>notification</w:t>
      </w:r>
      <w:r>
        <w:rPr>
          <w:spacing w:val="-12"/>
        </w:rPr>
        <w:t> </w:t>
      </w:r>
      <w:r>
        <w:rPr/>
        <w:t>du</w:t>
      </w:r>
      <w:r>
        <w:rPr>
          <w:spacing w:val="-12"/>
        </w:rPr>
        <w:t> </w:t>
      </w:r>
      <w:r>
        <w:rPr/>
        <w:t>marché,</w:t>
      </w:r>
      <w:r>
        <w:rPr>
          <w:spacing w:val="-13"/>
        </w:rPr>
        <w:t> </w:t>
      </w:r>
      <w:r>
        <w:rPr/>
        <w:t>rappeler</w:t>
      </w:r>
      <w:r>
        <w:rPr>
          <w:spacing w:val="-12"/>
        </w:rPr>
        <w:t> </w:t>
      </w:r>
      <w:r>
        <w:rPr/>
        <w:t>le</w:t>
      </w:r>
      <w:r>
        <w:rPr>
          <w:spacing w:val="-11"/>
        </w:rPr>
        <w:t> </w:t>
      </w:r>
      <w:r>
        <w:rPr/>
        <w:t>titulaire</w:t>
      </w:r>
      <w:r>
        <w:rPr>
          <w:spacing w:val="-12"/>
        </w:rPr>
        <w:t> </w:t>
      </w:r>
      <w:r>
        <w:rPr/>
        <w:t>du marché de remettre au GCT le contrat signé et enregistré accompagné, s’il y a lieu, du cautionnement</w:t>
      </w:r>
      <w:r>
        <w:rPr>
          <w:spacing w:val="-14"/>
        </w:rPr>
        <w:t> </w:t>
      </w:r>
      <w:r>
        <w:rPr/>
        <w:t>définitif,</w:t>
      </w:r>
      <w:r>
        <w:rPr>
          <w:spacing w:val="-15"/>
        </w:rPr>
        <w:t> </w:t>
      </w:r>
      <w:r>
        <w:rPr/>
        <w:t>et</w:t>
      </w:r>
      <w:r>
        <w:rPr>
          <w:spacing w:val="-14"/>
        </w:rPr>
        <w:t> </w:t>
      </w:r>
      <w:r>
        <w:rPr/>
        <w:t>ce,</w:t>
      </w:r>
      <w:r>
        <w:rPr>
          <w:spacing w:val="-15"/>
        </w:rPr>
        <w:t> </w:t>
      </w:r>
      <w:r>
        <w:rPr/>
        <w:t>dans</w:t>
      </w:r>
      <w:r>
        <w:rPr>
          <w:spacing w:val="-14"/>
        </w:rPr>
        <w:t> </w:t>
      </w:r>
      <w:r>
        <w:rPr/>
        <w:t>un</w:t>
      </w:r>
      <w:r>
        <w:rPr>
          <w:spacing w:val="-14"/>
        </w:rPr>
        <w:t> </w:t>
      </w:r>
      <w:r>
        <w:rPr/>
        <w:t>délai</w:t>
      </w:r>
      <w:r>
        <w:rPr>
          <w:spacing w:val="-14"/>
        </w:rPr>
        <w:t> </w:t>
      </w:r>
      <w:r>
        <w:rPr/>
        <w:t>maximal</w:t>
      </w:r>
      <w:r>
        <w:rPr>
          <w:spacing w:val="-13"/>
        </w:rPr>
        <w:t> </w:t>
      </w:r>
      <w:r>
        <w:rPr/>
        <w:t>de</w:t>
      </w:r>
      <w:r>
        <w:rPr>
          <w:spacing w:val="-15"/>
        </w:rPr>
        <w:t> </w:t>
      </w:r>
      <w:r>
        <w:rPr/>
        <w:t>(10)</w:t>
      </w:r>
      <w:r>
        <w:rPr>
          <w:spacing w:val="-15"/>
        </w:rPr>
        <w:t> </w:t>
      </w:r>
      <w:r>
        <w:rPr/>
        <w:t>jours</w:t>
      </w:r>
      <w:r>
        <w:rPr>
          <w:spacing w:val="-15"/>
        </w:rPr>
        <w:t> </w:t>
      </w:r>
      <w:r>
        <w:rPr/>
        <w:t>ouvrables</w:t>
      </w:r>
      <w:r>
        <w:rPr>
          <w:spacing w:val="-12"/>
        </w:rPr>
        <w:t> </w:t>
      </w:r>
      <w:r>
        <w:rPr/>
        <w:t>à</w:t>
      </w:r>
      <w:r>
        <w:rPr>
          <w:spacing w:val="-15"/>
        </w:rPr>
        <w:t> </w:t>
      </w:r>
      <w:r>
        <w:rPr/>
        <w:t>compter de la date de</w:t>
      </w:r>
      <w:r>
        <w:rPr>
          <w:spacing w:val="-4"/>
        </w:rPr>
        <w:t> </w:t>
      </w:r>
      <w:r>
        <w:rPr/>
        <w:t>notification.</w:t>
      </w:r>
    </w:p>
    <w:p>
      <w:pPr>
        <w:pStyle w:val="BodyText"/>
        <w:spacing w:before="121"/>
        <w:ind w:right="753"/>
      </w:pPr>
      <w:r>
        <w:rPr/>
        <w:t>En cas de non-signature du contrat et/ou de non-présentation, du cautionnement définitif au terme de (10) jours ouvrables, la Structure d’achat demande la mise en jeu du cautionnement provisoire du titulaire du marché.</w:t>
      </w:r>
    </w:p>
    <w:p>
      <w:pPr>
        <w:pStyle w:val="BodyText"/>
        <w:spacing w:before="119"/>
        <w:ind w:right="755"/>
      </w:pPr>
      <w:r>
        <w:rPr/>
        <w:t>L’exemplaire original du contrat reçu est classé physiquement et numériquement par</w:t>
      </w:r>
      <w:r>
        <w:rPr>
          <w:spacing w:val="-10"/>
        </w:rPr>
        <w:t> </w:t>
      </w:r>
      <w:r>
        <w:rPr/>
        <w:t>la</w:t>
      </w:r>
      <w:r>
        <w:rPr>
          <w:spacing w:val="-8"/>
        </w:rPr>
        <w:t> </w:t>
      </w:r>
      <w:r>
        <w:rPr/>
        <w:t>Structure</w:t>
      </w:r>
      <w:r>
        <w:rPr>
          <w:spacing w:val="-10"/>
        </w:rPr>
        <w:t> </w:t>
      </w:r>
      <w:r>
        <w:rPr/>
        <w:t>d’achat.</w:t>
      </w:r>
      <w:r>
        <w:rPr>
          <w:spacing w:val="-8"/>
        </w:rPr>
        <w:t> </w:t>
      </w:r>
      <w:r>
        <w:rPr/>
        <w:t>La</w:t>
      </w:r>
      <w:r>
        <w:rPr>
          <w:spacing w:val="-8"/>
        </w:rPr>
        <w:t> </w:t>
      </w:r>
      <w:r>
        <w:rPr/>
        <w:t>copie</w:t>
      </w:r>
      <w:r>
        <w:rPr>
          <w:spacing w:val="-10"/>
        </w:rPr>
        <w:t> </w:t>
      </w:r>
      <w:r>
        <w:rPr/>
        <w:t>numérisée</w:t>
      </w:r>
      <w:r>
        <w:rPr>
          <w:spacing w:val="-8"/>
        </w:rPr>
        <w:t> </w:t>
      </w:r>
      <w:r>
        <w:rPr/>
        <w:t>du</w:t>
      </w:r>
      <w:r>
        <w:rPr>
          <w:spacing w:val="-7"/>
        </w:rPr>
        <w:t> </w:t>
      </w:r>
      <w:r>
        <w:rPr/>
        <w:t>contrat</w:t>
      </w:r>
      <w:r>
        <w:rPr>
          <w:spacing w:val="-7"/>
        </w:rPr>
        <w:t> </w:t>
      </w:r>
      <w:r>
        <w:rPr/>
        <w:t>est</w:t>
      </w:r>
      <w:r>
        <w:rPr>
          <w:spacing w:val="-9"/>
        </w:rPr>
        <w:t> </w:t>
      </w:r>
      <w:r>
        <w:rPr/>
        <w:t>par</w:t>
      </w:r>
      <w:r>
        <w:rPr>
          <w:spacing w:val="-10"/>
        </w:rPr>
        <w:t> </w:t>
      </w:r>
      <w:r>
        <w:rPr/>
        <w:t>la</w:t>
      </w:r>
      <w:r>
        <w:rPr>
          <w:spacing w:val="-10"/>
        </w:rPr>
        <w:t> </w:t>
      </w:r>
      <w:r>
        <w:rPr/>
        <w:t>suite</w:t>
      </w:r>
      <w:r>
        <w:rPr>
          <w:spacing w:val="-8"/>
        </w:rPr>
        <w:t> </w:t>
      </w:r>
      <w:r>
        <w:rPr/>
        <w:t>diffusée</w:t>
      </w:r>
      <w:r>
        <w:rPr>
          <w:spacing w:val="-10"/>
        </w:rPr>
        <w:t> </w:t>
      </w:r>
      <w:r>
        <w:rPr/>
        <w:t>vers</w:t>
      </w:r>
      <w:r>
        <w:rPr>
          <w:spacing w:val="-7"/>
        </w:rPr>
        <w:t> </w:t>
      </w:r>
      <w:r>
        <w:rPr/>
        <w:t>les différentes Structures concernées (Structure demandeuse, Structure financière, Structure chargée des formalités, Structure chargée des affaires juridiques,</w:t>
      </w:r>
      <w:r>
        <w:rPr>
          <w:spacing w:val="-20"/>
        </w:rPr>
        <w:t> </w:t>
      </w:r>
      <w:r>
        <w:rPr/>
        <w:t>etc.).</w:t>
      </w:r>
    </w:p>
    <w:p>
      <w:pPr>
        <w:pStyle w:val="BodyText"/>
        <w:spacing w:before="121"/>
        <w:ind w:right="750"/>
      </w:pPr>
      <w:r>
        <w:rPr/>
        <w:t>Le cautionnement provisoire du titulaire du marché ainsi que les cautionnements provisoires</w:t>
      </w:r>
      <w:r>
        <w:rPr>
          <w:spacing w:val="-9"/>
        </w:rPr>
        <w:t> </w:t>
      </w:r>
      <w:r>
        <w:rPr/>
        <w:t>des</w:t>
      </w:r>
      <w:r>
        <w:rPr>
          <w:spacing w:val="-9"/>
        </w:rPr>
        <w:t> </w:t>
      </w:r>
      <w:r>
        <w:rPr/>
        <w:t>soumissionnaires</w:t>
      </w:r>
      <w:r>
        <w:rPr>
          <w:spacing w:val="-8"/>
        </w:rPr>
        <w:t> </w:t>
      </w:r>
      <w:r>
        <w:rPr/>
        <w:t>non</w:t>
      </w:r>
      <w:r>
        <w:rPr>
          <w:spacing w:val="-8"/>
        </w:rPr>
        <w:t> </w:t>
      </w:r>
      <w:r>
        <w:rPr/>
        <w:t>retenus</w:t>
      </w:r>
      <w:r>
        <w:rPr>
          <w:spacing w:val="-4"/>
        </w:rPr>
        <w:t> </w:t>
      </w:r>
      <w:r>
        <w:rPr/>
        <w:t>ne</w:t>
      </w:r>
      <w:r>
        <w:rPr>
          <w:spacing w:val="-10"/>
        </w:rPr>
        <w:t> </w:t>
      </w:r>
      <w:r>
        <w:rPr/>
        <w:t>leurs</w:t>
      </w:r>
      <w:r>
        <w:rPr>
          <w:spacing w:val="-10"/>
        </w:rPr>
        <w:t> </w:t>
      </w:r>
      <w:r>
        <w:rPr/>
        <w:t>sont</w:t>
      </w:r>
      <w:r>
        <w:rPr>
          <w:spacing w:val="-5"/>
        </w:rPr>
        <w:t> </w:t>
      </w:r>
      <w:r>
        <w:rPr/>
        <w:t>restitués</w:t>
      </w:r>
      <w:r>
        <w:rPr>
          <w:spacing w:val="-10"/>
        </w:rPr>
        <w:t> </w:t>
      </w:r>
      <w:r>
        <w:rPr/>
        <w:t>qu’après</w:t>
      </w:r>
      <w:r>
        <w:rPr>
          <w:spacing w:val="-10"/>
        </w:rPr>
        <w:t> </w:t>
      </w:r>
      <w:r>
        <w:rPr/>
        <w:t>signature du contrat, et ce, après avoir effectué les éventuelles prorogations</w:t>
      </w:r>
      <w:r>
        <w:rPr>
          <w:spacing w:val="-12"/>
        </w:rPr>
        <w:t> </w:t>
      </w:r>
      <w:r>
        <w:rPr/>
        <w:t>nécessaires.</w:t>
      </w:r>
    </w:p>
    <w:p>
      <w:pPr>
        <w:pStyle w:val="BodyText"/>
        <w:spacing w:before="119"/>
        <w:ind w:right="750"/>
      </w:pPr>
      <w:r>
        <w:rPr/>
        <w:t>En</w:t>
      </w:r>
      <w:r>
        <w:rPr>
          <w:spacing w:val="-13"/>
        </w:rPr>
        <w:t> </w:t>
      </w:r>
      <w:r>
        <w:rPr/>
        <w:t>cas</w:t>
      </w:r>
      <w:r>
        <w:rPr>
          <w:spacing w:val="-13"/>
        </w:rPr>
        <w:t> </w:t>
      </w:r>
      <w:r>
        <w:rPr/>
        <w:t>de</w:t>
      </w:r>
      <w:r>
        <w:rPr>
          <w:spacing w:val="-14"/>
        </w:rPr>
        <w:t> </w:t>
      </w:r>
      <w:r>
        <w:rPr/>
        <w:t>désistement</w:t>
      </w:r>
      <w:r>
        <w:rPr>
          <w:spacing w:val="-13"/>
        </w:rPr>
        <w:t> </w:t>
      </w:r>
      <w:r>
        <w:rPr/>
        <w:t>du</w:t>
      </w:r>
      <w:r>
        <w:rPr>
          <w:spacing w:val="-14"/>
        </w:rPr>
        <w:t> </w:t>
      </w:r>
      <w:r>
        <w:rPr/>
        <w:t>titulaire</w:t>
      </w:r>
      <w:r>
        <w:rPr>
          <w:spacing w:val="-12"/>
        </w:rPr>
        <w:t> </w:t>
      </w:r>
      <w:r>
        <w:rPr/>
        <w:t>du</w:t>
      </w:r>
      <w:r>
        <w:rPr>
          <w:spacing w:val="-12"/>
        </w:rPr>
        <w:t> </w:t>
      </w:r>
      <w:r>
        <w:rPr/>
        <w:t>marché</w:t>
      </w:r>
      <w:r>
        <w:rPr>
          <w:spacing w:val="-12"/>
        </w:rPr>
        <w:t> </w:t>
      </w:r>
      <w:r>
        <w:rPr/>
        <w:t>avant</w:t>
      </w:r>
      <w:r>
        <w:rPr>
          <w:spacing w:val="-8"/>
        </w:rPr>
        <w:t> </w:t>
      </w:r>
      <w:r>
        <w:rPr/>
        <w:t>la</w:t>
      </w:r>
      <w:r>
        <w:rPr>
          <w:spacing w:val="-15"/>
        </w:rPr>
        <w:t> </w:t>
      </w:r>
      <w:r>
        <w:rPr/>
        <w:t>signature</w:t>
      </w:r>
      <w:r>
        <w:rPr>
          <w:spacing w:val="-13"/>
        </w:rPr>
        <w:t> </w:t>
      </w:r>
      <w:r>
        <w:rPr/>
        <w:t>du</w:t>
      </w:r>
      <w:r>
        <w:rPr>
          <w:spacing w:val="-12"/>
        </w:rPr>
        <w:t> </w:t>
      </w:r>
      <w:r>
        <w:rPr/>
        <w:t>contrat,</w:t>
      </w:r>
      <w:r>
        <w:rPr>
          <w:spacing w:val="-13"/>
        </w:rPr>
        <w:t> </w:t>
      </w:r>
      <w:r>
        <w:rPr/>
        <w:t>le</w:t>
      </w:r>
      <w:r>
        <w:rPr>
          <w:spacing w:val="-12"/>
        </w:rPr>
        <w:t> </w:t>
      </w:r>
      <w:r>
        <w:rPr/>
        <w:t>GCT peut attribuer le marché au second soumissionnaire dans le classement de la commission d’évaluation à condition que son offre financière soit acceptable. Et si l’offre financière de ce dernier est excessive, la commission d’évaluation peut la négocier à la baisse. Le même dossier d’attribution est soumis à l’avis de la CME accompagnée d’une note explicative des circonstances de désistement du titulaire du marché</w:t>
      </w:r>
      <w:r>
        <w:rPr>
          <w:spacing w:val="-7"/>
        </w:rPr>
        <w:t> </w:t>
      </w:r>
      <w:r>
        <w:rPr/>
        <w:t>et</w:t>
      </w:r>
      <w:r>
        <w:rPr>
          <w:spacing w:val="-6"/>
        </w:rPr>
        <w:t> </w:t>
      </w:r>
      <w:r>
        <w:rPr/>
        <w:t>mentionnant</w:t>
      </w:r>
      <w:r>
        <w:rPr>
          <w:spacing w:val="-8"/>
        </w:rPr>
        <w:t> </w:t>
      </w:r>
      <w:r>
        <w:rPr/>
        <w:t>la</w:t>
      </w:r>
      <w:r>
        <w:rPr>
          <w:spacing w:val="-10"/>
        </w:rPr>
        <w:t> </w:t>
      </w:r>
      <w:r>
        <w:rPr/>
        <w:t>proposition</w:t>
      </w:r>
      <w:r>
        <w:rPr>
          <w:spacing w:val="-8"/>
        </w:rPr>
        <w:t> </w:t>
      </w:r>
      <w:r>
        <w:rPr/>
        <w:t>d’attribuer</w:t>
      </w:r>
      <w:r>
        <w:rPr>
          <w:spacing w:val="-4"/>
        </w:rPr>
        <w:t> </w:t>
      </w:r>
      <w:r>
        <w:rPr/>
        <w:t>le</w:t>
      </w:r>
      <w:r>
        <w:rPr>
          <w:spacing w:val="-10"/>
        </w:rPr>
        <w:t> </w:t>
      </w:r>
      <w:r>
        <w:rPr/>
        <w:t>marché</w:t>
      </w:r>
      <w:r>
        <w:rPr>
          <w:spacing w:val="-6"/>
        </w:rPr>
        <w:t> </w:t>
      </w:r>
      <w:r>
        <w:rPr/>
        <w:t>au</w:t>
      </w:r>
      <w:r>
        <w:rPr>
          <w:spacing w:val="-8"/>
        </w:rPr>
        <w:t> </w:t>
      </w:r>
      <w:r>
        <w:rPr/>
        <w:t>second</w:t>
      </w:r>
      <w:r>
        <w:rPr>
          <w:spacing w:val="-8"/>
        </w:rPr>
        <w:t> </w:t>
      </w:r>
      <w:r>
        <w:rPr/>
        <w:t>soumissionnaire dans le classement de la commission</w:t>
      </w:r>
      <w:r>
        <w:rPr>
          <w:spacing w:val="-5"/>
        </w:rPr>
        <w:t> </w:t>
      </w:r>
      <w:r>
        <w:rPr/>
        <w:t>d’évaluation.</w:t>
      </w:r>
    </w:p>
    <w:p>
      <w:pPr>
        <w:pStyle w:val="BodyText"/>
        <w:spacing w:before="122"/>
        <w:ind w:right="750"/>
      </w:pPr>
      <w:r>
        <w:rPr/>
        <w:t>L’exécution des contrats ne peut être engagée qu’après avoir accompli les formalités nécessaires suivantes :</w:t>
      </w:r>
    </w:p>
    <w:p>
      <w:pPr>
        <w:pStyle w:val="ListParagraph"/>
        <w:numPr>
          <w:ilvl w:val="3"/>
          <w:numId w:val="57"/>
        </w:numPr>
        <w:tabs>
          <w:tab w:pos="1000" w:val="left" w:leader="none"/>
        </w:tabs>
        <w:spacing w:line="341" w:lineRule="exact" w:before="0" w:after="0"/>
        <w:ind w:left="999" w:right="0" w:hanging="284"/>
        <w:jc w:val="left"/>
        <w:rPr>
          <w:sz w:val="28"/>
        </w:rPr>
      </w:pPr>
      <w:r>
        <w:rPr>
          <w:sz w:val="28"/>
        </w:rPr>
        <w:t>Approbation de l’attribution du Marché ;</w:t>
      </w:r>
    </w:p>
    <w:p>
      <w:pPr>
        <w:pStyle w:val="ListParagraph"/>
        <w:numPr>
          <w:ilvl w:val="3"/>
          <w:numId w:val="57"/>
        </w:numPr>
        <w:tabs>
          <w:tab w:pos="1000" w:val="left" w:leader="none"/>
        </w:tabs>
        <w:spacing w:line="342" w:lineRule="exact" w:before="0" w:after="0"/>
        <w:ind w:left="999" w:right="0" w:hanging="284"/>
        <w:jc w:val="left"/>
        <w:rPr>
          <w:sz w:val="28"/>
        </w:rPr>
      </w:pPr>
      <w:r>
        <w:rPr>
          <w:sz w:val="28"/>
        </w:rPr>
        <w:t>La Publication de l’avis d’attribution du marché</w:t>
      </w:r>
      <w:r>
        <w:rPr>
          <w:spacing w:val="-5"/>
          <w:sz w:val="28"/>
        </w:rPr>
        <w:t> </w:t>
      </w:r>
      <w:r>
        <w:rPr>
          <w:sz w:val="28"/>
        </w:rPr>
        <w:t>;</w:t>
      </w:r>
    </w:p>
    <w:p>
      <w:pPr>
        <w:pStyle w:val="ListParagraph"/>
        <w:numPr>
          <w:ilvl w:val="3"/>
          <w:numId w:val="57"/>
        </w:numPr>
        <w:tabs>
          <w:tab w:pos="1000" w:val="left" w:leader="none"/>
        </w:tabs>
        <w:spacing w:line="342" w:lineRule="exact" w:before="0" w:after="0"/>
        <w:ind w:left="999" w:right="0" w:hanging="284"/>
        <w:jc w:val="left"/>
        <w:rPr>
          <w:sz w:val="28"/>
        </w:rPr>
      </w:pPr>
      <w:r>
        <w:rPr>
          <w:sz w:val="28"/>
        </w:rPr>
        <w:t>La notification du Marché à son titulaire </w:t>
      </w:r>
      <w:r>
        <w:rPr>
          <w:position w:val="10"/>
          <w:sz w:val="18"/>
        </w:rPr>
        <w:t>(*)</w:t>
      </w:r>
      <w:r>
        <w:rPr>
          <w:spacing w:val="11"/>
          <w:position w:val="10"/>
          <w:sz w:val="18"/>
        </w:rPr>
        <w:t> </w:t>
      </w:r>
      <w:r>
        <w:rPr>
          <w:sz w:val="28"/>
        </w:rPr>
        <w:t>;</w:t>
      </w:r>
    </w:p>
    <w:p>
      <w:pPr>
        <w:pStyle w:val="ListParagraph"/>
        <w:numPr>
          <w:ilvl w:val="3"/>
          <w:numId w:val="57"/>
        </w:numPr>
        <w:tabs>
          <w:tab w:pos="1000" w:val="left" w:leader="none"/>
        </w:tabs>
        <w:spacing w:line="240" w:lineRule="auto" w:before="0" w:after="0"/>
        <w:ind w:left="999" w:right="749" w:hanging="284"/>
        <w:jc w:val="left"/>
        <w:rPr>
          <w:sz w:val="28"/>
        </w:rPr>
      </w:pPr>
      <w:r>
        <w:rPr>
          <w:sz w:val="28"/>
        </w:rPr>
        <w:t>La</w:t>
      </w:r>
      <w:r>
        <w:rPr>
          <w:spacing w:val="-15"/>
          <w:sz w:val="28"/>
        </w:rPr>
        <w:t> </w:t>
      </w:r>
      <w:r>
        <w:rPr>
          <w:sz w:val="28"/>
        </w:rPr>
        <w:t>réception</w:t>
      </w:r>
      <w:r>
        <w:rPr>
          <w:spacing w:val="-14"/>
          <w:sz w:val="28"/>
        </w:rPr>
        <w:t> </w:t>
      </w:r>
      <w:r>
        <w:rPr>
          <w:sz w:val="28"/>
        </w:rPr>
        <w:t>du</w:t>
      </w:r>
      <w:r>
        <w:rPr>
          <w:spacing w:val="-14"/>
          <w:sz w:val="28"/>
        </w:rPr>
        <w:t> </w:t>
      </w:r>
      <w:r>
        <w:rPr>
          <w:sz w:val="28"/>
        </w:rPr>
        <w:t>contrat</w:t>
      </w:r>
      <w:r>
        <w:rPr>
          <w:spacing w:val="-14"/>
          <w:sz w:val="28"/>
        </w:rPr>
        <w:t> </w:t>
      </w:r>
      <w:r>
        <w:rPr>
          <w:sz w:val="28"/>
        </w:rPr>
        <w:t>signé</w:t>
      </w:r>
      <w:r>
        <w:rPr>
          <w:spacing w:val="-15"/>
          <w:sz w:val="28"/>
        </w:rPr>
        <w:t> </w:t>
      </w:r>
      <w:r>
        <w:rPr>
          <w:sz w:val="28"/>
        </w:rPr>
        <w:t>et</w:t>
      </w:r>
      <w:r>
        <w:rPr>
          <w:spacing w:val="-14"/>
          <w:sz w:val="28"/>
        </w:rPr>
        <w:t> </w:t>
      </w:r>
      <w:r>
        <w:rPr>
          <w:sz w:val="28"/>
        </w:rPr>
        <w:t>enregistré</w:t>
      </w:r>
      <w:r>
        <w:rPr>
          <w:spacing w:val="-15"/>
          <w:sz w:val="28"/>
        </w:rPr>
        <w:t> </w:t>
      </w:r>
      <w:r>
        <w:rPr>
          <w:sz w:val="28"/>
        </w:rPr>
        <w:t>par</w:t>
      </w:r>
      <w:r>
        <w:rPr>
          <w:spacing w:val="-15"/>
          <w:sz w:val="28"/>
        </w:rPr>
        <w:t> </w:t>
      </w:r>
      <w:r>
        <w:rPr>
          <w:sz w:val="28"/>
        </w:rPr>
        <w:t>le</w:t>
      </w:r>
      <w:r>
        <w:rPr>
          <w:spacing w:val="-15"/>
          <w:sz w:val="28"/>
        </w:rPr>
        <w:t> </w:t>
      </w:r>
      <w:r>
        <w:rPr>
          <w:sz w:val="28"/>
        </w:rPr>
        <w:t>titulaire</w:t>
      </w:r>
      <w:r>
        <w:rPr>
          <w:spacing w:val="-15"/>
          <w:sz w:val="28"/>
        </w:rPr>
        <w:t> </w:t>
      </w:r>
      <w:r>
        <w:rPr>
          <w:sz w:val="28"/>
        </w:rPr>
        <w:t>du</w:t>
      </w:r>
      <w:r>
        <w:rPr>
          <w:spacing w:val="-12"/>
          <w:sz w:val="28"/>
        </w:rPr>
        <w:t> </w:t>
      </w:r>
      <w:r>
        <w:rPr>
          <w:sz w:val="28"/>
        </w:rPr>
        <w:t>marché,</w:t>
      </w:r>
      <w:r>
        <w:rPr>
          <w:spacing w:val="-9"/>
          <w:sz w:val="28"/>
        </w:rPr>
        <w:t> </w:t>
      </w:r>
      <w:r>
        <w:rPr>
          <w:sz w:val="28"/>
        </w:rPr>
        <w:t>accompagné, s’il y a lieu, du cautionnement définitif</w:t>
      </w:r>
      <w:r>
        <w:rPr>
          <w:spacing w:val="-7"/>
          <w:sz w:val="28"/>
        </w:rPr>
        <w:t> </w:t>
      </w:r>
      <w:r>
        <w:rPr>
          <w:sz w:val="28"/>
        </w:rPr>
        <w:t>;</w:t>
      </w:r>
    </w:p>
    <w:p>
      <w:pPr>
        <w:pStyle w:val="ListParagraph"/>
        <w:numPr>
          <w:ilvl w:val="3"/>
          <w:numId w:val="57"/>
        </w:numPr>
        <w:tabs>
          <w:tab w:pos="1000" w:val="left" w:leader="none"/>
        </w:tabs>
        <w:spacing w:line="240" w:lineRule="auto" w:before="0" w:after="0"/>
        <w:ind w:left="999" w:right="757" w:hanging="284"/>
        <w:jc w:val="left"/>
        <w:rPr>
          <w:sz w:val="28"/>
        </w:rPr>
      </w:pPr>
      <w:r>
        <w:rPr>
          <w:sz w:val="28"/>
        </w:rPr>
        <w:t>La Mise en vigueur du Marché (lettre de mise en vigueur envoyée par le GCT au titulaire du marché conformément aux clauses contractuelles) ;</w:t>
      </w:r>
    </w:p>
    <w:p>
      <w:pPr>
        <w:pStyle w:val="ListParagraph"/>
        <w:numPr>
          <w:ilvl w:val="3"/>
          <w:numId w:val="57"/>
        </w:numPr>
        <w:tabs>
          <w:tab w:pos="1000" w:val="left" w:leader="none"/>
        </w:tabs>
        <w:spacing w:line="339" w:lineRule="exact" w:before="0" w:after="0"/>
        <w:ind w:left="999" w:right="0" w:hanging="284"/>
        <w:jc w:val="left"/>
        <w:rPr>
          <w:sz w:val="28"/>
        </w:rPr>
      </w:pPr>
      <w:r>
        <w:rPr>
          <w:sz w:val="28"/>
        </w:rPr>
        <w:t>Envoi de l’ordre de service au titulaire du Marché (s’il y a</w:t>
      </w:r>
      <w:r>
        <w:rPr>
          <w:spacing w:val="-13"/>
          <w:sz w:val="28"/>
        </w:rPr>
        <w:t> </w:t>
      </w:r>
      <w:r>
        <w:rPr>
          <w:sz w:val="28"/>
        </w:rPr>
        <w:t>lieu).</w:t>
      </w:r>
    </w:p>
    <w:p>
      <w:pPr>
        <w:pStyle w:val="BodyText"/>
        <w:ind w:right="758" w:firstLine="0"/>
      </w:pPr>
      <w:r>
        <w:rPr>
          <w:position w:val="10"/>
          <w:sz w:val="18"/>
        </w:rPr>
        <w:t>(*)</w:t>
      </w:r>
      <w:r>
        <w:rPr>
          <w:spacing w:val="-4"/>
          <w:position w:val="10"/>
          <w:sz w:val="18"/>
        </w:rPr>
        <w:t> </w:t>
      </w:r>
      <w:r>
        <w:rPr/>
        <w:t>La</w:t>
      </w:r>
      <w:r>
        <w:rPr>
          <w:spacing w:val="-11"/>
        </w:rPr>
        <w:t> </w:t>
      </w:r>
      <w:r>
        <w:rPr/>
        <w:t>notification</w:t>
      </w:r>
      <w:r>
        <w:rPr>
          <w:spacing w:val="-10"/>
        </w:rPr>
        <w:t> </w:t>
      </w:r>
      <w:r>
        <w:rPr/>
        <w:t>du</w:t>
      </w:r>
      <w:r>
        <w:rPr>
          <w:spacing w:val="-12"/>
        </w:rPr>
        <w:t> </w:t>
      </w:r>
      <w:r>
        <w:rPr/>
        <w:t>marché</w:t>
      </w:r>
      <w:r>
        <w:rPr>
          <w:spacing w:val="-11"/>
        </w:rPr>
        <w:t> </w:t>
      </w:r>
      <w:r>
        <w:rPr/>
        <w:t>consiste</w:t>
      </w:r>
      <w:r>
        <w:rPr>
          <w:spacing w:val="-10"/>
        </w:rPr>
        <w:t> </w:t>
      </w:r>
      <w:r>
        <w:rPr/>
        <w:t>en</w:t>
      </w:r>
      <w:r>
        <w:rPr>
          <w:spacing w:val="-12"/>
        </w:rPr>
        <w:t> </w:t>
      </w:r>
      <w:r>
        <w:rPr/>
        <w:t>l'envoi</w:t>
      </w:r>
      <w:r>
        <w:rPr>
          <w:spacing w:val="-10"/>
        </w:rPr>
        <w:t> </w:t>
      </w:r>
      <w:r>
        <w:rPr/>
        <w:t>du</w:t>
      </w:r>
      <w:r>
        <w:rPr>
          <w:spacing w:val="-9"/>
        </w:rPr>
        <w:t> </w:t>
      </w:r>
      <w:r>
        <w:rPr/>
        <w:t>contrat</w:t>
      </w:r>
      <w:r>
        <w:rPr>
          <w:spacing w:val="-10"/>
        </w:rPr>
        <w:t> </w:t>
      </w:r>
      <w:r>
        <w:rPr/>
        <w:t>signé</w:t>
      </w:r>
      <w:r>
        <w:rPr>
          <w:spacing w:val="-13"/>
        </w:rPr>
        <w:t> </w:t>
      </w:r>
      <w:r>
        <w:rPr/>
        <w:t>par</w:t>
      </w:r>
      <w:r>
        <w:rPr>
          <w:spacing w:val="-10"/>
        </w:rPr>
        <w:t> </w:t>
      </w:r>
      <w:r>
        <w:rPr/>
        <w:t>le</w:t>
      </w:r>
      <w:r>
        <w:rPr>
          <w:spacing w:val="-11"/>
        </w:rPr>
        <w:t> </w:t>
      </w:r>
      <w:r>
        <w:rPr/>
        <w:t>GCT</w:t>
      </w:r>
      <w:r>
        <w:rPr>
          <w:spacing w:val="-12"/>
        </w:rPr>
        <w:t> </w:t>
      </w:r>
      <w:r>
        <w:rPr/>
        <w:t>au</w:t>
      </w:r>
      <w:r>
        <w:rPr>
          <w:spacing w:val="-9"/>
        </w:rPr>
        <w:t> </w:t>
      </w:r>
      <w:r>
        <w:rPr/>
        <w:t>titulaire du marché par tout moyen matériel ou immatériel permettant de lui conférer une date certaine.</w:t>
      </w:r>
    </w:p>
    <w:p>
      <w:pPr>
        <w:pStyle w:val="Heading2"/>
        <w:numPr>
          <w:ilvl w:val="2"/>
          <w:numId w:val="57"/>
        </w:numPr>
        <w:tabs>
          <w:tab w:pos="1307" w:val="left" w:leader="none"/>
        </w:tabs>
        <w:spacing w:line="240" w:lineRule="auto" w:before="122" w:after="0"/>
        <w:ind w:left="1306" w:right="0" w:hanging="874"/>
        <w:jc w:val="both"/>
      </w:pPr>
      <w:bookmarkStart w:name="_TOC_250080" w:id="63"/>
      <w:r>
        <w:rPr/>
        <w:t>Suivi de l’exécution des</w:t>
      </w:r>
      <w:r>
        <w:rPr>
          <w:spacing w:val="-3"/>
        </w:rPr>
        <w:t> </w:t>
      </w:r>
      <w:bookmarkEnd w:id="63"/>
      <w:r>
        <w:rPr/>
        <w:t>contrats</w:t>
      </w:r>
    </w:p>
    <w:p>
      <w:pPr>
        <w:pStyle w:val="BodyText"/>
        <w:spacing w:before="42"/>
        <w:ind w:right="756"/>
      </w:pPr>
      <w:r>
        <w:rPr/>
        <w:t>Le</w:t>
      </w:r>
      <w:r>
        <w:rPr>
          <w:spacing w:val="-20"/>
        </w:rPr>
        <w:t> </w:t>
      </w:r>
      <w:r>
        <w:rPr/>
        <w:t>suivi</w:t>
      </w:r>
      <w:r>
        <w:rPr>
          <w:spacing w:val="-19"/>
        </w:rPr>
        <w:t> </w:t>
      </w:r>
      <w:r>
        <w:rPr/>
        <w:t>des</w:t>
      </w:r>
      <w:r>
        <w:rPr>
          <w:spacing w:val="-19"/>
        </w:rPr>
        <w:t> </w:t>
      </w:r>
      <w:r>
        <w:rPr/>
        <w:t>contrats</w:t>
      </w:r>
      <w:r>
        <w:rPr>
          <w:spacing w:val="-19"/>
        </w:rPr>
        <w:t> </w:t>
      </w:r>
      <w:r>
        <w:rPr/>
        <w:t>est</w:t>
      </w:r>
      <w:r>
        <w:rPr>
          <w:spacing w:val="-19"/>
        </w:rPr>
        <w:t> </w:t>
      </w:r>
      <w:r>
        <w:rPr/>
        <w:t>assuré</w:t>
      </w:r>
      <w:r>
        <w:rPr>
          <w:spacing w:val="-18"/>
        </w:rPr>
        <w:t> </w:t>
      </w:r>
      <w:r>
        <w:rPr/>
        <w:t>par</w:t>
      </w:r>
      <w:r>
        <w:rPr>
          <w:spacing w:val="-19"/>
        </w:rPr>
        <w:t> </w:t>
      </w:r>
      <w:r>
        <w:rPr/>
        <w:t>la</w:t>
      </w:r>
      <w:r>
        <w:rPr>
          <w:spacing w:val="-20"/>
        </w:rPr>
        <w:t> </w:t>
      </w:r>
      <w:r>
        <w:rPr/>
        <w:t>Structure</w:t>
      </w:r>
      <w:r>
        <w:rPr>
          <w:spacing w:val="-19"/>
        </w:rPr>
        <w:t> </w:t>
      </w:r>
      <w:r>
        <w:rPr/>
        <w:t>d’Achat</w:t>
      </w:r>
      <w:r>
        <w:rPr>
          <w:spacing w:val="-19"/>
        </w:rPr>
        <w:t> </w:t>
      </w:r>
      <w:r>
        <w:rPr/>
        <w:t>chargée</w:t>
      </w:r>
      <w:r>
        <w:rPr>
          <w:spacing w:val="-18"/>
        </w:rPr>
        <w:t> </w:t>
      </w:r>
      <w:r>
        <w:rPr/>
        <w:t>du</w:t>
      </w:r>
      <w:r>
        <w:rPr>
          <w:spacing w:val="-19"/>
        </w:rPr>
        <w:t> </w:t>
      </w:r>
      <w:r>
        <w:rPr/>
        <w:t>dossier</w:t>
      </w:r>
      <w:r>
        <w:rPr>
          <w:spacing w:val="-19"/>
        </w:rPr>
        <w:t> </w:t>
      </w:r>
      <w:r>
        <w:rPr/>
        <w:t>d’achat en coordination avec la Structure demandeuse chargée de suivi de l’exécution (Directions d'Étude et de Réalisation, Services de production, Gestion de</w:t>
      </w:r>
      <w:r>
        <w:rPr>
          <w:spacing w:val="1"/>
        </w:rPr>
        <w:t> </w:t>
      </w:r>
      <w:r>
        <w:rPr/>
        <w:t>stock,</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5" w:firstLine="0"/>
      </w:pPr>
      <w:r>
        <w:rPr/>
        <w:t>Services de maintenance, Direction du Projet, etc.). Et ce, en appliquant rigoureusement les étapes définies dans les documents du marché et en veillant au respect</w:t>
      </w:r>
      <w:r>
        <w:rPr>
          <w:spacing w:val="-10"/>
        </w:rPr>
        <w:t> </w:t>
      </w:r>
      <w:r>
        <w:rPr/>
        <w:t>des</w:t>
      </w:r>
      <w:r>
        <w:rPr>
          <w:spacing w:val="-12"/>
        </w:rPr>
        <w:t> </w:t>
      </w:r>
      <w:r>
        <w:rPr/>
        <w:t>délais</w:t>
      </w:r>
      <w:r>
        <w:rPr>
          <w:spacing w:val="-13"/>
        </w:rPr>
        <w:t> </w:t>
      </w:r>
      <w:r>
        <w:rPr/>
        <w:t>et</w:t>
      </w:r>
      <w:r>
        <w:rPr>
          <w:spacing w:val="-12"/>
        </w:rPr>
        <w:t> </w:t>
      </w:r>
      <w:r>
        <w:rPr/>
        <w:t>de</w:t>
      </w:r>
      <w:r>
        <w:rPr>
          <w:spacing w:val="-11"/>
        </w:rPr>
        <w:t> </w:t>
      </w:r>
      <w:r>
        <w:rPr/>
        <w:t>la</w:t>
      </w:r>
      <w:r>
        <w:rPr>
          <w:spacing w:val="-11"/>
        </w:rPr>
        <w:t> </w:t>
      </w:r>
      <w:r>
        <w:rPr/>
        <w:t>conformité</w:t>
      </w:r>
      <w:r>
        <w:rPr>
          <w:spacing w:val="-11"/>
        </w:rPr>
        <w:t> </w:t>
      </w:r>
      <w:r>
        <w:rPr/>
        <w:t>des</w:t>
      </w:r>
      <w:r>
        <w:rPr>
          <w:spacing w:val="-12"/>
        </w:rPr>
        <w:t> </w:t>
      </w:r>
      <w:r>
        <w:rPr/>
        <w:t>produits</w:t>
      </w:r>
      <w:r>
        <w:rPr>
          <w:spacing w:val="-10"/>
        </w:rPr>
        <w:t> </w:t>
      </w:r>
      <w:r>
        <w:rPr/>
        <w:t>à</w:t>
      </w:r>
      <w:r>
        <w:rPr>
          <w:spacing w:val="-11"/>
        </w:rPr>
        <w:t> </w:t>
      </w:r>
      <w:r>
        <w:rPr/>
        <w:t>fournir,</w:t>
      </w:r>
      <w:r>
        <w:rPr>
          <w:spacing w:val="-13"/>
        </w:rPr>
        <w:t> </w:t>
      </w:r>
      <w:r>
        <w:rPr/>
        <w:t>des</w:t>
      </w:r>
      <w:r>
        <w:rPr>
          <w:spacing w:val="-10"/>
        </w:rPr>
        <w:t> </w:t>
      </w:r>
      <w:r>
        <w:rPr/>
        <w:t>travaux</w:t>
      </w:r>
      <w:r>
        <w:rPr>
          <w:spacing w:val="-12"/>
        </w:rPr>
        <w:t> </w:t>
      </w:r>
      <w:r>
        <w:rPr/>
        <w:t>à</w:t>
      </w:r>
      <w:r>
        <w:rPr>
          <w:spacing w:val="-11"/>
        </w:rPr>
        <w:t> </w:t>
      </w:r>
      <w:r>
        <w:rPr/>
        <w:t>exécuter,</w:t>
      </w:r>
      <w:r>
        <w:rPr>
          <w:spacing w:val="-10"/>
        </w:rPr>
        <w:t> </w:t>
      </w:r>
      <w:r>
        <w:rPr/>
        <w:t>des services à rendre ou des études à</w:t>
      </w:r>
      <w:r>
        <w:rPr>
          <w:spacing w:val="-6"/>
        </w:rPr>
        <w:t> </w:t>
      </w:r>
      <w:r>
        <w:rPr/>
        <w:t>faire.</w:t>
      </w:r>
    </w:p>
    <w:p>
      <w:pPr>
        <w:pStyle w:val="BodyText"/>
        <w:spacing w:before="1"/>
        <w:ind w:right="757"/>
      </w:pPr>
      <w:r>
        <w:rPr/>
        <w:t>La</w:t>
      </w:r>
      <w:r>
        <w:rPr>
          <w:spacing w:val="-13"/>
        </w:rPr>
        <w:t> </w:t>
      </w:r>
      <w:r>
        <w:rPr/>
        <w:t>Structure</w:t>
      </w:r>
      <w:r>
        <w:rPr>
          <w:spacing w:val="-12"/>
        </w:rPr>
        <w:t> </w:t>
      </w:r>
      <w:r>
        <w:rPr/>
        <w:t>chargée</w:t>
      </w:r>
      <w:r>
        <w:rPr>
          <w:spacing w:val="-16"/>
        </w:rPr>
        <w:t> </w:t>
      </w:r>
      <w:r>
        <w:rPr/>
        <w:t>de</w:t>
      </w:r>
      <w:r>
        <w:rPr>
          <w:spacing w:val="-12"/>
        </w:rPr>
        <w:t> </w:t>
      </w:r>
      <w:r>
        <w:rPr/>
        <w:t>suivi</w:t>
      </w:r>
      <w:r>
        <w:rPr>
          <w:spacing w:val="-13"/>
        </w:rPr>
        <w:t> </w:t>
      </w:r>
      <w:r>
        <w:rPr/>
        <w:t>de</w:t>
      </w:r>
      <w:r>
        <w:rPr>
          <w:spacing w:val="-12"/>
        </w:rPr>
        <w:t> </w:t>
      </w:r>
      <w:r>
        <w:rPr/>
        <w:t>l’exécution</w:t>
      </w:r>
      <w:r>
        <w:rPr>
          <w:spacing w:val="-13"/>
        </w:rPr>
        <w:t> </w:t>
      </w:r>
      <w:r>
        <w:rPr/>
        <w:t>doit</w:t>
      </w:r>
      <w:r>
        <w:rPr>
          <w:spacing w:val="-12"/>
        </w:rPr>
        <w:t> </w:t>
      </w:r>
      <w:r>
        <w:rPr/>
        <w:t>suivre</w:t>
      </w:r>
      <w:r>
        <w:rPr>
          <w:spacing w:val="-13"/>
        </w:rPr>
        <w:t> </w:t>
      </w:r>
      <w:r>
        <w:rPr/>
        <w:t>rigoureusement</w:t>
      </w:r>
      <w:r>
        <w:rPr>
          <w:spacing w:val="-12"/>
        </w:rPr>
        <w:t> </w:t>
      </w:r>
      <w:r>
        <w:rPr/>
        <w:t>les</w:t>
      </w:r>
      <w:r>
        <w:rPr>
          <w:spacing w:val="-11"/>
        </w:rPr>
        <w:t> </w:t>
      </w:r>
      <w:r>
        <w:rPr/>
        <w:t>étapes définies dans le contrat et veiller au respect des délais et de la conformité des produits à fournir, des services à rendre ou des études à</w:t>
      </w:r>
      <w:r>
        <w:rPr>
          <w:spacing w:val="-4"/>
        </w:rPr>
        <w:t> </w:t>
      </w:r>
      <w:r>
        <w:rPr/>
        <w:t>faire.</w:t>
      </w:r>
    </w:p>
    <w:p>
      <w:pPr>
        <w:pStyle w:val="BodyText"/>
        <w:ind w:right="750"/>
      </w:pPr>
      <w:r>
        <w:rPr/>
        <w:t>Suite à l’entrée en vigueur du contrat, la Structure d’achat concernée informe la Structure</w:t>
      </w:r>
      <w:r>
        <w:rPr>
          <w:spacing w:val="-16"/>
        </w:rPr>
        <w:t> </w:t>
      </w:r>
      <w:r>
        <w:rPr/>
        <w:t>chargée</w:t>
      </w:r>
      <w:r>
        <w:rPr>
          <w:spacing w:val="-16"/>
        </w:rPr>
        <w:t> </w:t>
      </w:r>
      <w:r>
        <w:rPr/>
        <w:t>de</w:t>
      </w:r>
      <w:r>
        <w:rPr>
          <w:spacing w:val="-16"/>
        </w:rPr>
        <w:t> </w:t>
      </w:r>
      <w:r>
        <w:rPr/>
        <w:t>suivi</w:t>
      </w:r>
      <w:r>
        <w:rPr>
          <w:spacing w:val="-13"/>
        </w:rPr>
        <w:t> </w:t>
      </w:r>
      <w:r>
        <w:rPr/>
        <w:t>de</w:t>
      </w:r>
      <w:r>
        <w:rPr>
          <w:spacing w:val="-13"/>
        </w:rPr>
        <w:t> </w:t>
      </w:r>
      <w:r>
        <w:rPr/>
        <w:t>l’exécution</w:t>
      </w:r>
      <w:r>
        <w:rPr>
          <w:spacing w:val="-13"/>
        </w:rPr>
        <w:t> </w:t>
      </w:r>
      <w:r>
        <w:rPr/>
        <w:t>et</w:t>
      </w:r>
      <w:r>
        <w:rPr>
          <w:spacing w:val="-12"/>
        </w:rPr>
        <w:t> </w:t>
      </w:r>
      <w:r>
        <w:rPr/>
        <w:t>lui</w:t>
      </w:r>
      <w:r>
        <w:rPr>
          <w:spacing w:val="-12"/>
        </w:rPr>
        <w:t> </w:t>
      </w:r>
      <w:r>
        <w:rPr/>
        <w:t>communique</w:t>
      </w:r>
      <w:r>
        <w:rPr>
          <w:spacing w:val="-15"/>
        </w:rPr>
        <w:t> </w:t>
      </w:r>
      <w:r>
        <w:rPr/>
        <w:t>une</w:t>
      </w:r>
      <w:r>
        <w:rPr>
          <w:spacing w:val="-16"/>
        </w:rPr>
        <w:t> </w:t>
      </w:r>
      <w:r>
        <w:rPr/>
        <w:t>copie</w:t>
      </w:r>
      <w:r>
        <w:rPr>
          <w:spacing w:val="-13"/>
        </w:rPr>
        <w:t> </w:t>
      </w:r>
      <w:r>
        <w:rPr/>
        <w:t>numérisée</w:t>
      </w:r>
      <w:r>
        <w:rPr>
          <w:spacing w:val="-15"/>
        </w:rPr>
        <w:t> </w:t>
      </w:r>
      <w:r>
        <w:rPr/>
        <w:t>dudit contrat.</w:t>
      </w:r>
    </w:p>
    <w:p>
      <w:pPr>
        <w:pStyle w:val="BodyText"/>
        <w:spacing w:before="1"/>
        <w:ind w:right="756"/>
      </w:pPr>
      <w:r>
        <w:rPr/>
        <w:t>Pour</w:t>
      </w:r>
      <w:r>
        <w:rPr>
          <w:spacing w:val="-7"/>
        </w:rPr>
        <w:t> </w:t>
      </w:r>
      <w:r>
        <w:rPr/>
        <w:t>les</w:t>
      </w:r>
      <w:r>
        <w:rPr>
          <w:spacing w:val="-6"/>
        </w:rPr>
        <w:t> </w:t>
      </w:r>
      <w:r>
        <w:rPr/>
        <w:t>contrats</w:t>
      </w:r>
      <w:r>
        <w:rPr>
          <w:spacing w:val="-6"/>
        </w:rPr>
        <w:t> </w:t>
      </w:r>
      <w:r>
        <w:rPr/>
        <w:t>qui</w:t>
      </w:r>
      <w:r>
        <w:rPr>
          <w:spacing w:val="-9"/>
        </w:rPr>
        <w:t> </w:t>
      </w:r>
      <w:r>
        <w:rPr/>
        <w:t>prévoient</w:t>
      </w:r>
      <w:r>
        <w:rPr>
          <w:spacing w:val="-8"/>
        </w:rPr>
        <w:t> </w:t>
      </w:r>
      <w:r>
        <w:rPr/>
        <w:t>l’envoi</w:t>
      </w:r>
      <w:r>
        <w:rPr>
          <w:spacing w:val="-8"/>
        </w:rPr>
        <w:t> </w:t>
      </w:r>
      <w:r>
        <w:rPr/>
        <w:t>d’ordres</w:t>
      </w:r>
      <w:r>
        <w:rPr>
          <w:spacing w:val="-6"/>
        </w:rPr>
        <w:t> </w:t>
      </w:r>
      <w:r>
        <w:rPr/>
        <w:t>de</w:t>
      </w:r>
      <w:r>
        <w:rPr>
          <w:spacing w:val="-7"/>
        </w:rPr>
        <w:t> </w:t>
      </w:r>
      <w:r>
        <w:rPr/>
        <w:t>services</w:t>
      </w:r>
      <w:r>
        <w:rPr>
          <w:spacing w:val="-8"/>
        </w:rPr>
        <w:t> </w:t>
      </w:r>
      <w:r>
        <w:rPr/>
        <w:t>de</w:t>
      </w:r>
      <w:r>
        <w:rPr>
          <w:spacing w:val="-6"/>
        </w:rPr>
        <w:t> </w:t>
      </w:r>
      <w:r>
        <w:rPr/>
        <w:t>commencement</w:t>
      </w:r>
      <w:r>
        <w:rPr>
          <w:spacing w:val="-5"/>
        </w:rPr>
        <w:t> </w:t>
      </w:r>
      <w:r>
        <w:rPr/>
        <w:t>de l’exécution, la Structure chargée de suivi de l’exécution collabore avec la Structure d’achat</w:t>
      </w:r>
      <w:r>
        <w:rPr>
          <w:spacing w:val="-17"/>
        </w:rPr>
        <w:t> </w:t>
      </w:r>
      <w:r>
        <w:rPr/>
        <w:t>concernée</w:t>
      </w:r>
      <w:r>
        <w:rPr>
          <w:spacing w:val="-17"/>
        </w:rPr>
        <w:t> </w:t>
      </w:r>
      <w:r>
        <w:rPr/>
        <w:t>en</w:t>
      </w:r>
      <w:r>
        <w:rPr>
          <w:spacing w:val="-19"/>
        </w:rPr>
        <w:t> </w:t>
      </w:r>
      <w:r>
        <w:rPr/>
        <w:t>vue</w:t>
      </w:r>
      <w:r>
        <w:rPr>
          <w:spacing w:val="-17"/>
        </w:rPr>
        <w:t> </w:t>
      </w:r>
      <w:r>
        <w:rPr/>
        <w:t>de</w:t>
      </w:r>
      <w:r>
        <w:rPr>
          <w:spacing w:val="-20"/>
        </w:rPr>
        <w:t> </w:t>
      </w:r>
      <w:r>
        <w:rPr/>
        <w:t>préparer</w:t>
      </w:r>
      <w:r>
        <w:rPr>
          <w:spacing w:val="-17"/>
        </w:rPr>
        <w:t> </w:t>
      </w:r>
      <w:r>
        <w:rPr/>
        <w:t>et</w:t>
      </w:r>
      <w:r>
        <w:rPr>
          <w:spacing w:val="-16"/>
        </w:rPr>
        <w:t> </w:t>
      </w:r>
      <w:r>
        <w:rPr/>
        <w:t>d’envoyer</w:t>
      </w:r>
      <w:r>
        <w:rPr>
          <w:spacing w:val="-17"/>
        </w:rPr>
        <w:t> </w:t>
      </w:r>
      <w:r>
        <w:rPr/>
        <w:t>les</w:t>
      </w:r>
      <w:r>
        <w:rPr>
          <w:spacing w:val="-19"/>
        </w:rPr>
        <w:t> </w:t>
      </w:r>
      <w:r>
        <w:rPr/>
        <w:t>ordres</w:t>
      </w:r>
      <w:r>
        <w:rPr>
          <w:spacing w:val="-19"/>
        </w:rPr>
        <w:t> </w:t>
      </w:r>
      <w:r>
        <w:rPr/>
        <w:t>de</w:t>
      </w:r>
      <w:r>
        <w:rPr>
          <w:spacing w:val="-17"/>
        </w:rPr>
        <w:t> </w:t>
      </w:r>
      <w:r>
        <w:rPr/>
        <w:t>services</w:t>
      </w:r>
      <w:r>
        <w:rPr>
          <w:spacing w:val="-16"/>
        </w:rPr>
        <w:t> </w:t>
      </w:r>
      <w:r>
        <w:rPr/>
        <w:t>conformément aux clauses</w:t>
      </w:r>
      <w:r>
        <w:rPr>
          <w:spacing w:val="1"/>
        </w:rPr>
        <w:t> </w:t>
      </w:r>
      <w:r>
        <w:rPr/>
        <w:t>contractuelles.</w:t>
      </w:r>
    </w:p>
    <w:p>
      <w:pPr>
        <w:pStyle w:val="BodyText"/>
        <w:ind w:right="750"/>
      </w:pPr>
      <w:r>
        <w:rPr/>
        <w:t>La Structure chargée de suivi de l’exécution doit coordonner avec les Services concernés en vue de fournir les autorisations nécessaires d’accès aux sites du GCT et contrôler l’accès en entrée et en sortie des intervenants, des produits et de matériels.</w:t>
      </w:r>
    </w:p>
    <w:p>
      <w:pPr>
        <w:pStyle w:val="BodyText"/>
        <w:ind w:right="748"/>
      </w:pPr>
      <w:r>
        <w:rPr/>
        <w:t>Tout</w:t>
      </w:r>
      <w:r>
        <w:rPr>
          <w:spacing w:val="-7"/>
        </w:rPr>
        <w:t> </w:t>
      </w:r>
      <w:r>
        <w:rPr/>
        <w:t>litige</w:t>
      </w:r>
      <w:r>
        <w:rPr>
          <w:spacing w:val="-8"/>
        </w:rPr>
        <w:t> </w:t>
      </w:r>
      <w:r>
        <w:rPr/>
        <w:t>constaté</w:t>
      </w:r>
      <w:r>
        <w:rPr>
          <w:spacing w:val="-7"/>
        </w:rPr>
        <w:t> </w:t>
      </w:r>
      <w:r>
        <w:rPr/>
        <w:t>au</w:t>
      </w:r>
      <w:r>
        <w:rPr>
          <w:spacing w:val="-7"/>
        </w:rPr>
        <w:t> </w:t>
      </w:r>
      <w:r>
        <w:rPr/>
        <w:t>cours</w:t>
      </w:r>
      <w:r>
        <w:rPr>
          <w:spacing w:val="-7"/>
        </w:rPr>
        <w:t> </w:t>
      </w:r>
      <w:r>
        <w:rPr/>
        <w:t>de</w:t>
      </w:r>
      <w:r>
        <w:rPr>
          <w:spacing w:val="-7"/>
        </w:rPr>
        <w:t> </w:t>
      </w:r>
      <w:r>
        <w:rPr/>
        <w:t>l’exécution</w:t>
      </w:r>
      <w:r>
        <w:rPr>
          <w:spacing w:val="-7"/>
        </w:rPr>
        <w:t> </w:t>
      </w:r>
      <w:r>
        <w:rPr/>
        <w:t>du</w:t>
      </w:r>
      <w:r>
        <w:rPr>
          <w:spacing w:val="-6"/>
        </w:rPr>
        <w:t> </w:t>
      </w:r>
      <w:r>
        <w:rPr/>
        <w:t>contrat</w:t>
      </w:r>
      <w:r>
        <w:rPr>
          <w:spacing w:val="-6"/>
        </w:rPr>
        <w:t> </w:t>
      </w:r>
      <w:r>
        <w:rPr/>
        <w:t>et</w:t>
      </w:r>
      <w:r>
        <w:rPr>
          <w:spacing w:val="-7"/>
        </w:rPr>
        <w:t> </w:t>
      </w:r>
      <w:r>
        <w:rPr/>
        <w:t>pouvant</w:t>
      </w:r>
      <w:r>
        <w:rPr>
          <w:spacing w:val="-7"/>
        </w:rPr>
        <w:t> </w:t>
      </w:r>
      <w:r>
        <w:rPr/>
        <w:t>altérer</w:t>
      </w:r>
      <w:r>
        <w:rPr>
          <w:spacing w:val="-6"/>
        </w:rPr>
        <w:t> </w:t>
      </w:r>
      <w:r>
        <w:rPr/>
        <w:t>sa</w:t>
      </w:r>
      <w:r>
        <w:rPr>
          <w:spacing w:val="-8"/>
        </w:rPr>
        <w:t> </w:t>
      </w:r>
      <w:r>
        <w:rPr/>
        <w:t>bonne exécution doit être remonté à la Structure chargée des affaires juridiques pour trouver les solutions adéquates dans les délais</w:t>
      </w:r>
      <w:r>
        <w:rPr>
          <w:spacing w:val="1"/>
        </w:rPr>
        <w:t> </w:t>
      </w:r>
      <w:r>
        <w:rPr/>
        <w:t>opportuns.</w:t>
      </w:r>
    </w:p>
    <w:p>
      <w:pPr>
        <w:pStyle w:val="BodyText"/>
        <w:ind w:right="762"/>
      </w:pPr>
      <w:r>
        <w:rPr/>
        <w:t>Les mesures exceptionnelles de révision des prix des marchés de travaux cités dans le décret 764-2022 du 19 Octobre 2022 sont applicables.</w:t>
      </w:r>
    </w:p>
    <w:p>
      <w:pPr>
        <w:pStyle w:val="Heading2"/>
        <w:numPr>
          <w:ilvl w:val="2"/>
          <w:numId w:val="57"/>
        </w:numPr>
        <w:tabs>
          <w:tab w:pos="1307" w:val="left" w:leader="none"/>
        </w:tabs>
        <w:spacing w:line="240" w:lineRule="auto" w:before="125" w:after="0"/>
        <w:ind w:left="1306" w:right="0" w:hanging="874"/>
        <w:jc w:val="both"/>
      </w:pPr>
      <w:bookmarkStart w:name="_TOC_250079" w:id="64"/>
      <w:r>
        <w:rPr/>
        <w:t>Réception des prestations objets du</w:t>
      </w:r>
      <w:r>
        <w:rPr>
          <w:spacing w:val="-7"/>
        </w:rPr>
        <w:t> </w:t>
      </w:r>
      <w:bookmarkEnd w:id="64"/>
      <w:r>
        <w:rPr/>
        <w:t>marché</w:t>
      </w:r>
    </w:p>
    <w:p>
      <w:pPr>
        <w:pStyle w:val="BodyText"/>
        <w:spacing w:before="43"/>
        <w:ind w:right="749"/>
      </w:pPr>
      <w:r>
        <w:rPr/>
        <w:t>Les</w:t>
      </w:r>
      <w:r>
        <w:rPr>
          <w:spacing w:val="-13"/>
        </w:rPr>
        <w:t> </w:t>
      </w:r>
      <w:r>
        <w:rPr/>
        <w:t>services</w:t>
      </w:r>
      <w:r>
        <w:rPr>
          <w:spacing w:val="-12"/>
        </w:rPr>
        <w:t> </w:t>
      </w:r>
      <w:r>
        <w:rPr/>
        <w:t>concernés</w:t>
      </w:r>
      <w:r>
        <w:rPr>
          <w:spacing w:val="-13"/>
        </w:rPr>
        <w:t> </w:t>
      </w:r>
      <w:r>
        <w:rPr/>
        <w:t>doivent</w:t>
      </w:r>
      <w:r>
        <w:rPr>
          <w:spacing w:val="-14"/>
        </w:rPr>
        <w:t> </w:t>
      </w:r>
      <w:r>
        <w:rPr/>
        <w:t>procéder</w:t>
      </w:r>
      <w:r>
        <w:rPr>
          <w:spacing w:val="-13"/>
        </w:rPr>
        <w:t> </w:t>
      </w:r>
      <w:r>
        <w:rPr/>
        <w:t>aux</w:t>
      </w:r>
      <w:r>
        <w:rPr>
          <w:spacing w:val="-13"/>
        </w:rPr>
        <w:t> </w:t>
      </w:r>
      <w:r>
        <w:rPr/>
        <w:t>opérations</w:t>
      </w:r>
      <w:r>
        <w:rPr>
          <w:spacing w:val="-14"/>
        </w:rPr>
        <w:t> </w:t>
      </w:r>
      <w:r>
        <w:rPr/>
        <w:t>de</w:t>
      </w:r>
      <w:r>
        <w:rPr>
          <w:spacing w:val="-6"/>
        </w:rPr>
        <w:t> </w:t>
      </w:r>
      <w:r>
        <w:rPr/>
        <w:t>réception</w:t>
      </w:r>
      <w:r>
        <w:rPr>
          <w:spacing w:val="-14"/>
        </w:rPr>
        <w:t> </w:t>
      </w:r>
      <w:r>
        <w:rPr/>
        <w:t>provisoire</w:t>
      </w:r>
      <w:r>
        <w:rPr>
          <w:spacing w:val="-11"/>
        </w:rPr>
        <w:t> </w:t>
      </w:r>
      <w:r>
        <w:rPr/>
        <w:t>et Réception Définitive dans les délais contractuels et avec la rigueur</w:t>
      </w:r>
      <w:r>
        <w:rPr>
          <w:spacing w:val="-18"/>
        </w:rPr>
        <w:t> </w:t>
      </w:r>
      <w:r>
        <w:rPr/>
        <w:t>requise.</w:t>
      </w:r>
    </w:p>
    <w:p>
      <w:pPr>
        <w:pStyle w:val="BodyText"/>
        <w:ind w:right="750"/>
      </w:pPr>
      <w:r>
        <w:rPr/>
        <w:t>Les réceptions (réceptions intermédiaires, réception provisoire, livraison sur site, réception de fin de montage, réception définitive, etc.) doivent être prononcées conformément aux clauses contractuelles et doivent faire l’objet :</w:t>
      </w:r>
    </w:p>
    <w:p>
      <w:pPr>
        <w:pStyle w:val="ListParagraph"/>
        <w:numPr>
          <w:ilvl w:val="3"/>
          <w:numId w:val="57"/>
        </w:numPr>
        <w:tabs>
          <w:tab w:pos="861" w:val="left" w:leader="none"/>
        </w:tabs>
        <w:spacing w:line="240" w:lineRule="auto" w:before="0" w:after="0"/>
        <w:ind w:left="860" w:right="749" w:hanging="284"/>
        <w:jc w:val="both"/>
        <w:rPr>
          <w:sz w:val="28"/>
        </w:rPr>
      </w:pPr>
      <w:r>
        <w:rPr>
          <w:sz w:val="28"/>
        </w:rPr>
        <w:t>D’un Procès-Verbal "PV" de réception signé par les deux parties quand il s’agit d’un marché de travaux ou quand il s’agit d’achat d’équipements ou produits nécessitant des essais ou tests</w:t>
      </w:r>
      <w:r>
        <w:rPr>
          <w:spacing w:val="-6"/>
          <w:sz w:val="28"/>
        </w:rPr>
        <w:t> </w:t>
      </w:r>
      <w:r>
        <w:rPr>
          <w:sz w:val="28"/>
        </w:rPr>
        <w:t>contradictoires.</w:t>
      </w:r>
    </w:p>
    <w:p>
      <w:pPr>
        <w:pStyle w:val="ListParagraph"/>
        <w:numPr>
          <w:ilvl w:val="3"/>
          <w:numId w:val="57"/>
        </w:numPr>
        <w:tabs>
          <w:tab w:pos="861" w:val="left" w:leader="none"/>
        </w:tabs>
        <w:spacing w:line="240" w:lineRule="auto" w:before="0" w:after="0"/>
        <w:ind w:left="860" w:right="750" w:hanging="284"/>
        <w:jc w:val="both"/>
        <w:rPr>
          <w:sz w:val="28"/>
        </w:rPr>
      </w:pPr>
      <w:r>
        <w:rPr>
          <w:sz w:val="28"/>
        </w:rPr>
        <w:t>D’un Certificat ou Attestation de réception signé par le GCT quand il s’agit de fourniture de produits ne nécessitant pas de contrôles</w:t>
      </w:r>
      <w:r>
        <w:rPr>
          <w:spacing w:val="-12"/>
          <w:sz w:val="28"/>
        </w:rPr>
        <w:t> </w:t>
      </w:r>
      <w:r>
        <w:rPr>
          <w:sz w:val="28"/>
        </w:rPr>
        <w:t>contradictoires</w:t>
      </w:r>
    </w:p>
    <w:p>
      <w:pPr>
        <w:pStyle w:val="BodyText"/>
        <w:spacing w:before="238"/>
        <w:ind w:right="757"/>
      </w:pPr>
      <w:r>
        <w:rPr/>
        <w:t>Pour</w:t>
      </w:r>
      <w:r>
        <w:rPr>
          <w:spacing w:val="-16"/>
        </w:rPr>
        <w:t> </w:t>
      </w:r>
      <w:r>
        <w:rPr/>
        <w:t>les</w:t>
      </w:r>
      <w:r>
        <w:rPr>
          <w:spacing w:val="-14"/>
        </w:rPr>
        <w:t> </w:t>
      </w:r>
      <w:r>
        <w:rPr/>
        <w:t>marchés</w:t>
      </w:r>
      <w:r>
        <w:rPr>
          <w:spacing w:val="-16"/>
        </w:rPr>
        <w:t> </w:t>
      </w:r>
      <w:r>
        <w:rPr/>
        <w:t>de</w:t>
      </w:r>
      <w:r>
        <w:rPr>
          <w:spacing w:val="-17"/>
        </w:rPr>
        <w:t> </w:t>
      </w:r>
      <w:r>
        <w:rPr/>
        <w:t>travaux,</w:t>
      </w:r>
      <w:r>
        <w:rPr>
          <w:spacing w:val="-18"/>
        </w:rPr>
        <w:t> </w:t>
      </w:r>
      <w:r>
        <w:rPr/>
        <w:t>le</w:t>
      </w:r>
      <w:r>
        <w:rPr>
          <w:spacing w:val="-15"/>
        </w:rPr>
        <w:t> </w:t>
      </w:r>
      <w:r>
        <w:rPr/>
        <w:t>P.V</w:t>
      </w:r>
      <w:r>
        <w:rPr>
          <w:spacing w:val="-17"/>
        </w:rPr>
        <w:t> </w:t>
      </w:r>
      <w:r>
        <w:rPr/>
        <w:t>de</w:t>
      </w:r>
      <w:r>
        <w:rPr>
          <w:spacing w:val="-16"/>
        </w:rPr>
        <w:t> </w:t>
      </w:r>
      <w:r>
        <w:rPr/>
        <w:t>Réception</w:t>
      </w:r>
      <w:r>
        <w:rPr>
          <w:spacing w:val="-14"/>
        </w:rPr>
        <w:t> </w:t>
      </w:r>
      <w:r>
        <w:rPr/>
        <w:t>Provisoire</w:t>
      </w:r>
      <w:r>
        <w:rPr>
          <w:spacing w:val="-15"/>
        </w:rPr>
        <w:t> </w:t>
      </w:r>
      <w:r>
        <w:rPr/>
        <w:t>doit</w:t>
      </w:r>
      <w:r>
        <w:rPr>
          <w:spacing w:val="-16"/>
        </w:rPr>
        <w:t> </w:t>
      </w:r>
      <w:r>
        <w:rPr/>
        <w:t>être</w:t>
      </w:r>
      <w:r>
        <w:rPr>
          <w:spacing w:val="-15"/>
        </w:rPr>
        <w:t> </w:t>
      </w:r>
      <w:r>
        <w:rPr/>
        <w:t>accompagné d’une note de calcul des délais de réalisation et du métré de réalisation, signés contradictoirement par les deux parties avec les justificatifs des retards</w:t>
      </w:r>
      <w:r>
        <w:rPr>
          <w:spacing w:val="-28"/>
        </w:rPr>
        <w:t> </w:t>
      </w:r>
      <w:r>
        <w:rPr/>
        <w:t>éventuels.</w:t>
      </w:r>
    </w:p>
    <w:p>
      <w:pPr>
        <w:pStyle w:val="BodyText"/>
        <w:spacing w:before="2"/>
        <w:ind w:right="750"/>
      </w:pPr>
      <w:r>
        <w:rPr/>
        <w:t>Les</w:t>
      </w:r>
      <w:r>
        <w:rPr>
          <w:spacing w:val="-17"/>
        </w:rPr>
        <w:t> </w:t>
      </w:r>
      <w:r>
        <w:rPr/>
        <w:t>documents</w:t>
      </w:r>
      <w:r>
        <w:rPr>
          <w:spacing w:val="-17"/>
        </w:rPr>
        <w:t> </w:t>
      </w:r>
      <w:r>
        <w:rPr/>
        <w:t>attestant</w:t>
      </w:r>
      <w:r>
        <w:rPr>
          <w:spacing w:val="-16"/>
        </w:rPr>
        <w:t> </w:t>
      </w:r>
      <w:r>
        <w:rPr/>
        <w:t>les</w:t>
      </w:r>
      <w:r>
        <w:rPr>
          <w:spacing w:val="-17"/>
        </w:rPr>
        <w:t> </w:t>
      </w:r>
      <w:r>
        <w:rPr/>
        <w:t>réceptions</w:t>
      </w:r>
      <w:r>
        <w:rPr>
          <w:spacing w:val="-16"/>
        </w:rPr>
        <w:t> </w:t>
      </w:r>
      <w:r>
        <w:rPr/>
        <w:t>et</w:t>
      </w:r>
      <w:r>
        <w:rPr>
          <w:spacing w:val="-17"/>
        </w:rPr>
        <w:t> </w:t>
      </w:r>
      <w:r>
        <w:rPr/>
        <w:t>l’avancement</w:t>
      </w:r>
      <w:r>
        <w:rPr>
          <w:spacing w:val="-17"/>
        </w:rPr>
        <w:t> </w:t>
      </w:r>
      <w:r>
        <w:rPr/>
        <w:t>de</w:t>
      </w:r>
      <w:r>
        <w:rPr>
          <w:spacing w:val="-17"/>
        </w:rPr>
        <w:t> </w:t>
      </w:r>
      <w:r>
        <w:rPr/>
        <w:t>l’exécution</w:t>
      </w:r>
      <w:r>
        <w:rPr>
          <w:spacing w:val="-20"/>
        </w:rPr>
        <w:t> </w:t>
      </w:r>
      <w:r>
        <w:rPr/>
        <w:t>doivent</w:t>
      </w:r>
      <w:r>
        <w:rPr>
          <w:spacing w:val="-16"/>
        </w:rPr>
        <w:t> </w:t>
      </w:r>
      <w:r>
        <w:rPr/>
        <w:t>être communiqués à la Structure d’achat concernée pour décompte de délai. Le règlement des factures se fait par les structures financières conformément aux clauses contractuelles tenant compte des réceptions effectuées et du décompte de</w:t>
      </w:r>
      <w:r>
        <w:rPr>
          <w:spacing w:val="-17"/>
        </w:rPr>
        <w:t> </w:t>
      </w:r>
      <w:r>
        <w:rPr/>
        <w:t>délai.</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57"/>
        </w:numPr>
        <w:tabs>
          <w:tab w:pos="1307" w:val="left" w:leader="none"/>
        </w:tabs>
        <w:spacing w:line="240" w:lineRule="auto" w:before="89" w:after="0"/>
        <w:ind w:left="1306" w:right="0" w:hanging="874"/>
        <w:jc w:val="both"/>
      </w:pPr>
      <w:bookmarkStart w:name="_TOC_250078" w:id="65"/>
      <w:r>
        <w:rPr/>
        <w:t>Règlement des</w:t>
      </w:r>
      <w:r>
        <w:rPr>
          <w:spacing w:val="1"/>
        </w:rPr>
        <w:t> </w:t>
      </w:r>
      <w:bookmarkEnd w:id="65"/>
      <w:r>
        <w:rPr/>
        <w:t>marchés</w:t>
      </w:r>
    </w:p>
    <w:p>
      <w:pPr>
        <w:pStyle w:val="BodyText"/>
        <w:spacing w:line="242" w:lineRule="auto" w:before="43"/>
        <w:ind w:right="758"/>
      </w:pPr>
      <w:r>
        <w:rPr/>
        <w:t>Les marchés donnent lieu à des versements soit à titre d'avances ou d'acomptes, soit à titre de règlement partiel, définitif ou de solde.</w:t>
      </w:r>
    </w:p>
    <w:p>
      <w:pPr>
        <w:pStyle w:val="BodyText"/>
        <w:ind w:right="751"/>
      </w:pPr>
      <w:r>
        <w:rPr/>
        <w:t>Les</w:t>
      </w:r>
      <w:r>
        <w:rPr>
          <w:spacing w:val="-7"/>
        </w:rPr>
        <w:t> </w:t>
      </w:r>
      <w:r>
        <w:rPr/>
        <w:t>cahiers</w:t>
      </w:r>
      <w:r>
        <w:rPr>
          <w:spacing w:val="-9"/>
        </w:rPr>
        <w:t> </w:t>
      </w:r>
      <w:r>
        <w:rPr/>
        <w:t>des</w:t>
      </w:r>
      <w:r>
        <w:rPr>
          <w:spacing w:val="-9"/>
        </w:rPr>
        <w:t> </w:t>
      </w:r>
      <w:r>
        <w:rPr/>
        <w:t>charges</w:t>
      </w:r>
      <w:r>
        <w:rPr>
          <w:spacing w:val="-10"/>
        </w:rPr>
        <w:t> </w:t>
      </w:r>
      <w:r>
        <w:rPr/>
        <w:t>précisent,</w:t>
      </w:r>
      <w:r>
        <w:rPr>
          <w:spacing w:val="-11"/>
        </w:rPr>
        <w:t> </w:t>
      </w:r>
      <w:r>
        <w:rPr/>
        <w:t>selon</w:t>
      </w:r>
      <w:r>
        <w:rPr>
          <w:spacing w:val="-9"/>
        </w:rPr>
        <w:t> </w:t>
      </w:r>
      <w:r>
        <w:rPr/>
        <w:t>la</w:t>
      </w:r>
      <w:r>
        <w:rPr>
          <w:spacing w:val="-10"/>
        </w:rPr>
        <w:t> </w:t>
      </w:r>
      <w:r>
        <w:rPr/>
        <w:t>spécificité</w:t>
      </w:r>
      <w:r>
        <w:rPr>
          <w:spacing w:val="-10"/>
        </w:rPr>
        <w:t> </w:t>
      </w:r>
      <w:r>
        <w:rPr/>
        <w:t>du</w:t>
      </w:r>
      <w:r>
        <w:rPr>
          <w:spacing w:val="-10"/>
        </w:rPr>
        <w:t> </w:t>
      </w:r>
      <w:r>
        <w:rPr/>
        <w:t>marché,</w:t>
      </w:r>
      <w:r>
        <w:rPr>
          <w:spacing w:val="-8"/>
        </w:rPr>
        <w:t> </w:t>
      </w:r>
      <w:r>
        <w:rPr/>
        <w:t>les</w:t>
      </w:r>
      <w:r>
        <w:rPr>
          <w:spacing w:val="-7"/>
        </w:rPr>
        <w:t> </w:t>
      </w:r>
      <w:r>
        <w:rPr/>
        <w:t>conditions</w:t>
      </w:r>
      <w:r>
        <w:rPr>
          <w:spacing w:val="-9"/>
        </w:rPr>
        <w:t> </w:t>
      </w:r>
      <w:r>
        <w:rPr/>
        <w:t>et les</w:t>
      </w:r>
      <w:r>
        <w:rPr>
          <w:spacing w:val="-5"/>
        </w:rPr>
        <w:t> </w:t>
      </w:r>
      <w:r>
        <w:rPr/>
        <w:t>modalités</w:t>
      </w:r>
      <w:r>
        <w:rPr>
          <w:spacing w:val="-6"/>
        </w:rPr>
        <w:t> </w:t>
      </w:r>
      <w:r>
        <w:rPr/>
        <w:t>de</w:t>
      </w:r>
      <w:r>
        <w:rPr>
          <w:spacing w:val="-6"/>
        </w:rPr>
        <w:t> </w:t>
      </w:r>
      <w:r>
        <w:rPr/>
        <w:t>règlement</w:t>
      </w:r>
      <w:r>
        <w:rPr>
          <w:spacing w:val="-6"/>
        </w:rPr>
        <w:t> </w:t>
      </w:r>
      <w:r>
        <w:rPr/>
        <w:t>notamment</w:t>
      </w:r>
      <w:r>
        <w:rPr>
          <w:spacing w:val="-5"/>
        </w:rPr>
        <w:t> </w:t>
      </w:r>
      <w:r>
        <w:rPr/>
        <w:t>en</w:t>
      </w:r>
      <w:r>
        <w:rPr>
          <w:spacing w:val="-7"/>
        </w:rPr>
        <w:t> </w:t>
      </w:r>
      <w:r>
        <w:rPr/>
        <w:t>ce</w:t>
      </w:r>
      <w:r>
        <w:rPr>
          <w:spacing w:val="-6"/>
        </w:rPr>
        <w:t> </w:t>
      </w:r>
      <w:r>
        <w:rPr/>
        <w:t>qui</w:t>
      </w:r>
      <w:r>
        <w:rPr>
          <w:spacing w:val="-6"/>
        </w:rPr>
        <w:t> </w:t>
      </w:r>
      <w:r>
        <w:rPr/>
        <w:t>concerne</w:t>
      </w:r>
      <w:r>
        <w:rPr>
          <w:spacing w:val="-5"/>
        </w:rPr>
        <w:t> </w:t>
      </w:r>
      <w:r>
        <w:rPr/>
        <w:t>les</w:t>
      </w:r>
      <w:r>
        <w:rPr>
          <w:spacing w:val="-5"/>
        </w:rPr>
        <w:t> </w:t>
      </w:r>
      <w:r>
        <w:rPr/>
        <w:t>avances</w:t>
      </w:r>
      <w:r>
        <w:rPr>
          <w:spacing w:val="-6"/>
        </w:rPr>
        <w:t> </w:t>
      </w:r>
      <w:r>
        <w:rPr/>
        <w:t>et</w:t>
      </w:r>
      <w:r>
        <w:rPr>
          <w:spacing w:val="-6"/>
        </w:rPr>
        <w:t> </w:t>
      </w:r>
      <w:r>
        <w:rPr/>
        <w:t>les</w:t>
      </w:r>
      <w:r>
        <w:rPr>
          <w:spacing w:val="-6"/>
        </w:rPr>
        <w:t> </w:t>
      </w:r>
      <w:r>
        <w:rPr/>
        <w:t>acomptes.</w:t>
      </w:r>
    </w:p>
    <w:p>
      <w:pPr>
        <w:pStyle w:val="Heading2"/>
        <w:numPr>
          <w:ilvl w:val="0"/>
          <w:numId w:val="58"/>
        </w:numPr>
        <w:tabs>
          <w:tab w:pos="717" w:val="left" w:leader="none"/>
        </w:tabs>
        <w:spacing w:line="319" w:lineRule="exact" w:before="119" w:after="0"/>
        <w:ind w:left="716" w:right="0" w:hanging="284"/>
        <w:jc w:val="both"/>
      </w:pPr>
      <w:r>
        <w:rPr/>
        <w:t>Les avances</w:t>
      </w:r>
    </w:p>
    <w:p>
      <w:pPr>
        <w:pStyle w:val="BodyText"/>
        <w:ind w:right="758"/>
      </w:pPr>
      <w:r>
        <w:rPr/>
        <w:t>Le</w:t>
      </w:r>
      <w:r>
        <w:rPr>
          <w:spacing w:val="-5"/>
        </w:rPr>
        <w:t> </w:t>
      </w:r>
      <w:r>
        <w:rPr/>
        <w:t>GCT</w:t>
      </w:r>
      <w:r>
        <w:rPr>
          <w:spacing w:val="-6"/>
        </w:rPr>
        <w:t> </w:t>
      </w:r>
      <w:r>
        <w:rPr/>
        <w:t>peut</w:t>
      </w:r>
      <w:r>
        <w:rPr>
          <w:spacing w:val="-4"/>
        </w:rPr>
        <w:t> </w:t>
      </w:r>
      <w:r>
        <w:rPr/>
        <w:t>prévoir</w:t>
      </w:r>
      <w:r>
        <w:rPr>
          <w:spacing w:val="-8"/>
        </w:rPr>
        <w:t> </w:t>
      </w:r>
      <w:r>
        <w:rPr/>
        <w:t>dans</w:t>
      </w:r>
      <w:r>
        <w:rPr>
          <w:spacing w:val="-7"/>
        </w:rPr>
        <w:t> </w:t>
      </w:r>
      <w:r>
        <w:rPr/>
        <w:t>le</w:t>
      </w:r>
      <w:r>
        <w:rPr>
          <w:spacing w:val="-5"/>
        </w:rPr>
        <w:t> </w:t>
      </w:r>
      <w:r>
        <w:rPr/>
        <w:t>cahier</w:t>
      </w:r>
      <w:r>
        <w:rPr>
          <w:spacing w:val="-7"/>
        </w:rPr>
        <w:t> </w:t>
      </w:r>
      <w:r>
        <w:rPr/>
        <w:t>des</w:t>
      </w:r>
      <w:r>
        <w:rPr>
          <w:spacing w:val="-5"/>
        </w:rPr>
        <w:t> </w:t>
      </w:r>
      <w:r>
        <w:rPr/>
        <w:t>charges</w:t>
      </w:r>
      <w:r>
        <w:rPr>
          <w:spacing w:val="-5"/>
        </w:rPr>
        <w:t> </w:t>
      </w:r>
      <w:r>
        <w:rPr/>
        <w:t>un</w:t>
      </w:r>
      <w:r>
        <w:rPr>
          <w:spacing w:val="-6"/>
        </w:rPr>
        <w:t> </w:t>
      </w:r>
      <w:r>
        <w:rPr/>
        <w:t>taux</w:t>
      </w:r>
      <w:r>
        <w:rPr>
          <w:spacing w:val="-7"/>
        </w:rPr>
        <w:t> </w:t>
      </w:r>
      <w:r>
        <w:rPr/>
        <w:t>d’avance</w:t>
      </w:r>
      <w:r>
        <w:rPr>
          <w:spacing w:val="-8"/>
        </w:rPr>
        <w:t> </w:t>
      </w:r>
      <w:r>
        <w:rPr/>
        <w:t>dans</w:t>
      </w:r>
      <w:r>
        <w:rPr>
          <w:spacing w:val="-7"/>
        </w:rPr>
        <w:t> </w:t>
      </w:r>
      <w:r>
        <w:rPr/>
        <w:t>les</w:t>
      </w:r>
      <w:r>
        <w:rPr>
          <w:spacing w:val="-5"/>
        </w:rPr>
        <w:t> </w:t>
      </w:r>
      <w:r>
        <w:rPr/>
        <w:t>limites de 20% à condition que cette valeur ne soit pas inférieure à 10% pour les marchés de travaux, études et fournitures de biens et</w:t>
      </w:r>
      <w:r>
        <w:rPr>
          <w:spacing w:val="-5"/>
        </w:rPr>
        <w:t> </w:t>
      </w:r>
      <w:r>
        <w:rPr/>
        <w:t>services.</w:t>
      </w:r>
    </w:p>
    <w:p>
      <w:pPr>
        <w:pStyle w:val="Heading3"/>
        <w:numPr>
          <w:ilvl w:val="1"/>
          <w:numId w:val="58"/>
        </w:numPr>
        <w:tabs>
          <w:tab w:pos="1000" w:val="left" w:leader="none"/>
        </w:tabs>
        <w:spacing w:line="318" w:lineRule="exact" w:before="6" w:after="0"/>
        <w:ind w:left="999" w:right="0" w:hanging="284"/>
        <w:jc w:val="both"/>
        <w:rPr>
          <w:i/>
        </w:rPr>
      </w:pPr>
      <w:r>
        <w:rPr>
          <w:i/>
        </w:rPr>
        <w:t>Les conditions d’octroi</w:t>
      </w:r>
      <w:r>
        <w:rPr>
          <w:i/>
          <w:spacing w:val="-5"/>
        </w:rPr>
        <w:t> </w:t>
      </w:r>
      <w:r>
        <w:rPr>
          <w:i/>
        </w:rPr>
        <w:t>d’avance</w:t>
      </w:r>
    </w:p>
    <w:p>
      <w:pPr>
        <w:pStyle w:val="BodyText"/>
        <w:ind w:right="758"/>
      </w:pPr>
      <w:r>
        <w:rPr/>
        <w:t>Le</w:t>
      </w:r>
      <w:r>
        <w:rPr>
          <w:spacing w:val="-11"/>
        </w:rPr>
        <w:t> </w:t>
      </w:r>
      <w:r>
        <w:rPr/>
        <w:t>GCT</w:t>
      </w:r>
      <w:r>
        <w:rPr>
          <w:spacing w:val="-11"/>
        </w:rPr>
        <w:t> </w:t>
      </w:r>
      <w:r>
        <w:rPr/>
        <w:t>ne</w:t>
      </w:r>
      <w:r>
        <w:rPr>
          <w:spacing w:val="-10"/>
        </w:rPr>
        <w:t> </w:t>
      </w:r>
      <w:r>
        <w:rPr/>
        <w:t>peut</w:t>
      </w:r>
      <w:r>
        <w:rPr>
          <w:spacing w:val="-9"/>
        </w:rPr>
        <w:t> </w:t>
      </w:r>
      <w:r>
        <w:rPr/>
        <w:t>consentir</w:t>
      </w:r>
      <w:r>
        <w:rPr>
          <w:spacing w:val="-12"/>
        </w:rPr>
        <w:t> </w:t>
      </w:r>
      <w:r>
        <w:rPr/>
        <w:t>des</w:t>
      </w:r>
      <w:r>
        <w:rPr>
          <w:spacing w:val="-9"/>
        </w:rPr>
        <w:t> </w:t>
      </w:r>
      <w:r>
        <w:rPr/>
        <w:t>avances</w:t>
      </w:r>
      <w:r>
        <w:rPr>
          <w:spacing w:val="-10"/>
        </w:rPr>
        <w:t> </w:t>
      </w:r>
      <w:r>
        <w:rPr/>
        <w:t>au</w:t>
      </w:r>
      <w:r>
        <w:rPr>
          <w:spacing w:val="-9"/>
        </w:rPr>
        <w:t> </w:t>
      </w:r>
      <w:r>
        <w:rPr/>
        <w:t>titulaire</w:t>
      </w:r>
      <w:r>
        <w:rPr>
          <w:spacing w:val="-12"/>
        </w:rPr>
        <w:t> </w:t>
      </w:r>
      <w:r>
        <w:rPr/>
        <w:t>du</w:t>
      </w:r>
      <w:r>
        <w:rPr>
          <w:spacing w:val="-9"/>
        </w:rPr>
        <w:t> </w:t>
      </w:r>
      <w:r>
        <w:rPr/>
        <w:t>marché</w:t>
      </w:r>
      <w:r>
        <w:rPr>
          <w:spacing w:val="-10"/>
        </w:rPr>
        <w:t> </w:t>
      </w:r>
      <w:r>
        <w:rPr/>
        <w:t>que</w:t>
      </w:r>
      <w:r>
        <w:rPr>
          <w:spacing w:val="-12"/>
        </w:rPr>
        <w:t> </w:t>
      </w:r>
      <w:r>
        <w:rPr/>
        <w:t>si</w:t>
      </w:r>
      <w:r>
        <w:rPr>
          <w:spacing w:val="-13"/>
        </w:rPr>
        <w:t> </w:t>
      </w:r>
      <w:r>
        <w:rPr/>
        <w:t>les</w:t>
      </w:r>
      <w:r>
        <w:rPr>
          <w:spacing w:val="-9"/>
        </w:rPr>
        <w:t> </w:t>
      </w:r>
      <w:r>
        <w:rPr/>
        <w:t>conditions suivantes sont réunies</w:t>
      </w:r>
      <w:r>
        <w:rPr>
          <w:spacing w:val="2"/>
        </w:rPr>
        <w:t> </w:t>
      </w:r>
      <w:r>
        <w:rPr/>
        <w:t>:</w:t>
      </w:r>
    </w:p>
    <w:p>
      <w:pPr>
        <w:pStyle w:val="ListParagraph"/>
        <w:numPr>
          <w:ilvl w:val="0"/>
          <w:numId w:val="59"/>
        </w:numPr>
        <w:tabs>
          <w:tab w:pos="1000" w:val="left" w:leader="none"/>
        </w:tabs>
        <w:spacing w:line="341" w:lineRule="exact" w:before="0" w:after="0"/>
        <w:ind w:left="999" w:right="0" w:hanging="284"/>
        <w:jc w:val="both"/>
        <w:rPr>
          <w:sz w:val="28"/>
        </w:rPr>
      </w:pPr>
      <w:r>
        <w:rPr>
          <w:sz w:val="28"/>
        </w:rPr>
        <w:t>Le délai d’exécution du marché est supérieur à trois mois</w:t>
      </w:r>
      <w:r>
        <w:rPr>
          <w:spacing w:val="-3"/>
          <w:sz w:val="28"/>
        </w:rPr>
        <w:t> </w:t>
      </w:r>
      <w:r>
        <w:rPr>
          <w:sz w:val="28"/>
        </w:rPr>
        <w:t>;</w:t>
      </w:r>
    </w:p>
    <w:p>
      <w:pPr>
        <w:pStyle w:val="ListParagraph"/>
        <w:numPr>
          <w:ilvl w:val="0"/>
          <w:numId w:val="59"/>
        </w:numPr>
        <w:tabs>
          <w:tab w:pos="1000" w:val="left" w:leader="none"/>
        </w:tabs>
        <w:spacing w:line="240" w:lineRule="auto" w:before="0" w:after="0"/>
        <w:ind w:left="999" w:right="753" w:hanging="284"/>
        <w:jc w:val="both"/>
        <w:rPr>
          <w:sz w:val="28"/>
        </w:rPr>
      </w:pPr>
      <w:r>
        <w:rPr>
          <w:sz w:val="28"/>
        </w:rPr>
        <w:t>Le titulaire du marché a présenté une demande expresse pour bénéficier de l’avance ;</w:t>
      </w:r>
    </w:p>
    <w:p>
      <w:pPr>
        <w:pStyle w:val="ListParagraph"/>
        <w:numPr>
          <w:ilvl w:val="0"/>
          <w:numId w:val="59"/>
        </w:numPr>
        <w:tabs>
          <w:tab w:pos="1000" w:val="left" w:leader="none"/>
        </w:tabs>
        <w:spacing w:line="240" w:lineRule="auto" w:before="0" w:after="0"/>
        <w:ind w:left="999" w:right="751" w:hanging="284"/>
        <w:jc w:val="both"/>
        <w:rPr>
          <w:sz w:val="28"/>
        </w:rPr>
      </w:pPr>
      <w:r>
        <w:rPr>
          <w:sz w:val="28"/>
        </w:rPr>
        <w:t>Le titulaire du marché a présenté une Caution Personnelle et Solidaire pour garantir le remboursement de la totalité du montant de l’avance à la première demande du GCT.</w:t>
      </w:r>
    </w:p>
    <w:p>
      <w:pPr>
        <w:pStyle w:val="BodyText"/>
        <w:ind w:right="754"/>
      </w:pPr>
      <w:r>
        <w:rPr/>
        <w:t>Les documents contractuels arrêtent les modalités d’octroi de l’avance et son montant.</w:t>
      </w:r>
    </w:p>
    <w:p>
      <w:pPr>
        <w:pStyle w:val="Heading3"/>
        <w:numPr>
          <w:ilvl w:val="1"/>
          <w:numId w:val="58"/>
        </w:numPr>
        <w:tabs>
          <w:tab w:pos="1003" w:val="left" w:leader="none"/>
        </w:tabs>
        <w:spacing w:line="319" w:lineRule="exact" w:before="121" w:after="0"/>
        <w:ind w:left="1002" w:right="0" w:hanging="287"/>
        <w:jc w:val="both"/>
        <w:rPr>
          <w:i/>
        </w:rPr>
      </w:pPr>
      <w:r>
        <w:rPr>
          <w:i/>
        </w:rPr>
        <w:t>La demande d’avance</w:t>
      </w:r>
    </w:p>
    <w:p>
      <w:pPr>
        <w:pStyle w:val="BodyText"/>
        <w:ind w:right="758"/>
      </w:pPr>
      <w:r>
        <w:rPr/>
        <w:t>Pour</w:t>
      </w:r>
      <w:r>
        <w:rPr>
          <w:spacing w:val="-10"/>
        </w:rPr>
        <w:t> </w:t>
      </w:r>
      <w:r>
        <w:rPr/>
        <w:t>pouvoir</w:t>
      </w:r>
      <w:r>
        <w:rPr>
          <w:spacing w:val="-12"/>
        </w:rPr>
        <w:t> </w:t>
      </w:r>
      <w:r>
        <w:rPr/>
        <w:t>bénéficier</w:t>
      </w:r>
      <w:r>
        <w:rPr>
          <w:spacing w:val="-10"/>
        </w:rPr>
        <w:t> </w:t>
      </w:r>
      <w:r>
        <w:rPr/>
        <w:t>de</w:t>
      </w:r>
      <w:r>
        <w:rPr>
          <w:spacing w:val="-12"/>
        </w:rPr>
        <w:t> </w:t>
      </w:r>
      <w:r>
        <w:rPr/>
        <w:t>l’avance</w:t>
      </w:r>
      <w:r>
        <w:rPr>
          <w:spacing w:val="-10"/>
        </w:rPr>
        <w:t> </w:t>
      </w:r>
      <w:r>
        <w:rPr/>
        <w:t>le</w:t>
      </w:r>
      <w:r>
        <w:rPr>
          <w:spacing w:val="-12"/>
        </w:rPr>
        <w:t> </w:t>
      </w:r>
      <w:r>
        <w:rPr/>
        <w:t>titulaire</w:t>
      </w:r>
      <w:r>
        <w:rPr>
          <w:spacing w:val="-12"/>
        </w:rPr>
        <w:t> </w:t>
      </w:r>
      <w:r>
        <w:rPr/>
        <w:t>du</w:t>
      </w:r>
      <w:r>
        <w:rPr>
          <w:spacing w:val="-9"/>
        </w:rPr>
        <w:t> </w:t>
      </w:r>
      <w:r>
        <w:rPr/>
        <w:t>marché</w:t>
      </w:r>
      <w:r>
        <w:rPr>
          <w:spacing w:val="-10"/>
        </w:rPr>
        <w:t> </w:t>
      </w:r>
      <w:r>
        <w:rPr/>
        <w:t>est</w:t>
      </w:r>
      <w:r>
        <w:rPr>
          <w:spacing w:val="-12"/>
        </w:rPr>
        <w:t> </w:t>
      </w:r>
      <w:r>
        <w:rPr/>
        <w:t>tenu</w:t>
      </w:r>
      <w:r>
        <w:rPr>
          <w:spacing w:val="-9"/>
        </w:rPr>
        <w:t> </w:t>
      </w:r>
      <w:r>
        <w:rPr/>
        <w:t>de</w:t>
      </w:r>
      <w:r>
        <w:rPr>
          <w:spacing w:val="-11"/>
        </w:rPr>
        <w:t> </w:t>
      </w:r>
      <w:r>
        <w:rPr/>
        <w:t>présenter</w:t>
      </w:r>
      <w:r>
        <w:rPr>
          <w:spacing w:val="-10"/>
        </w:rPr>
        <w:t> </w:t>
      </w:r>
      <w:r>
        <w:rPr/>
        <w:t>au GCT une demande d’octroi d’avance accompagnée d’une facture et d’un cautionnement de restitution</w:t>
      </w:r>
      <w:r>
        <w:rPr>
          <w:spacing w:val="-2"/>
        </w:rPr>
        <w:t> </w:t>
      </w:r>
      <w:r>
        <w:rPr/>
        <w:t>d’avance.</w:t>
      </w:r>
    </w:p>
    <w:p>
      <w:pPr>
        <w:pStyle w:val="BodyText"/>
        <w:spacing w:before="117"/>
        <w:ind w:right="761"/>
      </w:pPr>
      <w:r>
        <w:rPr/>
        <w:t>Il est à noter que le titulaire du marché ne peut demander l’octroi d’une avance qu’après signature du contrat par les deux parties contractantes (GCT et titulaire du marché),</w:t>
      </w:r>
    </w:p>
    <w:p>
      <w:pPr>
        <w:pStyle w:val="Heading3"/>
        <w:numPr>
          <w:ilvl w:val="1"/>
          <w:numId w:val="58"/>
        </w:numPr>
        <w:tabs>
          <w:tab w:pos="1003" w:val="left" w:leader="none"/>
        </w:tabs>
        <w:spacing w:line="318" w:lineRule="exact" w:before="129" w:after="0"/>
        <w:ind w:left="1002" w:right="0" w:hanging="287"/>
        <w:jc w:val="both"/>
        <w:rPr>
          <w:i/>
        </w:rPr>
      </w:pPr>
      <w:r>
        <w:rPr>
          <w:i/>
        </w:rPr>
        <w:t>L’étude du dossier d’octroi</w:t>
      </w:r>
      <w:r>
        <w:rPr>
          <w:i/>
          <w:spacing w:val="-5"/>
        </w:rPr>
        <w:t> </w:t>
      </w:r>
      <w:r>
        <w:rPr>
          <w:i/>
        </w:rPr>
        <w:t>d’avance</w:t>
      </w:r>
    </w:p>
    <w:p>
      <w:pPr>
        <w:pStyle w:val="BodyText"/>
        <w:ind w:right="755"/>
      </w:pPr>
      <w:r>
        <w:rPr/>
        <w:t>Le dossier de demande d’octroi d’avance reçu est vérifié en premier lieu par la Structure d’achat puis transféré en second lieu à la Structure financière pour vérifier l’authenticité du cautionnement et la conformité de la facture. Si la demande est conforme, la Structure financière procède au règlement de l’avance.</w:t>
      </w:r>
    </w:p>
    <w:p>
      <w:pPr>
        <w:pStyle w:val="Heading3"/>
        <w:numPr>
          <w:ilvl w:val="0"/>
          <w:numId w:val="49"/>
        </w:numPr>
        <w:tabs>
          <w:tab w:pos="859" w:val="left" w:leader="none"/>
        </w:tabs>
        <w:spacing w:line="318" w:lineRule="exact" w:before="122" w:after="0"/>
        <w:ind w:left="858" w:right="0" w:hanging="426"/>
        <w:jc w:val="both"/>
        <w:rPr>
          <w:i/>
        </w:rPr>
      </w:pPr>
      <w:r>
        <w:rPr>
          <w:i/>
        </w:rPr>
        <w:t>Le remboursement des montants dus au titre de</w:t>
      </w:r>
      <w:r>
        <w:rPr>
          <w:i/>
          <w:spacing w:val="-17"/>
        </w:rPr>
        <w:t> </w:t>
      </w:r>
      <w:r>
        <w:rPr>
          <w:i/>
        </w:rPr>
        <w:t>l'avance</w:t>
      </w:r>
    </w:p>
    <w:p>
      <w:pPr>
        <w:pStyle w:val="BodyText"/>
        <w:ind w:right="758"/>
      </w:pPr>
      <w:r>
        <w:rPr/>
        <w:t>Sauf stipulations contraires du cahier des charges, les montants dus au titre de l'avance sont remboursés par déduction, selon le </w:t>
      </w:r>
      <w:r>
        <w:rPr>
          <w:spacing w:val="-3"/>
        </w:rPr>
        <w:t>même </w:t>
      </w:r>
      <w:r>
        <w:rPr/>
        <w:t>taux d’avance, sur les sommes dues à titre d’acomptes ou de paiement pour solde. La Structure d’achat donne main levée du cautionnement afférent à l'avance proportionnellement aux montants remboursés au titre de cette avance.</w:t>
      </w:r>
    </w:p>
    <w:p>
      <w:pPr>
        <w:spacing w:after="0"/>
        <w:sectPr>
          <w:pgSz w:w="11910" w:h="16840"/>
          <w:pgMar w:header="722" w:footer="0" w:top="1860" w:bottom="280" w:left="700" w:right="380"/>
        </w:sectPr>
      </w:pPr>
    </w:p>
    <w:p>
      <w:pPr>
        <w:pStyle w:val="BodyText"/>
        <w:spacing w:before="6"/>
        <w:ind w:left="0" w:firstLine="0"/>
        <w:jc w:val="left"/>
        <w:rPr>
          <w:sz w:val="16"/>
        </w:rPr>
      </w:pPr>
    </w:p>
    <w:p>
      <w:pPr>
        <w:pStyle w:val="Heading2"/>
        <w:numPr>
          <w:ilvl w:val="0"/>
          <w:numId w:val="58"/>
        </w:numPr>
        <w:tabs>
          <w:tab w:pos="717" w:val="left" w:leader="none"/>
        </w:tabs>
        <w:spacing w:line="240" w:lineRule="auto" w:before="91" w:after="0"/>
        <w:ind w:left="716" w:right="0" w:hanging="284"/>
        <w:jc w:val="both"/>
      </w:pPr>
      <w:r>
        <w:rPr/>
        <w:t>Les</w:t>
      </w:r>
      <w:r>
        <w:rPr>
          <w:spacing w:val="1"/>
        </w:rPr>
        <w:t> </w:t>
      </w:r>
      <w:r>
        <w:rPr/>
        <w:t>acomptes</w:t>
      </w:r>
    </w:p>
    <w:p>
      <w:pPr>
        <w:pStyle w:val="Heading3"/>
        <w:numPr>
          <w:ilvl w:val="1"/>
          <w:numId w:val="58"/>
        </w:numPr>
        <w:tabs>
          <w:tab w:pos="1000" w:val="left" w:leader="none"/>
        </w:tabs>
        <w:spacing w:line="318" w:lineRule="exact" w:before="2" w:after="0"/>
        <w:ind w:left="999" w:right="0" w:hanging="284"/>
        <w:jc w:val="both"/>
        <w:rPr>
          <w:i/>
        </w:rPr>
      </w:pPr>
      <w:r>
        <w:rPr>
          <w:i/>
        </w:rPr>
        <w:t>Les conditions d’octroi</w:t>
      </w:r>
      <w:r>
        <w:rPr>
          <w:i/>
          <w:spacing w:val="-5"/>
        </w:rPr>
        <w:t> </w:t>
      </w:r>
      <w:r>
        <w:rPr>
          <w:i/>
        </w:rPr>
        <w:t>d’acompte</w:t>
      </w:r>
    </w:p>
    <w:p>
      <w:pPr>
        <w:pStyle w:val="BodyText"/>
        <w:spacing w:line="242" w:lineRule="auto"/>
        <w:ind w:right="757"/>
      </w:pPr>
      <w:r>
        <w:rPr/>
        <w:t>Les dépenses au titre des marchés conclus peuvent être servies sous forme d’acomptes lorsque les conditions suivantes sont réunies :</w:t>
      </w:r>
    </w:p>
    <w:p>
      <w:pPr>
        <w:pStyle w:val="ListParagraph"/>
        <w:numPr>
          <w:ilvl w:val="0"/>
          <w:numId w:val="60"/>
        </w:numPr>
        <w:tabs>
          <w:tab w:pos="1000" w:val="left" w:leader="none"/>
        </w:tabs>
        <w:spacing w:line="336" w:lineRule="exact" w:before="0" w:after="0"/>
        <w:ind w:left="999" w:right="0" w:hanging="284"/>
        <w:jc w:val="both"/>
        <w:rPr>
          <w:sz w:val="28"/>
        </w:rPr>
      </w:pPr>
      <w:r>
        <w:rPr>
          <w:sz w:val="28"/>
        </w:rPr>
        <w:t>Le délai d’exécution du contrat doit être supérieur à (3) trois mois</w:t>
      </w:r>
      <w:r>
        <w:rPr>
          <w:spacing w:val="-11"/>
          <w:sz w:val="28"/>
        </w:rPr>
        <w:t> </w:t>
      </w:r>
      <w:r>
        <w:rPr>
          <w:sz w:val="28"/>
        </w:rPr>
        <w:t>;</w:t>
      </w:r>
    </w:p>
    <w:p>
      <w:pPr>
        <w:pStyle w:val="ListParagraph"/>
        <w:numPr>
          <w:ilvl w:val="0"/>
          <w:numId w:val="60"/>
        </w:numPr>
        <w:tabs>
          <w:tab w:pos="1000" w:val="left" w:leader="none"/>
        </w:tabs>
        <w:spacing w:line="240" w:lineRule="auto" w:before="0" w:after="0"/>
        <w:ind w:left="999" w:right="759" w:hanging="284"/>
        <w:jc w:val="both"/>
        <w:rPr>
          <w:sz w:val="28"/>
        </w:rPr>
      </w:pPr>
      <w:r>
        <w:rPr>
          <w:sz w:val="28"/>
        </w:rPr>
        <w:t>L’exécution du contrat a déjà commencé conformément à ce qui est précisé dans les cahiers des clauses particulières ou le contrat</w:t>
      </w:r>
      <w:r>
        <w:rPr>
          <w:spacing w:val="7"/>
          <w:sz w:val="28"/>
        </w:rPr>
        <w:t> </w:t>
      </w:r>
      <w:r>
        <w:rPr>
          <w:sz w:val="28"/>
        </w:rPr>
        <w:t>;</w:t>
      </w:r>
    </w:p>
    <w:p>
      <w:pPr>
        <w:pStyle w:val="ListParagraph"/>
        <w:numPr>
          <w:ilvl w:val="0"/>
          <w:numId w:val="60"/>
        </w:numPr>
        <w:tabs>
          <w:tab w:pos="1003" w:val="left" w:leader="none"/>
        </w:tabs>
        <w:spacing w:line="240" w:lineRule="auto" w:before="0" w:after="0"/>
        <w:ind w:left="1002" w:right="758" w:hanging="286"/>
        <w:jc w:val="both"/>
        <w:rPr>
          <w:sz w:val="28"/>
        </w:rPr>
      </w:pPr>
      <w:r>
        <w:rPr>
          <w:sz w:val="28"/>
        </w:rPr>
        <w:t>S’il s’agit d’un marché de fourniture de biens, lesdits biens doivent avoir été individualisés et leur propriété transférée au</w:t>
      </w:r>
      <w:r>
        <w:rPr>
          <w:spacing w:val="-6"/>
          <w:sz w:val="28"/>
        </w:rPr>
        <w:t> </w:t>
      </w:r>
      <w:r>
        <w:rPr>
          <w:sz w:val="28"/>
        </w:rPr>
        <w:t>GCT.</w:t>
      </w:r>
    </w:p>
    <w:p>
      <w:pPr>
        <w:pStyle w:val="Heading3"/>
        <w:numPr>
          <w:ilvl w:val="1"/>
          <w:numId w:val="58"/>
        </w:numPr>
        <w:tabs>
          <w:tab w:pos="1000" w:val="left" w:leader="none"/>
        </w:tabs>
        <w:spacing w:line="318" w:lineRule="exact" w:before="3" w:after="0"/>
        <w:ind w:left="999" w:right="0" w:hanging="284"/>
        <w:jc w:val="both"/>
        <w:rPr>
          <w:i/>
        </w:rPr>
      </w:pPr>
      <w:r>
        <w:rPr>
          <w:i/>
        </w:rPr>
        <w:t>La constations ouvrant droit aux</w:t>
      </w:r>
      <w:r>
        <w:rPr>
          <w:i/>
          <w:spacing w:val="3"/>
        </w:rPr>
        <w:t> </w:t>
      </w:r>
      <w:r>
        <w:rPr>
          <w:i/>
        </w:rPr>
        <w:t>acomptes</w:t>
      </w:r>
    </w:p>
    <w:p>
      <w:pPr>
        <w:pStyle w:val="BodyText"/>
        <w:ind w:right="750"/>
      </w:pPr>
      <w:r>
        <w:rPr/>
        <w:t>Les documents contractuels doivent préciser les délais pour procéder aux constatations ouvrant droit à acomptes ou au paiement pour solde. Ces délais sont décomptés</w:t>
      </w:r>
      <w:r>
        <w:rPr>
          <w:spacing w:val="-17"/>
        </w:rPr>
        <w:t> </w:t>
      </w:r>
      <w:r>
        <w:rPr/>
        <w:t>à</w:t>
      </w:r>
      <w:r>
        <w:rPr>
          <w:spacing w:val="-19"/>
        </w:rPr>
        <w:t> </w:t>
      </w:r>
      <w:r>
        <w:rPr/>
        <w:t>partir</w:t>
      </w:r>
      <w:r>
        <w:rPr>
          <w:spacing w:val="-21"/>
        </w:rPr>
        <w:t> </w:t>
      </w:r>
      <w:r>
        <w:rPr/>
        <w:t>des</w:t>
      </w:r>
      <w:r>
        <w:rPr>
          <w:spacing w:val="-16"/>
        </w:rPr>
        <w:t> </w:t>
      </w:r>
      <w:r>
        <w:rPr/>
        <w:t>termes</w:t>
      </w:r>
      <w:r>
        <w:rPr>
          <w:spacing w:val="-17"/>
        </w:rPr>
        <w:t> </w:t>
      </w:r>
      <w:r>
        <w:rPr/>
        <w:t>périodiques</w:t>
      </w:r>
      <w:r>
        <w:rPr>
          <w:spacing w:val="-19"/>
        </w:rPr>
        <w:t> </w:t>
      </w:r>
      <w:r>
        <w:rPr/>
        <w:t>ou</w:t>
      </w:r>
      <w:r>
        <w:rPr>
          <w:spacing w:val="-20"/>
        </w:rPr>
        <w:t> </w:t>
      </w:r>
      <w:r>
        <w:rPr/>
        <w:t>du</w:t>
      </w:r>
      <w:r>
        <w:rPr>
          <w:spacing w:val="-16"/>
        </w:rPr>
        <w:t> </w:t>
      </w:r>
      <w:r>
        <w:rPr/>
        <w:t>terme</w:t>
      </w:r>
      <w:r>
        <w:rPr>
          <w:spacing w:val="-18"/>
        </w:rPr>
        <w:t> </w:t>
      </w:r>
      <w:r>
        <w:rPr/>
        <w:t>final</w:t>
      </w:r>
      <w:r>
        <w:rPr>
          <w:spacing w:val="-16"/>
        </w:rPr>
        <w:t> </w:t>
      </w:r>
      <w:r>
        <w:rPr/>
        <w:t>fixé</w:t>
      </w:r>
      <w:r>
        <w:rPr>
          <w:spacing w:val="-15"/>
        </w:rPr>
        <w:t> </w:t>
      </w:r>
      <w:r>
        <w:rPr/>
        <w:t>par</w:t>
      </w:r>
      <w:r>
        <w:rPr>
          <w:spacing w:val="-19"/>
        </w:rPr>
        <w:t> </w:t>
      </w:r>
      <w:r>
        <w:rPr/>
        <w:t>le</w:t>
      </w:r>
      <w:r>
        <w:rPr>
          <w:spacing w:val="-18"/>
        </w:rPr>
        <w:t> </w:t>
      </w:r>
      <w:r>
        <w:rPr/>
        <w:t>marché.</w:t>
      </w:r>
      <w:r>
        <w:rPr>
          <w:spacing w:val="-18"/>
        </w:rPr>
        <w:t> </w:t>
      </w:r>
      <w:r>
        <w:rPr/>
        <w:t>Lorsque le marché n'a pas fixé de tels termes, les délais pour procéder aux constatations sont décomptés</w:t>
      </w:r>
      <w:r>
        <w:rPr>
          <w:spacing w:val="-16"/>
        </w:rPr>
        <w:t> </w:t>
      </w:r>
      <w:r>
        <w:rPr/>
        <w:t>à</w:t>
      </w:r>
      <w:r>
        <w:rPr>
          <w:spacing w:val="-19"/>
        </w:rPr>
        <w:t> </w:t>
      </w:r>
      <w:r>
        <w:rPr/>
        <w:t>partir</w:t>
      </w:r>
      <w:r>
        <w:rPr>
          <w:spacing w:val="-19"/>
        </w:rPr>
        <w:t> </w:t>
      </w:r>
      <w:r>
        <w:rPr/>
        <w:t>de</w:t>
      </w:r>
      <w:r>
        <w:rPr>
          <w:spacing w:val="-20"/>
        </w:rPr>
        <w:t> </w:t>
      </w:r>
      <w:r>
        <w:rPr/>
        <w:t>la</w:t>
      </w:r>
      <w:r>
        <w:rPr>
          <w:spacing w:val="-19"/>
        </w:rPr>
        <w:t> </w:t>
      </w:r>
      <w:r>
        <w:rPr/>
        <w:t>date</w:t>
      </w:r>
      <w:r>
        <w:rPr>
          <w:spacing w:val="-17"/>
        </w:rPr>
        <w:t> </w:t>
      </w:r>
      <w:r>
        <w:rPr/>
        <w:t>de</w:t>
      </w:r>
      <w:r>
        <w:rPr>
          <w:spacing w:val="-17"/>
        </w:rPr>
        <w:t> </w:t>
      </w:r>
      <w:r>
        <w:rPr/>
        <w:t>la</w:t>
      </w:r>
      <w:r>
        <w:rPr>
          <w:spacing w:val="-16"/>
        </w:rPr>
        <w:t> </w:t>
      </w:r>
      <w:r>
        <w:rPr/>
        <w:t>demande</w:t>
      </w:r>
      <w:r>
        <w:rPr>
          <w:spacing w:val="-22"/>
        </w:rPr>
        <w:t> </w:t>
      </w:r>
      <w:r>
        <w:rPr/>
        <w:t>formulée</w:t>
      </w:r>
      <w:r>
        <w:rPr>
          <w:spacing w:val="-19"/>
        </w:rPr>
        <w:t> </w:t>
      </w:r>
      <w:r>
        <w:rPr/>
        <w:t>par</w:t>
      </w:r>
      <w:r>
        <w:rPr>
          <w:spacing w:val="-18"/>
        </w:rPr>
        <w:t> </w:t>
      </w:r>
      <w:r>
        <w:rPr/>
        <w:t>le</w:t>
      </w:r>
      <w:r>
        <w:rPr>
          <w:spacing w:val="-20"/>
        </w:rPr>
        <w:t> </w:t>
      </w:r>
      <w:r>
        <w:rPr/>
        <w:t>titulaire</w:t>
      </w:r>
      <w:r>
        <w:rPr>
          <w:spacing w:val="-16"/>
        </w:rPr>
        <w:t> </w:t>
      </w:r>
      <w:r>
        <w:rPr/>
        <w:t>du</w:t>
      </w:r>
      <w:r>
        <w:rPr>
          <w:spacing w:val="-16"/>
        </w:rPr>
        <w:t> </w:t>
      </w:r>
      <w:r>
        <w:rPr/>
        <w:t>marché</w:t>
      </w:r>
      <w:r>
        <w:rPr>
          <w:spacing w:val="-17"/>
        </w:rPr>
        <w:t> </w:t>
      </w:r>
      <w:r>
        <w:rPr/>
        <w:t>appuyée des justifications nécessaires. Le GCT doit procéder aux constatations dans les délais maximums suivants</w:t>
      </w:r>
      <w:r>
        <w:rPr>
          <w:spacing w:val="2"/>
        </w:rPr>
        <w:t> </w:t>
      </w:r>
      <w:r>
        <w:rPr/>
        <w:t>:</w:t>
      </w:r>
    </w:p>
    <w:p>
      <w:pPr>
        <w:pStyle w:val="ListParagraph"/>
        <w:numPr>
          <w:ilvl w:val="0"/>
          <w:numId w:val="60"/>
        </w:numPr>
        <w:tabs>
          <w:tab w:pos="1000" w:val="left" w:leader="none"/>
        </w:tabs>
        <w:spacing w:line="240" w:lineRule="auto" w:before="0" w:after="0"/>
        <w:ind w:left="999" w:right="749" w:hanging="284"/>
        <w:jc w:val="both"/>
        <w:rPr>
          <w:sz w:val="28"/>
        </w:rPr>
      </w:pPr>
      <w:r>
        <w:rPr>
          <w:sz w:val="28"/>
        </w:rPr>
        <w:t>Pour les marchés de travaux : la constatation et l'acceptation du projet de décompte</w:t>
      </w:r>
      <w:r>
        <w:rPr>
          <w:spacing w:val="-9"/>
          <w:sz w:val="28"/>
        </w:rPr>
        <w:t> </w:t>
      </w:r>
      <w:r>
        <w:rPr>
          <w:sz w:val="28"/>
        </w:rPr>
        <w:t>provisoire</w:t>
      </w:r>
      <w:r>
        <w:rPr>
          <w:spacing w:val="-10"/>
          <w:sz w:val="28"/>
        </w:rPr>
        <w:t> </w:t>
      </w:r>
      <w:r>
        <w:rPr>
          <w:sz w:val="28"/>
        </w:rPr>
        <w:t>doivent</w:t>
      </w:r>
      <w:r>
        <w:rPr>
          <w:spacing w:val="-8"/>
          <w:sz w:val="28"/>
        </w:rPr>
        <w:t> </w:t>
      </w:r>
      <w:r>
        <w:rPr>
          <w:sz w:val="28"/>
        </w:rPr>
        <w:t>intervenir</w:t>
      </w:r>
      <w:r>
        <w:rPr>
          <w:spacing w:val="-10"/>
          <w:sz w:val="28"/>
        </w:rPr>
        <w:t> </w:t>
      </w:r>
      <w:r>
        <w:rPr>
          <w:sz w:val="28"/>
        </w:rPr>
        <w:t>dans</w:t>
      </w:r>
      <w:r>
        <w:rPr>
          <w:spacing w:val="-10"/>
          <w:sz w:val="28"/>
        </w:rPr>
        <w:t> </w:t>
      </w:r>
      <w:r>
        <w:rPr>
          <w:sz w:val="28"/>
        </w:rPr>
        <w:t>un</w:t>
      </w:r>
      <w:r>
        <w:rPr>
          <w:spacing w:val="-9"/>
          <w:sz w:val="28"/>
        </w:rPr>
        <w:t> </w:t>
      </w:r>
      <w:r>
        <w:rPr>
          <w:sz w:val="28"/>
        </w:rPr>
        <w:t>délai</w:t>
      </w:r>
      <w:r>
        <w:rPr>
          <w:spacing w:val="-8"/>
          <w:sz w:val="28"/>
        </w:rPr>
        <w:t> </w:t>
      </w:r>
      <w:r>
        <w:rPr>
          <w:sz w:val="28"/>
        </w:rPr>
        <w:t>maximum</w:t>
      </w:r>
      <w:r>
        <w:rPr>
          <w:spacing w:val="-10"/>
          <w:sz w:val="28"/>
        </w:rPr>
        <w:t> </w:t>
      </w:r>
      <w:r>
        <w:rPr>
          <w:sz w:val="28"/>
        </w:rPr>
        <w:t>de</w:t>
      </w:r>
      <w:r>
        <w:rPr>
          <w:spacing w:val="-8"/>
          <w:sz w:val="28"/>
        </w:rPr>
        <w:t> </w:t>
      </w:r>
      <w:r>
        <w:rPr>
          <w:sz w:val="28"/>
        </w:rPr>
        <w:t>huit</w:t>
      </w:r>
      <w:r>
        <w:rPr>
          <w:spacing w:val="3"/>
          <w:sz w:val="28"/>
        </w:rPr>
        <w:t> </w:t>
      </w:r>
      <w:r>
        <w:rPr>
          <w:sz w:val="28"/>
        </w:rPr>
        <w:t>(08)</w:t>
      </w:r>
      <w:r>
        <w:rPr>
          <w:spacing w:val="-8"/>
          <w:sz w:val="28"/>
        </w:rPr>
        <w:t> </w:t>
      </w:r>
      <w:r>
        <w:rPr>
          <w:sz w:val="28"/>
        </w:rPr>
        <w:t>jours à partir du terme fixé par le marché ou à défaut à partir de la date de la demande formulée par le titulaire du</w:t>
      </w:r>
      <w:r>
        <w:rPr>
          <w:spacing w:val="-3"/>
          <w:sz w:val="28"/>
        </w:rPr>
        <w:t> </w:t>
      </w:r>
      <w:r>
        <w:rPr>
          <w:sz w:val="28"/>
        </w:rPr>
        <w:t>marché,</w:t>
      </w:r>
    </w:p>
    <w:p>
      <w:pPr>
        <w:pStyle w:val="ListParagraph"/>
        <w:numPr>
          <w:ilvl w:val="0"/>
          <w:numId w:val="60"/>
        </w:numPr>
        <w:tabs>
          <w:tab w:pos="1000" w:val="left" w:leader="none"/>
        </w:tabs>
        <w:spacing w:line="240" w:lineRule="auto" w:before="0" w:after="0"/>
        <w:ind w:left="999" w:right="752" w:hanging="284"/>
        <w:jc w:val="both"/>
        <w:rPr>
          <w:sz w:val="28"/>
        </w:rPr>
      </w:pPr>
      <w:r>
        <w:rPr>
          <w:sz w:val="28"/>
        </w:rPr>
        <w:t>Pour</w:t>
      </w:r>
      <w:r>
        <w:rPr>
          <w:spacing w:val="-21"/>
          <w:sz w:val="28"/>
        </w:rPr>
        <w:t> </w:t>
      </w:r>
      <w:r>
        <w:rPr>
          <w:sz w:val="28"/>
        </w:rPr>
        <w:t>les</w:t>
      </w:r>
      <w:r>
        <w:rPr>
          <w:spacing w:val="-20"/>
          <w:sz w:val="28"/>
        </w:rPr>
        <w:t> </w:t>
      </w:r>
      <w:r>
        <w:rPr>
          <w:sz w:val="28"/>
        </w:rPr>
        <w:t>marchés</w:t>
      </w:r>
      <w:r>
        <w:rPr>
          <w:spacing w:val="-22"/>
          <w:sz w:val="28"/>
        </w:rPr>
        <w:t> </w:t>
      </w:r>
      <w:r>
        <w:rPr>
          <w:sz w:val="28"/>
        </w:rPr>
        <w:t>de</w:t>
      </w:r>
      <w:r>
        <w:rPr>
          <w:spacing w:val="-21"/>
          <w:sz w:val="28"/>
        </w:rPr>
        <w:t> </w:t>
      </w:r>
      <w:r>
        <w:rPr>
          <w:sz w:val="28"/>
        </w:rPr>
        <w:t>fournitures</w:t>
      </w:r>
      <w:r>
        <w:rPr>
          <w:spacing w:val="-20"/>
          <w:sz w:val="28"/>
        </w:rPr>
        <w:t> </w:t>
      </w:r>
      <w:r>
        <w:rPr>
          <w:sz w:val="28"/>
        </w:rPr>
        <w:t>de</w:t>
      </w:r>
      <w:r>
        <w:rPr>
          <w:spacing w:val="-21"/>
          <w:sz w:val="28"/>
        </w:rPr>
        <w:t> </w:t>
      </w:r>
      <w:r>
        <w:rPr>
          <w:sz w:val="28"/>
        </w:rPr>
        <w:t>biens</w:t>
      </w:r>
      <w:r>
        <w:rPr>
          <w:spacing w:val="-20"/>
          <w:sz w:val="28"/>
        </w:rPr>
        <w:t> </w:t>
      </w:r>
      <w:r>
        <w:rPr>
          <w:sz w:val="28"/>
        </w:rPr>
        <w:t>et</w:t>
      </w:r>
      <w:r>
        <w:rPr>
          <w:spacing w:val="-21"/>
          <w:sz w:val="28"/>
        </w:rPr>
        <w:t> </w:t>
      </w:r>
      <w:r>
        <w:rPr>
          <w:sz w:val="28"/>
        </w:rPr>
        <w:t>services</w:t>
      </w:r>
      <w:r>
        <w:rPr>
          <w:spacing w:val="-22"/>
          <w:sz w:val="28"/>
        </w:rPr>
        <w:t> </w:t>
      </w:r>
      <w:r>
        <w:rPr>
          <w:sz w:val="28"/>
        </w:rPr>
        <w:t>:</w:t>
      </w:r>
      <w:r>
        <w:rPr>
          <w:spacing w:val="-20"/>
          <w:sz w:val="28"/>
        </w:rPr>
        <w:t> </w:t>
      </w:r>
      <w:r>
        <w:rPr>
          <w:sz w:val="28"/>
        </w:rPr>
        <w:t>la</w:t>
      </w:r>
      <w:r>
        <w:rPr>
          <w:spacing w:val="-21"/>
          <w:sz w:val="28"/>
        </w:rPr>
        <w:t> </w:t>
      </w:r>
      <w:r>
        <w:rPr>
          <w:sz w:val="28"/>
        </w:rPr>
        <w:t>constatation</w:t>
      </w:r>
      <w:r>
        <w:rPr>
          <w:spacing w:val="-22"/>
          <w:sz w:val="28"/>
        </w:rPr>
        <w:t> </w:t>
      </w:r>
      <w:r>
        <w:rPr>
          <w:sz w:val="28"/>
        </w:rPr>
        <w:t>doit</w:t>
      </w:r>
      <w:r>
        <w:rPr>
          <w:spacing w:val="-20"/>
          <w:sz w:val="28"/>
        </w:rPr>
        <w:t> </w:t>
      </w:r>
      <w:r>
        <w:rPr>
          <w:sz w:val="28"/>
        </w:rPr>
        <w:t>intervenir dans un délai maximum de quinze (15) jours ouvrables à partir de la date de livraison des biens ou</w:t>
      </w:r>
      <w:r>
        <w:rPr>
          <w:spacing w:val="2"/>
          <w:sz w:val="28"/>
        </w:rPr>
        <w:t> </w:t>
      </w:r>
      <w:r>
        <w:rPr>
          <w:sz w:val="28"/>
        </w:rPr>
        <w:t>services.</w:t>
      </w:r>
    </w:p>
    <w:p>
      <w:pPr>
        <w:pStyle w:val="BodyText"/>
        <w:ind w:right="746"/>
      </w:pPr>
      <w:r>
        <w:rPr/>
        <w:t>Le retard du GCT à accomplir les constatations dans les délais maximum sus- indiqués, donne obligatoirement lieu à des intérêts moratoires au profit du titulaire du marché, calculés à partir du jour qui suit l'expiration de ces délais jusqu'à celui de la constatation.</w:t>
      </w:r>
    </w:p>
    <w:p>
      <w:pPr>
        <w:pStyle w:val="BodyText"/>
        <w:ind w:right="753"/>
      </w:pPr>
      <w:r>
        <w:rPr/>
        <w:t>Le titulaire du marché doit être, le cas échéant, avisé des motifs pour lesquels les prestations constatées ne peuvent faire l'objet d'un acompte ou d'un paiement pour solde, et ce, dans un délai maximum de quinze (15) jours à partir de la date de constatation. Le retard de la notification ouvre droit à des intérêts moratoires au profit du titulaire du marché, qui sont calculés à partir du jour qui suit l'expiration du délai jusqu'à celui de la notification.</w:t>
      </w:r>
    </w:p>
    <w:p>
      <w:pPr>
        <w:pStyle w:val="BodyText"/>
        <w:ind w:right="758"/>
      </w:pPr>
      <w:r>
        <w:rPr/>
        <w:t>Les opérations effectuées par le fournisseur, qui donnent lieu à un versement d'acomptes ou à un paiement pour solde, doivent être constatées dans un PV signé par les contractants.</w:t>
      </w:r>
    </w:p>
    <w:p>
      <w:pPr>
        <w:pStyle w:val="Heading3"/>
        <w:numPr>
          <w:ilvl w:val="1"/>
          <w:numId w:val="58"/>
        </w:numPr>
        <w:tabs>
          <w:tab w:pos="1000" w:val="left" w:leader="none"/>
        </w:tabs>
        <w:spacing w:line="318" w:lineRule="exact" w:before="123" w:after="0"/>
        <w:ind w:left="999" w:right="0" w:hanging="284"/>
        <w:jc w:val="both"/>
        <w:rPr>
          <w:i/>
        </w:rPr>
      </w:pPr>
      <w:r>
        <w:rPr>
          <w:i/>
        </w:rPr>
        <w:t>La détermination des montants des</w:t>
      </w:r>
      <w:r>
        <w:rPr>
          <w:i/>
          <w:spacing w:val="-9"/>
        </w:rPr>
        <w:t> </w:t>
      </w:r>
      <w:r>
        <w:rPr>
          <w:i/>
        </w:rPr>
        <w:t>acomptes</w:t>
      </w:r>
    </w:p>
    <w:p>
      <w:pPr>
        <w:pStyle w:val="BodyText"/>
        <w:spacing w:line="318" w:lineRule="exact"/>
        <w:ind w:left="999" w:firstLine="0"/>
      </w:pPr>
      <w:r>
        <w:rPr/>
        <w:t>Les acomptes à servir au titre du contrat peuvent être :</w:t>
      </w:r>
    </w:p>
    <w:p>
      <w:pPr>
        <w:pStyle w:val="ListParagraph"/>
        <w:numPr>
          <w:ilvl w:val="0"/>
          <w:numId w:val="60"/>
        </w:numPr>
        <w:tabs>
          <w:tab w:pos="1000" w:val="left" w:leader="none"/>
        </w:tabs>
        <w:spacing w:line="342" w:lineRule="exact" w:before="0" w:after="0"/>
        <w:ind w:left="999" w:right="0" w:hanging="284"/>
        <w:jc w:val="both"/>
        <w:rPr>
          <w:sz w:val="28"/>
        </w:rPr>
      </w:pPr>
      <w:r>
        <w:rPr>
          <w:sz w:val="28"/>
        </w:rPr>
        <w:t>D’égale valeur au montant total des prestations partielles exécutées ;</w:t>
      </w:r>
    </w:p>
    <w:p>
      <w:pPr>
        <w:pStyle w:val="ListParagraph"/>
        <w:numPr>
          <w:ilvl w:val="0"/>
          <w:numId w:val="60"/>
        </w:numPr>
        <w:tabs>
          <w:tab w:pos="1000" w:val="left" w:leader="none"/>
        </w:tabs>
        <w:spacing w:line="240" w:lineRule="auto" w:before="0" w:after="0"/>
        <w:ind w:left="999" w:right="0" w:hanging="284"/>
        <w:jc w:val="both"/>
        <w:rPr>
          <w:sz w:val="28"/>
        </w:rPr>
      </w:pPr>
      <w:r>
        <w:rPr>
          <w:sz w:val="28"/>
        </w:rPr>
        <w:t>De 80% de la valeur de ces approvisionnements pour les contrats de travaux</w:t>
      </w:r>
      <w:r>
        <w:rPr>
          <w:spacing w:val="-17"/>
          <w:sz w:val="28"/>
        </w:rPr>
        <w:t> </w:t>
      </w:r>
      <w:r>
        <w:rPr>
          <w:sz w:val="28"/>
        </w:rPr>
        <w:t>;</w:t>
      </w:r>
    </w:p>
    <w:p>
      <w:pPr>
        <w:spacing w:after="0" w:line="240" w:lineRule="auto"/>
        <w:jc w:val="both"/>
        <w:rPr>
          <w:sz w:val="28"/>
        </w:rPr>
        <w:sectPr>
          <w:pgSz w:w="11910" w:h="16840"/>
          <w:pgMar w:header="722" w:footer="0" w:top="1860" w:bottom="280" w:left="700" w:right="380"/>
        </w:sectPr>
      </w:pPr>
    </w:p>
    <w:p>
      <w:pPr>
        <w:pStyle w:val="BodyText"/>
        <w:spacing w:before="2"/>
        <w:ind w:left="0" w:firstLine="0"/>
        <w:jc w:val="left"/>
        <w:rPr>
          <w:sz w:val="15"/>
        </w:rPr>
      </w:pPr>
    </w:p>
    <w:p>
      <w:pPr>
        <w:pStyle w:val="ListParagraph"/>
        <w:numPr>
          <w:ilvl w:val="0"/>
          <w:numId w:val="60"/>
        </w:numPr>
        <w:tabs>
          <w:tab w:pos="1000" w:val="left" w:leader="none"/>
        </w:tabs>
        <w:spacing w:line="240" w:lineRule="auto" w:before="101" w:after="0"/>
        <w:ind w:left="999" w:right="756" w:hanging="284"/>
        <w:jc w:val="both"/>
        <w:rPr>
          <w:sz w:val="28"/>
        </w:rPr>
      </w:pPr>
      <w:r>
        <w:rPr>
          <w:sz w:val="28"/>
        </w:rPr>
        <w:t>Sous forme de pourcentage du montant initial du marché si le marché est à prix forfaitaire. La détermination de ce pourcentage tiendra compte de la valeur de chaque phase de</w:t>
      </w:r>
      <w:r>
        <w:rPr>
          <w:spacing w:val="-1"/>
          <w:sz w:val="28"/>
        </w:rPr>
        <w:t> </w:t>
      </w:r>
      <w:r>
        <w:rPr>
          <w:sz w:val="28"/>
        </w:rPr>
        <w:t>réalisation.</w:t>
      </w:r>
    </w:p>
    <w:p>
      <w:pPr>
        <w:pStyle w:val="BodyText"/>
        <w:ind w:right="762"/>
      </w:pPr>
      <w:r>
        <w:rPr/>
        <w:t>Sont déduits, des acomptes ou du compte pour solde, la part des avances et retenues de garantie ou autres garanties selon les montants fixés par le cahier des charges.</w:t>
      </w:r>
    </w:p>
    <w:p>
      <w:pPr>
        <w:pStyle w:val="Heading3"/>
        <w:numPr>
          <w:ilvl w:val="1"/>
          <w:numId w:val="58"/>
        </w:numPr>
        <w:tabs>
          <w:tab w:pos="1000" w:val="left" w:leader="none"/>
        </w:tabs>
        <w:spacing w:line="320" w:lineRule="exact" w:before="126" w:after="0"/>
        <w:ind w:left="999" w:right="0" w:hanging="284"/>
        <w:jc w:val="both"/>
        <w:rPr>
          <w:i/>
        </w:rPr>
      </w:pPr>
      <w:r>
        <w:rPr>
          <w:i/>
        </w:rPr>
        <w:t>Versement des</w:t>
      </w:r>
      <w:r>
        <w:rPr>
          <w:i/>
          <w:spacing w:val="-2"/>
        </w:rPr>
        <w:t> </w:t>
      </w:r>
      <w:r>
        <w:rPr>
          <w:i/>
        </w:rPr>
        <w:t>acomptes</w:t>
      </w:r>
    </w:p>
    <w:p>
      <w:pPr>
        <w:pStyle w:val="BodyText"/>
        <w:ind w:right="749"/>
      </w:pPr>
      <w:r>
        <w:rPr/>
        <w:t>Le mandatement des sommes dues au titulaire du marché, ou l'émission de l'acte qui en tient lieu, doit intervenir dans un délai maximum de trente (30) jours ouvrables à compter de la date de la constatation des droits à acomptes ou paiement pour solde, ou</w:t>
      </w:r>
      <w:r>
        <w:rPr>
          <w:spacing w:val="-7"/>
        </w:rPr>
        <w:t> </w:t>
      </w:r>
      <w:r>
        <w:rPr/>
        <w:t>à</w:t>
      </w:r>
      <w:r>
        <w:rPr>
          <w:spacing w:val="-5"/>
        </w:rPr>
        <w:t> </w:t>
      </w:r>
      <w:r>
        <w:rPr/>
        <w:t>partir</w:t>
      </w:r>
      <w:r>
        <w:rPr>
          <w:spacing w:val="-8"/>
        </w:rPr>
        <w:t> </w:t>
      </w:r>
      <w:r>
        <w:rPr/>
        <w:t>du</w:t>
      </w:r>
      <w:r>
        <w:rPr>
          <w:spacing w:val="-6"/>
        </w:rPr>
        <w:t> </w:t>
      </w:r>
      <w:r>
        <w:rPr/>
        <w:t>jour</w:t>
      </w:r>
      <w:r>
        <w:rPr>
          <w:spacing w:val="-5"/>
        </w:rPr>
        <w:t> </w:t>
      </w:r>
      <w:r>
        <w:rPr/>
        <w:t>où</w:t>
      </w:r>
      <w:r>
        <w:rPr>
          <w:spacing w:val="-7"/>
        </w:rPr>
        <w:t> </w:t>
      </w:r>
      <w:r>
        <w:rPr/>
        <w:t>le</w:t>
      </w:r>
      <w:r>
        <w:rPr>
          <w:spacing w:val="-4"/>
        </w:rPr>
        <w:t> </w:t>
      </w:r>
      <w:r>
        <w:rPr/>
        <w:t>titulaire</w:t>
      </w:r>
      <w:r>
        <w:rPr>
          <w:spacing w:val="-7"/>
        </w:rPr>
        <w:t> </w:t>
      </w:r>
      <w:r>
        <w:rPr/>
        <w:t>du</w:t>
      </w:r>
      <w:r>
        <w:rPr>
          <w:spacing w:val="-7"/>
        </w:rPr>
        <w:t> </w:t>
      </w:r>
      <w:r>
        <w:rPr/>
        <w:t>marché</w:t>
      </w:r>
      <w:r>
        <w:rPr>
          <w:spacing w:val="-4"/>
        </w:rPr>
        <w:t> </w:t>
      </w:r>
      <w:r>
        <w:rPr/>
        <w:t>a</w:t>
      </w:r>
      <w:r>
        <w:rPr>
          <w:spacing w:val="-5"/>
        </w:rPr>
        <w:t> </w:t>
      </w:r>
      <w:r>
        <w:rPr/>
        <w:t>régularisé</w:t>
      </w:r>
      <w:r>
        <w:rPr>
          <w:spacing w:val="-8"/>
        </w:rPr>
        <w:t> </w:t>
      </w:r>
      <w:r>
        <w:rPr/>
        <w:t>son</w:t>
      </w:r>
      <w:r>
        <w:rPr>
          <w:spacing w:val="-7"/>
        </w:rPr>
        <w:t> </w:t>
      </w:r>
      <w:r>
        <w:rPr/>
        <w:t>dossier</w:t>
      </w:r>
      <w:r>
        <w:rPr>
          <w:spacing w:val="-4"/>
        </w:rPr>
        <w:t> </w:t>
      </w:r>
      <w:r>
        <w:rPr/>
        <w:t>conformément</w:t>
      </w:r>
      <w:r>
        <w:rPr>
          <w:spacing w:val="-5"/>
        </w:rPr>
        <w:t> </w:t>
      </w:r>
      <w:r>
        <w:rPr/>
        <w:t>à</w:t>
      </w:r>
      <w:r>
        <w:rPr>
          <w:spacing w:val="-5"/>
        </w:rPr>
        <w:t> </w:t>
      </w:r>
      <w:r>
        <w:rPr/>
        <w:t>la notification qui lui a été faite dans les conditions dans le paragraphe « constations ouvrant droit aux acomptes ». A défaut, le titulaire du marché bénéficie de plein droit d'intérêts moratoires calculés à partir du jour qui suit l'expiration de ce délai. Les intérêts moratoires sont calculés sur la base des montants dus au titre d'acomptes ou paiement</w:t>
      </w:r>
      <w:r>
        <w:rPr>
          <w:spacing w:val="-9"/>
        </w:rPr>
        <w:t> </w:t>
      </w:r>
      <w:r>
        <w:rPr/>
        <w:t>pour</w:t>
      </w:r>
      <w:r>
        <w:rPr>
          <w:spacing w:val="-10"/>
        </w:rPr>
        <w:t> </w:t>
      </w:r>
      <w:r>
        <w:rPr/>
        <w:t>solde,</w:t>
      </w:r>
      <w:r>
        <w:rPr>
          <w:spacing w:val="-9"/>
        </w:rPr>
        <w:t> </w:t>
      </w:r>
      <w:r>
        <w:rPr/>
        <w:t>au</w:t>
      </w:r>
      <w:r>
        <w:rPr>
          <w:spacing w:val="-9"/>
        </w:rPr>
        <w:t> </w:t>
      </w:r>
      <w:r>
        <w:rPr/>
        <w:t>taux</w:t>
      </w:r>
      <w:r>
        <w:rPr>
          <w:spacing w:val="-8"/>
        </w:rPr>
        <w:t> </w:t>
      </w:r>
      <w:r>
        <w:rPr/>
        <w:t>moyen</w:t>
      </w:r>
      <w:r>
        <w:rPr>
          <w:spacing w:val="-9"/>
        </w:rPr>
        <w:t> </w:t>
      </w:r>
      <w:r>
        <w:rPr/>
        <w:t>du</w:t>
      </w:r>
      <w:r>
        <w:rPr>
          <w:spacing w:val="-9"/>
        </w:rPr>
        <w:t> </w:t>
      </w:r>
      <w:r>
        <w:rPr/>
        <w:t>marché</w:t>
      </w:r>
      <w:r>
        <w:rPr>
          <w:spacing w:val="-9"/>
        </w:rPr>
        <w:t> </w:t>
      </w:r>
      <w:r>
        <w:rPr/>
        <w:t>monétaire,</w:t>
      </w:r>
      <w:r>
        <w:rPr>
          <w:spacing w:val="-13"/>
        </w:rPr>
        <w:t> </w:t>
      </w:r>
      <w:r>
        <w:rPr/>
        <w:t>tel</w:t>
      </w:r>
      <w:r>
        <w:rPr>
          <w:spacing w:val="-11"/>
        </w:rPr>
        <w:t> </w:t>
      </w:r>
      <w:r>
        <w:rPr/>
        <w:t>que</w:t>
      </w:r>
      <w:r>
        <w:rPr>
          <w:spacing w:val="-2"/>
        </w:rPr>
        <w:t> </w:t>
      </w:r>
      <w:r>
        <w:rPr/>
        <w:t>publié</w:t>
      </w:r>
      <w:r>
        <w:rPr>
          <w:spacing w:val="-11"/>
        </w:rPr>
        <w:t> </w:t>
      </w:r>
      <w:r>
        <w:rPr/>
        <w:t>par</w:t>
      </w:r>
      <w:r>
        <w:rPr>
          <w:spacing w:val="-10"/>
        </w:rPr>
        <w:t> </w:t>
      </w:r>
      <w:r>
        <w:rPr/>
        <w:t>la</w:t>
      </w:r>
      <w:r>
        <w:rPr>
          <w:spacing w:val="-11"/>
        </w:rPr>
        <w:t> </w:t>
      </w:r>
      <w:r>
        <w:rPr/>
        <w:t>banque centrale de</w:t>
      </w:r>
      <w:r>
        <w:rPr>
          <w:spacing w:val="-1"/>
        </w:rPr>
        <w:t> </w:t>
      </w:r>
      <w:r>
        <w:rPr/>
        <w:t>Tunisie.</w:t>
      </w:r>
    </w:p>
    <w:p>
      <w:pPr>
        <w:pStyle w:val="BodyText"/>
        <w:spacing w:before="117"/>
        <w:ind w:right="757"/>
      </w:pPr>
      <w:r>
        <w:rPr/>
        <w:t>La Structure financière habilitée, doit payer le titulaire du marché dans un délai maximum de quinze (15) jours à partir de la réception de l'ordre de paiement à condition de la présentation de toutes les pièces justificatives.</w:t>
      </w:r>
    </w:p>
    <w:p>
      <w:pPr>
        <w:pStyle w:val="Heading2"/>
        <w:numPr>
          <w:ilvl w:val="2"/>
          <w:numId w:val="57"/>
        </w:numPr>
        <w:tabs>
          <w:tab w:pos="1307" w:val="left" w:leader="none"/>
        </w:tabs>
        <w:spacing w:line="240" w:lineRule="auto" w:before="126" w:after="0"/>
        <w:ind w:left="1306" w:right="0" w:hanging="874"/>
        <w:jc w:val="both"/>
      </w:pPr>
      <w:bookmarkStart w:name="_TOC_250077" w:id="66"/>
      <w:r>
        <w:rPr/>
        <w:t>Variation dans la masse, changement dans la nature des</w:t>
      </w:r>
      <w:r>
        <w:rPr>
          <w:spacing w:val="-7"/>
        </w:rPr>
        <w:t> </w:t>
      </w:r>
      <w:bookmarkEnd w:id="66"/>
      <w:r>
        <w:rPr/>
        <w:t>commandes</w:t>
      </w:r>
    </w:p>
    <w:p>
      <w:pPr>
        <w:pStyle w:val="BodyText"/>
        <w:spacing w:before="163"/>
        <w:ind w:right="750"/>
      </w:pPr>
      <w:r>
        <w:rPr/>
        <w:t>En cas d'augmentation ou de diminution dans la masse des prestations, pour les marchés à prix unitaire, le titulaire du marché ne peut élever aucune réclamation ou réserve</w:t>
      </w:r>
      <w:r>
        <w:rPr>
          <w:spacing w:val="-13"/>
        </w:rPr>
        <w:t> </w:t>
      </w:r>
      <w:r>
        <w:rPr/>
        <w:t>tant</w:t>
      </w:r>
      <w:r>
        <w:rPr>
          <w:spacing w:val="-9"/>
        </w:rPr>
        <w:t> </w:t>
      </w:r>
      <w:r>
        <w:rPr/>
        <w:t>que</w:t>
      </w:r>
      <w:r>
        <w:rPr>
          <w:spacing w:val="-11"/>
        </w:rPr>
        <w:t> </w:t>
      </w:r>
      <w:r>
        <w:rPr/>
        <w:t>cette</w:t>
      </w:r>
      <w:r>
        <w:rPr>
          <w:spacing w:val="-12"/>
        </w:rPr>
        <w:t> </w:t>
      </w:r>
      <w:r>
        <w:rPr/>
        <w:t>augmentation</w:t>
      </w:r>
      <w:r>
        <w:rPr>
          <w:spacing w:val="-10"/>
        </w:rPr>
        <w:t> </w:t>
      </w:r>
      <w:r>
        <w:rPr/>
        <w:t>ou</w:t>
      </w:r>
      <w:r>
        <w:rPr>
          <w:spacing w:val="-10"/>
        </w:rPr>
        <w:t> </w:t>
      </w:r>
      <w:r>
        <w:rPr/>
        <w:t>diminution</w:t>
      </w:r>
      <w:r>
        <w:rPr>
          <w:spacing w:val="-9"/>
        </w:rPr>
        <w:t> </w:t>
      </w:r>
      <w:r>
        <w:rPr/>
        <w:t>n'excède</w:t>
      </w:r>
      <w:r>
        <w:rPr>
          <w:spacing w:val="-13"/>
        </w:rPr>
        <w:t> </w:t>
      </w:r>
      <w:r>
        <w:rPr/>
        <w:t>pas</w:t>
      </w:r>
      <w:r>
        <w:rPr>
          <w:spacing w:val="-9"/>
        </w:rPr>
        <w:t> </w:t>
      </w:r>
      <w:r>
        <w:rPr/>
        <w:t>une</w:t>
      </w:r>
      <w:r>
        <w:rPr>
          <w:spacing w:val="-11"/>
        </w:rPr>
        <w:t> </w:t>
      </w:r>
      <w:r>
        <w:rPr/>
        <w:t>limite</w:t>
      </w:r>
      <w:r>
        <w:rPr>
          <w:spacing w:val="-10"/>
        </w:rPr>
        <w:t> </w:t>
      </w:r>
      <w:r>
        <w:rPr/>
        <w:t>fixée</w:t>
      </w:r>
      <w:r>
        <w:rPr>
          <w:spacing w:val="-11"/>
        </w:rPr>
        <w:t> </w:t>
      </w:r>
      <w:r>
        <w:rPr/>
        <w:t>par</w:t>
      </w:r>
      <w:r>
        <w:rPr>
          <w:spacing w:val="-10"/>
        </w:rPr>
        <w:t> </w:t>
      </w:r>
      <w:r>
        <w:rPr/>
        <w:t>les cahiers des charges. Faute de stipulation par les cahiers des charges, cette limite est égale à trente pour cent (30%) du montant du</w:t>
      </w:r>
      <w:r>
        <w:rPr>
          <w:spacing w:val="-7"/>
        </w:rPr>
        <w:t> </w:t>
      </w:r>
      <w:r>
        <w:rPr/>
        <w:t>marché.</w:t>
      </w:r>
    </w:p>
    <w:p>
      <w:pPr>
        <w:pStyle w:val="BodyText"/>
        <w:spacing w:before="121"/>
        <w:ind w:right="751"/>
      </w:pPr>
      <w:r>
        <w:rPr/>
        <w:t>Au cas où l’augmentation dépasse cette limite, le titulaire du marché peut demander</w:t>
      </w:r>
      <w:r>
        <w:rPr>
          <w:spacing w:val="-12"/>
        </w:rPr>
        <w:t> </w:t>
      </w:r>
      <w:r>
        <w:rPr/>
        <w:t>la</w:t>
      </w:r>
      <w:r>
        <w:rPr>
          <w:spacing w:val="-9"/>
        </w:rPr>
        <w:t> </w:t>
      </w:r>
      <w:r>
        <w:rPr/>
        <w:t>résiliation</w:t>
      </w:r>
      <w:r>
        <w:rPr>
          <w:spacing w:val="-8"/>
        </w:rPr>
        <w:t> </w:t>
      </w:r>
      <w:r>
        <w:rPr/>
        <w:t>du</w:t>
      </w:r>
      <w:r>
        <w:rPr>
          <w:spacing w:val="-8"/>
        </w:rPr>
        <w:t> </w:t>
      </w:r>
      <w:r>
        <w:rPr/>
        <w:t>marché</w:t>
      </w:r>
      <w:r>
        <w:rPr>
          <w:spacing w:val="-9"/>
        </w:rPr>
        <w:t> </w:t>
      </w:r>
      <w:r>
        <w:rPr/>
        <w:t>sans</w:t>
      </w:r>
      <w:r>
        <w:rPr>
          <w:spacing w:val="-9"/>
        </w:rPr>
        <w:t> </w:t>
      </w:r>
      <w:r>
        <w:rPr/>
        <w:t>réclamer</w:t>
      </w:r>
      <w:r>
        <w:rPr>
          <w:spacing w:val="-8"/>
        </w:rPr>
        <w:t> </w:t>
      </w:r>
      <w:r>
        <w:rPr/>
        <w:t>d’indemnités</w:t>
      </w:r>
      <w:r>
        <w:rPr>
          <w:spacing w:val="-8"/>
        </w:rPr>
        <w:t> </w:t>
      </w:r>
      <w:r>
        <w:rPr/>
        <w:t>à</w:t>
      </w:r>
      <w:r>
        <w:rPr>
          <w:spacing w:val="-11"/>
        </w:rPr>
        <w:t> </w:t>
      </w:r>
      <w:r>
        <w:rPr/>
        <w:t>condition</w:t>
      </w:r>
      <w:r>
        <w:rPr>
          <w:spacing w:val="-10"/>
        </w:rPr>
        <w:t> </w:t>
      </w:r>
      <w:r>
        <w:rPr/>
        <w:t>de</w:t>
      </w:r>
      <w:r>
        <w:rPr>
          <w:spacing w:val="-11"/>
        </w:rPr>
        <w:t> </w:t>
      </w:r>
      <w:r>
        <w:rPr/>
        <w:t>présenter une demande écrite à cet effet au GCT dans un délai de 45 jours à compter de la réception de l’acte entraînant ladite augmentation.</w:t>
      </w:r>
    </w:p>
    <w:p>
      <w:pPr>
        <w:pStyle w:val="BodyText"/>
        <w:spacing w:before="118"/>
        <w:ind w:right="753"/>
      </w:pPr>
      <w:r>
        <w:rPr/>
        <w:t>Au cas où la diminution dépasse cette limite, le titulaire peut demander soit la résiliation du contrat dans les conditions prévues ci-dessus soit réclamer, à titre de dédommagement, une indemnité qui, à défaut d'entente amiable, sera déterminée par la juridiction compétente.</w:t>
      </w:r>
    </w:p>
    <w:p>
      <w:pPr>
        <w:pStyle w:val="BodyText"/>
        <w:spacing w:before="122"/>
        <w:ind w:right="749"/>
      </w:pPr>
      <w:r>
        <w:rPr/>
        <w:t>Dans tous les cas, toute variation dans la masse dépassant le taux de trente pour cent (30%) ou tout changement dans la nature des prestations doit faire l’objet d’un projet d’avenant à soumettre à l'avis préalable de la commission de contrôle compétente.</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2"/>
      </w:pPr>
      <w:r>
        <w:rPr/>
        <w:t>Le titulaire du marché peut être indemnisé au titre des dommages et des charges supplémentaires dus au retard imputé au GCT ou aux modifications importantes apportées au projet en cours d’exécution.</w:t>
      </w:r>
    </w:p>
    <w:p>
      <w:pPr>
        <w:pStyle w:val="BodyText"/>
        <w:spacing w:before="121"/>
        <w:ind w:right="753"/>
      </w:pPr>
      <w:r>
        <w:rPr/>
        <w:t>Le cahier des charges doit indiquer les conditions de l’indemnisation quant à la période du retard, l’importance et la nature des modifications pouvant être apportées au projet ainsi que les modalités du calcul de l’indemnisation. Le titulaire du marché doit présenter une demande à cet effet dans laquelle, il indique le montant de l’indemnisation, les bases et les indices ayant servi à son évaluation. Cette demande doit être accompagnée par tous les documents et justificatifs le prouvant. La Structure d’achat concernée procède à l’étude de cette demande et établit à cet effet un rapport qu’elle</w:t>
      </w:r>
      <w:r>
        <w:rPr>
          <w:spacing w:val="-10"/>
        </w:rPr>
        <w:t> </w:t>
      </w:r>
      <w:r>
        <w:rPr/>
        <w:t>soumet</w:t>
      </w:r>
      <w:r>
        <w:rPr>
          <w:spacing w:val="-9"/>
        </w:rPr>
        <w:t> </w:t>
      </w:r>
      <w:r>
        <w:rPr/>
        <w:t>à</w:t>
      </w:r>
      <w:r>
        <w:rPr>
          <w:spacing w:val="-10"/>
        </w:rPr>
        <w:t> </w:t>
      </w:r>
      <w:r>
        <w:rPr/>
        <w:t>la</w:t>
      </w:r>
      <w:r>
        <w:rPr>
          <w:spacing w:val="-10"/>
        </w:rPr>
        <w:t> </w:t>
      </w:r>
      <w:r>
        <w:rPr/>
        <w:t>commission</w:t>
      </w:r>
      <w:r>
        <w:rPr>
          <w:spacing w:val="-9"/>
        </w:rPr>
        <w:t> </w:t>
      </w:r>
      <w:r>
        <w:rPr/>
        <w:t>de</w:t>
      </w:r>
      <w:r>
        <w:rPr>
          <w:spacing w:val="-10"/>
        </w:rPr>
        <w:t> </w:t>
      </w:r>
      <w:r>
        <w:rPr/>
        <w:t>contrôle</w:t>
      </w:r>
      <w:r>
        <w:rPr>
          <w:spacing w:val="-11"/>
        </w:rPr>
        <w:t> </w:t>
      </w:r>
      <w:r>
        <w:rPr/>
        <w:t>compétente.</w:t>
      </w:r>
      <w:r>
        <w:rPr>
          <w:spacing w:val="-10"/>
        </w:rPr>
        <w:t> </w:t>
      </w:r>
      <w:r>
        <w:rPr/>
        <w:t>Ce</w:t>
      </w:r>
      <w:r>
        <w:rPr>
          <w:spacing w:val="-10"/>
        </w:rPr>
        <w:t> </w:t>
      </w:r>
      <w:r>
        <w:rPr/>
        <w:t>rapport</w:t>
      </w:r>
      <w:r>
        <w:rPr>
          <w:spacing w:val="-9"/>
        </w:rPr>
        <w:t> </w:t>
      </w:r>
      <w:r>
        <w:rPr/>
        <w:t>comporte</w:t>
      </w:r>
      <w:r>
        <w:rPr>
          <w:spacing w:val="-10"/>
        </w:rPr>
        <w:t> </w:t>
      </w:r>
      <w:r>
        <w:rPr/>
        <w:t>l’avis</w:t>
      </w:r>
      <w:r>
        <w:rPr>
          <w:spacing w:val="-12"/>
        </w:rPr>
        <w:t> </w:t>
      </w:r>
      <w:r>
        <w:rPr/>
        <w:t>de la structure d’achat concernée sur la demande </w:t>
      </w:r>
      <w:r>
        <w:rPr>
          <w:spacing w:val="3"/>
        </w:rPr>
        <w:t>du </w:t>
      </w:r>
      <w:r>
        <w:rPr/>
        <w:t>titulaire du marché et sa proposition à cet égard, accompagnée d’un projet d’avenant le cas</w:t>
      </w:r>
      <w:r>
        <w:rPr>
          <w:spacing w:val="-7"/>
        </w:rPr>
        <w:t> </w:t>
      </w:r>
      <w:r>
        <w:rPr/>
        <w:t>échéant.</w:t>
      </w:r>
    </w:p>
    <w:p>
      <w:pPr>
        <w:pStyle w:val="BodyText"/>
        <w:spacing w:before="119"/>
        <w:ind w:right="748"/>
      </w:pPr>
      <w:r>
        <w:rPr/>
        <w:t>Si la commission de contrôle des marchés compétente approuve le bien-fondé de la demande d’indemnisation, le GCT procède à l’établissement d’un projet d’avenant au marché conformément à l’avis de la commission de contrôle des marchés qu’il soumet au titulaire du marché pour signature</w:t>
      </w:r>
    </w:p>
    <w:p>
      <w:pPr>
        <w:pStyle w:val="Heading2"/>
        <w:numPr>
          <w:ilvl w:val="2"/>
          <w:numId w:val="57"/>
        </w:numPr>
        <w:tabs>
          <w:tab w:pos="1307" w:val="left" w:leader="none"/>
        </w:tabs>
        <w:spacing w:line="240" w:lineRule="auto" w:before="127" w:after="0"/>
        <w:ind w:left="1306" w:right="0" w:hanging="874"/>
        <w:jc w:val="both"/>
      </w:pPr>
      <w:bookmarkStart w:name="_TOC_250076" w:id="67"/>
      <w:bookmarkEnd w:id="67"/>
      <w:r>
        <w:rPr/>
        <w:t>Sous-traitance</w:t>
      </w:r>
    </w:p>
    <w:p>
      <w:pPr>
        <w:pStyle w:val="BodyText"/>
        <w:spacing w:before="162"/>
        <w:ind w:right="757"/>
      </w:pPr>
      <w:r>
        <w:rPr/>
        <w:t>Le titulaire du marché doit en assurer personnellement l'exécution. Il ne peut ni en faire apport à une société, ni en confier son exécution à autrui. Toutefois, pour les marchés de travaux ou de services, le titulaire peut en confier l'exécution d'une partie à</w:t>
      </w:r>
      <w:r>
        <w:rPr>
          <w:spacing w:val="-9"/>
        </w:rPr>
        <w:t> </w:t>
      </w:r>
      <w:r>
        <w:rPr/>
        <w:t>un</w:t>
      </w:r>
      <w:r>
        <w:rPr>
          <w:spacing w:val="-10"/>
        </w:rPr>
        <w:t> </w:t>
      </w:r>
      <w:r>
        <w:rPr/>
        <w:t>ou</w:t>
      </w:r>
      <w:r>
        <w:rPr>
          <w:spacing w:val="-10"/>
        </w:rPr>
        <w:t> </w:t>
      </w:r>
      <w:r>
        <w:rPr/>
        <w:t>plusieurs</w:t>
      </w:r>
      <w:r>
        <w:rPr>
          <w:spacing w:val="-8"/>
        </w:rPr>
        <w:t> </w:t>
      </w:r>
      <w:r>
        <w:rPr/>
        <w:t>sous-traitants</w:t>
      </w:r>
      <w:r>
        <w:rPr>
          <w:spacing w:val="-8"/>
        </w:rPr>
        <w:t> </w:t>
      </w:r>
      <w:r>
        <w:rPr/>
        <w:t>après</w:t>
      </w:r>
      <w:r>
        <w:rPr>
          <w:spacing w:val="-8"/>
        </w:rPr>
        <w:t> </w:t>
      </w:r>
      <w:r>
        <w:rPr/>
        <w:t>autorisation</w:t>
      </w:r>
      <w:r>
        <w:rPr>
          <w:spacing w:val="-10"/>
        </w:rPr>
        <w:t> </w:t>
      </w:r>
      <w:r>
        <w:rPr/>
        <w:t>préalable</w:t>
      </w:r>
      <w:r>
        <w:rPr>
          <w:spacing w:val="-9"/>
        </w:rPr>
        <w:t> </w:t>
      </w:r>
      <w:r>
        <w:rPr/>
        <w:t>écrite</w:t>
      </w:r>
      <w:r>
        <w:rPr>
          <w:spacing w:val="-11"/>
        </w:rPr>
        <w:t> </w:t>
      </w:r>
      <w:r>
        <w:rPr/>
        <w:t>du</w:t>
      </w:r>
      <w:r>
        <w:rPr>
          <w:spacing w:val="-8"/>
        </w:rPr>
        <w:t> </w:t>
      </w:r>
      <w:r>
        <w:rPr/>
        <w:t>GCT.</w:t>
      </w:r>
      <w:r>
        <w:rPr>
          <w:spacing w:val="-9"/>
        </w:rPr>
        <w:t> </w:t>
      </w:r>
      <w:r>
        <w:rPr/>
        <w:t>Les</w:t>
      </w:r>
      <w:r>
        <w:rPr>
          <w:spacing w:val="-7"/>
        </w:rPr>
        <w:t> </w:t>
      </w:r>
      <w:r>
        <w:rPr/>
        <w:t>cahiers des charges peuvent prévoir le paiement direct par le GCT des sous-traitants</w:t>
      </w:r>
      <w:r>
        <w:rPr>
          <w:spacing w:val="-21"/>
        </w:rPr>
        <w:t> </w:t>
      </w:r>
      <w:r>
        <w:rPr/>
        <w:t>agrées.</w:t>
      </w:r>
    </w:p>
    <w:p>
      <w:pPr>
        <w:pStyle w:val="BodyText"/>
        <w:spacing w:before="121"/>
        <w:ind w:right="755"/>
      </w:pPr>
      <w:r>
        <w:rPr/>
        <w:t>Au cas où le titulaire du marché a sous-traité ou a fait apport du marché à une société, sans l'autorisation du GCT, il peut être fait application sans mise en demeure préalable des mesures de résiliation prévue dans le paragraphe VII.</w:t>
      </w:r>
    </w:p>
    <w:p>
      <w:pPr>
        <w:pStyle w:val="BodyText"/>
        <w:spacing w:before="119"/>
        <w:ind w:right="751"/>
      </w:pPr>
      <w:r>
        <w:rPr/>
        <w:t>Le</w:t>
      </w:r>
      <w:r>
        <w:rPr>
          <w:spacing w:val="-16"/>
        </w:rPr>
        <w:t> </w:t>
      </w:r>
      <w:r>
        <w:rPr/>
        <w:t>changement</w:t>
      </w:r>
      <w:r>
        <w:rPr>
          <w:spacing w:val="-14"/>
        </w:rPr>
        <w:t> </w:t>
      </w:r>
      <w:r>
        <w:rPr/>
        <w:t>de</w:t>
      </w:r>
      <w:r>
        <w:rPr>
          <w:spacing w:val="-15"/>
        </w:rPr>
        <w:t> </w:t>
      </w:r>
      <w:r>
        <w:rPr/>
        <w:t>sous-traitant</w:t>
      </w:r>
      <w:r>
        <w:rPr>
          <w:spacing w:val="-16"/>
        </w:rPr>
        <w:t> </w:t>
      </w:r>
      <w:r>
        <w:rPr/>
        <w:t>doit</w:t>
      </w:r>
      <w:r>
        <w:rPr>
          <w:spacing w:val="-14"/>
        </w:rPr>
        <w:t> </w:t>
      </w:r>
      <w:r>
        <w:rPr/>
        <w:t>être</w:t>
      </w:r>
      <w:r>
        <w:rPr>
          <w:spacing w:val="-17"/>
        </w:rPr>
        <w:t> </w:t>
      </w:r>
      <w:r>
        <w:rPr/>
        <w:t>préalablement</w:t>
      </w:r>
      <w:r>
        <w:rPr>
          <w:spacing w:val="-14"/>
        </w:rPr>
        <w:t> </w:t>
      </w:r>
      <w:r>
        <w:rPr/>
        <w:t>agréé</w:t>
      </w:r>
      <w:r>
        <w:rPr>
          <w:spacing w:val="-17"/>
        </w:rPr>
        <w:t> </w:t>
      </w:r>
      <w:r>
        <w:rPr/>
        <w:t>par</w:t>
      </w:r>
      <w:r>
        <w:rPr>
          <w:spacing w:val="-17"/>
        </w:rPr>
        <w:t> </w:t>
      </w:r>
      <w:r>
        <w:rPr/>
        <w:t>écrit</w:t>
      </w:r>
      <w:r>
        <w:rPr>
          <w:spacing w:val="-16"/>
        </w:rPr>
        <w:t> </w:t>
      </w:r>
      <w:r>
        <w:rPr/>
        <w:t>par</w:t>
      </w:r>
      <w:r>
        <w:rPr>
          <w:spacing w:val="-17"/>
        </w:rPr>
        <w:t> </w:t>
      </w:r>
      <w:r>
        <w:rPr/>
        <w:t>le</w:t>
      </w:r>
      <w:r>
        <w:rPr>
          <w:spacing w:val="-17"/>
        </w:rPr>
        <w:t> </w:t>
      </w:r>
      <w:r>
        <w:rPr/>
        <w:t>GCT. Lorsque l’appréciation d’un sous-traitant a été prise en considération dans le choix du titulaire, le GCT ne peut agréer le changement de ce sous-traitant que suite à l’avis de la commission de contrôle</w:t>
      </w:r>
      <w:r>
        <w:rPr>
          <w:spacing w:val="-1"/>
        </w:rPr>
        <w:t> </w:t>
      </w:r>
      <w:r>
        <w:rPr/>
        <w:t>compétente.</w:t>
      </w:r>
    </w:p>
    <w:p>
      <w:pPr>
        <w:pStyle w:val="BodyText"/>
        <w:spacing w:before="121"/>
        <w:ind w:right="750"/>
      </w:pPr>
      <w:r>
        <w:rPr/>
        <w:t>Dans ce cas, les sous-traitants proposés doivent répondre aux références et garanties</w:t>
      </w:r>
      <w:r>
        <w:rPr>
          <w:spacing w:val="-17"/>
        </w:rPr>
        <w:t> </w:t>
      </w:r>
      <w:r>
        <w:rPr/>
        <w:t>professionnelles</w:t>
      </w:r>
      <w:r>
        <w:rPr>
          <w:spacing w:val="-17"/>
        </w:rPr>
        <w:t> </w:t>
      </w:r>
      <w:r>
        <w:rPr/>
        <w:t>citées</w:t>
      </w:r>
      <w:r>
        <w:rPr>
          <w:spacing w:val="-17"/>
        </w:rPr>
        <w:t> </w:t>
      </w:r>
      <w:r>
        <w:rPr/>
        <w:t>dans</w:t>
      </w:r>
      <w:r>
        <w:rPr>
          <w:spacing w:val="-17"/>
        </w:rPr>
        <w:t> </w:t>
      </w:r>
      <w:r>
        <w:rPr/>
        <w:t>le</w:t>
      </w:r>
      <w:r>
        <w:rPr>
          <w:spacing w:val="-18"/>
        </w:rPr>
        <w:t> </w:t>
      </w:r>
      <w:r>
        <w:rPr/>
        <w:t>marché</w:t>
      </w:r>
      <w:r>
        <w:rPr>
          <w:spacing w:val="-18"/>
        </w:rPr>
        <w:t> </w:t>
      </w:r>
      <w:r>
        <w:rPr/>
        <w:t>et</w:t>
      </w:r>
      <w:r>
        <w:rPr>
          <w:spacing w:val="-17"/>
        </w:rPr>
        <w:t> </w:t>
      </w:r>
      <w:r>
        <w:rPr/>
        <w:t>requises</w:t>
      </w:r>
      <w:r>
        <w:rPr>
          <w:spacing w:val="-17"/>
        </w:rPr>
        <w:t> </w:t>
      </w:r>
      <w:r>
        <w:rPr/>
        <w:t>par</w:t>
      </w:r>
      <w:r>
        <w:rPr>
          <w:spacing w:val="-16"/>
        </w:rPr>
        <w:t> </w:t>
      </w:r>
      <w:r>
        <w:rPr/>
        <w:t>la</w:t>
      </w:r>
      <w:r>
        <w:rPr>
          <w:spacing w:val="-18"/>
        </w:rPr>
        <w:t> </w:t>
      </w:r>
      <w:r>
        <w:rPr/>
        <w:t>spécificité</w:t>
      </w:r>
      <w:r>
        <w:rPr>
          <w:spacing w:val="-9"/>
        </w:rPr>
        <w:t> </w:t>
      </w:r>
      <w:r>
        <w:rPr/>
        <w:t>des</w:t>
      </w:r>
      <w:r>
        <w:rPr>
          <w:spacing w:val="-17"/>
        </w:rPr>
        <w:t> </w:t>
      </w:r>
      <w:r>
        <w:rPr/>
        <w:t>parties de la commande objet de la sous-traitance. Dans tous les cas le titulaire du marché demeure personnellement responsable à l’égard du</w:t>
      </w:r>
      <w:r>
        <w:rPr>
          <w:spacing w:val="-1"/>
        </w:rPr>
        <w:t> </w:t>
      </w:r>
      <w:r>
        <w:rPr/>
        <w:t>GCT.</w:t>
      </w:r>
    </w:p>
    <w:p>
      <w:pPr>
        <w:pStyle w:val="Heading2"/>
        <w:numPr>
          <w:ilvl w:val="2"/>
          <w:numId w:val="57"/>
        </w:numPr>
        <w:tabs>
          <w:tab w:pos="1307" w:val="left" w:leader="none"/>
        </w:tabs>
        <w:spacing w:line="240" w:lineRule="auto" w:before="126" w:after="0"/>
        <w:ind w:left="1306" w:right="0" w:hanging="874"/>
        <w:jc w:val="both"/>
      </w:pPr>
      <w:bookmarkStart w:name="_TOC_250075" w:id="68"/>
      <w:bookmarkEnd w:id="68"/>
      <w:r>
        <w:rPr/>
        <w:t>Les avenants</w:t>
      </w:r>
    </w:p>
    <w:p>
      <w:pPr>
        <w:pStyle w:val="BodyText"/>
        <w:spacing w:before="43"/>
        <w:ind w:right="752"/>
      </w:pPr>
      <w:r>
        <w:rPr/>
        <w:t>Toute modification portant sur les clauses administratives, financières ou techniques</w:t>
      </w:r>
      <w:r>
        <w:rPr>
          <w:spacing w:val="-10"/>
        </w:rPr>
        <w:t> </w:t>
      </w:r>
      <w:r>
        <w:rPr/>
        <w:t>du</w:t>
      </w:r>
      <w:r>
        <w:rPr>
          <w:spacing w:val="-7"/>
        </w:rPr>
        <w:t> </w:t>
      </w:r>
      <w:r>
        <w:rPr/>
        <w:t>marché</w:t>
      </w:r>
      <w:r>
        <w:rPr>
          <w:spacing w:val="-12"/>
        </w:rPr>
        <w:t> </w:t>
      </w:r>
      <w:r>
        <w:rPr/>
        <w:t>après</w:t>
      </w:r>
      <w:r>
        <w:rPr>
          <w:spacing w:val="-6"/>
        </w:rPr>
        <w:t> </w:t>
      </w:r>
      <w:r>
        <w:rPr/>
        <w:t>la</w:t>
      </w:r>
      <w:r>
        <w:rPr>
          <w:spacing w:val="-10"/>
        </w:rPr>
        <w:t> </w:t>
      </w:r>
      <w:r>
        <w:rPr/>
        <w:t>signature</w:t>
      </w:r>
      <w:r>
        <w:rPr>
          <w:spacing w:val="-9"/>
        </w:rPr>
        <w:t> </w:t>
      </w:r>
      <w:r>
        <w:rPr/>
        <w:t>du</w:t>
      </w:r>
      <w:r>
        <w:rPr>
          <w:spacing w:val="-9"/>
        </w:rPr>
        <w:t> </w:t>
      </w:r>
      <w:r>
        <w:rPr/>
        <w:t>contrat</w:t>
      </w:r>
      <w:r>
        <w:rPr>
          <w:spacing w:val="-8"/>
        </w:rPr>
        <w:t> </w:t>
      </w:r>
      <w:r>
        <w:rPr/>
        <w:t>doit</w:t>
      </w:r>
      <w:r>
        <w:rPr>
          <w:spacing w:val="-10"/>
        </w:rPr>
        <w:t> </w:t>
      </w:r>
      <w:r>
        <w:rPr/>
        <w:t>faire</w:t>
      </w:r>
      <w:r>
        <w:rPr>
          <w:spacing w:val="-10"/>
        </w:rPr>
        <w:t> </w:t>
      </w:r>
      <w:r>
        <w:rPr/>
        <w:t>l’objet</w:t>
      </w:r>
      <w:r>
        <w:rPr>
          <w:spacing w:val="-9"/>
        </w:rPr>
        <w:t> </w:t>
      </w:r>
      <w:r>
        <w:rPr/>
        <w:t>d’un</w:t>
      </w:r>
      <w:r>
        <w:rPr>
          <w:spacing w:val="-9"/>
        </w:rPr>
        <w:t> </w:t>
      </w:r>
      <w:r>
        <w:rPr/>
        <w:t>avenant</w:t>
      </w:r>
      <w:r>
        <w:rPr>
          <w:spacing w:val="-9"/>
        </w:rPr>
        <w:t> </w:t>
      </w:r>
      <w:r>
        <w:rPr/>
        <w:t>écrit,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1" w:firstLine="0"/>
      </w:pPr>
      <w:r>
        <w:rPr/>
        <w:t>signé par le GCT et par le titulaire du marché après approbation de la Commission de contrôle compétente.</w:t>
      </w:r>
    </w:p>
    <w:p>
      <w:pPr>
        <w:pStyle w:val="BodyText"/>
        <w:spacing w:line="242" w:lineRule="auto"/>
        <w:ind w:right="759"/>
      </w:pPr>
      <w:r>
        <w:rPr/>
        <w:t>La Structure d’achat concernée prépare un projet d’avenant et le soumet à la Structure chargée des affaires juridiques pour approbation.</w:t>
      </w:r>
    </w:p>
    <w:p>
      <w:pPr>
        <w:pStyle w:val="BodyText"/>
        <w:ind w:right="759"/>
      </w:pPr>
      <w:r>
        <w:rPr/>
        <w:t>L’avenant de marché est par la suite transmis par la Structure d’achat à la Commission de contrôle compétente pour examen et avis.</w:t>
      </w:r>
    </w:p>
    <w:p>
      <w:pPr>
        <w:pStyle w:val="BodyText"/>
        <w:ind w:right="753"/>
      </w:pPr>
      <w:r>
        <w:rPr/>
        <w:t>Suite à l’approbation de l’avenant, la Structure d’achat le transmet de nouveau à la Structure chargée des affaires juridiques pour signature. Les avenants doivent être édités et signées en (04) exemplaires (1 pour le titulaire du marché, 1 pour le GCT, 2 pour enregistrement).</w:t>
      </w:r>
    </w:p>
    <w:p>
      <w:pPr>
        <w:pStyle w:val="BodyText"/>
        <w:ind w:right="758"/>
      </w:pPr>
      <w:r>
        <w:rPr/>
        <w:t>Les</w:t>
      </w:r>
      <w:r>
        <w:rPr>
          <w:spacing w:val="-19"/>
        </w:rPr>
        <w:t> </w:t>
      </w:r>
      <w:r>
        <w:rPr/>
        <w:t>avenants</w:t>
      </w:r>
      <w:r>
        <w:rPr>
          <w:spacing w:val="-19"/>
        </w:rPr>
        <w:t> </w:t>
      </w:r>
      <w:r>
        <w:rPr/>
        <w:t>signés</w:t>
      </w:r>
      <w:r>
        <w:rPr>
          <w:spacing w:val="-19"/>
        </w:rPr>
        <w:t> </w:t>
      </w:r>
      <w:r>
        <w:rPr/>
        <w:t>doivent</w:t>
      </w:r>
      <w:r>
        <w:rPr>
          <w:spacing w:val="-19"/>
        </w:rPr>
        <w:t> </w:t>
      </w:r>
      <w:r>
        <w:rPr/>
        <w:t>être</w:t>
      </w:r>
      <w:r>
        <w:rPr>
          <w:spacing w:val="-18"/>
        </w:rPr>
        <w:t> </w:t>
      </w:r>
      <w:r>
        <w:rPr/>
        <w:t>enregistrés</w:t>
      </w:r>
      <w:r>
        <w:rPr>
          <w:spacing w:val="-21"/>
        </w:rPr>
        <w:t> </w:t>
      </w:r>
      <w:r>
        <w:rPr/>
        <w:t>à</w:t>
      </w:r>
      <w:r>
        <w:rPr>
          <w:spacing w:val="-20"/>
        </w:rPr>
        <w:t> </w:t>
      </w:r>
      <w:r>
        <w:rPr/>
        <w:t>la</w:t>
      </w:r>
      <w:r>
        <w:rPr>
          <w:spacing w:val="-20"/>
        </w:rPr>
        <w:t> </w:t>
      </w:r>
      <w:r>
        <w:rPr/>
        <w:t>recette</w:t>
      </w:r>
      <w:r>
        <w:rPr>
          <w:spacing w:val="-19"/>
        </w:rPr>
        <w:t> </w:t>
      </w:r>
      <w:r>
        <w:rPr/>
        <w:t>des</w:t>
      </w:r>
      <w:r>
        <w:rPr>
          <w:spacing w:val="-19"/>
        </w:rPr>
        <w:t> </w:t>
      </w:r>
      <w:r>
        <w:rPr/>
        <w:t>finances</w:t>
      </w:r>
      <w:r>
        <w:rPr>
          <w:spacing w:val="-19"/>
        </w:rPr>
        <w:t> </w:t>
      </w:r>
      <w:r>
        <w:rPr/>
        <w:t>par</w:t>
      </w:r>
      <w:r>
        <w:rPr>
          <w:spacing w:val="-19"/>
        </w:rPr>
        <w:t> </w:t>
      </w:r>
      <w:r>
        <w:rPr/>
        <w:t>le</w:t>
      </w:r>
      <w:r>
        <w:rPr>
          <w:spacing w:val="-19"/>
        </w:rPr>
        <w:t> </w:t>
      </w:r>
      <w:r>
        <w:rPr/>
        <w:t>titulaire du marché.</w:t>
      </w:r>
    </w:p>
    <w:p>
      <w:pPr>
        <w:pStyle w:val="Heading2"/>
        <w:numPr>
          <w:ilvl w:val="2"/>
          <w:numId w:val="57"/>
        </w:numPr>
        <w:tabs>
          <w:tab w:pos="1307" w:val="left" w:leader="none"/>
        </w:tabs>
        <w:spacing w:line="240" w:lineRule="auto" w:before="119" w:after="0"/>
        <w:ind w:left="1306" w:right="0" w:hanging="874"/>
        <w:jc w:val="both"/>
      </w:pPr>
      <w:bookmarkStart w:name="_TOC_250074" w:id="69"/>
      <w:bookmarkEnd w:id="69"/>
      <w:r>
        <w:rPr/>
        <w:t>Formalités</w:t>
      </w:r>
    </w:p>
    <w:p>
      <w:pPr>
        <w:pStyle w:val="BodyText"/>
        <w:spacing w:before="43"/>
        <w:ind w:right="754"/>
      </w:pPr>
      <w:r>
        <w:rPr/>
        <w:t>Les formalités liées aux achats sous douanes sont assurées par des structures chargées des procédures de formalités qui englobent :</w:t>
      </w:r>
    </w:p>
    <w:p>
      <w:pPr>
        <w:pStyle w:val="ListParagraph"/>
        <w:numPr>
          <w:ilvl w:val="0"/>
          <w:numId w:val="61"/>
        </w:numPr>
        <w:tabs>
          <w:tab w:pos="1153" w:val="left" w:leader="none"/>
          <w:tab w:pos="1154" w:val="left" w:leader="none"/>
        </w:tabs>
        <w:spacing w:line="334" w:lineRule="exact" w:before="1" w:after="0"/>
        <w:ind w:left="1153" w:right="0" w:hanging="361"/>
        <w:jc w:val="left"/>
        <w:rPr>
          <w:sz w:val="28"/>
        </w:rPr>
      </w:pPr>
      <w:r>
        <w:rPr>
          <w:sz w:val="28"/>
        </w:rPr>
        <w:t>Les formalités</w:t>
      </w:r>
      <w:r>
        <w:rPr>
          <w:spacing w:val="-1"/>
          <w:sz w:val="28"/>
        </w:rPr>
        <w:t> </w:t>
      </w:r>
      <w:r>
        <w:rPr>
          <w:sz w:val="28"/>
        </w:rPr>
        <w:t>douanières</w:t>
      </w:r>
    </w:p>
    <w:p>
      <w:pPr>
        <w:pStyle w:val="ListParagraph"/>
        <w:numPr>
          <w:ilvl w:val="0"/>
          <w:numId w:val="61"/>
        </w:numPr>
        <w:tabs>
          <w:tab w:pos="1153" w:val="left" w:leader="none"/>
          <w:tab w:pos="1154" w:val="left" w:leader="none"/>
        </w:tabs>
        <w:spacing w:line="327" w:lineRule="exact" w:before="0" w:after="0"/>
        <w:ind w:left="1153" w:right="0" w:hanging="361"/>
        <w:jc w:val="left"/>
        <w:rPr>
          <w:sz w:val="28"/>
        </w:rPr>
      </w:pPr>
      <w:r>
        <w:rPr>
          <w:sz w:val="28"/>
        </w:rPr>
        <w:t>Les</w:t>
      </w:r>
      <w:r>
        <w:rPr>
          <w:spacing w:val="-1"/>
          <w:sz w:val="28"/>
        </w:rPr>
        <w:t> </w:t>
      </w:r>
      <w:r>
        <w:rPr>
          <w:sz w:val="28"/>
        </w:rPr>
        <w:t>déclarations</w:t>
      </w:r>
    </w:p>
    <w:p>
      <w:pPr>
        <w:pStyle w:val="ListParagraph"/>
        <w:numPr>
          <w:ilvl w:val="0"/>
          <w:numId w:val="61"/>
        </w:numPr>
        <w:tabs>
          <w:tab w:pos="1153" w:val="left" w:leader="none"/>
          <w:tab w:pos="1154" w:val="left" w:leader="none"/>
        </w:tabs>
        <w:spacing w:line="328" w:lineRule="exact" w:before="0" w:after="0"/>
        <w:ind w:left="1153" w:right="0" w:hanging="361"/>
        <w:jc w:val="left"/>
        <w:rPr>
          <w:sz w:val="28"/>
        </w:rPr>
      </w:pPr>
      <w:r>
        <w:rPr>
          <w:sz w:val="28"/>
        </w:rPr>
        <w:t>Les</w:t>
      </w:r>
      <w:r>
        <w:rPr>
          <w:spacing w:val="-1"/>
          <w:sz w:val="28"/>
        </w:rPr>
        <w:t> </w:t>
      </w:r>
      <w:r>
        <w:rPr>
          <w:sz w:val="28"/>
        </w:rPr>
        <w:t>enlèvements</w:t>
      </w:r>
    </w:p>
    <w:p>
      <w:pPr>
        <w:pStyle w:val="ListParagraph"/>
        <w:numPr>
          <w:ilvl w:val="0"/>
          <w:numId w:val="61"/>
        </w:numPr>
        <w:tabs>
          <w:tab w:pos="1153" w:val="left" w:leader="none"/>
          <w:tab w:pos="1154" w:val="left" w:leader="none"/>
        </w:tabs>
        <w:spacing w:line="335" w:lineRule="exact" w:before="0" w:after="0"/>
        <w:ind w:left="1153" w:right="0" w:hanging="361"/>
        <w:jc w:val="left"/>
        <w:rPr>
          <w:sz w:val="28"/>
        </w:rPr>
      </w:pPr>
      <w:r>
        <w:rPr>
          <w:sz w:val="28"/>
        </w:rPr>
        <w:t>Le contrôle des factures relatives aux formalités.</w:t>
      </w:r>
    </w:p>
    <w:p>
      <w:pPr>
        <w:pStyle w:val="Heading3"/>
        <w:spacing w:before="232"/>
        <w:rPr>
          <w:i/>
        </w:rPr>
      </w:pPr>
      <w:r>
        <w:rPr>
          <w:i/>
        </w:rPr>
        <w:t>Les Formalités douanières</w:t>
      </w:r>
    </w:p>
    <w:p>
      <w:pPr>
        <w:pStyle w:val="BodyText"/>
        <w:spacing w:line="318" w:lineRule="exact"/>
        <w:ind w:firstLine="0"/>
      </w:pPr>
      <w:r>
        <w:rPr/>
        <w:t>Réceptionner les avis d’expédition des fournisseurs et/ou agences maritimes/aériennes.</w:t>
      </w:r>
    </w:p>
    <w:p>
      <w:pPr>
        <w:pStyle w:val="ListParagraph"/>
        <w:numPr>
          <w:ilvl w:val="3"/>
          <w:numId w:val="57"/>
        </w:numPr>
        <w:tabs>
          <w:tab w:pos="1154" w:val="left" w:leader="none"/>
        </w:tabs>
        <w:spacing w:line="342" w:lineRule="exact" w:before="0" w:after="0"/>
        <w:ind w:left="1153" w:right="0" w:hanging="361"/>
        <w:jc w:val="both"/>
        <w:rPr>
          <w:sz w:val="28"/>
        </w:rPr>
      </w:pPr>
      <w:r>
        <w:rPr>
          <w:sz w:val="28"/>
        </w:rPr>
        <w:t>Réceptionner les avis d’arrivée du matériel</w:t>
      </w:r>
      <w:r>
        <w:rPr>
          <w:spacing w:val="-2"/>
          <w:sz w:val="28"/>
        </w:rPr>
        <w:t> </w:t>
      </w:r>
      <w:r>
        <w:rPr>
          <w:sz w:val="28"/>
        </w:rPr>
        <w:t>:</w:t>
      </w:r>
    </w:p>
    <w:p>
      <w:pPr>
        <w:pStyle w:val="ListParagraph"/>
        <w:numPr>
          <w:ilvl w:val="4"/>
          <w:numId w:val="57"/>
        </w:numPr>
        <w:tabs>
          <w:tab w:pos="1427" w:val="left" w:leader="none"/>
        </w:tabs>
        <w:spacing w:line="235" w:lineRule="auto" w:before="6" w:after="0"/>
        <w:ind w:left="1426" w:right="754" w:hanging="284"/>
        <w:jc w:val="both"/>
        <w:rPr>
          <w:sz w:val="28"/>
        </w:rPr>
      </w:pPr>
      <w:r>
        <w:rPr>
          <w:sz w:val="28"/>
        </w:rPr>
        <w:t>Après</w:t>
      </w:r>
      <w:r>
        <w:rPr>
          <w:spacing w:val="-12"/>
          <w:sz w:val="28"/>
        </w:rPr>
        <w:t> </w:t>
      </w:r>
      <w:r>
        <w:rPr>
          <w:sz w:val="28"/>
        </w:rPr>
        <w:t>identification</w:t>
      </w:r>
      <w:r>
        <w:rPr>
          <w:spacing w:val="-10"/>
          <w:sz w:val="28"/>
        </w:rPr>
        <w:t> </w:t>
      </w:r>
      <w:r>
        <w:rPr>
          <w:sz w:val="28"/>
        </w:rPr>
        <w:t>de</w:t>
      </w:r>
      <w:r>
        <w:rPr>
          <w:spacing w:val="-11"/>
          <w:sz w:val="28"/>
        </w:rPr>
        <w:t> </w:t>
      </w:r>
      <w:r>
        <w:rPr>
          <w:sz w:val="28"/>
        </w:rPr>
        <w:t>la</w:t>
      </w:r>
      <w:r>
        <w:rPr>
          <w:spacing w:val="-11"/>
          <w:sz w:val="28"/>
        </w:rPr>
        <w:t> </w:t>
      </w:r>
      <w:r>
        <w:rPr>
          <w:sz w:val="28"/>
        </w:rPr>
        <w:t>commande</w:t>
      </w:r>
      <w:r>
        <w:rPr>
          <w:spacing w:val="-10"/>
          <w:sz w:val="28"/>
        </w:rPr>
        <w:t> </w:t>
      </w:r>
      <w:r>
        <w:rPr>
          <w:sz w:val="28"/>
        </w:rPr>
        <w:t>correspondante,</w:t>
      </w:r>
      <w:r>
        <w:rPr>
          <w:spacing w:val="-11"/>
          <w:sz w:val="28"/>
        </w:rPr>
        <w:t> </w:t>
      </w:r>
      <w:r>
        <w:rPr>
          <w:sz w:val="28"/>
        </w:rPr>
        <w:t>envoyer</w:t>
      </w:r>
      <w:r>
        <w:rPr>
          <w:spacing w:val="-11"/>
          <w:sz w:val="28"/>
        </w:rPr>
        <w:t> </w:t>
      </w:r>
      <w:r>
        <w:rPr>
          <w:sz w:val="28"/>
        </w:rPr>
        <w:t>une</w:t>
      </w:r>
      <w:r>
        <w:rPr>
          <w:spacing w:val="-11"/>
          <w:sz w:val="28"/>
        </w:rPr>
        <w:t> </w:t>
      </w:r>
      <w:r>
        <w:rPr>
          <w:sz w:val="28"/>
        </w:rPr>
        <w:t>demande</w:t>
      </w:r>
      <w:r>
        <w:rPr>
          <w:spacing w:val="-13"/>
          <w:sz w:val="28"/>
        </w:rPr>
        <w:t> </w:t>
      </w:r>
      <w:r>
        <w:rPr>
          <w:sz w:val="28"/>
        </w:rPr>
        <w:t>à la structure d’achat concernée pour accord et pour fournir les documents de dédouanement (facture, assurance, liste de colisage, titre de transport,</w:t>
      </w:r>
      <w:r>
        <w:rPr>
          <w:spacing w:val="-25"/>
          <w:sz w:val="28"/>
        </w:rPr>
        <w:t> </w:t>
      </w:r>
      <w:r>
        <w:rPr>
          <w:sz w:val="28"/>
        </w:rPr>
        <w:t>etc.)</w:t>
      </w:r>
    </w:p>
    <w:p>
      <w:pPr>
        <w:pStyle w:val="ListParagraph"/>
        <w:numPr>
          <w:ilvl w:val="4"/>
          <w:numId w:val="57"/>
        </w:numPr>
        <w:tabs>
          <w:tab w:pos="1427" w:val="left" w:leader="none"/>
        </w:tabs>
        <w:spacing w:line="230" w:lineRule="auto" w:before="9" w:after="0"/>
        <w:ind w:left="1426" w:right="759" w:hanging="284"/>
        <w:jc w:val="both"/>
        <w:rPr>
          <w:sz w:val="28"/>
        </w:rPr>
      </w:pPr>
      <w:r>
        <w:rPr>
          <w:sz w:val="28"/>
        </w:rPr>
        <w:t>Vérifier les documents reçus avant de les transmettre au Déclarant (mode de livraison, poids, nombre de colis,</w:t>
      </w:r>
      <w:r>
        <w:rPr>
          <w:spacing w:val="-7"/>
          <w:sz w:val="28"/>
        </w:rPr>
        <w:t> </w:t>
      </w:r>
      <w:r>
        <w:rPr>
          <w:sz w:val="28"/>
        </w:rPr>
        <w:t>etc.).</w:t>
      </w:r>
    </w:p>
    <w:p>
      <w:pPr>
        <w:pStyle w:val="ListParagraph"/>
        <w:numPr>
          <w:ilvl w:val="4"/>
          <w:numId w:val="57"/>
        </w:numPr>
        <w:tabs>
          <w:tab w:pos="1427" w:val="left" w:leader="none"/>
        </w:tabs>
        <w:spacing w:line="334" w:lineRule="exact" w:before="4" w:after="0"/>
        <w:ind w:left="1426" w:right="0" w:hanging="284"/>
        <w:jc w:val="both"/>
        <w:rPr>
          <w:sz w:val="28"/>
        </w:rPr>
      </w:pPr>
      <w:r>
        <w:rPr>
          <w:sz w:val="28"/>
        </w:rPr>
        <w:t>Etablir les différentes demandes et autorisations nécessaires telles que</w:t>
      </w:r>
      <w:r>
        <w:rPr>
          <w:spacing w:val="-8"/>
          <w:sz w:val="28"/>
        </w:rPr>
        <w:t> </w:t>
      </w:r>
      <w:r>
        <w:rPr>
          <w:sz w:val="28"/>
        </w:rPr>
        <w:t>:</w:t>
      </w:r>
    </w:p>
    <w:p>
      <w:pPr>
        <w:pStyle w:val="ListParagraph"/>
        <w:numPr>
          <w:ilvl w:val="5"/>
          <w:numId w:val="57"/>
        </w:numPr>
        <w:tabs>
          <w:tab w:pos="1994" w:val="left" w:leader="none"/>
        </w:tabs>
        <w:spacing w:line="314" w:lineRule="exact" w:before="0" w:after="0"/>
        <w:ind w:left="1993" w:right="0" w:hanging="284"/>
        <w:jc w:val="both"/>
        <w:rPr>
          <w:sz w:val="28"/>
        </w:rPr>
      </w:pPr>
      <w:r>
        <w:rPr>
          <w:sz w:val="28"/>
        </w:rPr>
        <w:t>Autorisation de Poids et</w:t>
      </w:r>
      <w:r>
        <w:rPr>
          <w:spacing w:val="-13"/>
          <w:sz w:val="28"/>
        </w:rPr>
        <w:t> </w:t>
      </w:r>
      <w:r>
        <w:rPr>
          <w:sz w:val="28"/>
        </w:rPr>
        <w:t>Mesures,</w:t>
      </w:r>
    </w:p>
    <w:p>
      <w:pPr>
        <w:pStyle w:val="ListParagraph"/>
        <w:numPr>
          <w:ilvl w:val="5"/>
          <w:numId w:val="57"/>
        </w:numPr>
        <w:tabs>
          <w:tab w:pos="1994" w:val="left" w:leader="none"/>
        </w:tabs>
        <w:spacing w:line="322" w:lineRule="exact" w:before="0" w:after="0"/>
        <w:ind w:left="1993" w:right="0" w:hanging="284"/>
        <w:jc w:val="both"/>
        <w:rPr>
          <w:sz w:val="28"/>
        </w:rPr>
      </w:pPr>
      <w:r>
        <w:rPr>
          <w:sz w:val="28"/>
        </w:rPr>
        <w:t>Autorisation de</w:t>
      </w:r>
      <w:r>
        <w:rPr>
          <w:spacing w:val="-16"/>
          <w:sz w:val="28"/>
        </w:rPr>
        <w:t> </w:t>
      </w:r>
      <w:r>
        <w:rPr>
          <w:sz w:val="28"/>
        </w:rPr>
        <w:t>l’Environnement,</w:t>
      </w:r>
    </w:p>
    <w:p>
      <w:pPr>
        <w:pStyle w:val="ListParagraph"/>
        <w:numPr>
          <w:ilvl w:val="5"/>
          <w:numId w:val="57"/>
        </w:numPr>
        <w:tabs>
          <w:tab w:pos="1994" w:val="left" w:leader="none"/>
          <w:tab w:pos="3633" w:val="left" w:leader="none"/>
          <w:tab w:pos="4134" w:val="left" w:leader="none"/>
          <w:tab w:pos="6004" w:val="left" w:leader="none"/>
          <w:tab w:pos="6975" w:val="left" w:leader="none"/>
          <w:tab w:pos="8483" w:val="left" w:leader="none"/>
        </w:tabs>
        <w:spacing w:line="242" w:lineRule="auto" w:before="0" w:after="0"/>
        <w:ind w:left="1993" w:right="759" w:hanging="284"/>
        <w:jc w:val="left"/>
        <w:rPr>
          <w:sz w:val="28"/>
        </w:rPr>
      </w:pPr>
      <w:r>
        <w:rPr>
          <w:sz w:val="28"/>
        </w:rPr>
        <w:t>Autorisation</w:t>
        <w:tab/>
        <w:t>de</w:t>
        <w:tab/>
        <w:t>dédouanement</w:t>
        <w:tab/>
        <w:t>gratuit</w:t>
        <w:tab/>
        <w:t>(manquant,</w:t>
        <w:tab/>
      </w:r>
      <w:r>
        <w:rPr>
          <w:spacing w:val="-3"/>
          <w:sz w:val="28"/>
        </w:rPr>
        <w:t>remplacement </w:t>
      </w:r>
      <w:r>
        <w:rPr>
          <w:sz w:val="28"/>
        </w:rPr>
        <w:t>d’articles non conformes, essai, etc.),</w:t>
      </w:r>
    </w:p>
    <w:p>
      <w:pPr>
        <w:pStyle w:val="ListParagraph"/>
        <w:numPr>
          <w:ilvl w:val="5"/>
          <w:numId w:val="57"/>
        </w:numPr>
        <w:tabs>
          <w:tab w:pos="1994" w:val="left" w:leader="none"/>
        </w:tabs>
        <w:spacing w:line="317" w:lineRule="exact" w:before="0" w:after="0"/>
        <w:ind w:left="1993" w:right="0" w:hanging="284"/>
        <w:jc w:val="left"/>
        <w:rPr>
          <w:sz w:val="28"/>
        </w:rPr>
      </w:pPr>
      <w:r>
        <w:rPr>
          <w:sz w:val="28"/>
        </w:rPr>
        <w:t>Autorisation des appareils et pièces de rechange</w:t>
      </w:r>
      <w:r>
        <w:rPr>
          <w:spacing w:val="-4"/>
          <w:sz w:val="28"/>
        </w:rPr>
        <w:t> </w:t>
      </w:r>
      <w:r>
        <w:rPr>
          <w:sz w:val="28"/>
        </w:rPr>
        <w:t>Télécoms.</w:t>
      </w:r>
    </w:p>
    <w:p>
      <w:pPr>
        <w:pStyle w:val="ListParagraph"/>
        <w:numPr>
          <w:ilvl w:val="5"/>
          <w:numId w:val="57"/>
        </w:numPr>
        <w:tabs>
          <w:tab w:pos="1994" w:val="left" w:leader="none"/>
        </w:tabs>
        <w:spacing w:line="322" w:lineRule="exact" w:before="0" w:after="0"/>
        <w:ind w:left="1993" w:right="0" w:hanging="284"/>
        <w:jc w:val="left"/>
        <w:rPr>
          <w:sz w:val="28"/>
        </w:rPr>
      </w:pPr>
      <w:r>
        <w:rPr>
          <w:sz w:val="28"/>
        </w:rPr>
        <w:t>Demande d’admission temporaire,</w:t>
      </w:r>
    </w:p>
    <w:p>
      <w:pPr>
        <w:pStyle w:val="ListParagraph"/>
        <w:numPr>
          <w:ilvl w:val="5"/>
          <w:numId w:val="57"/>
        </w:numPr>
        <w:tabs>
          <w:tab w:pos="1994" w:val="left" w:leader="none"/>
        </w:tabs>
        <w:spacing w:line="322" w:lineRule="exact" w:before="0" w:after="0"/>
        <w:ind w:left="1993" w:right="0" w:hanging="284"/>
        <w:jc w:val="left"/>
        <w:rPr>
          <w:sz w:val="28"/>
        </w:rPr>
      </w:pPr>
      <w:r>
        <w:rPr>
          <w:sz w:val="28"/>
        </w:rPr>
        <w:t>Demande d’exportation</w:t>
      </w:r>
      <w:r>
        <w:rPr>
          <w:spacing w:val="-4"/>
          <w:sz w:val="28"/>
        </w:rPr>
        <w:t> </w:t>
      </w:r>
      <w:r>
        <w:rPr>
          <w:sz w:val="28"/>
        </w:rPr>
        <w:t>temporaire,</w:t>
      </w:r>
    </w:p>
    <w:p>
      <w:pPr>
        <w:pStyle w:val="ListParagraph"/>
        <w:numPr>
          <w:ilvl w:val="5"/>
          <w:numId w:val="57"/>
        </w:numPr>
        <w:tabs>
          <w:tab w:pos="1994" w:val="left" w:leader="none"/>
        </w:tabs>
        <w:spacing w:line="240" w:lineRule="auto" w:before="0" w:after="0"/>
        <w:ind w:left="1993" w:right="0" w:hanging="284"/>
        <w:jc w:val="left"/>
        <w:rPr>
          <w:sz w:val="28"/>
        </w:rPr>
      </w:pPr>
      <w:r>
        <w:rPr>
          <w:sz w:val="28"/>
        </w:rPr>
        <w:t>Demande de mise en vente de ferrailles et matériel</w:t>
      </w:r>
      <w:r>
        <w:rPr>
          <w:spacing w:val="-10"/>
          <w:sz w:val="28"/>
        </w:rPr>
        <w:t> </w:t>
      </w:r>
      <w:r>
        <w:rPr>
          <w:sz w:val="28"/>
        </w:rPr>
        <w:t>rebuté,</w:t>
      </w:r>
    </w:p>
    <w:p>
      <w:pPr>
        <w:pStyle w:val="ListParagraph"/>
        <w:numPr>
          <w:ilvl w:val="5"/>
          <w:numId w:val="57"/>
        </w:numPr>
        <w:tabs>
          <w:tab w:pos="1994" w:val="left" w:leader="none"/>
        </w:tabs>
        <w:spacing w:line="240" w:lineRule="auto" w:before="0" w:after="0"/>
        <w:ind w:left="1993" w:right="0" w:hanging="284"/>
        <w:jc w:val="left"/>
        <w:rPr>
          <w:sz w:val="28"/>
        </w:rPr>
      </w:pPr>
      <w:r>
        <w:rPr>
          <w:sz w:val="28"/>
        </w:rPr>
        <w:t>Autorisation d'embarquement des produits</w:t>
      </w:r>
      <w:r>
        <w:rPr>
          <w:spacing w:val="-1"/>
          <w:sz w:val="28"/>
        </w:rPr>
        <w:t> </w:t>
      </w:r>
      <w:r>
        <w:rPr>
          <w:sz w:val="28"/>
        </w:rPr>
        <w:t>dangereux,</w:t>
      </w:r>
    </w:p>
    <w:p>
      <w:pPr>
        <w:pStyle w:val="ListParagraph"/>
        <w:numPr>
          <w:ilvl w:val="5"/>
          <w:numId w:val="57"/>
        </w:numPr>
        <w:tabs>
          <w:tab w:pos="1994" w:val="left" w:leader="none"/>
        </w:tabs>
        <w:spacing w:line="240" w:lineRule="auto" w:before="1" w:after="0"/>
        <w:ind w:left="1993" w:right="751" w:hanging="284"/>
        <w:jc w:val="left"/>
        <w:rPr>
          <w:sz w:val="28"/>
        </w:rPr>
      </w:pPr>
      <w:r>
        <w:rPr>
          <w:sz w:val="28"/>
        </w:rPr>
        <w:t>Préparer et déposer le dossier de mise à la consommation annuelle des produits dangereux auprès du ministère de</w:t>
      </w:r>
      <w:r>
        <w:rPr>
          <w:spacing w:val="-13"/>
          <w:sz w:val="28"/>
        </w:rPr>
        <w:t> </w:t>
      </w:r>
      <w:r>
        <w:rPr>
          <w:sz w:val="28"/>
        </w:rPr>
        <w:t>commerce,</w:t>
      </w:r>
    </w:p>
    <w:p>
      <w:pPr>
        <w:spacing w:after="0" w:line="240" w:lineRule="auto"/>
        <w:jc w:val="left"/>
        <w:rPr>
          <w:sz w:val="28"/>
        </w:rPr>
        <w:sectPr>
          <w:pgSz w:w="11910" w:h="16840"/>
          <w:pgMar w:header="722" w:footer="0" w:top="1860" w:bottom="280" w:left="700" w:right="380"/>
        </w:sectPr>
      </w:pPr>
    </w:p>
    <w:p>
      <w:pPr>
        <w:pStyle w:val="BodyText"/>
        <w:spacing w:before="1"/>
        <w:ind w:left="0" w:firstLine="0"/>
        <w:jc w:val="left"/>
        <w:rPr>
          <w:sz w:val="16"/>
        </w:rPr>
      </w:pPr>
    </w:p>
    <w:p>
      <w:pPr>
        <w:pStyle w:val="ListParagraph"/>
        <w:numPr>
          <w:ilvl w:val="5"/>
          <w:numId w:val="57"/>
        </w:numPr>
        <w:tabs>
          <w:tab w:pos="1994" w:val="left" w:leader="none"/>
        </w:tabs>
        <w:spacing w:line="240" w:lineRule="auto" w:before="91" w:after="0"/>
        <w:ind w:left="1993" w:right="761" w:hanging="284"/>
        <w:jc w:val="left"/>
        <w:rPr>
          <w:sz w:val="28"/>
        </w:rPr>
      </w:pPr>
      <w:r>
        <w:rPr>
          <w:sz w:val="28"/>
        </w:rPr>
        <w:t>Demande de sortie de matériel pour : Foire, Remise en état, Travaux de recherche,</w:t>
      </w:r>
      <w:r>
        <w:rPr>
          <w:spacing w:val="-1"/>
          <w:sz w:val="28"/>
        </w:rPr>
        <w:t> </w:t>
      </w:r>
      <w:r>
        <w:rPr>
          <w:sz w:val="28"/>
        </w:rPr>
        <w:t>etc.,</w:t>
      </w:r>
    </w:p>
    <w:p>
      <w:pPr>
        <w:pStyle w:val="ListParagraph"/>
        <w:numPr>
          <w:ilvl w:val="5"/>
          <w:numId w:val="57"/>
        </w:numPr>
        <w:tabs>
          <w:tab w:pos="1994" w:val="left" w:leader="none"/>
        </w:tabs>
        <w:spacing w:line="321" w:lineRule="exact" w:before="0" w:after="0"/>
        <w:ind w:left="1993" w:right="0" w:hanging="284"/>
        <w:jc w:val="left"/>
        <w:rPr>
          <w:sz w:val="28"/>
        </w:rPr>
      </w:pPr>
      <w:r>
        <w:rPr>
          <w:sz w:val="28"/>
        </w:rPr>
        <w:t>Autorisation du Ministère du Commerce (Licence sans paiement,</w:t>
      </w:r>
      <w:r>
        <w:rPr>
          <w:spacing w:val="-6"/>
          <w:sz w:val="28"/>
        </w:rPr>
        <w:t> </w:t>
      </w:r>
      <w:r>
        <w:rPr>
          <w:sz w:val="28"/>
        </w:rPr>
        <w:t>etc.),</w:t>
      </w:r>
    </w:p>
    <w:p>
      <w:pPr>
        <w:pStyle w:val="ListParagraph"/>
        <w:numPr>
          <w:ilvl w:val="5"/>
          <w:numId w:val="57"/>
        </w:numPr>
        <w:tabs>
          <w:tab w:pos="1994" w:val="left" w:leader="none"/>
        </w:tabs>
        <w:spacing w:line="322" w:lineRule="exact" w:before="2" w:after="0"/>
        <w:ind w:left="1993" w:right="0" w:hanging="284"/>
        <w:jc w:val="left"/>
        <w:rPr>
          <w:sz w:val="28"/>
        </w:rPr>
      </w:pPr>
      <w:r>
        <w:rPr>
          <w:sz w:val="28"/>
        </w:rPr>
        <w:t>Demande de facture de cession auprès du</w:t>
      </w:r>
      <w:r>
        <w:rPr>
          <w:spacing w:val="-1"/>
          <w:sz w:val="28"/>
        </w:rPr>
        <w:t> </w:t>
      </w:r>
      <w:r>
        <w:rPr>
          <w:sz w:val="28"/>
        </w:rPr>
        <w:t>Financier,</w:t>
      </w:r>
    </w:p>
    <w:p>
      <w:pPr>
        <w:pStyle w:val="ListParagraph"/>
        <w:numPr>
          <w:ilvl w:val="5"/>
          <w:numId w:val="57"/>
        </w:numPr>
        <w:tabs>
          <w:tab w:pos="1994" w:val="left" w:leader="none"/>
        </w:tabs>
        <w:spacing w:line="321" w:lineRule="exact" w:before="0" w:after="0"/>
        <w:ind w:left="1993" w:right="0" w:hanging="284"/>
        <w:jc w:val="left"/>
        <w:rPr>
          <w:sz w:val="28"/>
        </w:rPr>
      </w:pPr>
      <w:r>
        <w:rPr>
          <w:sz w:val="28"/>
        </w:rPr>
        <w:t>Et toute autre demande nécessaire à l’accomplissement des</w:t>
      </w:r>
      <w:r>
        <w:rPr>
          <w:spacing w:val="-10"/>
          <w:sz w:val="28"/>
        </w:rPr>
        <w:t> </w:t>
      </w:r>
      <w:r>
        <w:rPr>
          <w:sz w:val="28"/>
        </w:rPr>
        <w:t>formalités,</w:t>
      </w:r>
    </w:p>
    <w:p>
      <w:pPr>
        <w:pStyle w:val="ListParagraph"/>
        <w:numPr>
          <w:ilvl w:val="4"/>
          <w:numId w:val="57"/>
        </w:numPr>
        <w:tabs>
          <w:tab w:pos="1427" w:val="left" w:leader="none"/>
        </w:tabs>
        <w:spacing w:line="230" w:lineRule="auto" w:before="10" w:after="0"/>
        <w:ind w:left="1426" w:right="753" w:hanging="284"/>
        <w:jc w:val="left"/>
        <w:rPr>
          <w:sz w:val="28"/>
        </w:rPr>
      </w:pPr>
      <w:r>
        <w:rPr>
          <w:sz w:val="28"/>
        </w:rPr>
        <w:t>Relancer les agences maritimes/aériennes pour les avis d’arrivée non identifiés ou parvenus hors</w:t>
      </w:r>
      <w:r>
        <w:rPr>
          <w:spacing w:val="-1"/>
          <w:sz w:val="28"/>
        </w:rPr>
        <w:t> </w:t>
      </w:r>
      <w:r>
        <w:rPr>
          <w:sz w:val="28"/>
        </w:rPr>
        <w:t>délais,</w:t>
      </w:r>
    </w:p>
    <w:p>
      <w:pPr>
        <w:pStyle w:val="ListParagraph"/>
        <w:numPr>
          <w:ilvl w:val="4"/>
          <w:numId w:val="57"/>
        </w:numPr>
        <w:tabs>
          <w:tab w:pos="1427" w:val="left" w:leader="none"/>
        </w:tabs>
        <w:spacing w:line="336" w:lineRule="exact" w:before="0" w:after="0"/>
        <w:ind w:left="1426" w:right="0" w:hanging="284"/>
        <w:jc w:val="left"/>
        <w:rPr>
          <w:sz w:val="28"/>
        </w:rPr>
      </w:pPr>
      <w:r>
        <w:rPr>
          <w:sz w:val="28"/>
        </w:rPr>
        <w:t>Retirer les documents parvenus par pli cartable de</w:t>
      </w:r>
      <w:r>
        <w:rPr>
          <w:spacing w:val="-6"/>
          <w:sz w:val="28"/>
        </w:rPr>
        <w:t> </w:t>
      </w:r>
      <w:r>
        <w:rPr>
          <w:sz w:val="28"/>
        </w:rPr>
        <w:t>bord,</w:t>
      </w:r>
    </w:p>
    <w:p>
      <w:pPr>
        <w:pStyle w:val="ListParagraph"/>
        <w:numPr>
          <w:ilvl w:val="4"/>
          <w:numId w:val="57"/>
        </w:numPr>
        <w:tabs>
          <w:tab w:pos="1427" w:val="left" w:leader="none"/>
        </w:tabs>
        <w:spacing w:line="230" w:lineRule="auto" w:before="5" w:after="0"/>
        <w:ind w:left="1426" w:right="760" w:hanging="284"/>
        <w:jc w:val="left"/>
        <w:rPr>
          <w:sz w:val="28"/>
        </w:rPr>
      </w:pPr>
      <w:r>
        <w:rPr>
          <w:sz w:val="28"/>
        </w:rPr>
        <w:t>Etablir éventuellement toute note explicative et demande de chèque pour les PV de douane en cas de dépôt tardif des</w:t>
      </w:r>
      <w:r>
        <w:rPr>
          <w:spacing w:val="-11"/>
          <w:sz w:val="28"/>
        </w:rPr>
        <w:t> </w:t>
      </w:r>
      <w:r>
        <w:rPr>
          <w:sz w:val="28"/>
        </w:rPr>
        <w:t>déclarations.</w:t>
      </w:r>
    </w:p>
    <w:p>
      <w:pPr>
        <w:pStyle w:val="BodyText"/>
        <w:spacing w:line="321" w:lineRule="exact" w:before="240"/>
        <w:ind w:firstLine="0"/>
      </w:pPr>
      <w:r>
        <w:rPr/>
        <w:t>Pour les achats locaux hors TVA :</w:t>
      </w:r>
    </w:p>
    <w:p>
      <w:pPr>
        <w:pStyle w:val="ListParagraph"/>
        <w:numPr>
          <w:ilvl w:val="3"/>
          <w:numId w:val="57"/>
        </w:numPr>
        <w:tabs>
          <w:tab w:pos="1154" w:val="left" w:leader="none"/>
        </w:tabs>
        <w:spacing w:line="240" w:lineRule="auto" w:before="0" w:after="0"/>
        <w:ind w:left="1153" w:right="755" w:hanging="360"/>
        <w:jc w:val="both"/>
        <w:rPr>
          <w:sz w:val="28"/>
        </w:rPr>
      </w:pPr>
      <w:r>
        <w:rPr>
          <w:sz w:val="28"/>
        </w:rPr>
        <w:t>Après réception des bons de livraison et des factures, les remettre au douanier pour annotation et visa, à titre de reconnaissance de la réception effective à l’usine des différents biens et services</w:t>
      </w:r>
      <w:r>
        <w:rPr>
          <w:spacing w:val="-4"/>
          <w:sz w:val="28"/>
        </w:rPr>
        <w:t> </w:t>
      </w:r>
      <w:r>
        <w:rPr>
          <w:sz w:val="28"/>
        </w:rPr>
        <w:t>commandés.</w:t>
      </w:r>
    </w:p>
    <w:p>
      <w:pPr>
        <w:pStyle w:val="ListParagraph"/>
        <w:numPr>
          <w:ilvl w:val="3"/>
          <w:numId w:val="57"/>
        </w:numPr>
        <w:tabs>
          <w:tab w:pos="1154" w:val="left" w:leader="none"/>
        </w:tabs>
        <w:spacing w:line="240" w:lineRule="auto" w:before="0" w:after="0"/>
        <w:ind w:left="1153" w:right="763" w:hanging="360"/>
        <w:jc w:val="both"/>
        <w:rPr>
          <w:sz w:val="28"/>
        </w:rPr>
      </w:pPr>
      <w:r>
        <w:rPr>
          <w:sz w:val="28"/>
        </w:rPr>
        <w:t>Remettre les dossiers relatifs aux achats de fournitures de biens et services au transitaire pour dépôt des déclarations</w:t>
      </w:r>
      <w:r>
        <w:rPr>
          <w:spacing w:val="-2"/>
          <w:sz w:val="28"/>
        </w:rPr>
        <w:t> </w:t>
      </w:r>
      <w:r>
        <w:rPr>
          <w:sz w:val="28"/>
        </w:rPr>
        <w:t>SN.</w:t>
      </w:r>
    </w:p>
    <w:p>
      <w:pPr>
        <w:pStyle w:val="Heading3"/>
        <w:spacing w:before="247"/>
        <w:jc w:val="left"/>
        <w:rPr>
          <w:i/>
        </w:rPr>
      </w:pPr>
      <w:r>
        <w:rPr>
          <w:i/>
        </w:rPr>
        <w:t>Les Déclarations</w:t>
      </w:r>
    </w:p>
    <w:p>
      <w:pPr>
        <w:pStyle w:val="ListParagraph"/>
        <w:numPr>
          <w:ilvl w:val="0"/>
          <w:numId w:val="62"/>
        </w:numPr>
        <w:tabs>
          <w:tab w:pos="717" w:val="left" w:leader="none"/>
          <w:tab w:pos="2083" w:val="left" w:leader="none"/>
          <w:tab w:pos="2687" w:val="left" w:leader="none"/>
          <w:tab w:pos="3821" w:val="left" w:leader="none"/>
          <w:tab w:pos="4821" w:val="left" w:leader="none"/>
          <w:tab w:pos="6332" w:val="left" w:leader="none"/>
          <w:tab w:pos="6874" w:val="left" w:leader="none"/>
          <w:tab w:pos="8317" w:val="left" w:leader="none"/>
          <w:tab w:pos="9806" w:val="left" w:leader="none"/>
        </w:tabs>
        <w:spacing w:line="230" w:lineRule="auto" w:before="7" w:after="0"/>
        <w:ind w:left="716" w:right="754" w:hanging="284"/>
        <w:jc w:val="left"/>
        <w:rPr>
          <w:sz w:val="28"/>
        </w:rPr>
      </w:pPr>
      <w:r>
        <w:rPr>
          <w:sz w:val="28"/>
        </w:rPr>
        <w:t>Réception</w:t>
        <w:tab/>
        <w:t>des</w:t>
        <w:tab/>
        <w:t>dossiers</w:t>
        <w:tab/>
        <w:t>transit,</w:t>
        <w:tab/>
        <w:t>comportant</w:t>
        <w:tab/>
        <w:t>les</w:t>
        <w:tab/>
        <w:t>documents</w:t>
        <w:tab/>
        <w:t>nécessaires</w:t>
        <w:tab/>
      </w:r>
      <w:r>
        <w:rPr>
          <w:spacing w:val="-10"/>
          <w:sz w:val="28"/>
        </w:rPr>
        <w:t>au </w:t>
      </w:r>
      <w:r>
        <w:rPr>
          <w:sz w:val="28"/>
        </w:rPr>
        <w:t>dédouanement</w:t>
      </w:r>
      <w:r>
        <w:rPr>
          <w:spacing w:val="1"/>
          <w:sz w:val="28"/>
        </w:rPr>
        <w:t> </w:t>
      </w:r>
      <w:r>
        <w:rPr>
          <w:sz w:val="28"/>
        </w:rPr>
        <w:t>:</w:t>
      </w:r>
    </w:p>
    <w:p>
      <w:pPr>
        <w:pStyle w:val="ListParagraph"/>
        <w:numPr>
          <w:ilvl w:val="1"/>
          <w:numId w:val="62"/>
        </w:numPr>
        <w:tabs>
          <w:tab w:pos="1286" w:val="left" w:leader="none"/>
        </w:tabs>
        <w:spacing w:line="343" w:lineRule="exact" w:before="0" w:after="0"/>
        <w:ind w:left="1285" w:right="0" w:hanging="287"/>
        <w:jc w:val="left"/>
        <w:rPr>
          <w:sz w:val="28"/>
        </w:rPr>
      </w:pPr>
      <w:r>
        <w:rPr>
          <w:sz w:val="28"/>
        </w:rPr>
        <w:t>Facture</w:t>
      </w:r>
      <w:r>
        <w:rPr>
          <w:spacing w:val="-1"/>
          <w:sz w:val="28"/>
        </w:rPr>
        <w:t> </w:t>
      </w:r>
      <w:r>
        <w:rPr>
          <w:sz w:val="28"/>
        </w:rPr>
        <w:t>commerciale,</w:t>
      </w:r>
    </w:p>
    <w:p>
      <w:pPr>
        <w:pStyle w:val="ListParagraph"/>
        <w:numPr>
          <w:ilvl w:val="1"/>
          <w:numId w:val="62"/>
        </w:numPr>
        <w:tabs>
          <w:tab w:pos="1286" w:val="left" w:leader="none"/>
        </w:tabs>
        <w:spacing w:line="240" w:lineRule="auto" w:before="0" w:after="0"/>
        <w:ind w:left="1285" w:right="0" w:hanging="287"/>
        <w:jc w:val="left"/>
        <w:rPr>
          <w:sz w:val="28"/>
        </w:rPr>
      </w:pPr>
      <w:r>
        <w:rPr>
          <w:sz w:val="28"/>
        </w:rPr>
        <w:t>Commande et</w:t>
      </w:r>
      <w:r>
        <w:rPr>
          <w:spacing w:val="-1"/>
          <w:sz w:val="28"/>
        </w:rPr>
        <w:t> </w:t>
      </w:r>
      <w:r>
        <w:rPr>
          <w:sz w:val="28"/>
        </w:rPr>
        <w:t>assurance,</w:t>
      </w:r>
    </w:p>
    <w:p>
      <w:pPr>
        <w:pStyle w:val="ListParagraph"/>
        <w:numPr>
          <w:ilvl w:val="1"/>
          <w:numId w:val="62"/>
        </w:numPr>
        <w:tabs>
          <w:tab w:pos="1286" w:val="left" w:leader="none"/>
        </w:tabs>
        <w:spacing w:line="342" w:lineRule="exact" w:before="0" w:after="0"/>
        <w:ind w:left="1285" w:right="0" w:hanging="287"/>
        <w:jc w:val="left"/>
        <w:rPr>
          <w:sz w:val="28"/>
        </w:rPr>
      </w:pPr>
      <w:r>
        <w:rPr>
          <w:sz w:val="28"/>
        </w:rPr>
        <w:t>Liste de</w:t>
      </w:r>
      <w:r>
        <w:rPr>
          <w:spacing w:val="-1"/>
          <w:sz w:val="28"/>
        </w:rPr>
        <w:t> </w:t>
      </w:r>
      <w:r>
        <w:rPr>
          <w:sz w:val="28"/>
        </w:rPr>
        <w:t>colisage,</w:t>
      </w:r>
    </w:p>
    <w:p>
      <w:pPr>
        <w:pStyle w:val="ListParagraph"/>
        <w:numPr>
          <w:ilvl w:val="1"/>
          <w:numId w:val="62"/>
        </w:numPr>
        <w:tabs>
          <w:tab w:pos="1286" w:val="left" w:leader="none"/>
        </w:tabs>
        <w:spacing w:line="342" w:lineRule="exact" w:before="0" w:after="0"/>
        <w:ind w:left="1285" w:right="0" w:hanging="287"/>
        <w:jc w:val="left"/>
        <w:rPr>
          <w:sz w:val="28"/>
        </w:rPr>
      </w:pPr>
      <w:r>
        <w:rPr>
          <w:sz w:val="28"/>
        </w:rPr>
        <w:t>Titre de</w:t>
      </w:r>
      <w:r>
        <w:rPr>
          <w:spacing w:val="-4"/>
          <w:sz w:val="28"/>
        </w:rPr>
        <w:t> </w:t>
      </w:r>
      <w:r>
        <w:rPr>
          <w:sz w:val="28"/>
        </w:rPr>
        <w:t>transport,</w:t>
      </w:r>
    </w:p>
    <w:p>
      <w:pPr>
        <w:pStyle w:val="ListParagraph"/>
        <w:numPr>
          <w:ilvl w:val="1"/>
          <w:numId w:val="62"/>
        </w:numPr>
        <w:tabs>
          <w:tab w:pos="1286" w:val="left" w:leader="none"/>
        </w:tabs>
        <w:spacing w:line="342" w:lineRule="exact" w:before="1" w:after="0"/>
        <w:ind w:left="1285" w:right="0" w:hanging="287"/>
        <w:jc w:val="left"/>
        <w:rPr>
          <w:sz w:val="28"/>
        </w:rPr>
      </w:pPr>
      <w:r>
        <w:rPr>
          <w:sz w:val="28"/>
        </w:rPr>
        <w:t>Avis</w:t>
      </w:r>
      <w:r>
        <w:rPr>
          <w:spacing w:val="-1"/>
          <w:sz w:val="28"/>
        </w:rPr>
        <w:t> </w:t>
      </w:r>
      <w:r>
        <w:rPr>
          <w:sz w:val="28"/>
        </w:rPr>
        <w:t>d’arrivée,</w:t>
      </w:r>
    </w:p>
    <w:p>
      <w:pPr>
        <w:pStyle w:val="ListParagraph"/>
        <w:numPr>
          <w:ilvl w:val="1"/>
          <w:numId w:val="62"/>
        </w:numPr>
        <w:tabs>
          <w:tab w:pos="1286" w:val="left" w:leader="none"/>
        </w:tabs>
        <w:spacing w:line="342" w:lineRule="exact" w:before="0" w:after="0"/>
        <w:ind w:left="1285" w:right="0" w:hanging="287"/>
        <w:jc w:val="left"/>
        <w:rPr>
          <w:sz w:val="28"/>
        </w:rPr>
      </w:pPr>
      <w:r>
        <w:rPr>
          <w:sz w:val="28"/>
        </w:rPr>
        <w:t>Autorisations particulières, s’il y a</w:t>
      </w:r>
      <w:r>
        <w:rPr>
          <w:spacing w:val="-11"/>
          <w:sz w:val="28"/>
        </w:rPr>
        <w:t> </w:t>
      </w:r>
      <w:r>
        <w:rPr>
          <w:sz w:val="28"/>
        </w:rPr>
        <w:t>lieu.</w:t>
      </w:r>
    </w:p>
    <w:p>
      <w:pPr>
        <w:pStyle w:val="ListParagraph"/>
        <w:numPr>
          <w:ilvl w:val="0"/>
          <w:numId w:val="62"/>
        </w:numPr>
        <w:tabs>
          <w:tab w:pos="717" w:val="left" w:leader="none"/>
        </w:tabs>
        <w:spacing w:line="230" w:lineRule="auto" w:before="12" w:after="0"/>
        <w:ind w:left="716" w:right="756" w:hanging="284"/>
        <w:jc w:val="left"/>
        <w:rPr>
          <w:sz w:val="28"/>
        </w:rPr>
      </w:pPr>
      <w:r>
        <w:rPr>
          <w:sz w:val="28"/>
        </w:rPr>
        <w:t>Préparer</w:t>
      </w:r>
      <w:r>
        <w:rPr>
          <w:spacing w:val="-11"/>
          <w:sz w:val="28"/>
        </w:rPr>
        <w:t> </w:t>
      </w:r>
      <w:r>
        <w:rPr>
          <w:sz w:val="28"/>
        </w:rPr>
        <w:t>la</w:t>
      </w:r>
      <w:r>
        <w:rPr>
          <w:spacing w:val="-10"/>
          <w:sz w:val="28"/>
        </w:rPr>
        <w:t> </w:t>
      </w:r>
      <w:r>
        <w:rPr>
          <w:sz w:val="28"/>
        </w:rPr>
        <w:t>fiche</w:t>
      </w:r>
      <w:r>
        <w:rPr>
          <w:spacing w:val="-13"/>
          <w:sz w:val="28"/>
        </w:rPr>
        <w:t> </w:t>
      </w:r>
      <w:r>
        <w:rPr>
          <w:sz w:val="28"/>
        </w:rPr>
        <w:t>de</w:t>
      </w:r>
      <w:r>
        <w:rPr>
          <w:spacing w:val="-12"/>
          <w:sz w:val="28"/>
        </w:rPr>
        <w:t> </w:t>
      </w:r>
      <w:r>
        <w:rPr>
          <w:sz w:val="28"/>
        </w:rPr>
        <w:t>valeur</w:t>
      </w:r>
      <w:r>
        <w:rPr>
          <w:spacing w:val="-8"/>
          <w:sz w:val="28"/>
        </w:rPr>
        <w:t> </w:t>
      </w:r>
      <w:r>
        <w:rPr>
          <w:sz w:val="28"/>
        </w:rPr>
        <w:t>de</w:t>
      </w:r>
      <w:r>
        <w:rPr>
          <w:spacing w:val="-11"/>
          <w:sz w:val="28"/>
        </w:rPr>
        <w:t> </w:t>
      </w:r>
      <w:r>
        <w:rPr>
          <w:sz w:val="28"/>
        </w:rPr>
        <w:t>chaque</w:t>
      </w:r>
      <w:r>
        <w:rPr>
          <w:spacing w:val="-12"/>
          <w:sz w:val="28"/>
        </w:rPr>
        <w:t> </w:t>
      </w:r>
      <w:r>
        <w:rPr>
          <w:sz w:val="28"/>
        </w:rPr>
        <w:t>dossier,</w:t>
      </w:r>
      <w:r>
        <w:rPr>
          <w:spacing w:val="-10"/>
          <w:sz w:val="28"/>
        </w:rPr>
        <w:t> </w:t>
      </w:r>
      <w:r>
        <w:rPr>
          <w:sz w:val="28"/>
        </w:rPr>
        <w:t>comprenant</w:t>
      </w:r>
      <w:r>
        <w:rPr>
          <w:spacing w:val="-13"/>
          <w:sz w:val="28"/>
        </w:rPr>
        <w:t> </w:t>
      </w:r>
      <w:r>
        <w:rPr>
          <w:sz w:val="28"/>
        </w:rPr>
        <w:t>les</w:t>
      </w:r>
      <w:r>
        <w:rPr>
          <w:spacing w:val="-12"/>
          <w:sz w:val="28"/>
        </w:rPr>
        <w:t> </w:t>
      </w:r>
      <w:r>
        <w:rPr>
          <w:sz w:val="28"/>
        </w:rPr>
        <w:t>positions</w:t>
      </w:r>
      <w:r>
        <w:rPr>
          <w:spacing w:val="-12"/>
          <w:sz w:val="28"/>
        </w:rPr>
        <w:t> </w:t>
      </w:r>
      <w:r>
        <w:rPr>
          <w:sz w:val="28"/>
        </w:rPr>
        <w:t>tarifaires</w:t>
      </w:r>
      <w:r>
        <w:rPr>
          <w:spacing w:val="-10"/>
          <w:sz w:val="28"/>
        </w:rPr>
        <w:t> </w:t>
      </w:r>
      <w:r>
        <w:rPr>
          <w:sz w:val="28"/>
        </w:rPr>
        <w:t>des différents articles</w:t>
      </w:r>
      <w:r>
        <w:rPr>
          <w:spacing w:val="1"/>
          <w:sz w:val="28"/>
        </w:rPr>
        <w:t> </w:t>
      </w:r>
      <w:r>
        <w:rPr>
          <w:sz w:val="28"/>
        </w:rPr>
        <w:t>commandés.</w:t>
      </w:r>
    </w:p>
    <w:p>
      <w:pPr>
        <w:pStyle w:val="ListParagraph"/>
        <w:numPr>
          <w:ilvl w:val="0"/>
          <w:numId w:val="62"/>
        </w:numPr>
        <w:tabs>
          <w:tab w:pos="717" w:val="left" w:leader="none"/>
        </w:tabs>
        <w:spacing w:line="230" w:lineRule="auto" w:before="10" w:after="0"/>
        <w:ind w:left="716" w:right="750" w:hanging="284"/>
        <w:jc w:val="left"/>
        <w:rPr>
          <w:sz w:val="28"/>
        </w:rPr>
      </w:pPr>
      <w:r>
        <w:rPr>
          <w:sz w:val="28"/>
        </w:rPr>
        <w:t>Etablir</w:t>
      </w:r>
      <w:r>
        <w:rPr>
          <w:spacing w:val="-13"/>
          <w:sz w:val="28"/>
        </w:rPr>
        <w:t> </w:t>
      </w:r>
      <w:r>
        <w:rPr>
          <w:sz w:val="28"/>
        </w:rPr>
        <w:t>la</w:t>
      </w:r>
      <w:r>
        <w:rPr>
          <w:spacing w:val="-12"/>
          <w:sz w:val="28"/>
        </w:rPr>
        <w:t> </w:t>
      </w:r>
      <w:r>
        <w:rPr>
          <w:sz w:val="28"/>
        </w:rPr>
        <w:t>demande</w:t>
      </w:r>
      <w:r>
        <w:rPr>
          <w:spacing w:val="-15"/>
          <w:sz w:val="28"/>
        </w:rPr>
        <w:t> </w:t>
      </w:r>
      <w:r>
        <w:rPr>
          <w:sz w:val="28"/>
        </w:rPr>
        <w:t>de</w:t>
      </w:r>
      <w:r>
        <w:rPr>
          <w:spacing w:val="-15"/>
          <w:sz w:val="28"/>
        </w:rPr>
        <w:t> </w:t>
      </w:r>
      <w:r>
        <w:rPr>
          <w:sz w:val="28"/>
        </w:rPr>
        <w:t>privilège</w:t>
      </w:r>
      <w:r>
        <w:rPr>
          <w:spacing w:val="-13"/>
          <w:sz w:val="28"/>
        </w:rPr>
        <w:t> </w:t>
      </w:r>
      <w:r>
        <w:rPr>
          <w:sz w:val="28"/>
        </w:rPr>
        <w:t>fiscal</w:t>
      </w:r>
      <w:r>
        <w:rPr>
          <w:spacing w:val="-14"/>
          <w:sz w:val="28"/>
        </w:rPr>
        <w:t> </w:t>
      </w:r>
      <w:r>
        <w:rPr>
          <w:sz w:val="28"/>
        </w:rPr>
        <w:t>et</w:t>
      </w:r>
      <w:r>
        <w:rPr>
          <w:spacing w:val="-14"/>
          <w:sz w:val="28"/>
        </w:rPr>
        <w:t> </w:t>
      </w:r>
      <w:r>
        <w:rPr>
          <w:sz w:val="28"/>
        </w:rPr>
        <w:t>la</w:t>
      </w:r>
      <w:r>
        <w:rPr>
          <w:spacing w:val="-15"/>
          <w:sz w:val="28"/>
        </w:rPr>
        <w:t> </w:t>
      </w:r>
      <w:r>
        <w:rPr>
          <w:sz w:val="28"/>
        </w:rPr>
        <w:t>soumettre</w:t>
      </w:r>
      <w:r>
        <w:rPr>
          <w:spacing w:val="-15"/>
          <w:sz w:val="28"/>
        </w:rPr>
        <w:t> </w:t>
      </w:r>
      <w:r>
        <w:rPr>
          <w:sz w:val="28"/>
        </w:rPr>
        <w:t>au</w:t>
      </w:r>
      <w:r>
        <w:rPr>
          <w:spacing w:val="-14"/>
          <w:sz w:val="28"/>
        </w:rPr>
        <w:t> </w:t>
      </w:r>
      <w:r>
        <w:rPr>
          <w:sz w:val="28"/>
        </w:rPr>
        <w:t>visa</w:t>
      </w:r>
      <w:r>
        <w:rPr>
          <w:spacing w:val="-16"/>
          <w:sz w:val="28"/>
        </w:rPr>
        <w:t> </w:t>
      </w:r>
      <w:r>
        <w:rPr>
          <w:sz w:val="28"/>
        </w:rPr>
        <w:t>du</w:t>
      </w:r>
      <w:r>
        <w:rPr>
          <w:spacing w:val="-7"/>
          <w:sz w:val="28"/>
        </w:rPr>
        <w:t> </w:t>
      </w:r>
      <w:r>
        <w:rPr>
          <w:sz w:val="28"/>
        </w:rPr>
        <w:t>Responsable</w:t>
      </w:r>
      <w:r>
        <w:rPr>
          <w:spacing w:val="-15"/>
          <w:sz w:val="28"/>
        </w:rPr>
        <w:t> </w:t>
      </w:r>
      <w:r>
        <w:rPr>
          <w:sz w:val="28"/>
        </w:rPr>
        <w:t>d’achat de la région avant de la transmettre à la douane pour</w:t>
      </w:r>
      <w:r>
        <w:rPr>
          <w:spacing w:val="-15"/>
          <w:sz w:val="28"/>
        </w:rPr>
        <w:t> </w:t>
      </w:r>
      <w:r>
        <w:rPr>
          <w:sz w:val="28"/>
        </w:rPr>
        <w:t>signature.</w:t>
      </w:r>
    </w:p>
    <w:p>
      <w:pPr>
        <w:pStyle w:val="ListParagraph"/>
        <w:numPr>
          <w:ilvl w:val="0"/>
          <w:numId w:val="62"/>
        </w:numPr>
        <w:tabs>
          <w:tab w:pos="717" w:val="left" w:leader="none"/>
        </w:tabs>
        <w:spacing w:line="334" w:lineRule="exact" w:before="3" w:after="0"/>
        <w:ind w:left="716" w:right="0" w:hanging="284"/>
        <w:jc w:val="left"/>
        <w:rPr>
          <w:sz w:val="28"/>
        </w:rPr>
      </w:pPr>
      <w:r>
        <w:rPr>
          <w:sz w:val="28"/>
        </w:rPr>
        <w:t>Déposer la déclaration en douane et la soumettre à la signature du chef de</w:t>
      </w:r>
      <w:r>
        <w:rPr>
          <w:spacing w:val="-25"/>
          <w:sz w:val="28"/>
        </w:rPr>
        <w:t> </w:t>
      </w:r>
      <w:r>
        <w:rPr>
          <w:sz w:val="28"/>
        </w:rPr>
        <w:t>service.</w:t>
      </w:r>
    </w:p>
    <w:p>
      <w:pPr>
        <w:pStyle w:val="ListParagraph"/>
        <w:numPr>
          <w:ilvl w:val="0"/>
          <w:numId w:val="62"/>
        </w:numPr>
        <w:tabs>
          <w:tab w:pos="717" w:val="left" w:leader="none"/>
        </w:tabs>
        <w:spacing w:line="230" w:lineRule="auto" w:before="3" w:after="0"/>
        <w:ind w:left="716" w:right="758" w:hanging="284"/>
        <w:jc w:val="left"/>
        <w:rPr>
          <w:sz w:val="28"/>
        </w:rPr>
      </w:pPr>
      <w:r>
        <w:rPr>
          <w:sz w:val="28"/>
        </w:rPr>
        <w:t>Suivre</w:t>
      </w:r>
      <w:r>
        <w:rPr>
          <w:spacing w:val="-8"/>
          <w:sz w:val="28"/>
        </w:rPr>
        <w:t> </w:t>
      </w:r>
      <w:r>
        <w:rPr>
          <w:sz w:val="28"/>
        </w:rPr>
        <w:t>les</w:t>
      </w:r>
      <w:r>
        <w:rPr>
          <w:spacing w:val="-8"/>
          <w:sz w:val="28"/>
        </w:rPr>
        <w:t> </w:t>
      </w:r>
      <w:r>
        <w:rPr>
          <w:sz w:val="28"/>
        </w:rPr>
        <w:t>différentes</w:t>
      </w:r>
      <w:r>
        <w:rPr>
          <w:spacing w:val="-8"/>
          <w:sz w:val="28"/>
        </w:rPr>
        <w:t> </w:t>
      </w:r>
      <w:r>
        <w:rPr>
          <w:sz w:val="28"/>
        </w:rPr>
        <w:t>déclarations</w:t>
      </w:r>
      <w:r>
        <w:rPr>
          <w:spacing w:val="-8"/>
          <w:sz w:val="28"/>
        </w:rPr>
        <w:t> </w:t>
      </w:r>
      <w:r>
        <w:rPr>
          <w:sz w:val="28"/>
        </w:rPr>
        <w:t>déposées</w:t>
      </w:r>
      <w:r>
        <w:rPr>
          <w:spacing w:val="-9"/>
          <w:sz w:val="28"/>
        </w:rPr>
        <w:t> </w:t>
      </w:r>
      <w:r>
        <w:rPr>
          <w:sz w:val="28"/>
        </w:rPr>
        <w:t>au</w:t>
      </w:r>
      <w:r>
        <w:rPr>
          <w:spacing w:val="-8"/>
          <w:sz w:val="28"/>
        </w:rPr>
        <w:t> </w:t>
      </w:r>
      <w:r>
        <w:rPr>
          <w:sz w:val="28"/>
        </w:rPr>
        <w:t>bureau</w:t>
      </w:r>
      <w:r>
        <w:rPr>
          <w:spacing w:val="-7"/>
          <w:sz w:val="28"/>
        </w:rPr>
        <w:t> </w:t>
      </w:r>
      <w:r>
        <w:rPr>
          <w:sz w:val="28"/>
        </w:rPr>
        <w:t>de</w:t>
      </w:r>
      <w:r>
        <w:rPr>
          <w:spacing w:val="-10"/>
          <w:sz w:val="28"/>
        </w:rPr>
        <w:t> </w:t>
      </w:r>
      <w:r>
        <w:rPr>
          <w:sz w:val="28"/>
        </w:rPr>
        <w:t>douane</w:t>
      </w:r>
      <w:r>
        <w:rPr>
          <w:spacing w:val="-9"/>
          <w:sz w:val="28"/>
        </w:rPr>
        <w:t> </w:t>
      </w:r>
      <w:r>
        <w:rPr>
          <w:sz w:val="28"/>
        </w:rPr>
        <w:t>jusqu’à</w:t>
      </w:r>
      <w:r>
        <w:rPr>
          <w:spacing w:val="-9"/>
          <w:sz w:val="28"/>
        </w:rPr>
        <w:t> </w:t>
      </w:r>
      <w:r>
        <w:rPr>
          <w:sz w:val="28"/>
        </w:rPr>
        <w:t>l’émission du bon à</w:t>
      </w:r>
      <w:r>
        <w:rPr>
          <w:spacing w:val="-4"/>
          <w:sz w:val="28"/>
        </w:rPr>
        <w:t> </w:t>
      </w:r>
      <w:r>
        <w:rPr>
          <w:sz w:val="28"/>
        </w:rPr>
        <w:t>enlever.</w:t>
      </w:r>
    </w:p>
    <w:p>
      <w:pPr>
        <w:pStyle w:val="ListParagraph"/>
        <w:numPr>
          <w:ilvl w:val="0"/>
          <w:numId w:val="62"/>
        </w:numPr>
        <w:tabs>
          <w:tab w:pos="717" w:val="left" w:leader="none"/>
        </w:tabs>
        <w:spacing w:line="230" w:lineRule="auto" w:before="11" w:after="0"/>
        <w:ind w:left="716" w:right="756" w:hanging="284"/>
        <w:jc w:val="left"/>
        <w:rPr>
          <w:sz w:val="28"/>
        </w:rPr>
      </w:pPr>
      <w:r>
        <w:rPr>
          <w:sz w:val="28"/>
        </w:rPr>
        <w:t>Retirer de l’argent de la caisse, sur bon de dépense provisoire, pour paiement des taxes</w:t>
      </w:r>
      <w:r>
        <w:rPr>
          <w:spacing w:val="-3"/>
          <w:sz w:val="28"/>
        </w:rPr>
        <w:t> </w:t>
      </w:r>
      <w:r>
        <w:rPr>
          <w:sz w:val="28"/>
        </w:rPr>
        <w:t>douanières.</w:t>
      </w:r>
    </w:p>
    <w:p>
      <w:pPr>
        <w:pStyle w:val="ListParagraph"/>
        <w:numPr>
          <w:ilvl w:val="0"/>
          <w:numId w:val="62"/>
        </w:numPr>
        <w:tabs>
          <w:tab w:pos="717" w:val="left" w:leader="none"/>
        </w:tabs>
        <w:spacing w:line="334" w:lineRule="exact" w:before="2" w:after="0"/>
        <w:ind w:left="716" w:right="0" w:hanging="284"/>
        <w:jc w:val="left"/>
        <w:rPr>
          <w:sz w:val="28"/>
        </w:rPr>
      </w:pPr>
      <w:r>
        <w:rPr>
          <w:sz w:val="28"/>
        </w:rPr>
        <w:t>Récupérer les quittances et apurer les bons provisoires de la</w:t>
      </w:r>
      <w:r>
        <w:rPr>
          <w:spacing w:val="-5"/>
          <w:sz w:val="28"/>
        </w:rPr>
        <w:t> </w:t>
      </w:r>
      <w:r>
        <w:rPr>
          <w:sz w:val="28"/>
        </w:rPr>
        <w:t>caisse.</w:t>
      </w:r>
    </w:p>
    <w:p>
      <w:pPr>
        <w:pStyle w:val="ListParagraph"/>
        <w:numPr>
          <w:ilvl w:val="0"/>
          <w:numId w:val="62"/>
        </w:numPr>
        <w:tabs>
          <w:tab w:pos="717" w:val="left" w:leader="none"/>
        </w:tabs>
        <w:spacing w:line="328" w:lineRule="exact" w:before="0" w:after="0"/>
        <w:ind w:left="716" w:right="0" w:hanging="284"/>
        <w:jc w:val="left"/>
        <w:rPr>
          <w:sz w:val="28"/>
        </w:rPr>
      </w:pPr>
      <w:r>
        <w:rPr>
          <w:sz w:val="28"/>
        </w:rPr>
        <w:t>Remettre à l’enlèvement le dossier de dédouanement comportant particulièrement</w:t>
      </w:r>
      <w:r>
        <w:rPr>
          <w:spacing w:val="-19"/>
          <w:sz w:val="28"/>
        </w:rPr>
        <w:t> </w:t>
      </w:r>
      <w:r>
        <w:rPr>
          <w:sz w:val="28"/>
        </w:rPr>
        <w:t>:</w:t>
      </w:r>
    </w:p>
    <w:p>
      <w:pPr>
        <w:pStyle w:val="ListParagraph"/>
        <w:numPr>
          <w:ilvl w:val="1"/>
          <w:numId w:val="62"/>
        </w:numPr>
        <w:tabs>
          <w:tab w:pos="1286" w:val="left" w:leader="none"/>
        </w:tabs>
        <w:spacing w:line="335" w:lineRule="exact" w:before="0" w:after="0"/>
        <w:ind w:left="1285" w:right="0" w:hanging="287"/>
        <w:jc w:val="left"/>
        <w:rPr>
          <w:sz w:val="28"/>
        </w:rPr>
      </w:pPr>
      <w:r>
        <w:rPr>
          <w:sz w:val="28"/>
        </w:rPr>
        <w:t>Les conformes au</w:t>
      </w:r>
      <w:r>
        <w:rPr>
          <w:spacing w:val="1"/>
          <w:sz w:val="28"/>
        </w:rPr>
        <w:t> </w:t>
      </w:r>
      <w:r>
        <w:rPr>
          <w:sz w:val="28"/>
        </w:rPr>
        <w:t>primata,</w:t>
      </w:r>
    </w:p>
    <w:p>
      <w:pPr>
        <w:pStyle w:val="ListParagraph"/>
        <w:numPr>
          <w:ilvl w:val="1"/>
          <w:numId w:val="62"/>
        </w:numPr>
        <w:tabs>
          <w:tab w:pos="1286" w:val="left" w:leader="none"/>
        </w:tabs>
        <w:spacing w:line="342" w:lineRule="exact" w:before="0" w:after="0"/>
        <w:ind w:left="1285" w:right="0" w:hanging="287"/>
        <w:jc w:val="left"/>
        <w:rPr>
          <w:sz w:val="28"/>
        </w:rPr>
      </w:pPr>
      <w:r>
        <w:rPr>
          <w:sz w:val="28"/>
        </w:rPr>
        <w:t>Les factures visées par la douane ou le titre de commerce</w:t>
      </w:r>
      <w:r>
        <w:rPr>
          <w:spacing w:val="-20"/>
          <w:sz w:val="28"/>
        </w:rPr>
        <w:t> </w:t>
      </w:r>
      <w:r>
        <w:rPr>
          <w:sz w:val="28"/>
        </w:rPr>
        <w:t>extérieur-code039,</w:t>
      </w:r>
    </w:p>
    <w:p>
      <w:pPr>
        <w:pStyle w:val="ListParagraph"/>
        <w:numPr>
          <w:ilvl w:val="1"/>
          <w:numId w:val="62"/>
        </w:numPr>
        <w:tabs>
          <w:tab w:pos="1286" w:val="left" w:leader="none"/>
        </w:tabs>
        <w:spacing w:line="240" w:lineRule="auto" w:before="0" w:after="0"/>
        <w:ind w:left="1285" w:right="0" w:hanging="287"/>
        <w:jc w:val="left"/>
        <w:rPr>
          <w:sz w:val="28"/>
        </w:rPr>
      </w:pPr>
      <w:r>
        <w:rPr>
          <w:sz w:val="28"/>
        </w:rPr>
        <w:t>Copie des quittances de paiement des taxes</w:t>
      </w:r>
      <w:r>
        <w:rPr>
          <w:spacing w:val="-11"/>
          <w:sz w:val="28"/>
        </w:rPr>
        <w:t> </w:t>
      </w:r>
      <w:r>
        <w:rPr>
          <w:sz w:val="28"/>
        </w:rPr>
        <w:t>douanières,</w:t>
      </w:r>
    </w:p>
    <w:p>
      <w:pPr>
        <w:spacing w:after="0" w:line="24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w:pStyle w:val="ListParagraph"/>
        <w:numPr>
          <w:ilvl w:val="0"/>
          <w:numId w:val="62"/>
        </w:numPr>
        <w:tabs>
          <w:tab w:pos="717" w:val="left" w:leader="none"/>
        </w:tabs>
        <w:spacing w:line="334" w:lineRule="exact" w:before="84" w:after="0"/>
        <w:ind w:left="716" w:right="0" w:hanging="284"/>
        <w:jc w:val="left"/>
        <w:rPr>
          <w:sz w:val="28"/>
        </w:rPr>
      </w:pPr>
      <w:r>
        <w:rPr>
          <w:sz w:val="28"/>
        </w:rPr>
        <w:t>Suivre les engagements souscrits auprès de la douane</w:t>
      </w:r>
      <w:r>
        <w:rPr>
          <w:spacing w:val="-3"/>
          <w:sz w:val="28"/>
        </w:rPr>
        <w:t> </w:t>
      </w:r>
      <w:r>
        <w:rPr>
          <w:sz w:val="28"/>
        </w:rPr>
        <w:t>:</w:t>
      </w:r>
    </w:p>
    <w:p>
      <w:pPr>
        <w:pStyle w:val="ListParagraph"/>
        <w:numPr>
          <w:ilvl w:val="1"/>
          <w:numId w:val="62"/>
        </w:numPr>
        <w:tabs>
          <w:tab w:pos="1286" w:val="left" w:leader="none"/>
        </w:tabs>
        <w:spacing w:line="335" w:lineRule="exact" w:before="0" w:after="0"/>
        <w:ind w:left="1285" w:right="0" w:hanging="287"/>
        <w:jc w:val="left"/>
        <w:rPr>
          <w:sz w:val="28"/>
        </w:rPr>
      </w:pPr>
      <w:r>
        <w:rPr>
          <w:sz w:val="28"/>
        </w:rPr>
        <w:t>Admission</w:t>
      </w:r>
      <w:r>
        <w:rPr>
          <w:spacing w:val="-1"/>
          <w:sz w:val="28"/>
        </w:rPr>
        <w:t> </w:t>
      </w:r>
      <w:r>
        <w:rPr>
          <w:sz w:val="28"/>
        </w:rPr>
        <w:t>temporaire,</w:t>
      </w:r>
    </w:p>
    <w:p>
      <w:pPr>
        <w:pStyle w:val="ListParagraph"/>
        <w:numPr>
          <w:ilvl w:val="1"/>
          <w:numId w:val="62"/>
        </w:numPr>
        <w:tabs>
          <w:tab w:pos="1286" w:val="left" w:leader="none"/>
        </w:tabs>
        <w:spacing w:line="342" w:lineRule="exact" w:before="0" w:after="0"/>
        <w:ind w:left="1285" w:right="0" w:hanging="287"/>
        <w:jc w:val="left"/>
        <w:rPr>
          <w:sz w:val="28"/>
        </w:rPr>
      </w:pPr>
      <w:r>
        <w:rPr>
          <w:sz w:val="28"/>
        </w:rPr>
        <w:t>Soumissions générales,</w:t>
      </w:r>
    </w:p>
    <w:p>
      <w:pPr>
        <w:pStyle w:val="ListParagraph"/>
        <w:numPr>
          <w:ilvl w:val="1"/>
          <w:numId w:val="62"/>
        </w:numPr>
        <w:tabs>
          <w:tab w:pos="1286" w:val="left" w:leader="none"/>
        </w:tabs>
        <w:spacing w:line="342" w:lineRule="exact" w:before="0" w:after="0"/>
        <w:ind w:left="1285" w:right="0" w:hanging="287"/>
        <w:jc w:val="left"/>
        <w:rPr>
          <w:sz w:val="28"/>
        </w:rPr>
      </w:pPr>
      <w:r>
        <w:rPr>
          <w:sz w:val="28"/>
        </w:rPr>
        <w:t>Exportation temporaire,</w:t>
      </w:r>
      <w:r>
        <w:rPr>
          <w:spacing w:val="-5"/>
          <w:sz w:val="28"/>
        </w:rPr>
        <w:t> </w:t>
      </w:r>
      <w:r>
        <w:rPr>
          <w:sz w:val="28"/>
        </w:rPr>
        <w:t>etc.</w:t>
      </w:r>
    </w:p>
    <w:p>
      <w:pPr>
        <w:pStyle w:val="ListParagraph"/>
        <w:numPr>
          <w:ilvl w:val="0"/>
          <w:numId w:val="62"/>
        </w:numPr>
        <w:tabs>
          <w:tab w:pos="717" w:val="left" w:leader="none"/>
        </w:tabs>
        <w:spacing w:line="230" w:lineRule="auto" w:before="11" w:after="0"/>
        <w:ind w:left="716" w:right="754" w:hanging="284"/>
        <w:jc w:val="left"/>
        <w:rPr>
          <w:sz w:val="28"/>
        </w:rPr>
      </w:pPr>
      <w:r>
        <w:rPr>
          <w:sz w:val="28"/>
        </w:rPr>
        <w:t>Remettre par bordereau les dossiers à sous-traiter éventuellement auprès des transitaires agréés par la CME.</w:t>
      </w:r>
    </w:p>
    <w:p>
      <w:pPr>
        <w:pStyle w:val="ListParagraph"/>
        <w:numPr>
          <w:ilvl w:val="0"/>
          <w:numId w:val="62"/>
        </w:numPr>
        <w:tabs>
          <w:tab w:pos="717" w:val="left" w:leader="none"/>
        </w:tabs>
        <w:spacing w:line="230" w:lineRule="auto" w:before="11" w:after="0"/>
        <w:ind w:left="716" w:right="755" w:hanging="284"/>
        <w:jc w:val="left"/>
        <w:rPr>
          <w:sz w:val="28"/>
        </w:rPr>
      </w:pPr>
      <w:r>
        <w:rPr>
          <w:sz w:val="28"/>
        </w:rPr>
        <w:t>Suivre les dossiers sous-traités jusqu’à l’obtention du bon à enlever et des factures visées ou du titre de commerce</w:t>
      </w:r>
      <w:r>
        <w:rPr>
          <w:spacing w:val="-10"/>
          <w:sz w:val="28"/>
        </w:rPr>
        <w:t> </w:t>
      </w:r>
      <w:r>
        <w:rPr>
          <w:sz w:val="28"/>
        </w:rPr>
        <w:t>extérieur-code039.</w:t>
      </w:r>
    </w:p>
    <w:p>
      <w:pPr>
        <w:pStyle w:val="ListParagraph"/>
        <w:numPr>
          <w:ilvl w:val="0"/>
          <w:numId w:val="62"/>
        </w:numPr>
        <w:tabs>
          <w:tab w:pos="717" w:val="left" w:leader="none"/>
        </w:tabs>
        <w:spacing w:line="334" w:lineRule="exact" w:before="3" w:after="0"/>
        <w:ind w:left="716" w:right="0" w:hanging="284"/>
        <w:jc w:val="left"/>
        <w:rPr>
          <w:sz w:val="28"/>
        </w:rPr>
      </w:pPr>
      <w:r>
        <w:rPr>
          <w:sz w:val="28"/>
        </w:rPr>
        <w:t>Les remettre à l’Enlèvement pour suite de l’opération de</w:t>
      </w:r>
      <w:r>
        <w:rPr>
          <w:spacing w:val="-16"/>
          <w:sz w:val="28"/>
        </w:rPr>
        <w:t> </w:t>
      </w:r>
      <w:r>
        <w:rPr>
          <w:sz w:val="28"/>
        </w:rPr>
        <w:t>dédouanement.</w:t>
      </w:r>
    </w:p>
    <w:p>
      <w:pPr>
        <w:pStyle w:val="ListParagraph"/>
        <w:numPr>
          <w:ilvl w:val="0"/>
          <w:numId w:val="62"/>
        </w:numPr>
        <w:tabs>
          <w:tab w:pos="717" w:val="left" w:leader="none"/>
        </w:tabs>
        <w:spacing w:line="230" w:lineRule="auto" w:before="3" w:after="0"/>
        <w:ind w:left="716" w:right="755" w:hanging="284"/>
        <w:jc w:val="left"/>
        <w:rPr>
          <w:sz w:val="28"/>
        </w:rPr>
      </w:pPr>
      <w:r>
        <w:rPr>
          <w:sz w:val="28"/>
        </w:rPr>
        <w:t>Demander mensuellement à la structure Financière un chèque pour couvrir les frais de contrôle</w:t>
      </w:r>
      <w:r>
        <w:rPr>
          <w:spacing w:val="-4"/>
          <w:sz w:val="28"/>
        </w:rPr>
        <w:t> </w:t>
      </w:r>
      <w:r>
        <w:rPr>
          <w:sz w:val="28"/>
        </w:rPr>
        <w:t>douanier.</w:t>
      </w:r>
    </w:p>
    <w:p>
      <w:pPr>
        <w:pStyle w:val="ListParagraph"/>
        <w:numPr>
          <w:ilvl w:val="0"/>
          <w:numId w:val="62"/>
        </w:numPr>
        <w:tabs>
          <w:tab w:pos="717" w:val="left" w:leader="none"/>
        </w:tabs>
        <w:spacing w:line="334" w:lineRule="exact" w:before="2" w:after="0"/>
        <w:ind w:left="716" w:right="0" w:hanging="284"/>
        <w:jc w:val="left"/>
        <w:rPr>
          <w:sz w:val="28"/>
        </w:rPr>
      </w:pPr>
      <w:r>
        <w:rPr>
          <w:sz w:val="28"/>
        </w:rPr>
        <w:t>Apurer tout chèque ou argent liquide retiré de la caisse, avec le</w:t>
      </w:r>
      <w:r>
        <w:rPr>
          <w:spacing w:val="-14"/>
          <w:sz w:val="28"/>
        </w:rPr>
        <w:t> </w:t>
      </w:r>
      <w:r>
        <w:rPr>
          <w:sz w:val="28"/>
        </w:rPr>
        <w:t>Financier.</w:t>
      </w:r>
    </w:p>
    <w:p>
      <w:pPr>
        <w:pStyle w:val="ListParagraph"/>
        <w:numPr>
          <w:ilvl w:val="0"/>
          <w:numId w:val="62"/>
        </w:numPr>
        <w:tabs>
          <w:tab w:pos="717" w:val="left" w:leader="none"/>
        </w:tabs>
        <w:spacing w:line="334" w:lineRule="exact" w:before="0" w:after="0"/>
        <w:ind w:left="716" w:right="0" w:hanging="284"/>
        <w:jc w:val="left"/>
        <w:rPr>
          <w:sz w:val="28"/>
        </w:rPr>
      </w:pPr>
      <w:r>
        <w:rPr>
          <w:sz w:val="28"/>
        </w:rPr>
        <w:t>Déposer et apurer les déclarations de cession</w:t>
      </w:r>
      <w:r>
        <w:rPr>
          <w:spacing w:val="-7"/>
          <w:sz w:val="28"/>
        </w:rPr>
        <w:t> </w:t>
      </w:r>
      <w:r>
        <w:rPr>
          <w:sz w:val="28"/>
        </w:rPr>
        <w:t>inter-régions.</w:t>
      </w:r>
    </w:p>
    <w:p>
      <w:pPr>
        <w:pStyle w:val="Heading2"/>
        <w:spacing w:line="321" w:lineRule="exact" w:before="230"/>
      </w:pPr>
      <w:r>
        <w:rPr/>
        <w:t>Livraison avariée :</w:t>
      </w:r>
    </w:p>
    <w:p>
      <w:pPr>
        <w:pStyle w:val="BodyText"/>
        <w:ind w:right="755"/>
      </w:pPr>
      <w:r>
        <w:rPr/>
        <w:t>Les avaries constatées lors de l'acheminement des fournitures et biens entre les ports/aéroports de débarquement et les sites du GCT doivent faire l'objet de constats d'avaries auprès des assureurs. L'employé chargé du dossier de dédouanement ou de l'enlèvement</w:t>
      </w:r>
      <w:r>
        <w:rPr>
          <w:spacing w:val="-15"/>
        </w:rPr>
        <w:t> </w:t>
      </w:r>
      <w:r>
        <w:rPr/>
        <w:t>est</w:t>
      </w:r>
      <w:r>
        <w:rPr>
          <w:spacing w:val="-15"/>
        </w:rPr>
        <w:t> </w:t>
      </w:r>
      <w:r>
        <w:rPr/>
        <w:t>tenu</w:t>
      </w:r>
      <w:r>
        <w:rPr>
          <w:spacing w:val="-17"/>
        </w:rPr>
        <w:t> </w:t>
      </w:r>
      <w:r>
        <w:rPr/>
        <w:t>d'engager</w:t>
      </w:r>
      <w:r>
        <w:rPr>
          <w:spacing w:val="-15"/>
        </w:rPr>
        <w:t> </w:t>
      </w:r>
      <w:r>
        <w:rPr/>
        <w:t>les</w:t>
      </w:r>
      <w:r>
        <w:rPr>
          <w:spacing w:val="-15"/>
        </w:rPr>
        <w:t> </w:t>
      </w:r>
      <w:r>
        <w:rPr/>
        <w:t>formalités</w:t>
      </w:r>
      <w:r>
        <w:rPr>
          <w:spacing w:val="-15"/>
        </w:rPr>
        <w:t> </w:t>
      </w:r>
      <w:r>
        <w:rPr/>
        <w:t>relatives</w:t>
      </w:r>
      <w:r>
        <w:rPr>
          <w:spacing w:val="-15"/>
        </w:rPr>
        <w:t> </w:t>
      </w:r>
      <w:r>
        <w:rPr/>
        <w:t>aux</w:t>
      </w:r>
      <w:r>
        <w:rPr>
          <w:spacing w:val="-14"/>
        </w:rPr>
        <w:t> </w:t>
      </w:r>
      <w:r>
        <w:rPr/>
        <w:t>avaries</w:t>
      </w:r>
      <w:r>
        <w:rPr>
          <w:spacing w:val="-15"/>
        </w:rPr>
        <w:t> </w:t>
      </w:r>
      <w:r>
        <w:rPr/>
        <w:t>(colis</w:t>
      </w:r>
      <w:r>
        <w:rPr>
          <w:spacing w:val="-15"/>
        </w:rPr>
        <w:t> </w:t>
      </w:r>
      <w:r>
        <w:rPr/>
        <w:t>endommagés, manque</w:t>
      </w:r>
      <w:r>
        <w:rPr>
          <w:spacing w:val="-20"/>
        </w:rPr>
        <w:t> </w:t>
      </w:r>
      <w:r>
        <w:rPr/>
        <w:t>de</w:t>
      </w:r>
      <w:r>
        <w:rPr>
          <w:spacing w:val="-20"/>
        </w:rPr>
        <w:t> </w:t>
      </w:r>
      <w:r>
        <w:rPr/>
        <w:t>colis,</w:t>
      </w:r>
      <w:r>
        <w:rPr>
          <w:spacing w:val="-19"/>
        </w:rPr>
        <w:t> </w:t>
      </w:r>
      <w:r>
        <w:rPr/>
        <w:t>emballage</w:t>
      </w:r>
      <w:r>
        <w:rPr>
          <w:spacing w:val="-16"/>
        </w:rPr>
        <w:t> </w:t>
      </w:r>
      <w:r>
        <w:rPr/>
        <w:t>endommagé,</w:t>
      </w:r>
      <w:r>
        <w:rPr>
          <w:spacing w:val="-20"/>
        </w:rPr>
        <w:t> </w:t>
      </w:r>
      <w:r>
        <w:rPr/>
        <w:t>etc.)</w:t>
      </w:r>
      <w:r>
        <w:rPr>
          <w:spacing w:val="-20"/>
        </w:rPr>
        <w:t> </w:t>
      </w:r>
      <w:r>
        <w:rPr/>
        <w:t>en</w:t>
      </w:r>
      <w:r>
        <w:rPr>
          <w:spacing w:val="-18"/>
        </w:rPr>
        <w:t> </w:t>
      </w:r>
      <w:r>
        <w:rPr/>
        <w:t>temps</w:t>
      </w:r>
      <w:r>
        <w:rPr>
          <w:spacing w:val="-19"/>
        </w:rPr>
        <w:t> </w:t>
      </w:r>
      <w:r>
        <w:rPr/>
        <w:t>opportun.</w:t>
      </w:r>
      <w:r>
        <w:rPr>
          <w:spacing w:val="-20"/>
        </w:rPr>
        <w:t> </w:t>
      </w:r>
      <w:r>
        <w:rPr/>
        <w:t>Les</w:t>
      </w:r>
      <w:r>
        <w:rPr>
          <w:spacing w:val="-18"/>
        </w:rPr>
        <w:t> </w:t>
      </w:r>
      <w:r>
        <w:rPr/>
        <w:t>délais</w:t>
      </w:r>
      <w:r>
        <w:rPr>
          <w:spacing w:val="-19"/>
        </w:rPr>
        <w:t> </w:t>
      </w:r>
      <w:r>
        <w:rPr/>
        <w:t>de</w:t>
      </w:r>
      <w:r>
        <w:rPr>
          <w:spacing w:val="-20"/>
        </w:rPr>
        <w:t> </w:t>
      </w:r>
      <w:r>
        <w:rPr/>
        <w:t>recours maximums sont</w:t>
      </w:r>
      <w:r>
        <w:rPr>
          <w:spacing w:val="1"/>
        </w:rPr>
        <w:t> </w:t>
      </w:r>
      <w:r>
        <w:rPr/>
        <w:t>:</w:t>
      </w:r>
    </w:p>
    <w:p>
      <w:pPr>
        <w:pStyle w:val="ListParagraph"/>
        <w:numPr>
          <w:ilvl w:val="0"/>
          <w:numId w:val="63"/>
        </w:numPr>
        <w:tabs>
          <w:tab w:pos="1142" w:val="left" w:leader="none"/>
        </w:tabs>
        <w:spacing w:line="230" w:lineRule="auto" w:before="7" w:after="0"/>
        <w:ind w:left="1141" w:right="759" w:hanging="142"/>
        <w:jc w:val="both"/>
        <w:rPr>
          <w:sz w:val="28"/>
        </w:rPr>
      </w:pPr>
      <w:r>
        <w:rPr>
          <w:sz w:val="28"/>
        </w:rPr>
        <w:t>60 jours de la date de débarquement des fournitures et des biens aux ports/aéroports.</w:t>
      </w:r>
    </w:p>
    <w:p>
      <w:pPr>
        <w:pStyle w:val="ListParagraph"/>
        <w:numPr>
          <w:ilvl w:val="0"/>
          <w:numId w:val="63"/>
        </w:numPr>
        <w:tabs>
          <w:tab w:pos="1142" w:val="left" w:leader="none"/>
        </w:tabs>
        <w:spacing w:line="240" w:lineRule="auto" w:before="3" w:after="0"/>
        <w:ind w:left="1141" w:right="0" w:hanging="143"/>
        <w:jc w:val="both"/>
        <w:rPr>
          <w:sz w:val="28"/>
        </w:rPr>
      </w:pPr>
      <w:r>
        <w:rPr>
          <w:sz w:val="28"/>
        </w:rPr>
        <w:t>05 jours de la date de déchargement des fournitures et des biens à la</w:t>
      </w:r>
      <w:r>
        <w:rPr>
          <w:spacing w:val="-17"/>
          <w:sz w:val="28"/>
        </w:rPr>
        <w:t> </w:t>
      </w:r>
      <w:r>
        <w:rPr>
          <w:sz w:val="28"/>
        </w:rPr>
        <w:t>réception.</w:t>
      </w:r>
    </w:p>
    <w:p>
      <w:pPr>
        <w:pStyle w:val="Heading3"/>
        <w:spacing w:before="232"/>
        <w:jc w:val="left"/>
        <w:rPr>
          <w:i/>
        </w:rPr>
      </w:pPr>
      <w:r>
        <w:rPr>
          <w:i/>
        </w:rPr>
        <w:t>Les Enlèvements :</w:t>
      </w:r>
    </w:p>
    <w:p>
      <w:pPr>
        <w:pStyle w:val="ListParagraph"/>
        <w:numPr>
          <w:ilvl w:val="0"/>
          <w:numId w:val="63"/>
        </w:numPr>
        <w:tabs>
          <w:tab w:pos="1142" w:val="left" w:leader="none"/>
        </w:tabs>
        <w:spacing w:line="332" w:lineRule="exact" w:before="0" w:after="0"/>
        <w:ind w:left="1141" w:right="0" w:hanging="143"/>
        <w:jc w:val="left"/>
        <w:rPr>
          <w:sz w:val="28"/>
        </w:rPr>
      </w:pPr>
      <w:r>
        <w:rPr>
          <w:sz w:val="28"/>
        </w:rPr>
        <w:t>Réceptionner les dossiers de</w:t>
      </w:r>
      <w:r>
        <w:rPr>
          <w:spacing w:val="-5"/>
          <w:sz w:val="28"/>
        </w:rPr>
        <w:t> </w:t>
      </w:r>
      <w:r>
        <w:rPr>
          <w:sz w:val="28"/>
        </w:rPr>
        <w:t>transit.</w:t>
      </w:r>
    </w:p>
    <w:p>
      <w:pPr>
        <w:pStyle w:val="ListParagraph"/>
        <w:numPr>
          <w:ilvl w:val="0"/>
          <w:numId w:val="63"/>
        </w:numPr>
        <w:tabs>
          <w:tab w:pos="1142" w:val="left" w:leader="none"/>
        </w:tabs>
        <w:spacing w:line="230" w:lineRule="auto" w:before="4" w:after="0"/>
        <w:ind w:left="1141" w:right="751" w:hanging="142"/>
        <w:jc w:val="left"/>
        <w:rPr>
          <w:sz w:val="28"/>
        </w:rPr>
      </w:pPr>
      <w:r>
        <w:rPr>
          <w:sz w:val="28"/>
        </w:rPr>
        <w:t>Réclamer de la structure Achats concernée le titre de transport (connaissement original ou LTA) endossé éventuellement par la</w:t>
      </w:r>
      <w:r>
        <w:rPr>
          <w:spacing w:val="-8"/>
          <w:sz w:val="28"/>
        </w:rPr>
        <w:t> </w:t>
      </w:r>
      <w:r>
        <w:rPr>
          <w:sz w:val="28"/>
        </w:rPr>
        <w:t>banque.</w:t>
      </w:r>
    </w:p>
    <w:p>
      <w:pPr>
        <w:pStyle w:val="ListParagraph"/>
        <w:numPr>
          <w:ilvl w:val="0"/>
          <w:numId w:val="63"/>
        </w:numPr>
        <w:tabs>
          <w:tab w:pos="1142" w:val="left" w:leader="none"/>
        </w:tabs>
        <w:spacing w:line="230" w:lineRule="auto" w:before="11" w:after="0"/>
        <w:ind w:left="1141" w:right="761" w:hanging="142"/>
        <w:jc w:val="left"/>
        <w:rPr>
          <w:sz w:val="28"/>
        </w:rPr>
      </w:pPr>
      <w:r>
        <w:rPr>
          <w:sz w:val="28"/>
        </w:rPr>
        <w:t>Envoyer aux transitaires les documents nécessaires à l’enlèvement des commandes dans les ports ou</w:t>
      </w:r>
      <w:r>
        <w:rPr>
          <w:spacing w:val="-1"/>
          <w:sz w:val="28"/>
        </w:rPr>
        <w:t> </w:t>
      </w:r>
      <w:r>
        <w:rPr>
          <w:sz w:val="28"/>
        </w:rPr>
        <w:t>aéroports.</w:t>
      </w:r>
    </w:p>
    <w:p>
      <w:pPr>
        <w:pStyle w:val="ListParagraph"/>
        <w:numPr>
          <w:ilvl w:val="0"/>
          <w:numId w:val="63"/>
        </w:numPr>
        <w:tabs>
          <w:tab w:pos="1142" w:val="left" w:leader="none"/>
        </w:tabs>
        <w:spacing w:line="230" w:lineRule="auto" w:before="13" w:after="0"/>
        <w:ind w:left="1141" w:right="750" w:hanging="142"/>
        <w:jc w:val="left"/>
        <w:rPr>
          <w:sz w:val="28"/>
        </w:rPr>
      </w:pPr>
      <w:r>
        <w:rPr>
          <w:sz w:val="28"/>
        </w:rPr>
        <w:t>Etablir et remettre à la structure de Gestion des Stocks les demandes de déchargement,</w:t>
      </w:r>
    </w:p>
    <w:p>
      <w:pPr>
        <w:pStyle w:val="ListParagraph"/>
        <w:numPr>
          <w:ilvl w:val="0"/>
          <w:numId w:val="63"/>
        </w:numPr>
        <w:tabs>
          <w:tab w:pos="1142" w:val="left" w:leader="none"/>
        </w:tabs>
        <w:spacing w:line="230" w:lineRule="auto" w:before="11" w:after="0"/>
        <w:ind w:left="1141" w:right="760" w:hanging="142"/>
        <w:jc w:val="left"/>
        <w:rPr>
          <w:sz w:val="28"/>
        </w:rPr>
      </w:pPr>
      <w:r>
        <w:rPr>
          <w:sz w:val="28"/>
        </w:rPr>
        <w:t>Assister au déchargement avec le réceptionnaire du magasin pour signature conjointe des bons de livraison, en présence du</w:t>
      </w:r>
      <w:r>
        <w:rPr>
          <w:spacing w:val="-12"/>
          <w:sz w:val="28"/>
        </w:rPr>
        <w:t> </w:t>
      </w:r>
      <w:r>
        <w:rPr>
          <w:sz w:val="28"/>
        </w:rPr>
        <w:t>douanier.</w:t>
      </w:r>
    </w:p>
    <w:p>
      <w:pPr>
        <w:pStyle w:val="ListParagraph"/>
        <w:numPr>
          <w:ilvl w:val="0"/>
          <w:numId w:val="63"/>
        </w:numPr>
        <w:tabs>
          <w:tab w:pos="1142" w:val="left" w:leader="none"/>
        </w:tabs>
        <w:spacing w:line="334" w:lineRule="exact" w:before="3" w:after="0"/>
        <w:ind w:left="1141" w:right="0" w:hanging="143"/>
        <w:jc w:val="left"/>
        <w:rPr>
          <w:sz w:val="28"/>
        </w:rPr>
      </w:pPr>
      <w:r>
        <w:rPr>
          <w:sz w:val="28"/>
        </w:rPr>
        <w:t>Garder une copie du bon de livraison dans le dossier</w:t>
      </w:r>
      <w:r>
        <w:rPr>
          <w:spacing w:val="-16"/>
          <w:sz w:val="28"/>
        </w:rPr>
        <w:t> </w:t>
      </w:r>
      <w:r>
        <w:rPr>
          <w:sz w:val="28"/>
        </w:rPr>
        <w:t>transit.</w:t>
      </w:r>
    </w:p>
    <w:p>
      <w:pPr>
        <w:pStyle w:val="ListParagraph"/>
        <w:numPr>
          <w:ilvl w:val="0"/>
          <w:numId w:val="63"/>
        </w:numPr>
        <w:tabs>
          <w:tab w:pos="1142" w:val="left" w:leader="none"/>
        </w:tabs>
        <w:spacing w:line="230" w:lineRule="auto" w:before="3" w:after="0"/>
        <w:ind w:left="1141" w:right="757" w:hanging="142"/>
        <w:jc w:val="left"/>
        <w:rPr>
          <w:sz w:val="28"/>
        </w:rPr>
      </w:pPr>
      <w:r>
        <w:rPr>
          <w:sz w:val="28"/>
        </w:rPr>
        <w:t>Vérifier que le matériel reçu est intact, sinon déclencher un constat d’avarie à domicile.</w:t>
      </w:r>
    </w:p>
    <w:p>
      <w:pPr>
        <w:pStyle w:val="ListParagraph"/>
        <w:numPr>
          <w:ilvl w:val="0"/>
          <w:numId w:val="63"/>
        </w:numPr>
        <w:tabs>
          <w:tab w:pos="1142" w:val="left" w:leader="none"/>
        </w:tabs>
        <w:spacing w:line="335" w:lineRule="exact" w:before="0" w:after="0"/>
        <w:ind w:left="1141" w:right="0" w:hanging="143"/>
        <w:jc w:val="left"/>
        <w:rPr>
          <w:sz w:val="28"/>
        </w:rPr>
      </w:pPr>
      <w:r>
        <w:rPr>
          <w:sz w:val="28"/>
        </w:rPr>
        <w:t>Suivre tous les dossiers d’avarie, avec le transitaire et le commissaire</w:t>
      </w:r>
      <w:r>
        <w:rPr>
          <w:spacing w:val="-19"/>
          <w:sz w:val="28"/>
        </w:rPr>
        <w:t> </w:t>
      </w:r>
      <w:r>
        <w:rPr>
          <w:sz w:val="28"/>
        </w:rPr>
        <w:t>d’avarie.</w:t>
      </w:r>
    </w:p>
    <w:p>
      <w:pPr>
        <w:pStyle w:val="ListParagraph"/>
        <w:numPr>
          <w:ilvl w:val="0"/>
          <w:numId w:val="63"/>
        </w:numPr>
        <w:tabs>
          <w:tab w:pos="1142" w:val="left" w:leader="none"/>
        </w:tabs>
        <w:spacing w:line="328" w:lineRule="exact" w:before="0" w:after="0"/>
        <w:ind w:left="1141" w:right="0" w:hanging="143"/>
        <w:jc w:val="left"/>
        <w:rPr>
          <w:sz w:val="28"/>
        </w:rPr>
      </w:pPr>
      <w:r>
        <w:rPr>
          <w:sz w:val="28"/>
        </w:rPr>
        <w:t>Assister avec la douane pour tout dossier nécessitant une</w:t>
      </w:r>
      <w:r>
        <w:rPr>
          <w:spacing w:val="-17"/>
          <w:sz w:val="28"/>
        </w:rPr>
        <w:t> </w:t>
      </w:r>
      <w:r>
        <w:rPr>
          <w:sz w:val="28"/>
        </w:rPr>
        <w:t>visite.</w:t>
      </w:r>
    </w:p>
    <w:p>
      <w:pPr>
        <w:pStyle w:val="ListParagraph"/>
        <w:numPr>
          <w:ilvl w:val="0"/>
          <w:numId w:val="63"/>
        </w:numPr>
        <w:tabs>
          <w:tab w:pos="1142" w:val="left" w:leader="none"/>
        </w:tabs>
        <w:spacing w:line="230" w:lineRule="auto" w:before="3" w:after="0"/>
        <w:ind w:left="1141" w:right="750" w:hanging="142"/>
        <w:jc w:val="left"/>
        <w:rPr>
          <w:sz w:val="28"/>
        </w:rPr>
      </w:pPr>
      <w:r>
        <w:rPr>
          <w:sz w:val="28"/>
        </w:rPr>
        <w:t>Remettre les factures visées/titre de commerce extérieur aux structures d’achat concernées.</w:t>
      </w:r>
    </w:p>
    <w:p>
      <w:pPr>
        <w:spacing w:after="0" w:line="23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w:pStyle w:val="Heading2"/>
        <w:spacing w:line="319" w:lineRule="exact"/>
        <w:jc w:val="left"/>
      </w:pPr>
      <w:r>
        <w:rPr/>
        <w:t>Cas des arrivages par poste :</w:t>
      </w:r>
    </w:p>
    <w:p>
      <w:pPr>
        <w:pStyle w:val="ListParagraph"/>
        <w:numPr>
          <w:ilvl w:val="0"/>
          <w:numId w:val="64"/>
        </w:numPr>
        <w:tabs>
          <w:tab w:pos="585" w:val="left" w:leader="none"/>
        </w:tabs>
        <w:spacing w:line="240" w:lineRule="auto" w:before="0" w:after="0"/>
        <w:ind w:left="433" w:right="749" w:firstLine="0"/>
        <w:jc w:val="left"/>
        <w:rPr>
          <w:sz w:val="28"/>
        </w:rPr>
      </w:pPr>
      <w:r>
        <w:rPr>
          <w:sz w:val="28"/>
        </w:rPr>
        <w:t>Remettre</w:t>
      </w:r>
      <w:r>
        <w:rPr>
          <w:spacing w:val="-16"/>
          <w:sz w:val="28"/>
        </w:rPr>
        <w:t> </w:t>
      </w:r>
      <w:r>
        <w:rPr>
          <w:sz w:val="28"/>
        </w:rPr>
        <w:t>le</w:t>
      </w:r>
      <w:r>
        <w:rPr>
          <w:spacing w:val="-16"/>
          <w:sz w:val="28"/>
        </w:rPr>
        <w:t> </w:t>
      </w:r>
      <w:r>
        <w:rPr>
          <w:sz w:val="28"/>
        </w:rPr>
        <w:t>dossier</w:t>
      </w:r>
      <w:r>
        <w:rPr>
          <w:spacing w:val="-16"/>
          <w:sz w:val="28"/>
        </w:rPr>
        <w:t> </w:t>
      </w:r>
      <w:r>
        <w:rPr>
          <w:sz w:val="28"/>
        </w:rPr>
        <w:t>d’enlèvement</w:t>
      </w:r>
      <w:r>
        <w:rPr>
          <w:spacing w:val="-15"/>
          <w:sz w:val="28"/>
        </w:rPr>
        <w:t> </w:t>
      </w:r>
      <w:r>
        <w:rPr>
          <w:sz w:val="28"/>
        </w:rPr>
        <w:t>au</w:t>
      </w:r>
      <w:r>
        <w:rPr>
          <w:spacing w:val="-15"/>
          <w:sz w:val="28"/>
        </w:rPr>
        <w:t> </w:t>
      </w:r>
      <w:r>
        <w:rPr>
          <w:sz w:val="28"/>
        </w:rPr>
        <w:t>douanier</w:t>
      </w:r>
      <w:r>
        <w:rPr>
          <w:spacing w:val="-15"/>
          <w:sz w:val="28"/>
        </w:rPr>
        <w:t> </w:t>
      </w:r>
      <w:r>
        <w:rPr>
          <w:sz w:val="28"/>
        </w:rPr>
        <w:t>de</w:t>
      </w:r>
      <w:r>
        <w:rPr>
          <w:spacing w:val="-16"/>
          <w:sz w:val="28"/>
        </w:rPr>
        <w:t> </w:t>
      </w:r>
      <w:r>
        <w:rPr>
          <w:sz w:val="28"/>
        </w:rPr>
        <w:t>la</w:t>
      </w:r>
      <w:r>
        <w:rPr>
          <w:spacing w:val="-16"/>
          <w:sz w:val="28"/>
        </w:rPr>
        <w:t> </w:t>
      </w:r>
      <w:r>
        <w:rPr>
          <w:sz w:val="28"/>
        </w:rPr>
        <w:t>poste</w:t>
      </w:r>
      <w:r>
        <w:rPr>
          <w:spacing w:val="-16"/>
          <w:sz w:val="28"/>
        </w:rPr>
        <w:t> </w:t>
      </w:r>
      <w:r>
        <w:rPr>
          <w:sz w:val="28"/>
        </w:rPr>
        <w:t>et</w:t>
      </w:r>
      <w:r>
        <w:rPr>
          <w:spacing w:val="-17"/>
          <w:sz w:val="28"/>
        </w:rPr>
        <w:t> </w:t>
      </w:r>
      <w:r>
        <w:rPr>
          <w:sz w:val="28"/>
        </w:rPr>
        <w:t>suivre</w:t>
      </w:r>
      <w:r>
        <w:rPr>
          <w:spacing w:val="-15"/>
          <w:sz w:val="28"/>
        </w:rPr>
        <w:t> </w:t>
      </w:r>
      <w:r>
        <w:rPr>
          <w:sz w:val="28"/>
        </w:rPr>
        <w:t>l’opération</w:t>
      </w:r>
      <w:r>
        <w:rPr>
          <w:spacing w:val="-7"/>
          <w:sz w:val="28"/>
        </w:rPr>
        <w:t> </w:t>
      </w:r>
      <w:r>
        <w:rPr>
          <w:sz w:val="28"/>
        </w:rPr>
        <w:t>jusqu’à enlèvement définitif.</w:t>
      </w:r>
    </w:p>
    <w:p>
      <w:pPr>
        <w:pStyle w:val="ListParagraph"/>
        <w:numPr>
          <w:ilvl w:val="0"/>
          <w:numId w:val="64"/>
        </w:numPr>
        <w:tabs>
          <w:tab w:pos="626" w:val="left" w:leader="none"/>
        </w:tabs>
        <w:spacing w:line="240" w:lineRule="auto" w:before="0" w:after="0"/>
        <w:ind w:left="433" w:right="754" w:firstLine="0"/>
        <w:jc w:val="left"/>
        <w:rPr>
          <w:sz w:val="28"/>
        </w:rPr>
      </w:pPr>
      <w:r>
        <w:rPr>
          <w:sz w:val="28"/>
        </w:rPr>
        <w:t>Retirer de l’argent de la caisse, sur bon de dépense provisoire, pour paiement des taxes</w:t>
      </w:r>
      <w:r>
        <w:rPr>
          <w:spacing w:val="-3"/>
          <w:sz w:val="28"/>
        </w:rPr>
        <w:t> </w:t>
      </w:r>
      <w:r>
        <w:rPr>
          <w:sz w:val="28"/>
        </w:rPr>
        <w:t>douanières,</w:t>
      </w:r>
    </w:p>
    <w:p>
      <w:pPr>
        <w:pStyle w:val="ListParagraph"/>
        <w:numPr>
          <w:ilvl w:val="0"/>
          <w:numId w:val="64"/>
        </w:numPr>
        <w:tabs>
          <w:tab w:pos="597" w:val="left" w:leader="none"/>
        </w:tabs>
        <w:spacing w:line="321" w:lineRule="exact" w:before="0" w:after="0"/>
        <w:ind w:left="596" w:right="0" w:hanging="164"/>
        <w:jc w:val="left"/>
        <w:rPr>
          <w:sz w:val="28"/>
        </w:rPr>
      </w:pPr>
      <w:r>
        <w:rPr>
          <w:sz w:val="28"/>
        </w:rPr>
        <w:t>Remettre le dossier à la Réception, en présence du</w:t>
      </w:r>
      <w:r>
        <w:rPr>
          <w:spacing w:val="-12"/>
          <w:sz w:val="28"/>
        </w:rPr>
        <w:t> </w:t>
      </w:r>
      <w:r>
        <w:rPr>
          <w:sz w:val="28"/>
        </w:rPr>
        <w:t>douanier.</w:t>
      </w:r>
    </w:p>
    <w:p>
      <w:pPr>
        <w:pStyle w:val="Heading2"/>
        <w:spacing w:line="319" w:lineRule="exact" w:before="3"/>
        <w:jc w:val="left"/>
      </w:pPr>
      <w:r>
        <w:rPr/>
        <w:t>Pour les cas d’exportation temporaire ou sortie simple de matériel :</w:t>
      </w:r>
    </w:p>
    <w:p>
      <w:pPr>
        <w:pStyle w:val="ListParagraph"/>
        <w:numPr>
          <w:ilvl w:val="0"/>
          <w:numId w:val="64"/>
        </w:numPr>
        <w:tabs>
          <w:tab w:pos="597" w:val="left" w:leader="none"/>
        </w:tabs>
        <w:spacing w:line="319" w:lineRule="exact" w:before="0" w:after="0"/>
        <w:ind w:left="596" w:right="0" w:hanging="164"/>
        <w:jc w:val="left"/>
        <w:rPr>
          <w:sz w:val="28"/>
        </w:rPr>
      </w:pPr>
      <w:r>
        <w:rPr>
          <w:sz w:val="28"/>
        </w:rPr>
        <w:t>Procéder à une visite de reconnaissance du matériel avec le</w:t>
      </w:r>
      <w:r>
        <w:rPr>
          <w:spacing w:val="-13"/>
          <w:sz w:val="28"/>
        </w:rPr>
        <w:t> </w:t>
      </w:r>
      <w:r>
        <w:rPr>
          <w:sz w:val="28"/>
        </w:rPr>
        <w:t>douanier.</w:t>
      </w:r>
    </w:p>
    <w:p>
      <w:pPr>
        <w:pStyle w:val="ListParagraph"/>
        <w:numPr>
          <w:ilvl w:val="0"/>
          <w:numId w:val="64"/>
        </w:numPr>
        <w:tabs>
          <w:tab w:pos="638" w:val="left" w:leader="none"/>
        </w:tabs>
        <w:spacing w:line="242" w:lineRule="auto" w:before="0" w:after="0"/>
        <w:ind w:left="433" w:right="762" w:firstLine="0"/>
        <w:jc w:val="left"/>
        <w:rPr>
          <w:sz w:val="28"/>
        </w:rPr>
      </w:pPr>
      <w:r>
        <w:rPr>
          <w:sz w:val="28"/>
        </w:rPr>
        <w:t>Suivre le dossier export avec les transitaires, les transporteurs et les fournisseurs jusqu’à l’arrivée du matériel à</w:t>
      </w:r>
      <w:r>
        <w:rPr>
          <w:spacing w:val="-8"/>
          <w:sz w:val="28"/>
        </w:rPr>
        <w:t> </w:t>
      </w:r>
      <w:r>
        <w:rPr>
          <w:sz w:val="28"/>
        </w:rPr>
        <w:t>destination.</w:t>
      </w:r>
    </w:p>
    <w:p>
      <w:pPr>
        <w:pStyle w:val="Heading3"/>
        <w:spacing w:before="243"/>
        <w:jc w:val="left"/>
        <w:rPr>
          <w:i/>
        </w:rPr>
      </w:pPr>
      <w:r>
        <w:rPr>
          <w:i/>
        </w:rPr>
        <w:t>Le Contrôle Factures de Transit :</w:t>
      </w:r>
    </w:p>
    <w:p>
      <w:pPr>
        <w:pStyle w:val="BodyText"/>
        <w:spacing w:line="318" w:lineRule="exact"/>
        <w:ind w:firstLine="0"/>
        <w:jc w:val="left"/>
      </w:pPr>
      <w:r>
        <w:rPr/>
        <w:t>Réceptionner les factures relatives au transit.</w:t>
      </w:r>
    </w:p>
    <w:p>
      <w:pPr>
        <w:pStyle w:val="ListParagraph"/>
        <w:numPr>
          <w:ilvl w:val="0"/>
          <w:numId w:val="64"/>
        </w:numPr>
        <w:tabs>
          <w:tab w:pos="597" w:val="left" w:leader="none"/>
        </w:tabs>
        <w:spacing w:line="322" w:lineRule="exact" w:before="0" w:after="0"/>
        <w:ind w:left="596" w:right="0" w:hanging="164"/>
        <w:jc w:val="left"/>
        <w:rPr>
          <w:sz w:val="28"/>
        </w:rPr>
      </w:pPr>
      <w:r>
        <w:rPr>
          <w:sz w:val="28"/>
        </w:rPr>
        <w:t>Vérifier et établir éventuellement les lettres de réclamation, en cas de</w:t>
      </w:r>
      <w:r>
        <w:rPr>
          <w:spacing w:val="-11"/>
          <w:sz w:val="28"/>
        </w:rPr>
        <w:t> </w:t>
      </w:r>
      <w:r>
        <w:rPr>
          <w:sz w:val="28"/>
        </w:rPr>
        <w:t>litige.</w:t>
      </w:r>
    </w:p>
    <w:p>
      <w:pPr>
        <w:pStyle w:val="ListParagraph"/>
        <w:numPr>
          <w:ilvl w:val="0"/>
          <w:numId w:val="64"/>
        </w:numPr>
        <w:tabs>
          <w:tab w:pos="609" w:val="left" w:leader="none"/>
        </w:tabs>
        <w:spacing w:line="240" w:lineRule="auto" w:before="0" w:after="0"/>
        <w:ind w:left="433" w:right="750" w:firstLine="0"/>
        <w:jc w:val="left"/>
        <w:rPr>
          <w:sz w:val="28"/>
        </w:rPr>
      </w:pPr>
      <w:r>
        <w:rPr>
          <w:sz w:val="28"/>
        </w:rPr>
        <w:t>Viser les factures validées et les transmettre pour visa du chef de service formalités et à la signature du Responsable des</w:t>
      </w:r>
      <w:r>
        <w:rPr>
          <w:spacing w:val="-6"/>
          <w:sz w:val="28"/>
        </w:rPr>
        <w:t> </w:t>
      </w:r>
      <w:r>
        <w:rPr>
          <w:sz w:val="28"/>
        </w:rPr>
        <w:t>Achats.</w:t>
      </w:r>
    </w:p>
    <w:p>
      <w:pPr>
        <w:pStyle w:val="ListParagraph"/>
        <w:numPr>
          <w:ilvl w:val="0"/>
          <w:numId w:val="64"/>
        </w:numPr>
        <w:tabs>
          <w:tab w:pos="691" w:val="left" w:leader="none"/>
        </w:tabs>
        <w:spacing w:line="242" w:lineRule="auto" w:before="0" w:after="0"/>
        <w:ind w:left="433" w:right="758" w:firstLine="0"/>
        <w:jc w:val="left"/>
        <w:rPr>
          <w:sz w:val="28"/>
        </w:rPr>
      </w:pPr>
      <w:r>
        <w:rPr>
          <w:sz w:val="28"/>
        </w:rPr>
        <w:t>Mettre à jour les fichiers correspondants. En informer la Réception pour la valorisation des</w:t>
      </w:r>
      <w:r>
        <w:rPr>
          <w:spacing w:val="-3"/>
          <w:sz w:val="28"/>
        </w:rPr>
        <w:t> </w:t>
      </w:r>
      <w:r>
        <w:rPr>
          <w:sz w:val="28"/>
        </w:rPr>
        <w:t>entrées.</w:t>
      </w:r>
    </w:p>
    <w:p>
      <w:pPr>
        <w:pStyle w:val="ListParagraph"/>
        <w:numPr>
          <w:ilvl w:val="0"/>
          <w:numId w:val="64"/>
        </w:numPr>
        <w:tabs>
          <w:tab w:pos="597" w:val="left" w:leader="none"/>
        </w:tabs>
        <w:spacing w:line="317" w:lineRule="exact" w:before="0" w:after="0"/>
        <w:ind w:left="596" w:right="0" w:hanging="164"/>
        <w:jc w:val="left"/>
        <w:rPr>
          <w:sz w:val="28"/>
        </w:rPr>
      </w:pPr>
      <w:r>
        <w:rPr>
          <w:sz w:val="28"/>
        </w:rPr>
        <w:t>Transmettre les factures, visées et signées, à la structure</w:t>
      </w:r>
      <w:r>
        <w:rPr>
          <w:spacing w:val="-5"/>
          <w:sz w:val="28"/>
        </w:rPr>
        <w:t> </w:t>
      </w:r>
      <w:r>
        <w:rPr>
          <w:sz w:val="28"/>
        </w:rPr>
        <w:t>financière.</w:t>
      </w:r>
    </w:p>
    <w:p>
      <w:pPr>
        <w:pStyle w:val="ListParagraph"/>
        <w:numPr>
          <w:ilvl w:val="0"/>
          <w:numId w:val="64"/>
        </w:numPr>
        <w:tabs>
          <w:tab w:pos="597" w:val="left" w:leader="none"/>
        </w:tabs>
        <w:spacing w:line="240" w:lineRule="auto" w:before="0" w:after="0"/>
        <w:ind w:left="596" w:right="0" w:hanging="164"/>
        <w:jc w:val="left"/>
        <w:rPr>
          <w:sz w:val="28"/>
        </w:rPr>
      </w:pPr>
      <w:r>
        <w:rPr>
          <w:sz w:val="28"/>
        </w:rPr>
        <w:t>Adresser les états de frais sur achats à la structure concernée, en cas d’achat</w:t>
      </w:r>
      <w:r>
        <w:rPr>
          <w:spacing w:val="-16"/>
          <w:sz w:val="28"/>
        </w:rPr>
        <w:t> </w:t>
      </w:r>
      <w:r>
        <w:rPr>
          <w:sz w:val="28"/>
        </w:rPr>
        <w:t>groupé.</w:t>
      </w:r>
    </w:p>
    <w:p>
      <w:pPr>
        <w:pStyle w:val="Heading3"/>
        <w:spacing w:before="246"/>
        <w:jc w:val="left"/>
        <w:rPr>
          <w:i/>
        </w:rPr>
      </w:pPr>
      <w:r>
        <w:rPr>
          <w:i/>
        </w:rPr>
        <w:t>Dossiers Cession à quai :</w:t>
      </w:r>
    </w:p>
    <w:p>
      <w:pPr>
        <w:pStyle w:val="ListParagraph"/>
        <w:numPr>
          <w:ilvl w:val="1"/>
          <w:numId w:val="64"/>
        </w:numPr>
        <w:tabs>
          <w:tab w:pos="1221" w:val="left" w:leader="none"/>
        </w:tabs>
        <w:spacing w:line="318" w:lineRule="exact" w:before="0" w:after="0"/>
        <w:ind w:left="1220" w:right="0" w:hanging="361"/>
        <w:jc w:val="left"/>
        <w:rPr>
          <w:sz w:val="28"/>
        </w:rPr>
      </w:pPr>
      <w:r>
        <w:rPr>
          <w:sz w:val="28"/>
        </w:rPr>
        <w:t>Achats hors TVA et hors droits de douane auprès des fournisseurs locaux</w:t>
      </w:r>
      <w:r>
        <w:rPr>
          <w:spacing w:val="-23"/>
          <w:sz w:val="28"/>
        </w:rPr>
        <w:t> </w:t>
      </w:r>
      <w:r>
        <w:rPr>
          <w:sz w:val="28"/>
        </w:rPr>
        <w:t>:</w:t>
      </w:r>
    </w:p>
    <w:p>
      <w:pPr>
        <w:pStyle w:val="ListParagraph"/>
        <w:numPr>
          <w:ilvl w:val="0"/>
          <w:numId w:val="64"/>
        </w:numPr>
        <w:tabs>
          <w:tab w:pos="597" w:val="left" w:leader="none"/>
        </w:tabs>
        <w:spacing w:line="240" w:lineRule="auto" w:before="0" w:after="0"/>
        <w:ind w:left="596" w:right="0" w:hanging="164"/>
        <w:jc w:val="left"/>
        <w:rPr>
          <w:sz w:val="28"/>
        </w:rPr>
      </w:pPr>
      <w:r>
        <w:rPr>
          <w:sz w:val="28"/>
        </w:rPr>
        <w:t>Réceptionner le dossier de dédouanement établi par le Fournisseur</w:t>
      </w:r>
      <w:r>
        <w:rPr>
          <w:spacing w:val="-8"/>
          <w:sz w:val="28"/>
        </w:rPr>
        <w:t> </w:t>
      </w:r>
      <w:r>
        <w:rPr>
          <w:sz w:val="28"/>
        </w:rPr>
        <w:t>:</w:t>
      </w:r>
    </w:p>
    <w:p>
      <w:pPr>
        <w:pStyle w:val="ListParagraph"/>
        <w:numPr>
          <w:ilvl w:val="0"/>
          <w:numId w:val="65"/>
        </w:numPr>
        <w:tabs>
          <w:tab w:pos="1220" w:val="left" w:leader="none"/>
          <w:tab w:pos="1221" w:val="left" w:leader="none"/>
        </w:tabs>
        <w:spacing w:line="342" w:lineRule="exact" w:before="1" w:after="0"/>
        <w:ind w:left="1220" w:right="0" w:hanging="361"/>
        <w:jc w:val="left"/>
        <w:rPr>
          <w:sz w:val="28"/>
        </w:rPr>
      </w:pPr>
      <w:r>
        <w:rPr>
          <w:sz w:val="28"/>
        </w:rPr>
        <w:t>Déclaration de cession VE ou SE comprenant</w:t>
      </w:r>
      <w:r>
        <w:rPr>
          <w:spacing w:val="-1"/>
          <w:sz w:val="28"/>
        </w:rPr>
        <w:t> </w:t>
      </w:r>
      <w:r>
        <w:rPr>
          <w:sz w:val="28"/>
        </w:rPr>
        <w:t>:</w:t>
      </w:r>
    </w:p>
    <w:p>
      <w:pPr>
        <w:pStyle w:val="ListParagraph"/>
        <w:numPr>
          <w:ilvl w:val="1"/>
          <w:numId w:val="65"/>
        </w:numPr>
        <w:tabs>
          <w:tab w:pos="1569" w:val="left" w:leader="none"/>
        </w:tabs>
        <w:spacing w:line="321" w:lineRule="exact" w:before="0" w:after="0"/>
        <w:ind w:left="1568" w:right="0" w:hanging="222"/>
        <w:jc w:val="left"/>
        <w:rPr>
          <w:sz w:val="28"/>
        </w:rPr>
      </w:pPr>
      <w:r>
        <w:rPr>
          <w:sz w:val="28"/>
        </w:rPr>
        <w:t>Facture d’importation, libellée en</w:t>
      </w:r>
      <w:r>
        <w:rPr>
          <w:spacing w:val="-8"/>
          <w:sz w:val="28"/>
        </w:rPr>
        <w:t> </w:t>
      </w:r>
      <w:r>
        <w:rPr>
          <w:sz w:val="28"/>
        </w:rPr>
        <w:t>devises,</w:t>
      </w:r>
    </w:p>
    <w:p>
      <w:pPr>
        <w:pStyle w:val="ListParagraph"/>
        <w:numPr>
          <w:ilvl w:val="1"/>
          <w:numId w:val="65"/>
        </w:numPr>
        <w:tabs>
          <w:tab w:pos="1569" w:val="left" w:leader="none"/>
        </w:tabs>
        <w:spacing w:line="322" w:lineRule="exact" w:before="0" w:after="0"/>
        <w:ind w:left="1568" w:right="0" w:hanging="222"/>
        <w:jc w:val="left"/>
        <w:rPr>
          <w:sz w:val="28"/>
        </w:rPr>
      </w:pPr>
      <w:r>
        <w:rPr>
          <w:sz w:val="28"/>
        </w:rPr>
        <w:t>Facture de cession, libellée en</w:t>
      </w:r>
      <w:r>
        <w:rPr>
          <w:spacing w:val="-7"/>
          <w:sz w:val="28"/>
        </w:rPr>
        <w:t> </w:t>
      </w:r>
      <w:r>
        <w:rPr>
          <w:sz w:val="28"/>
        </w:rPr>
        <w:t>DT,</w:t>
      </w:r>
    </w:p>
    <w:p>
      <w:pPr>
        <w:pStyle w:val="ListParagraph"/>
        <w:numPr>
          <w:ilvl w:val="1"/>
          <w:numId w:val="65"/>
        </w:numPr>
        <w:tabs>
          <w:tab w:pos="1569" w:val="left" w:leader="none"/>
        </w:tabs>
        <w:spacing w:line="240" w:lineRule="auto" w:before="0" w:after="0"/>
        <w:ind w:left="1568" w:right="0" w:hanging="222"/>
        <w:jc w:val="left"/>
        <w:rPr>
          <w:sz w:val="28"/>
        </w:rPr>
      </w:pPr>
      <w:r>
        <w:rPr>
          <w:sz w:val="28"/>
        </w:rPr>
        <w:t>Attestation de production du titre de commerce</w:t>
      </w:r>
      <w:r>
        <w:rPr>
          <w:spacing w:val="-5"/>
          <w:sz w:val="28"/>
        </w:rPr>
        <w:t> </w:t>
      </w:r>
      <w:r>
        <w:rPr>
          <w:sz w:val="28"/>
        </w:rPr>
        <w:t>extérieur.</w:t>
      </w:r>
    </w:p>
    <w:p>
      <w:pPr>
        <w:pStyle w:val="ListParagraph"/>
        <w:numPr>
          <w:ilvl w:val="0"/>
          <w:numId w:val="64"/>
        </w:numPr>
        <w:tabs>
          <w:tab w:pos="597" w:val="left" w:leader="none"/>
        </w:tabs>
        <w:spacing w:line="322" w:lineRule="exact" w:before="2" w:after="0"/>
        <w:ind w:left="596" w:right="0" w:hanging="164"/>
        <w:jc w:val="left"/>
        <w:rPr>
          <w:sz w:val="28"/>
        </w:rPr>
      </w:pPr>
      <w:r>
        <w:rPr>
          <w:sz w:val="28"/>
        </w:rPr>
        <w:t>Demander l’accord de la structure d’achat</w:t>
      </w:r>
      <w:r>
        <w:rPr>
          <w:spacing w:val="-4"/>
          <w:sz w:val="28"/>
        </w:rPr>
        <w:t> </w:t>
      </w:r>
      <w:r>
        <w:rPr>
          <w:sz w:val="28"/>
        </w:rPr>
        <w:t>concernée.</w:t>
      </w:r>
    </w:p>
    <w:p>
      <w:pPr>
        <w:pStyle w:val="ListParagraph"/>
        <w:numPr>
          <w:ilvl w:val="0"/>
          <w:numId w:val="64"/>
        </w:numPr>
        <w:tabs>
          <w:tab w:pos="597" w:val="left" w:leader="none"/>
        </w:tabs>
        <w:spacing w:line="322" w:lineRule="exact" w:before="0" w:after="0"/>
        <w:ind w:left="596" w:right="0" w:hanging="164"/>
        <w:jc w:val="left"/>
        <w:rPr>
          <w:sz w:val="28"/>
        </w:rPr>
      </w:pPr>
      <w:r>
        <w:rPr>
          <w:sz w:val="28"/>
        </w:rPr>
        <w:t>Etablir la demande de privilège</w:t>
      </w:r>
      <w:r>
        <w:rPr>
          <w:spacing w:val="-10"/>
          <w:sz w:val="28"/>
        </w:rPr>
        <w:t> </w:t>
      </w:r>
      <w:r>
        <w:rPr>
          <w:sz w:val="28"/>
        </w:rPr>
        <w:t>fiscal.</w:t>
      </w:r>
    </w:p>
    <w:p>
      <w:pPr>
        <w:pStyle w:val="ListParagraph"/>
        <w:numPr>
          <w:ilvl w:val="0"/>
          <w:numId w:val="64"/>
        </w:numPr>
        <w:tabs>
          <w:tab w:pos="597" w:val="left" w:leader="none"/>
        </w:tabs>
        <w:spacing w:line="322" w:lineRule="exact" w:before="0" w:after="0"/>
        <w:ind w:left="596" w:right="0" w:hanging="164"/>
        <w:jc w:val="left"/>
        <w:rPr>
          <w:sz w:val="28"/>
        </w:rPr>
      </w:pPr>
      <w:r>
        <w:rPr>
          <w:sz w:val="28"/>
        </w:rPr>
        <w:t>Déposer la déclaration</w:t>
      </w:r>
      <w:r>
        <w:rPr>
          <w:spacing w:val="-2"/>
          <w:sz w:val="28"/>
        </w:rPr>
        <w:t> </w:t>
      </w:r>
      <w:r>
        <w:rPr>
          <w:sz w:val="28"/>
        </w:rPr>
        <w:t>SS.</w:t>
      </w:r>
    </w:p>
    <w:p>
      <w:pPr>
        <w:pStyle w:val="BodyText"/>
        <w:ind w:right="748" w:firstLine="0"/>
        <w:jc w:val="left"/>
      </w:pPr>
      <w:r>
        <w:rPr/>
        <w:t>A la réception du bon à enlever, envoyer le dossier de transit au Fournisseur pour que ce dernier procède à l’enlèvement du matériel.</w:t>
      </w:r>
    </w:p>
    <w:p>
      <w:pPr>
        <w:pStyle w:val="ListParagraph"/>
        <w:numPr>
          <w:ilvl w:val="0"/>
          <w:numId w:val="64"/>
        </w:numPr>
        <w:tabs>
          <w:tab w:pos="609" w:val="left" w:leader="none"/>
        </w:tabs>
        <w:spacing w:line="240" w:lineRule="auto" w:before="0" w:after="0"/>
        <w:ind w:left="433" w:right="753" w:firstLine="0"/>
        <w:jc w:val="left"/>
        <w:rPr>
          <w:sz w:val="28"/>
        </w:rPr>
      </w:pPr>
      <w:r>
        <w:rPr>
          <w:sz w:val="28"/>
        </w:rPr>
        <w:t>Organiser la logistique nécessaire avec le transitaire du GCT, si le transport est à la charge du</w:t>
      </w:r>
      <w:r>
        <w:rPr>
          <w:spacing w:val="-3"/>
          <w:sz w:val="28"/>
        </w:rPr>
        <w:t> </w:t>
      </w:r>
      <w:r>
        <w:rPr>
          <w:sz w:val="28"/>
        </w:rPr>
        <w:t>GCT.</w:t>
      </w:r>
    </w:p>
    <w:p>
      <w:pPr>
        <w:pStyle w:val="Heading2"/>
        <w:numPr>
          <w:ilvl w:val="2"/>
          <w:numId w:val="57"/>
        </w:numPr>
        <w:tabs>
          <w:tab w:pos="1307" w:val="left" w:leader="none"/>
        </w:tabs>
        <w:spacing w:line="240" w:lineRule="auto" w:before="125" w:after="0"/>
        <w:ind w:left="1306" w:right="0" w:hanging="874"/>
        <w:jc w:val="left"/>
      </w:pPr>
      <w:bookmarkStart w:name="_TOC_250073" w:id="70"/>
      <w:r>
        <w:rPr/>
        <w:t>Règlement définitif des</w:t>
      </w:r>
      <w:r>
        <w:rPr>
          <w:spacing w:val="-1"/>
        </w:rPr>
        <w:t> </w:t>
      </w:r>
      <w:bookmarkEnd w:id="70"/>
      <w:r>
        <w:rPr/>
        <w:t>marchés</w:t>
      </w:r>
    </w:p>
    <w:p>
      <w:pPr>
        <w:pStyle w:val="Heading3"/>
        <w:spacing w:before="50"/>
        <w:jc w:val="left"/>
        <w:rPr>
          <w:i/>
        </w:rPr>
      </w:pPr>
      <w:r>
        <w:rPr>
          <w:i/>
        </w:rPr>
        <w:t>Préparation du dossier de règlement définitif</w:t>
      </w:r>
    </w:p>
    <w:p>
      <w:pPr>
        <w:pStyle w:val="BodyText"/>
        <w:ind w:right="757"/>
      </w:pPr>
      <w:r>
        <w:rPr/>
        <w:t>La Structure d’achat concernée se charge de la constitution du dossier de règlement définitif. Elle doit collaborer avec la Structure chargée de suivi de l’exécution du contrat en vue de collecter et sauvegarder tous les documents nécessaires à la constitution de ce dossier.</w:t>
      </w:r>
    </w:p>
    <w:p>
      <w:pPr>
        <w:pStyle w:val="BodyText"/>
        <w:ind w:left="999" w:firstLine="0"/>
      </w:pPr>
      <w:r>
        <w:rPr/>
        <w:t>Le dossier de règlement définitif doit comporter :</w:t>
      </w:r>
    </w:p>
    <w:p>
      <w:pPr>
        <w:spacing w:after="0"/>
        <w:sectPr>
          <w:pgSz w:w="11910" w:h="16840"/>
          <w:pgMar w:header="722" w:footer="0" w:top="1860" w:bottom="280" w:left="700" w:right="380"/>
        </w:sectPr>
      </w:pPr>
    </w:p>
    <w:p>
      <w:pPr>
        <w:pStyle w:val="BodyText"/>
        <w:spacing w:before="2"/>
        <w:ind w:left="0" w:firstLine="0"/>
        <w:jc w:val="left"/>
        <w:rPr>
          <w:sz w:val="15"/>
        </w:rPr>
      </w:pPr>
    </w:p>
    <w:p>
      <w:pPr>
        <w:pStyle w:val="ListParagraph"/>
        <w:numPr>
          <w:ilvl w:val="3"/>
          <w:numId w:val="57"/>
        </w:numPr>
        <w:tabs>
          <w:tab w:pos="1000" w:val="left" w:leader="none"/>
        </w:tabs>
        <w:spacing w:line="240" w:lineRule="auto" w:before="101" w:after="0"/>
        <w:ind w:left="999" w:right="0" w:hanging="284"/>
        <w:jc w:val="both"/>
        <w:rPr>
          <w:sz w:val="28"/>
        </w:rPr>
      </w:pPr>
      <w:r>
        <w:rPr>
          <w:sz w:val="28"/>
        </w:rPr>
        <w:t>L’évaluation des modalités et des conditions d'exécution</w:t>
      </w:r>
      <w:r>
        <w:rPr>
          <w:spacing w:val="3"/>
          <w:sz w:val="28"/>
        </w:rPr>
        <w:t> </w:t>
      </w:r>
      <w:r>
        <w:rPr>
          <w:sz w:val="28"/>
        </w:rPr>
        <w:t>;</w:t>
      </w:r>
    </w:p>
    <w:p>
      <w:pPr>
        <w:pStyle w:val="ListParagraph"/>
        <w:numPr>
          <w:ilvl w:val="3"/>
          <w:numId w:val="57"/>
        </w:numPr>
        <w:tabs>
          <w:tab w:pos="1000" w:val="left" w:leader="none"/>
        </w:tabs>
        <w:spacing w:line="240" w:lineRule="auto" w:before="0" w:after="0"/>
        <w:ind w:left="999" w:right="753" w:hanging="284"/>
        <w:jc w:val="both"/>
        <w:rPr>
          <w:sz w:val="28"/>
        </w:rPr>
      </w:pPr>
      <w:r>
        <w:rPr>
          <w:sz w:val="28"/>
        </w:rPr>
        <w:t>La détermination du montant définitif du marché et l’analyse des écarts enregistrés entre les estimations prévisionnelles et le décompte définitif du marché ;</w:t>
      </w:r>
    </w:p>
    <w:p>
      <w:pPr>
        <w:pStyle w:val="ListParagraph"/>
        <w:numPr>
          <w:ilvl w:val="3"/>
          <w:numId w:val="57"/>
        </w:numPr>
        <w:tabs>
          <w:tab w:pos="1000" w:val="left" w:leader="none"/>
        </w:tabs>
        <w:spacing w:line="340" w:lineRule="exact" w:before="0" w:after="0"/>
        <w:ind w:left="999" w:right="0" w:hanging="284"/>
        <w:jc w:val="both"/>
        <w:rPr>
          <w:sz w:val="28"/>
        </w:rPr>
      </w:pPr>
      <w:r>
        <w:rPr>
          <w:sz w:val="28"/>
        </w:rPr>
        <w:t>La détermination des délais d’exécution et des sanctions financières</w:t>
      </w:r>
      <w:r>
        <w:rPr>
          <w:spacing w:val="-3"/>
          <w:sz w:val="28"/>
        </w:rPr>
        <w:t> </w:t>
      </w:r>
      <w:r>
        <w:rPr>
          <w:sz w:val="28"/>
        </w:rPr>
        <w:t>;</w:t>
      </w:r>
    </w:p>
    <w:p>
      <w:pPr>
        <w:pStyle w:val="ListParagraph"/>
        <w:numPr>
          <w:ilvl w:val="3"/>
          <w:numId w:val="57"/>
        </w:numPr>
        <w:tabs>
          <w:tab w:pos="1000" w:val="left" w:leader="none"/>
        </w:tabs>
        <w:spacing w:line="240" w:lineRule="auto" w:before="0" w:after="0"/>
        <w:ind w:left="999" w:right="0" w:hanging="284"/>
        <w:jc w:val="both"/>
        <w:rPr>
          <w:sz w:val="28"/>
        </w:rPr>
      </w:pPr>
      <w:r>
        <w:rPr>
          <w:sz w:val="28"/>
        </w:rPr>
        <w:t>Un décompte définitif signé contradictoirement par les deux parties</w:t>
      </w:r>
      <w:r>
        <w:rPr>
          <w:spacing w:val="1"/>
          <w:sz w:val="28"/>
        </w:rPr>
        <w:t> </w:t>
      </w:r>
      <w:r>
        <w:rPr>
          <w:sz w:val="28"/>
        </w:rPr>
        <w:t>;</w:t>
      </w:r>
    </w:p>
    <w:p>
      <w:pPr>
        <w:pStyle w:val="ListParagraph"/>
        <w:numPr>
          <w:ilvl w:val="3"/>
          <w:numId w:val="57"/>
        </w:numPr>
        <w:tabs>
          <w:tab w:pos="1000" w:val="left" w:leader="none"/>
        </w:tabs>
        <w:spacing w:line="240" w:lineRule="auto" w:before="0" w:after="0"/>
        <w:ind w:left="999" w:right="0" w:hanging="284"/>
        <w:jc w:val="both"/>
        <w:rPr>
          <w:sz w:val="28"/>
        </w:rPr>
      </w:pPr>
      <w:r>
        <w:rPr>
          <w:sz w:val="28"/>
        </w:rPr>
        <w:t>Les réserves et les oppositions du titulaire du marché s'il y a</w:t>
      </w:r>
      <w:r>
        <w:rPr>
          <w:spacing w:val="-8"/>
          <w:sz w:val="28"/>
        </w:rPr>
        <w:t> </w:t>
      </w:r>
      <w:r>
        <w:rPr>
          <w:sz w:val="28"/>
        </w:rPr>
        <w:t>lieu.</w:t>
      </w:r>
    </w:p>
    <w:p>
      <w:pPr>
        <w:pStyle w:val="Heading3"/>
        <w:spacing w:before="127"/>
        <w:rPr>
          <w:i/>
        </w:rPr>
      </w:pPr>
      <w:r>
        <w:rPr>
          <w:i/>
        </w:rPr>
        <w:t>Soumission du dossier de règlement définitif à l’avis de la CME</w:t>
      </w:r>
    </w:p>
    <w:p>
      <w:pPr>
        <w:pStyle w:val="BodyText"/>
        <w:ind w:right="762"/>
      </w:pPr>
      <w:r>
        <w:rPr/>
        <w:t>Le dossier de règlement définitif doit être soumis à la CME dans un délai maximum de (90) jours à compter de la date de réception définitive des prestations objet du marché.</w:t>
      </w:r>
    </w:p>
    <w:p>
      <w:pPr>
        <w:pStyle w:val="BodyText"/>
        <w:ind w:right="759"/>
      </w:pPr>
      <w:r>
        <w:rPr/>
        <w:t>La CME examine le dossier de règlement définitif et rend son avis dans un délai de vingt (20) jours à compter de la date de réception de toutes les pièces et les éclaircissements requis pour l'examen du dossier.</w:t>
      </w:r>
    </w:p>
    <w:p>
      <w:pPr>
        <w:pStyle w:val="BodyText"/>
        <w:spacing w:line="321" w:lineRule="exact"/>
        <w:ind w:left="999" w:firstLine="0"/>
      </w:pPr>
      <w:r>
        <w:rPr/>
        <w:t>L’avis de la CME doit être notifié pour information au Conseil</w:t>
      </w:r>
      <w:r>
        <w:rPr>
          <w:spacing w:val="-51"/>
        </w:rPr>
        <w:t> </w:t>
      </w:r>
      <w:r>
        <w:rPr/>
        <w:t>d’Administration.</w:t>
      </w:r>
    </w:p>
    <w:p>
      <w:pPr>
        <w:pStyle w:val="Heading3"/>
        <w:spacing w:before="124"/>
        <w:rPr>
          <w:i/>
        </w:rPr>
      </w:pPr>
      <w:r>
        <w:rPr>
          <w:i/>
        </w:rPr>
        <w:t>Restitution du cautionnement définitif et de la retenue de garantie</w:t>
      </w:r>
    </w:p>
    <w:p>
      <w:pPr>
        <w:pStyle w:val="BodyText"/>
        <w:ind w:right="755"/>
      </w:pPr>
      <w:r>
        <w:rPr/>
        <w:t>Suite à la réception de l’avis de CME à propos du dossier du règlement définitif, la Structure d’achat procède à la restitution du cautionnement définitif et de la retenue de garantie.</w:t>
      </w:r>
    </w:p>
    <w:p>
      <w:pPr>
        <w:pStyle w:val="BodyText"/>
        <w:ind w:right="752"/>
      </w:pPr>
      <w:r>
        <w:rPr/>
        <w:t>Les</w:t>
      </w:r>
      <w:r>
        <w:rPr>
          <w:spacing w:val="-6"/>
        </w:rPr>
        <w:t> </w:t>
      </w:r>
      <w:r>
        <w:rPr/>
        <w:t>cautionnements</w:t>
      </w:r>
      <w:r>
        <w:rPr>
          <w:spacing w:val="-8"/>
        </w:rPr>
        <w:t> </w:t>
      </w:r>
      <w:r>
        <w:rPr/>
        <w:t>de</w:t>
      </w:r>
      <w:r>
        <w:rPr>
          <w:spacing w:val="-6"/>
        </w:rPr>
        <w:t> </w:t>
      </w:r>
      <w:r>
        <w:rPr/>
        <w:t>garantie</w:t>
      </w:r>
      <w:r>
        <w:rPr>
          <w:spacing w:val="-6"/>
        </w:rPr>
        <w:t> </w:t>
      </w:r>
      <w:r>
        <w:rPr/>
        <w:t>et</w:t>
      </w:r>
      <w:r>
        <w:rPr>
          <w:spacing w:val="-8"/>
        </w:rPr>
        <w:t> </w:t>
      </w:r>
      <w:r>
        <w:rPr/>
        <w:t>définitif</w:t>
      </w:r>
      <w:r>
        <w:rPr>
          <w:spacing w:val="-9"/>
        </w:rPr>
        <w:t> </w:t>
      </w:r>
      <w:r>
        <w:rPr/>
        <w:t>peuvent</w:t>
      </w:r>
      <w:r>
        <w:rPr>
          <w:spacing w:val="-6"/>
        </w:rPr>
        <w:t> </w:t>
      </w:r>
      <w:r>
        <w:rPr/>
        <w:t>être</w:t>
      </w:r>
      <w:r>
        <w:rPr>
          <w:spacing w:val="-2"/>
        </w:rPr>
        <w:t> </w:t>
      </w:r>
      <w:r>
        <w:rPr/>
        <w:t>soit</w:t>
      </w:r>
      <w:r>
        <w:rPr>
          <w:spacing w:val="-8"/>
        </w:rPr>
        <w:t> </w:t>
      </w:r>
      <w:r>
        <w:rPr/>
        <w:t>restitués</w:t>
      </w:r>
      <w:r>
        <w:rPr>
          <w:spacing w:val="-8"/>
        </w:rPr>
        <w:t> </w:t>
      </w:r>
      <w:r>
        <w:rPr/>
        <w:t>d’une</w:t>
      </w:r>
      <w:r>
        <w:rPr>
          <w:spacing w:val="-9"/>
        </w:rPr>
        <w:t> </w:t>
      </w:r>
      <w:r>
        <w:rPr/>
        <w:t>façon totale, soit restitués d’une façon partielle, soit mis en jeu, et ce, en fonction d’accomplissement du titulaire du marché de ses</w:t>
      </w:r>
      <w:r>
        <w:rPr>
          <w:spacing w:val="-4"/>
        </w:rPr>
        <w:t> </w:t>
      </w:r>
      <w:r>
        <w:rPr/>
        <w:t>obligations.</w:t>
      </w:r>
    </w:p>
    <w:p>
      <w:pPr>
        <w:pStyle w:val="BodyText"/>
        <w:ind w:right="747"/>
      </w:pPr>
      <w:r>
        <w:rPr/>
        <w:t>Le</w:t>
      </w:r>
      <w:r>
        <w:rPr>
          <w:spacing w:val="-9"/>
        </w:rPr>
        <w:t> </w:t>
      </w:r>
      <w:r>
        <w:rPr/>
        <w:t>cautionnement</w:t>
      </w:r>
      <w:r>
        <w:rPr>
          <w:spacing w:val="-9"/>
        </w:rPr>
        <w:t> </w:t>
      </w:r>
      <w:r>
        <w:rPr/>
        <w:t>définitif</w:t>
      </w:r>
      <w:r>
        <w:rPr>
          <w:spacing w:val="-10"/>
        </w:rPr>
        <w:t> </w:t>
      </w:r>
      <w:r>
        <w:rPr/>
        <w:t>ou</w:t>
      </w:r>
      <w:r>
        <w:rPr>
          <w:spacing w:val="-9"/>
        </w:rPr>
        <w:t> </w:t>
      </w:r>
      <w:r>
        <w:rPr/>
        <w:t>son</w:t>
      </w:r>
      <w:r>
        <w:rPr>
          <w:spacing w:val="-8"/>
        </w:rPr>
        <w:t> </w:t>
      </w:r>
      <w:r>
        <w:rPr/>
        <w:t>reliquat</w:t>
      </w:r>
      <w:r>
        <w:rPr>
          <w:spacing w:val="-7"/>
        </w:rPr>
        <w:t> </w:t>
      </w:r>
      <w:r>
        <w:rPr/>
        <w:t>est</w:t>
      </w:r>
      <w:r>
        <w:rPr>
          <w:spacing w:val="-7"/>
        </w:rPr>
        <w:t> </w:t>
      </w:r>
      <w:r>
        <w:rPr/>
        <w:t>restitué</w:t>
      </w:r>
      <w:r>
        <w:rPr>
          <w:spacing w:val="-9"/>
        </w:rPr>
        <w:t> </w:t>
      </w:r>
      <w:r>
        <w:rPr/>
        <w:t>au</w:t>
      </w:r>
      <w:r>
        <w:rPr>
          <w:spacing w:val="-9"/>
        </w:rPr>
        <w:t> </w:t>
      </w:r>
      <w:r>
        <w:rPr/>
        <w:t>titulaire</w:t>
      </w:r>
      <w:r>
        <w:rPr>
          <w:spacing w:val="-10"/>
        </w:rPr>
        <w:t> </w:t>
      </w:r>
      <w:r>
        <w:rPr/>
        <w:t>du</w:t>
      </w:r>
      <w:r>
        <w:rPr>
          <w:spacing w:val="-7"/>
        </w:rPr>
        <w:t> </w:t>
      </w:r>
      <w:r>
        <w:rPr/>
        <w:t>marché</w:t>
      </w:r>
      <w:r>
        <w:rPr>
          <w:spacing w:val="-9"/>
        </w:rPr>
        <w:t> </w:t>
      </w:r>
      <w:r>
        <w:rPr/>
        <w:t>ou</w:t>
      </w:r>
      <w:r>
        <w:rPr>
          <w:spacing w:val="-9"/>
        </w:rPr>
        <w:t> </w:t>
      </w:r>
      <w:r>
        <w:rPr/>
        <w:t>la caution qui le remplace devient caduque, à condition que le titulaire du marché se soit acquitté de toutes ses obligations dans les délais réglementaires. Le GCT est tenu de remettre au titulaire du marché une copie du PV de réception définitive sans réserve. Dans</w:t>
      </w:r>
      <w:r>
        <w:rPr>
          <w:spacing w:val="-9"/>
        </w:rPr>
        <w:t> </w:t>
      </w:r>
      <w:r>
        <w:rPr/>
        <w:t>ce</w:t>
      </w:r>
      <w:r>
        <w:rPr>
          <w:spacing w:val="-10"/>
        </w:rPr>
        <w:t> </w:t>
      </w:r>
      <w:r>
        <w:rPr/>
        <w:t>cas,</w:t>
      </w:r>
      <w:r>
        <w:rPr>
          <w:spacing w:val="-13"/>
        </w:rPr>
        <w:t> </w:t>
      </w:r>
      <w:r>
        <w:rPr/>
        <w:t>le</w:t>
      </w:r>
      <w:r>
        <w:rPr>
          <w:spacing w:val="-9"/>
        </w:rPr>
        <w:t> </w:t>
      </w:r>
      <w:r>
        <w:rPr/>
        <w:t>PV</w:t>
      </w:r>
      <w:r>
        <w:rPr>
          <w:spacing w:val="-11"/>
        </w:rPr>
        <w:t> </w:t>
      </w:r>
      <w:r>
        <w:rPr/>
        <w:t>de</w:t>
      </w:r>
      <w:r>
        <w:rPr>
          <w:spacing w:val="-12"/>
        </w:rPr>
        <w:t> </w:t>
      </w:r>
      <w:r>
        <w:rPr/>
        <w:t>réception</w:t>
      </w:r>
      <w:r>
        <w:rPr>
          <w:spacing w:val="-9"/>
        </w:rPr>
        <w:t> </w:t>
      </w:r>
      <w:r>
        <w:rPr/>
        <w:t>définitive</w:t>
      </w:r>
      <w:r>
        <w:rPr>
          <w:spacing w:val="-9"/>
        </w:rPr>
        <w:t> </w:t>
      </w:r>
      <w:r>
        <w:rPr/>
        <w:t>remplace</w:t>
      </w:r>
      <w:r>
        <w:rPr>
          <w:spacing w:val="-12"/>
        </w:rPr>
        <w:t> </w:t>
      </w:r>
      <w:r>
        <w:rPr/>
        <w:t>l’attestation</w:t>
      </w:r>
      <w:r>
        <w:rPr>
          <w:spacing w:val="-12"/>
        </w:rPr>
        <w:t> </w:t>
      </w:r>
      <w:r>
        <w:rPr/>
        <w:t>de</w:t>
      </w:r>
      <w:r>
        <w:rPr>
          <w:spacing w:val="-10"/>
        </w:rPr>
        <w:t> </w:t>
      </w:r>
      <w:r>
        <w:rPr/>
        <w:t>main</w:t>
      </w:r>
      <w:r>
        <w:rPr>
          <w:spacing w:val="-8"/>
        </w:rPr>
        <w:t> </w:t>
      </w:r>
      <w:r>
        <w:rPr/>
        <w:t>levée</w:t>
      </w:r>
      <w:r>
        <w:rPr>
          <w:spacing w:val="-12"/>
        </w:rPr>
        <w:t> </w:t>
      </w:r>
      <w:r>
        <w:rPr/>
        <w:t>qui</w:t>
      </w:r>
      <w:r>
        <w:rPr>
          <w:spacing w:val="-9"/>
        </w:rPr>
        <w:t> </w:t>
      </w:r>
      <w:r>
        <w:rPr/>
        <w:t>sera présentée à l’établissement financière émettrice du</w:t>
      </w:r>
      <w:r>
        <w:rPr>
          <w:spacing w:val="-10"/>
        </w:rPr>
        <w:t> </w:t>
      </w:r>
      <w:r>
        <w:rPr/>
        <w:t>cautionnement.</w:t>
      </w:r>
    </w:p>
    <w:p>
      <w:pPr>
        <w:pStyle w:val="Heading2"/>
        <w:numPr>
          <w:ilvl w:val="0"/>
          <w:numId w:val="58"/>
        </w:numPr>
        <w:tabs>
          <w:tab w:pos="717" w:val="left" w:leader="none"/>
        </w:tabs>
        <w:spacing w:line="321" w:lineRule="exact" w:before="122" w:after="0"/>
        <w:ind w:left="716" w:right="0" w:hanging="284"/>
        <w:jc w:val="both"/>
      </w:pPr>
      <w:r>
        <w:rPr/>
        <w:t>Restitution du cautionnement</w:t>
      </w:r>
      <w:r>
        <w:rPr>
          <w:spacing w:val="-2"/>
        </w:rPr>
        <w:t> </w:t>
      </w:r>
      <w:r>
        <w:rPr/>
        <w:t>définitif</w:t>
      </w:r>
    </w:p>
    <w:p>
      <w:pPr>
        <w:pStyle w:val="ListParagraph"/>
        <w:numPr>
          <w:ilvl w:val="0"/>
          <w:numId w:val="66"/>
        </w:numPr>
        <w:tabs>
          <w:tab w:pos="1000" w:val="left" w:leader="none"/>
        </w:tabs>
        <w:spacing w:line="341" w:lineRule="exact" w:before="0" w:after="0"/>
        <w:ind w:left="999" w:right="0" w:hanging="284"/>
        <w:jc w:val="both"/>
        <w:rPr>
          <w:b/>
          <w:sz w:val="28"/>
        </w:rPr>
      </w:pPr>
      <w:r>
        <w:rPr>
          <w:b/>
          <w:sz w:val="28"/>
        </w:rPr>
        <w:t>Marché assorti d’une retenue de</w:t>
      </w:r>
      <w:r>
        <w:rPr>
          <w:b/>
          <w:spacing w:val="-6"/>
          <w:sz w:val="28"/>
        </w:rPr>
        <w:t> </w:t>
      </w:r>
      <w:r>
        <w:rPr>
          <w:b/>
          <w:sz w:val="28"/>
        </w:rPr>
        <w:t>garantie</w:t>
      </w:r>
    </w:p>
    <w:p>
      <w:pPr>
        <w:pStyle w:val="BodyText"/>
        <w:ind w:right="763"/>
      </w:pPr>
      <w:r>
        <w:rPr/>
        <w:t>Le cautionnement définitif est restitué au titulaire du marché dans délai maximal de (01) mois à compter de la date de réception provisoire du marché.</w:t>
      </w:r>
    </w:p>
    <w:p>
      <w:pPr>
        <w:pStyle w:val="Heading2"/>
        <w:numPr>
          <w:ilvl w:val="0"/>
          <w:numId w:val="66"/>
        </w:numPr>
        <w:tabs>
          <w:tab w:pos="1000" w:val="left" w:leader="none"/>
        </w:tabs>
        <w:spacing w:line="341" w:lineRule="exact" w:before="1" w:after="0"/>
        <w:ind w:left="999" w:right="0" w:hanging="284"/>
        <w:jc w:val="both"/>
      </w:pPr>
      <w:r>
        <w:rPr/>
        <w:t>Marché non assorti d’une retenue de</w:t>
      </w:r>
      <w:r>
        <w:rPr>
          <w:spacing w:val="-3"/>
        </w:rPr>
        <w:t> </w:t>
      </w:r>
      <w:r>
        <w:rPr/>
        <w:t>garantie</w:t>
      </w:r>
    </w:p>
    <w:p>
      <w:pPr>
        <w:pStyle w:val="BodyText"/>
        <w:ind w:right="763"/>
      </w:pPr>
      <w:r>
        <w:rPr/>
        <w:t>Le cautionnement définitif est restitué au titulaire du marché dans délai maximal de (04) mois à compter de la date de réception provisoire ou définitive du marché.</w:t>
      </w:r>
    </w:p>
    <w:p>
      <w:pPr>
        <w:pStyle w:val="Heading2"/>
        <w:numPr>
          <w:ilvl w:val="0"/>
          <w:numId w:val="58"/>
        </w:numPr>
        <w:tabs>
          <w:tab w:pos="717" w:val="left" w:leader="none"/>
        </w:tabs>
        <w:spacing w:line="319" w:lineRule="exact" w:before="123" w:after="0"/>
        <w:ind w:left="716" w:right="0" w:hanging="284"/>
        <w:jc w:val="both"/>
      </w:pPr>
      <w:r>
        <w:rPr/>
        <w:t>Restitution du cautionnement/retenue de</w:t>
      </w:r>
      <w:r>
        <w:rPr>
          <w:spacing w:val="-1"/>
        </w:rPr>
        <w:t> </w:t>
      </w:r>
      <w:r>
        <w:rPr/>
        <w:t>garantie</w:t>
      </w:r>
    </w:p>
    <w:p>
      <w:pPr>
        <w:pStyle w:val="BodyText"/>
        <w:ind w:right="756"/>
      </w:pPr>
      <w:r>
        <w:rPr/>
        <w:t>Le cautionnement/retenue de garantie est restitué au titulaire du marché dans un délai maximal de (04) mois à compter de la date de réception définitive du marché.</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0"/>
          <w:numId w:val="18"/>
        </w:numPr>
        <w:tabs>
          <w:tab w:pos="789" w:val="left" w:leader="none"/>
        </w:tabs>
        <w:spacing w:line="276" w:lineRule="auto" w:before="89" w:after="0"/>
        <w:ind w:left="433" w:right="750" w:firstLine="0"/>
        <w:jc w:val="left"/>
      </w:pPr>
      <w:bookmarkStart w:name="_TOC_250072" w:id="71"/>
      <w:r>
        <w:rPr/>
        <w:t>Dispositions particulières aux achats hors marchés et marchés de prestations intellectuelles et des biens d’occasion</w:t>
      </w:r>
      <w:r>
        <w:rPr>
          <w:spacing w:val="-1"/>
        </w:rPr>
        <w:t> </w:t>
      </w:r>
      <w:bookmarkEnd w:id="71"/>
      <w:r>
        <w:rPr/>
        <w:t>usagés</w:t>
      </w:r>
    </w:p>
    <w:p>
      <w:pPr>
        <w:pStyle w:val="Heading2"/>
        <w:numPr>
          <w:ilvl w:val="1"/>
          <w:numId w:val="18"/>
        </w:numPr>
        <w:tabs>
          <w:tab w:pos="1039" w:val="left" w:leader="none"/>
        </w:tabs>
        <w:spacing w:line="240" w:lineRule="auto" w:before="121" w:after="0"/>
        <w:ind w:left="433" w:right="751" w:firstLine="0"/>
        <w:jc w:val="left"/>
      </w:pPr>
      <w:bookmarkStart w:name="_TOC_250071" w:id="72"/>
      <w:r>
        <w:rPr/>
        <w:t>Dispositions particulières aux achats hors marchés et marchés des biens d’occasion</w:t>
      </w:r>
      <w:r>
        <w:rPr>
          <w:spacing w:val="-1"/>
        </w:rPr>
        <w:t> </w:t>
      </w:r>
      <w:bookmarkEnd w:id="72"/>
      <w:r>
        <w:rPr/>
        <w:t>usagés</w:t>
      </w:r>
    </w:p>
    <w:p>
      <w:pPr>
        <w:pStyle w:val="BodyText"/>
        <w:ind w:right="748"/>
        <w:jc w:val="left"/>
      </w:pPr>
      <w:r>
        <w:rPr/>
        <w:t>Sont considérés comme biens d'occasion usagés les biens corporels qui ont fait l'objet</w:t>
      </w:r>
      <w:r>
        <w:rPr>
          <w:spacing w:val="-16"/>
        </w:rPr>
        <w:t> </w:t>
      </w:r>
      <w:r>
        <w:rPr/>
        <w:t>d'une</w:t>
      </w:r>
      <w:r>
        <w:rPr>
          <w:spacing w:val="-15"/>
        </w:rPr>
        <w:t> </w:t>
      </w:r>
      <w:r>
        <w:rPr/>
        <w:t>utilisation</w:t>
      </w:r>
      <w:r>
        <w:rPr>
          <w:spacing w:val="-14"/>
        </w:rPr>
        <w:t> </w:t>
      </w:r>
      <w:r>
        <w:rPr/>
        <w:t>et</w:t>
      </w:r>
      <w:r>
        <w:rPr>
          <w:spacing w:val="-15"/>
        </w:rPr>
        <w:t> </w:t>
      </w:r>
      <w:r>
        <w:rPr/>
        <w:t>qui</w:t>
      </w:r>
      <w:r>
        <w:rPr>
          <w:spacing w:val="-15"/>
        </w:rPr>
        <w:t> </w:t>
      </w:r>
      <w:r>
        <w:rPr/>
        <w:t>sont</w:t>
      </w:r>
      <w:r>
        <w:rPr>
          <w:spacing w:val="-10"/>
        </w:rPr>
        <w:t> </w:t>
      </w:r>
      <w:r>
        <w:rPr/>
        <w:t>susceptibles</w:t>
      </w:r>
      <w:r>
        <w:rPr>
          <w:spacing w:val="-15"/>
        </w:rPr>
        <w:t> </w:t>
      </w:r>
      <w:r>
        <w:rPr/>
        <w:t>de</w:t>
      </w:r>
      <w:r>
        <w:rPr>
          <w:spacing w:val="-13"/>
        </w:rPr>
        <w:t> </w:t>
      </w:r>
      <w:r>
        <w:rPr/>
        <w:t>remploi,</w:t>
      </w:r>
      <w:r>
        <w:rPr>
          <w:spacing w:val="-16"/>
        </w:rPr>
        <w:t> </w:t>
      </w:r>
      <w:r>
        <w:rPr/>
        <w:t>en</w:t>
      </w:r>
      <w:r>
        <w:rPr>
          <w:spacing w:val="-15"/>
        </w:rPr>
        <w:t> </w:t>
      </w:r>
      <w:r>
        <w:rPr/>
        <w:t>l'état</w:t>
      </w:r>
      <w:r>
        <w:rPr>
          <w:spacing w:val="-13"/>
        </w:rPr>
        <w:t> </w:t>
      </w:r>
      <w:r>
        <w:rPr/>
        <w:t>ou</w:t>
      </w:r>
      <w:r>
        <w:rPr>
          <w:spacing w:val="-8"/>
        </w:rPr>
        <w:t> </w:t>
      </w:r>
      <w:r>
        <w:rPr/>
        <w:t>après</w:t>
      </w:r>
      <w:r>
        <w:rPr>
          <w:spacing w:val="-13"/>
        </w:rPr>
        <w:t> </w:t>
      </w:r>
      <w:r>
        <w:rPr/>
        <w:t>réparation.</w:t>
      </w:r>
    </w:p>
    <w:p>
      <w:pPr>
        <w:pStyle w:val="BodyText"/>
        <w:spacing w:line="321" w:lineRule="exact" w:before="114"/>
        <w:ind w:firstLine="0"/>
        <w:jc w:val="left"/>
      </w:pPr>
      <w:r>
        <w:rPr/>
        <w:t>Le GCT peut faire recours à cette disposition particulière dans les cas ci-après :</w:t>
      </w:r>
    </w:p>
    <w:p>
      <w:pPr>
        <w:pStyle w:val="ListParagraph"/>
        <w:numPr>
          <w:ilvl w:val="2"/>
          <w:numId w:val="18"/>
        </w:numPr>
        <w:tabs>
          <w:tab w:pos="1361" w:val="left" w:leader="none"/>
          <w:tab w:pos="1362" w:val="left" w:leader="none"/>
        </w:tabs>
        <w:spacing w:line="240" w:lineRule="auto" w:before="0" w:after="0"/>
        <w:ind w:left="1362" w:right="758" w:hanging="360"/>
        <w:jc w:val="left"/>
        <w:rPr>
          <w:sz w:val="28"/>
        </w:rPr>
      </w:pPr>
      <w:r>
        <w:rPr>
          <w:sz w:val="28"/>
        </w:rPr>
        <w:t>Equipements</w:t>
      </w:r>
      <w:r>
        <w:rPr>
          <w:spacing w:val="-13"/>
          <w:sz w:val="28"/>
        </w:rPr>
        <w:t> </w:t>
      </w:r>
      <w:r>
        <w:rPr>
          <w:sz w:val="28"/>
        </w:rPr>
        <w:t>et</w:t>
      </w:r>
      <w:r>
        <w:rPr>
          <w:spacing w:val="-12"/>
          <w:sz w:val="28"/>
        </w:rPr>
        <w:t> </w:t>
      </w:r>
      <w:r>
        <w:rPr>
          <w:sz w:val="28"/>
        </w:rPr>
        <w:t>pièces</w:t>
      </w:r>
      <w:r>
        <w:rPr>
          <w:spacing w:val="-13"/>
          <w:sz w:val="28"/>
        </w:rPr>
        <w:t> </w:t>
      </w:r>
      <w:r>
        <w:rPr>
          <w:sz w:val="28"/>
        </w:rPr>
        <w:t>de</w:t>
      </w:r>
      <w:r>
        <w:rPr>
          <w:spacing w:val="-12"/>
          <w:sz w:val="28"/>
        </w:rPr>
        <w:t> </w:t>
      </w:r>
      <w:r>
        <w:rPr>
          <w:sz w:val="28"/>
        </w:rPr>
        <w:t>rechanges</w:t>
      </w:r>
      <w:r>
        <w:rPr>
          <w:spacing w:val="-13"/>
          <w:sz w:val="28"/>
        </w:rPr>
        <w:t> </w:t>
      </w:r>
      <w:r>
        <w:rPr>
          <w:sz w:val="28"/>
        </w:rPr>
        <w:t>anciens</w:t>
      </w:r>
      <w:r>
        <w:rPr>
          <w:spacing w:val="-12"/>
          <w:sz w:val="28"/>
        </w:rPr>
        <w:t> </w:t>
      </w:r>
      <w:r>
        <w:rPr>
          <w:sz w:val="28"/>
        </w:rPr>
        <w:t>qui</w:t>
      </w:r>
      <w:r>
        <w:rPr>
          <w:spacing w:val="-13"/>
          <w:sz w:val="28"/>
        </w:rPr>
        <w:t> </w:t>
      </w:r>
      <w:r>
        <w:rPr>
          <w:sz w:val="28"/>
        </w:rPr>
        <w:t>ne</w:t>
      </w:r>
      <w:r>
        <w:rPr>
          <w:spacing w:val="-15"/>
          <w:sz w:val="28"/>
        </w:rPr>
        <w:t> </w:t>
      </w:r>
      <w:r>
        <w:rPr>
          <w:sz w:val="28"/>
        </w:rPr>
        <w:t>sont</w:t>
      </w:r>
      <w:r>
        <w:rPr>
          <w:spacing w:val="-15"/>
          <w:sz w:val="28"/>
        </w:rPr>
        <w:t> </w:t>
      </w:r>
      <w:r>
        <w:rPr>
          <w:sz w:val="28"/>
        </w:rPr>
        <w:t>plus</w:t>
      </w:r>
      <w:r>
        <w:rPr>
          <w:spacing w:val="-12"/>
          <w:sz w:val="28"/>
        </w:rPr>
        <w:t> </w:t>
      </w:r>
      <w:r>
        <w:rPr>
          <w:sz w:val="28"/>
        </w:rPr>
        <w:t>en</w:t>
      </w:r>
      <w:r>
        <w:rPr>
          <w:spacing w:val="-12"/>
          <w:sz w:val="28"/>
        </w:rPr>
        <w:t> </w:t>
      </w:r>
      <w:r>
        <w:rPr>
          <w:sz w:val="28"/>
        </w:rPr>
        <w:t>production</w:t>
      </w:r>
      <w:r>
        <w:rPr>
          <w:spacing w:val="-13"/>
          <w:sz w:val="28"/>
        </w:rPr>
        <w:t> </w:t>
      </w:r>
      <w:r>
        <w:rPr>
          <w:sz w:val="28"/>
        </w:rPr>
        <w:t>par les industriels et non disponibles dans le marché du</w:t>
      </w:r>
      <w:r>
        <w:rPr>
          <w:spacing w:val="-10"/>
          <w:sz w:val="28"/>
        </w:rPr>
        <w:t> </w:t>
      </w:r>
      <w:r>
        <w:rPr>
          <w:sz w:val="28"/>
        </w:rPr>
        <w:t>neuf,</w:t>
      </w:r>
    </w:p>
    <w:p>
      <w:pPr>
        <w:pStyle w:val="ListParagraph"/>
        <w:numPr>
          <w:ilvl w:val="2"/>
          <w:numId w:val="18"/>
        </w:numPr>
        <w:tabs>
          <w:tab w:pos="1361" w:val="left" w:leader="none"/>
          <w:tab w:pos="1362" w:val="left" w:leader="none"/>
        </w:tabs>
        <w:spacing w:line="240" w:lineRule="auto" w:before="0" w:after="0"/>
        <w:ind w:left="1362" w:right="754" w:hanging="360"/>
        <w:jc w:val="left"/>
        <w:rPr>
          <w:sz w:val="28"/>
        </w:rPr>
      </w:pPr>
      <w:r>
        <w:rPr>
          <w:sz w:val="28"/>
        </w:rPr>
        <w:t>Equipements et pièces de rechanges d’occasion présentant une opportunité exceptionnelle au niveau cout et délai</w:t>
      </w:r>
      <w:r>
        <w:rPr>
          <w:spacing w:val="-3"/>
          <w:sz w:val="28"/>
        </w:rPr>
        <w:t> </w:t>
      </w:r>
      <w:r>
        <w:rPr>
          <w:sz w:val="28"/>
        </w:rPr>
        <w:t>d’acquisition,</w:t>
      </w:r>
    </w:p>
    <w:p>
      <w:pPr>
        <w:pStyle w:val="Heading2"/>
        <w:spacing w:before="5"/>
        <w:jc w:val="left"/>
      </w:pPr>
      <w:r>
        <w:rPr/>
        <w:t>Procédure</w:t>
      </w:r>
    </w:p>
    <w:p>
      <w:pPr>
        <w:pStyle w:val="Heading3"/>
        <w:spacing w:before="2"/>
        <w:jc w:val="left"/>
        <w:rPr>
          <w:i/>
        </w:rPr>
      </w:pPr>
      <w:r>
        <w:rPr>
          <w:i/>
        </w:rPr>
        <w:t>Expression des besoins et élaboration des cahiers des charges</w:t>
      </w:r>
    </w:p>
    <w:p>
      <w:pPr>
        <w:pStyle w:val="BodyText"/>
        <w:ind w:right="751"/>
      </w:pPr>
      <w:r>
        <w:rPr/>
        <w:t>Le dossier d’appel à la concurrence précise les exigences, les spécifications techniques</w:t>
      </w:r>
      <w:r>
        <w:rPr>
          <w:spacing w:val="-6"/>
        </w:rPr>
        <w:t> </w:t>
      </w:r>
      <w:r>
        <w:rPr/>
        <w:t>et</w:t>
      </w:r>
      <w:r>
        <w:rPr>
          <w:spacing w:val="-6"/>
        </w:rPr>
        <w:t> </w:t>
      </w:r>
      <w:r>
        <w:rPr/>
        <w:t>les</w:t>
      </w:r>
      <w:r>
        <w:rPr>
          <w:spacing w:val="-7"/>
        </w:rPr>
        <w:t> </w:t>
      </w:r>
      <w:r>
        <w:rPr/>
        <w:t>caractéristiques</w:t>
      </w:r>
      <w:r>
        <w:rPr>
          <w:spacing w:val="-7"/>
        </w:rPr>
        <w:t> </w:t>
      </w:r>
      <w:r>
        <w:rPr/>
        <w:t>minimums</w:t>
      </w:r>
      <w:r>
        <w:rPr>
          <w:spacing w:val="-7"/>
        </w:rPr>
        <w:t> </w:t>
      </w:r>
      <w:r>
        <w:rPr/>
        <w:t>des</w:t>
      </w:r>
      <w:r>
        <w:rPr>
          <w:spacing w:val="-7"/>
        </w:rPr>
        <w:t> </w:t>
      </w:r>
      <w:r>
        <w:rPr/>
        <w:t>fournitures</w:t>
      </w:r>
      <w:r>
        <w:rPr>
          <w:spacing w:val="-7"/>
        </w:rPr>
        <w:t> </w:t>
      </w:r>
      <w:r>
        <w:rPr/>
        <w:t>d'occasions</w:t>
      </w:r>
      <w:r>
        <w:rPr>
          <w:spacing w:val="-7"/>
        </w:rPr>
        <w:t> </w:t>
      </w:r>
      <w:r>
        <w:rPr/>
        <w:t>telles</w:t>
      </w:r>
      <w:r>
        <w:rPr>
          <w:spacing w:val="-7"/>
        </w:rPr>
        <w:t> </w:t>
      </w:r>
      <w:r>
        <w:rPr/>
        <w:t>que</w:t>
      </w:r>
      <w:r>
        <w:rPr>
          <w:spacing w:val="-10"/>
        </w:rPr>
        <w:t> </w:t>
      </w:r>
      <w:r>
        <w:rPr/>
        <w:t>leur âge et leur état ainsi que les clauses de garantie</w:t>
      </w:r>
      <w:r>
        <w:rPr>
          <w:spacing w:val="-7"/>
        </w:rPr>
        <w:t> </w:t>
      </w:r>
      <w:r>
        <w:rPr/>
        <w:t>voulues.</w:t>
      </w:r>
    </w:p>
    <w:p>
      <w:pPr>
        <w:pStyle w:val="Heading3"/>
        <w:spacing w:before="5"/>
        <w:rPr>
          <w:i/>
        </w:rPr>
      </w:pPr>
      <w:r>
        <w:rPr>
          <w:i/>
        </w:rPr>
        <w:t>Modes de passation</w:t>
      </w:r>
    </w:p>
    <w:p>
      <w:pPr>
        <w:pStyle w:val="BodyText"/>
        <w:ind w:right="748"/>
      </w:pPr>
      <w:r>
        <w:rPr/>
        <w:t>L’achat</w:t>
      </w:r>
      <w:r>
        <w:rPr>
          <w:spacing w:val="-12"/>
        </w:rPr>
        <w:t> </w:t>
      </w:r>
      <w:r>
        <w:rPr/>
        <w:t>de</w:t>
      </w:r>
      <w:r>
        <w:rPr>
          <w:spacing w:val="-12"/>
        </w:rPr>
        <w:t> </w:t>
      </w:r>
      <w:r>
        <w:rPr/>
        <w:t>biens</w:t>
      </w:r>
      <w:r>
        <w:rPr>
          <w:spacing w:val="-12"/>
        </w:rPr>
        <w:t> </w:t>
      </w:r>
      <w:r>
        <w:rPr/>
        <w:t>d’occasion</w:t>
      </w:r>
      <w:r>
        <w:rPr>
          <w:spacing w:val="46"/>
        </w:rPr>
        <w:t> </w:t>
      </w:r>
      <w:r>
        <w:rPr/>
        <w:t>usagés</w:t>
      </w:r>
      <w:r>
        <w:rPr>
          <w:spacing w:val="-14"/>
        </w:rPr>
        <w:t> </w:t>
      </w:r>
      <w:r>
        <w:rPr/>
        <w:t>doit</w:t>
      </w:r>
      <w:r>
        <w:rPr>
          <w:spacing w:val="-14"/>
        </w:rPr>
        <w:t> </w:t>
      </w:r>
      <w:r>
        <w:rPr/>
        <w:t>se</w:t>
      </w:r>
      <w:r>
        <w:rPr>
          <w:spacing w:val="-14"/>
        </w:rPr>
        <w:t> </w:t>
      </w:r>
      <w:r>
        <w:rPr/>
        <w:t>faire</w:t>
      </w:r>
      <w:r>
        <w:rPr>
          <w:spacing w:val="-15"/>
        </w:rPr>
        <w:t> </w:t>
      </w:r>
      <w:r>
        <w:rPr/>
        <w:t>par</w:t>
      </w:r>
      <w:r>
        <w:rPr>
          <w:spacing w:val="-10"/>
        </w:rPr>
        <w:t> </w:t>
      </w:r>
      <w:r>
        <w:rPr/>
        <w:t>appel</w:t>
      </w:r>
      <w:r>
        <w:rPr>
          <w:spacing w:val="-12"/>
        </w:rPr>
        <w:t> </w:t>
      </w:r>
      <w:r>
        <w:rPr/>
        <w:t>à</w:t>
      </w:r>
      <w:r>
        <w:rPr>
          <w:spacing w:val="-11"/>
        </w:rPr>
        <w:t> </w:t>
      </w:r>
      <w:r>
        <w:rPr/>
        <w:t>la</w:t>
      </w:r>
      <w:r>
        <w:rPr>
          <w:spacing w:val="-12"/>
        </w:rPr>
        <w:t> </w:t>
      </w:r>
      <w:r>
        <w:rPr/>
        <w:t>concurrence</w:t>
      </w:r>
      <w:r>
        <w:rPr>
          <w:spacing w:val="-11"/>
        </w:rPr>
        <w:t> </w:t>
      </w:r>
      <w:r>
        <w:rPr/>
        <w:t>(régie, demande de cotation, consultation restreinte, appel d’offres), et ce, en fonction de la catégorie et du montant estimatif du bien à acheter. Toutefois, pour les motifs de négociation directe, l’achat du bien usagé peut être réalisé via négociation</w:t>
      </w:r>
      <w:r>
        <w:rPr>
          <w:spacing w:val="-22"/>
        </w:rPr>
        <w:t> </w:t>
      </w:r>
      <w:r>
        <w:rPr/>
        <w:t>directe.</w:t>
      </w:r>
    </w:p>
    <w:p>
      <w:pPr>
        <w:pStyle w:val="Heading3"/>
        <w:spacing w:line="319" w:lineRule="exact" w:before="2"/>
        <w:rPr>
          <w:i/>
        </w:rPr>
      </w:pPr>
      <w:r>
        <w:rPr>
          <w:i/>
        </w:rPr>
        <w:t>Procédures de passation</w:t>
      </w:r>
    </w:p>
    <w:p>
      <w:pPr>
        <w:pStyle w:val="BodyText"/>
        <w:ind w:right="757"/>
      </w:pPr>
      <w:r>
        <w:rPr/>
        <w:t>Le recours à cette disposition doit être appuyé par une note explicative validée et signée par la direction générale.</w:t>
      </w:r>
    </w:p>
    <w:p>
      <w:pPr>
        <w:pStyle w:val="BodyText"/>
        <w:ind w:right="753"/>
      </w:pPr>
      <w:r>
        <w:rPr/>
        <w:t>Ce type d’achat respecte les mêmes procédures de passation d’achat du neuf (Achats</w:t>
      </w:r>
      <w:r>
        <w:rPr>
          <w:spacing w:val="-9"/>
        </w:rPr>
        <w:t> </w:t>
      </w:r>
      <w:r>
        <w:rPr/>
        <w:t>hors</w:t>
      </w:r>
      <w:r>
        <w:rPr>
          <w:spacing w:val="-6"/>
        </w:rPr>
        <w:t> </w:t>
      </w:r>
      <w:r>
        <w:rPr/>
        <w:t>marchés</w:t>
      </w:r>
      <w:r>
        <w:rPr>
          <w:spacing w:val="-9"/>
        </w:rPr>
        <w:t> </w:t>
      </w:r>
      <w:r>
        <w:rPr/>
        <w:t>et</w:t>
      </w:r>
      <w:r>
        <w:rPr>
          <w:spacing w:val="-6"/>
        </w:rPr>
        <w:t> </w:t>
      </w:r>
      <w:r>
        <w:rPr/>
        <w:t>des</w:t>
      </w:r>
      <w:r>
        <w:rPr>
          <w:spacing w:val="-7"/>
        </w:rPr>
        <w:t> </w:t>
      </w:r>
      <w:r>
        <w:rPr/>
        <w:t>marchés)</w:t>
      </w:r>
      <w:r>
        <w:rPr>
          <w:spacing w:val="-6"/>
        </w:rPr>
        <w:t> </w:t>
      </w:r>
      <w:r>
        <w:rPr/>
        <w:t>et</w:t>
      </w:r>
      <w:r>
        <w:rPr>
          <w:spacing w:val="-9"/>
        </w:rPr>
        <w:t> </w:t>
      </w:r>
      <w:r>
        <w:rPr/>
        <w:t>il</w:t>
      </w:r>
      <w:r>
        <w:rPr>
          <w:spacing w:val="-8"/>
        </w:rPr>
        <w:t> </w:t>
      </w:r>
      <w:r>
        <w:rPr/>
        <w:t>dépend</w:t>
      </w:r>
      <w:r>
        <w:rPr>
          <w:spacing w:val="-9"/>
        </w:rPr>
        <w:t> </w:t>
      </w:r>
      <w:r>
        <w:rPr/>
        <w:t>de</w:t>
      </w:r>
      <w:r>
        <w:rPr>
          <w:spacing w:val="-7"/>
        </w:rPr>
        <w:t> </w:t>
      </w:r>
      <w:r>
        <w:rPr/>
        <w:t>la</w:t>
      </w:r>
      <w:r>
        <w:rPr>
          <w:spacing w:val="-8"/>
        </w:rPr>
        <w:t> </w:t>
      </w:r>
      <w:r>
        <w:rPr/>
        <w:t>valeur</w:t>
      </w:r>
      <w:r>
        <w:rPr>
          <w:spacing w:val="-7"/>
        </w:rPr>
        <w:t> </w:t>
      </w:r>
      <w:r>
        <w:rPr/>
        <w:t>estimée</w:t>
      </w:r>
      <w:r>
        <w:rPr>
          <w:spacing w:val="-7"/>
        </w:rPr>
        <w:t> </w:t>
      </w:r>
      <w:r>
        <w:rPr/>
        <w:t>du</w:t>
      </w:r>
      <w:r>
        <w:rPr>
          <w:spacing w:val="-6"/>
        </w:rPr>
        <w:t> </w:t>
      </w:r>
      <w:r>
        <w:rPr/>
        <w:t>ou</w:t>
      </w:r>
      <w:r>
        <w:rPr>
          <w:spacing w:val="-7"/>
        </w:rPr>
        <w:t> </w:t>
      </w:r>
      <w:r>
        <w:rPr/>
        <w:t>des</w:t>
      </w:r>
      <w:r>
        <w:rPr>
          <w:spacing w:val="-8"/>
        </w:rPr>
        <w:t> </w:t>
      </w:r>
      <w:r>
        <w:rPr/>
        <w:t>biens d’occasions à</w:t>
      </w:r>
      <w:r>
        <w:rPr>
          <w:spacing w:val="-1"/>
        </w:rPr>
        <w:t> </w:t>
      </w:r>
      <w:r>
        <w:rPr/>
        <w:t>acheter.</w:t>
      </w:r>
    </w:p>
    <w:p>
      <w:pPr>
        <w:pStyle w:val="BodyText"/>
        <w:ind w:right="749"/>
      </w:pPr>
      <w:r>
        <w:rPr/>
        <w:t>Ce type d’achat respecte les mêmes procédures d’attribution d’achat du neuf (Achats hors marchés et des marchés) et il dépend de la valeur du contrat ou des biens d’occasions à</w:t>
      </w:r>
      <w:r>
        <w:rPr>
          <w:spacing w:val="-1"/>
        </w:rPr>
        <w:t> </w:t>
      </w:r>
      <w:r>
        <w:rPr/>
        <w:t>acheter.</w:t>
      </w:r>
    </w:p>
    <w:p>
      <w:pPr>
        <w:pStyle w:val="Heading2"/>
        <w:numPr>
          <w:ilvl w:val="1"/>
          <w:numId w:val="18"/>
        </w:numPr>
        <w:tabs>
          <w:tab w:pos="979" w:val="left" w:leader="none"/>
        </w:tabs>
        <w:spacing w:line="240" w:lineRule="auto" w:before="122" w:after="0"/>
        <w:ind w:left="433" w:right="751" w:firstLine="0"/>
        <w:jc w:val="both"/>
      </w:pPr>
      <w:bookmarkStart w:name="_TOC_250070" w:id="73"/>
      <w:r>
        <w:rPr/>
        <w:t>Dispositions</w:t>
      </w:r>
      <w:r>
        <w:rPr>
          <w:spacing w:val="-11"/>
        </w:rPr>
        <w:t> </w:t>
      </w:r>
      <w:r>
        <w:rPr/>
        <w:t>particulières</w:t>
      </w:r>
      <w:r>
        <w:rPr>
          <w:spacing w:val="-10"/>
        </w:rPr>
        <w:t> </w:t>
      </w:r>
      <w:r>
        <w:rPr/>
        <w:t>aux</w:t>
      </w:r>
      <w:r>
        <w:rPr>
          <w:spacing w:val="-6"/>
        </w:rPr>
        <w:t> </w:t>
      </w:r>
      <w:r>
        <w:rPr/>
        <w:t>achats</w:t>
      </w:r>
      <w:r>
        <w:rPr>
          <w:spacing w:val="-9"/>
        </w:rPr>
        <w:t> </w:t>
      </w:r>
      <w:r>
        <w:rPr/>
        <w:t>hors</w:t>
      </w:r>
      <w:r>
        <w:rPr>
          <w:spacing w:val="-10"/>
        </w:rPr>
        <w:t> </w:t>
      </w:r>
      <w:r>
        <w:rPr/>
        <w:t>marchés</w:t>
      </w:r>
      <w:r>
        <w:rPr>
          <w:spacing w:val="-8"/>
        </w:rPr>
        <w:t> </w:t>
      </w:r>
      <w:r>
        <w:rPr/>
        <w:t>et</w:t>
      </w:r>
      <w:r>
        <w:rPr>
          <w:spacing w:val="-11"/>
        </w:rPr>
        <w:t> </w:t>
      </w:r>
      <w:r>
        <w:rPr/>
        <w:t>marchés</w:t>
      </w:r>
      <w:r>
        <w:rPr>
          <w:spacing w:val="-10"/>
        </w:rPr>
        <w:t> </w:t>
      </w:r>
      <w:r>
        <w:rPr/>
        <w:t>de</w:t>
      </w:r>
      <w:r>
        <w:rPr>
          <w:spacing w:val="-11"/>
        </w:rPr>
        <w:t> </w:t>
      </w:r>
      <w:bookmarkEnd w:id="73"/>
      <w:r>
        <w:rPr/>
        <w:t>prestations intellectuelles</w:t>
      </w:r>
    </w:p>
    <w:p>
      <w:pPr>
        <w:pStyle w:val="BodyText"/>
        <w:ind w:right="754"/>
      </w:pPr>
      <w:r>
        <w:rPr>
          <w:w w:val="105"/>
        </w:rPr>
        <w:t>Les achats des prestations intellectuelles sont conclus après mise en concurrence conformément aux dispositions du présent manuel.</w:t>
      </w:r>
    </w:p>
    <w:p>
      <w:pPr>
        <w:pStyle w:val="BodyText"/>
        <w:ind w:right="750"/>
      </w:pPr>
      <w:r>
        <w:rPr>
          <w:w w:val="105"/>
        </w:rPr>
        <w:t>En fonction de leur statut, les consultants/formateurs sont sélectionnés en tenant</w:t>
      </w:r>
      <w:r>
        <w:rPr>
          <w:spacing w:val="-14"/>
          <w:w w:val="105"/>
        </w:rPr>
        <w:t> </w:t>
      </w:r>
      <w:r>
        <w:rPr>
          <w:w w:val="105"/>
        </w:rPr>
        <w:t>compte</w:t>
      </w:r>
      <w:r>
        <w:rPr>
          <w:spacing w:val="-17"/>
          <w:w w:val="105"/>
        </w:rPr>
        <w:t> </w:t>
      </w:r>
      <w:r>
        <w:rPr>
          <w:w w:val="105"/>
        </w:rPr>
        <w:t>de</w:t>
      </w:r>
      <w:r>
        <w:rPr>
          <w:spacing w:val="-17"/>
          <w:w w:val="105"/>
        </w:rPr>
        <w:t> </w:t>
      </w:r>
      <w:r>
        <w:rPr>
          <w:w w:val="105"/>
        </w:rPr>
        <w:t>la</w:t>
      </w:r>
      <w:r>
        <w:rPr>
          <w:spacing w:val="-16"/>
          <w:w w:val="105"/>
        </w:rPr>
        <w:t> </w:t>
      </w:r>
      <w:r>
        <w:rPr>
          <w:w w:val="105"/>
        </w:rPr>
        <w:t>compétence,</w:t>
      </w:r>
      <w:r>
        <w:rPr>
          <w:spacing w:val="-16"/>
          <w:w w:val="105"/>
        </w:rPr>
        <w:t> </w:t>
      </w:r>
      <w:r>
        <w:rPr>
          <w:w w:val="105"/>
        </w:rPr>
        <w:t>appréciée</w:t>
      </w:r>
      <w:r>
        <w:rPr>
          <w:spacing w:val="-13"/>
          <w:w w:val="105"/>
        </w:rPr>
        <w:t> </w:t>
      </w:r>
      <w:r>
        <w:rPr>
          <w:w w:val="105"/>
        </w:rPr>
        <w:t>particulièrement,</w:t>
      </w:r>
      <w:r>
        <w:rPr>
          <w:spacing w:val="-16"/>
          <w:w w:val="105"/>
        </w:rPr>
        <w:t> </w:t>
      </w:r>
      <w:r>
        <w:rPr>
          <w:w w:val="105"/>
        </w:rPr>
        <w:t>à</w:t>
      </w:r>
      <w:r>
        <w:rPr>
          <w:spacing w:val="-13"/>
          <w:w w:val="105"/>
        </w:rPr>
        <w:t> </w:t>
      </w:r>
      <w:r>
        <w:rPr>
          <w:w w:val="105"/>
        </w:rPr>
        <w:t>partir</w:t>
      </w:r>
      <w:r>
        <w:rPr>
          <w:spacing w:val="-15"/>
          <w:w w:val="105"/>
        </w:rPr>
        <w:t> </w:t>
      </w:r>
      <w:r>
        <w:rPr>
          <w:w w:val="105"/>
        </w:rPr>
        <w:t>des</w:t>
      </w:r>
      <w:r>
        <w:rPr>
          <w:spacing w:val="-16"/>
          <w:w w:val="105"/>
        </w:rPr>
        <w:t> </w:t>
      </w:r>
      <w:r>
        <w:rPr>
          <w:w w:val="105"/>
        </w:rPr>
        <w:t>références notamment</w:t>
      </w:r>
      <w:r>
        <w:rPr>
          <w:spacing w:val="-6"/>
          <w:w w:val="105"/>
        </w:rPr>
        <w:t> </w:t>
      </w:r>
      <w:r>
        <w:rPr>
          <w:w w:val="105"/>
        </w:rPr>
        <w:t>dans</w:t>
      </w:r>
      <w:r>
        <w:rPr>
          <w:spacing w:val="-5"/>
          <w:w w:val="105"/>
        </w:rPr>
        <w:t> </w:t>
      </w:r>
      <w:r>
        <w:rPr>
          <w:w w:val="105"/>
        </w:rPr>
        <w:t>le</w:t>
      </w:r>
      <w:r>
        <w:rPr>
          <w:spacing w:val="-6"/>
          <w:w w:val="105"/>
        </w:rPr>
        <w:t> </w:t>
      </w:r>
      <w:r>
        <w:rPr>
          <w:w w:val="105"/>
        </w:rPr>
        <w:t>domaine</w:t>
      </w:r>
      <w:r>
        <w:rPr>
          <w:spacing w:val="-6"/>
          <w:w w:val="105"/>
        </w:rPr>
        <w:t> </w:t>
      </w:r>
      <w:r>
        <w:rPr>
          <w:w w:val="105"/>
        </w:rPr>
        <w:t>de</w:t>
      </w:r>
      <w:r>
        <w:rPr>
          <w:spacing w:val="-6"/>
          <w:w w:val="105"/>
        </w:rPr>
        <w:t> </w:t>
      </w:r>
      <w:r>
        <w:rPr>
          <w:w w:val="105"/>
        </w:rPr>
        <w:t>la</w:t>
      </w:r>
      <w:r>
        <w:rPr>
          <w:spacing w:val="-5"/>
          <w:w w:val="105"/>
        </w:rPr>
        <w:t> </w:t>
      </w:r>
      <w:r>
        <w:rPr>
          <w:w w:val="105"/>
        </w:rPr>
        <w:t>prestation,</w:t>
      </w:r>
      <w:r>
        <w:rPr>
          <w:spacing w:val="-5"/>
          <w:w w:val="105"/>
        </w:rPr>
        <w:t> </w:t>
      </w:r>
      <w:r>
        <w:rPr>
          <w:w w:val="105"/>
        </w:rPr>
        <w:t>de</w:t>
      </w:r>
      <w:r>
        <w:rPr>
          <w:spacing w:val="-6"/>
          <w:w w:val="105"/>
        </w:rPr>
        <w:t> </w:t>
      </w:r>
      <w:r>
        <w:rPr>
          <w:w w:val="105"/>
        </w:rPr>
        <w:t>l'expérience</w:t>
      </w:r>
      <w:r>
        <w:rPr>
          <w:spacing w:val="-5"/>
          <w:w w:val="105"/>
        </w:rPr>
        <w:t> </w:t>
      </w:r>
      <w:r>
        <w:rPr>
          <w:w w:val="105"/>
        </w:rPr>
        <w:t>et</w:t>
      </w:r>
      <w:r>
        <w:rPr>
          <w:spacing w:val="-6"/>
          <w:w w:val="105"/>
        </w:rPr>
        <w:t> </w:t>
      </w:r>
      <w:r>
        <w:rPr>
          <w:w w:val="105"/>
        </w:rPr>
        <w:t>de</w:t>
      </w:r>
      <w:r>
        <w:rPr>
          <w:spacing w:val="-6"/>
          <w:w w:val="105"/>
        </w:rPr>
        <w:t> </w:t>
      </w:r>
      <w:r>
        <w:rPr>
          <w:w w:val="105"/>
        </w:rPr>
        <w:t>la</w:t>
      </w:r>
      <w:r>
        <w:rPr>
          <w:spacing w:val="-5"/>
          <w:w w:val="105"/>
        </w:rPr>
        <w:t> </w:t>
      </w:r>
      <w:r>
        <w:rPr>
          <w:w w:val="105"/>
        </w:rPr>
        <w:t>méthodologie préconisée pour l'exécution de la</w:t>
      </w:r>
      <w:r>
        <w:rPr>
          <w:spacing w:val="-3"/>
          <w:w w:val="105"/>
        </w:rPr>
        <w:t> </w:t>
      </w:r>
      <w:r>
        <w:rPr>
          <w:w w:val="105"/>
        </w:rPr>
        <w:t>prestation.</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67"/>
        </w:numPr>
        <w:tabs>
          <w:tab w:pos="1190" w:val="left" w:leader="none"/>
        </w:tabs>
        <w:spacing w:line="240" w:lineRule="auto" w:before="89" w:after="0"/>
        <w:ind w:left="1189" w:right="0" w:hanging="757"/>
        <w:jc w:val="both"/>
      </w:pPr>
      <w:bookmarkStart w:name="_TOC_250069" w:id="74"/>
      <w:r>
        <w:rPr/>
        <w:t>Modes de sélection pour prestations</w:t>
      </w:r>
      <w:r>
        <w:rPr>
          <w:spacing w:val="-24"/>
        </w:rPr>
        <w:t> </w:t>
      </w:r>
      <w:bookmarkEnd w:id="74"/>
      <w:r>
        <w:rPr/>
        <w:t>intellectuelles</w:t>
      </w:r>
    </w:p>
    <w:p>
      <w:pPr>
        <w:pStyle w:val="ListParagraph"/>
        <w:numPr>
          <w:ilvl w:val="0"/>
          <w:numId w:val="58"/>
        </w:numPr>
        <w:tabs>
          <w:tab w:pos="717" w:val="left" w:leader="none"/>
        </w:tabs>
        <w:spacing w:line="321" w:lineRule="exact" w:before="167" w:after="0"/>
        <w:ind w:left="716" w:right="0" w:hanging="284"/>
        <w:jc w:val="both"/>
        <w:rPr>
          <w:b/>
          <w:sz w:val="28"/>
        </w:rPr>
      </w:pPr>
      <w:r>
        <w:rPr>
          <w:b/>
          <w:sz w:val="28"/>
        </w:rPr>
        <w:t>Sélection fondée sur la qualité et le coût</w:t>
      </w:r>
      <w:r>
        <w:rPr>
          <w:b/>
          <w:spacing w:val="-6"/>
          <w:sz w:val="28"/>
        </w:rPr>
        <w:t> </w:t>
      </w:r>
      <w:r>
        <w:rPr>
          <w:b/>
          <w:sz w:val="28"/>
        </w:rPr>
        <w:t>(SFQC)</w:t>
      </w:r>
    </w:p>
    <w:p>
      <w:pPr>
        <w:pStyle w:val="BodyText"/>
        <w:ind w:right="750"/>
      </w:pPr>
      <w:r>
        <w:rPr>
          <w:w w:val="105"/>
        </w:rPr>
        <w:t>Cette</w:t>
      </w:r>
      <w:r>
        <w:rPr>
          <w:spacing w:val="-10"/>
          <w:w w:val="105"/>
        </w:rPr>
        <w:t> </w:t>
      </w:r>
      <w:r>
        <w:rPr>
          <w:w w:val="105"/>
        </w:rPr>
        <w:t>procédure</w:t>
      </w:r>
      <w:r>
        <w:rPr>
          <w:spacing w:val="-9"/>
          <w:w w:val="105"/>
        </w:rPr>
        <w:t> </w:t>
      </w:r>
      <w:r>
        <w:rPr>
          <w:w w:val="105"/>
        </w:rPr>
        <w:t>consiste</w:t>
      </w:r>
      <w:r>
        <w:rPr>
          <w:spacing w:val="-9"/>
          <w:w w:val="105"/>
        </w:rPr>
        <w:t> </w:t>
      </w:r>
      <w:r>
        <w:rPr>
          <w:w w:val="105"/>
        </w:rPr>
        <w:t>en</w:t>
      </w:r>
      <w:r>
        <w:rPr>
          <w:spacing w:val="-9"/>
          <w:w w:val="105"/>
        </w:rPr>
        <w:t> </w:t>
      </w:r>
      <w:r>
        <w:rPr>
          <w:w w:val="105"/>
        </w:rPr>
        <w:t>la</w:t>
      </w:r>
      <w:r>
        <w:rPr>
          <w:spacing w:val="-8"/>
          <w:w w:val="105"/>
        </w:rPr>
        <w:t> </w:t>
      </w:r>
      <w:r>
        <w:rPr>
          <w:w w:val="105"/>
        </w:rPr>
        <w:t>mise</w:t>
      </w:r>
      <w:r>
        <w:rPr>
          <w:spacing w:val="-10"/>
          <w:w w:val="105"/>
        </w:rPr>
        <w:t> </w:t>
      </w:r>
      <w:r>
        <w:rPr>
          <w:w w:val="105"/>
        </w:rPr>
        <w:t>en</w:t>
      </w:r>
      <w:r>
        <w:rPr>
          <w:spacing w:val="-9"/>
          <w:w w:val="105"/>
        </w:rPr>
        <w:t> </w:t>
      </w:r>
      <w:r>
        <w:rPr>
          <w:w w:val="105"/>
        </w:rPr>
        <w:t>concurrence</w:t>
      </w:r>
      <w:r>
        <w:rPr>
          <w:spacing w:val="-9"/>
          <w:w w:val="105"/>
        </w:rPr>
        <w:t> </w:t>
      </w:r>
      <w:r>
        <w:rPr>
          <w:w w:val="105"/>
        </w:rPr>
        <w:t>de</w:t>
      </w:r>
      <w:r>
        <w:rPr>
          <w:spacing w:val="-10"/>
          <w:w w:val="105"/>
        </w:rPr>
        <w:t> </w:t>
      </w:r>
      <w:r>
        <w:rPr>
          <w:w w:val="105"/>
        </w:rPr>
        <w:t>consultants</w:t>
      </w:r>
      <w:r>
        <w:rPr>
          <w:spacing w:val="-7"/>
          <w:w w:val="105"/>
        </w:rPr>
        <w:t> </w:t>
      </w:r>
      <w:r>
        <w:rPr>
          <w:w w:val="105"/>
        </w:rPr>
        <w:t>ou</w:t>
      </w:r>
      <w:r>
        <w:rPr>
          <w:spacing w:val="-9"/>
          <w:w w:val="105"/>
        </w:rPr>
        <w:t> </w:t>
      </w:r>
      <w:r>
        <w:rPr>
          <w:w w:val="105"/>
        </w:rPr>
        <w:t>bureaux d’études figurant sur une liste restreinte, en se fondant sur la qualité de la proposition</w:t>
      </w:r>
      <w:r>
        <w:rPr>
          <w:spacing w:val="-10"/>
          <w:w w:val="105"/>
        </w:rPr>
        <w:t> </w:t>
      </w:r>
      <w:r>
        <w:rPr>
          <w:w w:val="105"/>
        </w:rPr>
        <w:t>technique</w:t>
      </w:r>
      <w:r>
        <w:rPr>
          <w:spacing w:val="-10"/>
          <w:w w:val="105"/>
        </w:rPr>
        <w:t> </w:t>
      </w:r>
      <w:r>
        <w:rPr>
          <w:w w:val="105"/>
        </w:rPr>
        <w:t>et</w:t>
      </w:r>
      <w:r>
        <w:rPr>
          <w:spacing w:val="-9"/>
          <w:w w:val="105"/>
        </w:rPr>
        <w:t> </w:t>
      </w:r>
      <w:r>
        <w:rPr>
          <w:w w:val="105"/>
        </w:rPr>
        <w:t>le</w:t>
      </w:r>
      <w:r>
        <w:rPr>
          <w:spacing w:val="-9"/>
          <w:w w:val="105"/>
        </w:rPr>
        <w:t> </w:t>
      </w:r>
      <w:r>
        <w:rPr>
          <w:w w:val="105"/>
        </w:rPr>
        <w:t>coût</w:t>
      </w:r>
      <w:r>
        <w:rPr>
          <w:spacing w:val="-9"/>
          <w:w w:val="105"/>
        </w:rPr>
        <w:t> </w:t>
      </w:r>
      <w:r>
        <w:rPr>
          <w:w w:val="105"/>
        </w:rPr>
        <w:t>des</w:t>
      </w:r>
      <w:r>
        <w:rPr>
          <w:spacing w:val="-11"/>
          <w:w w:val="105"/>
        </w:rPr>
        <w:t> </w:t>
      </w:r>
      <w:r>
        <w:rPr>
          <w:w w:val="105"/>
        </w:rPr>
        <w:t>services</w:t>
      </w:r>
      <w:r>
        <w:rPr>
          <w:spacing w:val="-9"/>
          <w:w w:val="105"/>
        </w:rPr>
        <w:t> </w:t>
      </w:r>
      <w:r>
        <w:rPr>
          <w:w w:val="105"/>
        </w:rPr>
        <w:t>pour</w:t>
      </w:r>
      <w:r>
        <w:rPr>
          <w:spacing w:val="-10"/>
          <w:w w:val="105"/>
        </w:rPr>
        <w:t> </w:t>
      </w:r>
      <w:r>
        <w:rPr>
          <w:w w:val="105"/>
        </w:rPr>
        <w:t>choisir</w:t>
      </w:r>
      <w:r>
        <w:rPr>
          <w:spacing w:val="-8"/>
          <w:w w:val="105"/>
        </w:rPr>
        <w:t> </w:t>
      </w:r>
      <w:r>
        <w:rPr>
          <w:w w:val="105"/>
        </w:rPr>
        <w:t>le</w:t>
      </w:r>
      <w:r>
        <w:rPr>
          <w:spacing w:val="-9"/>
          <w:w w:val="105"/>
        </w:rPr>
        <w:t> </w:t>
      </w:r>
      <w:r>
        <w:rPr>
          <w:w w:val="105"/>
        </w:rPr>
        <w:t>consultant</w:t>
      </w:r>
      <w:r>
        <w:rPr>
          <w:spacing w:val="-9"/>
          <w:w w:val="105"/>
        </w:rPr>
        <w:t> </w:t>
      </w:r>
      <w:r>
        <w:rPr>
          <w:w w:val="105"/>
        </w:rPr>
        <w:t>à</w:t>
      </w:r>
      <w:r>
        <w:rPr>
          <w:spacing w:val="-10"/>
          <w:w w:val="105"/>
        </w:rPr>
        <w:t> </w:t>
      </w:r>
      <w:r>
        <w:rPr>
          <w:w w:val="105"/>
        </w:rPr>
        <w:t>retenir.</w:t>
      </w:r>
      <w:r>
        <w:rPr>
          <w:spacing w:val="-6"/>
          <w:w w:val="105"/>
        </w:rPr>
        <w:t> </w:t>
      </w:r>
      <w:r>
        <w:rPr>
          <w:w w:val="105"/>
        </w:rPr>
        <w:t>La pondération est fixée au cas par cas, selon la nature de la</w:t>
      </w:r>
      <w:r>
        <w:rPr>
          <w:spacing w:val="-3"/>
          <w:w w:val="105"/>
        </w:rPr>
        <w:t> </w:t>
      </w:r>
      <w:r>
        <w:rPr>
          <w:w w:val="105"/>
        </w:rPr>
        <w:t>mission.</w:t>
      </w:r>
    </w:p>
    <w:p>
      <w:pPr>
        <w:pStyle w:val="BodyText"/>
        <w:ind w:right="757"/>
      </w:pPr>
      <w:r>
        <w:rPr>
          <w:w w:val="105"/>
        </w:rPr>
        <w:t>Ladite liste restreinte est fixée au cas par cas, selon la nature de la mission et via un Appel à la manifestation d’intérêt.</w:t>
      </w:r>
    </w:p>
    <w:p>
      <w:pPr>
        <w:pStyle w:val="Heading3"/>
        <w:spacing w:line="319" w:lineRule="exact" w:before="79"/>
        <w:jc w:val="left"/>
        <w:rPr>
          <w:i/>
        </w:rPr>
      </w:pPr>
      <w:r>
        <w:rPr>
          <w:i/>
        </w:rPr>
        <w:t>Procédure</w:t>
      </w:r>
    </w:p>
    <w:p>
      <w:pPr>
        <w:pStyle w:val="BodyText"/>
        <w:spacing w:line="319" w:lineRule="exact"/>
        <w:ind w:firstLine="0"/>
        <w:jc w:val="left"/>
      </w:pPr>
      <w:r>
        <w:rPr>
          <w:w w:val="105"/>
        </w:rPr>
        <w:t>La procédure de sélection comprend les étapes suivantes :</w:t>
      </w:r>
    </w:p>
    <w:p>
      <w:pPr>
        <w:pStyle w:val="ListParagraph"/>
        <w:numPr>
          <w:ilvl w:val="3"/>
          <w:numId w:val="67"/>
        </w:numPr>
        <w:tabs>
          <w:tab w:pos="1003" w:val="left" w:leader="none"/>
        </w:tabs>
        <w:spacing w:line="240" w:lineRule="auto" w:before="0" w:after="0"/>
        <w:ind w:left="1002" w:right="0" w:hanging="287"/>
        <w:jc w:val="left"/>
        <w:rPr>
          <w:sz w:val="28"/>
        </w:rPr>
      </w:pPr>
      <w:r>
        <w:rPr>
          <w:sz w:val="28"/>
        </w:rPr>
        <w:t>Rédaction des termes de référence</w:t>
      </w:r>
      <w:r>
        <w:rPr>
          <w:spacing w:val="-9"/>
          <w:sz w:val="28"/>
        </w:rPr>
        <w:t> </w:t>
      </w:r>
      <w:r>
        <w:rPr>
          <w:sz w:val="28"/>
        </w:rPr>
        <w:t>;</w:t>
      </w:r>
    </w:p>
    <w:p>
      <w:pPr>
        <w:pStyle w:val="ListParagraph"/>
        <w:numPr>
          <w:ilvl w:val="3"/>
          <w:numId w:val="67"/>
        </w:numPr>
        <w:tabs>
          <w:tab w:pos="1022" w:val="left" w:leader="none"/>
        </w:tabs>
        <w:spacing w:line="322" w:lineRule="exact" w:before="2" w:after="0"/>
        <w:ind w:left="1021" w:right="0" w:hanging="306"/>
        <w:jc w:val="left"/>
        <w:rPr>
          <w:sz w:val="28"/>
        </w:rPr>
      </w:pPr>
      <w:r>
        <w:rPr>
          <w:sz w:val="28"/>
        </w:rPr>
        <w:t>Estimation des coûts et des critères de sélection sur la liste restreinte</w:t>
      </w:r>
      <w:r>
        <w:rPr>
          <w:spacing w:val="-32"/>
          <w:sz w:val="28"/>
        </w:rPr>
        <w:t> </w:t>
      </w:r>
      <w:r>
        <w:rPr>
          <w:sz w:val="28"/>
        </w:rPr>
        <w:t>;</w:t>
      </w:r>
    </w:p>
    <w:p>
      <w:pPr>
        <w:pStyle w:val="ListParagraph"/>
        <w:numPr>
          <w:ilvl w:val="3"/>
          <w:numId w:val="67"/>
        </w:numPr>
        <w:tabs>
          <w:tab w:pos="1005" w:val="left" w:leader="none"/>
        </w:tabs>
        <w:spacing w:line="322" w:lineRule="exact" w:before="0" w:after="0"/>
        <w:ind w:left="1004" w:right="0" w:hanging="289"/>
        <w:jc w:val="left"/>
        <w:rPr>
          <w:sz w:val="28"/>
        </w:rPr>
      </w:pPr>
      <w:r>
        <w:rPr>
          <w:sz w:val="28"/>
        </w:rPr>
        <w:t>Publication de l’Appel à la </w:t>
      </w:r>
      <w:r>
        <w:rPr>
          <w:spacing w:val="-2"/>
          <w:sz w:val="28"/>
        </w:rPr>
        <w:t>manifestation </w:t>
      </w:r>
      <w:r>
        <w:rPr>
          <w:sz w:val="28"/>
        </w:rPr>
        <w:t>d’intérêt</w:t>
      </w:r>
      <w:r>
        <w:rPr>
          <w:spacing w:val="-15"/>
          <w:sz w:val="28"/>
        </w:rPr>
        <w:t> </w:t>
      </w:r>
      <w:r>
        <w:rPr>
          <w:sz w:val="28"/>
        </w:rPr>
        <w:t>;</w:t>
      </w:r>
    </w:p>
    <w:p>
      <w:pPr>
        <w:pStyle w:val="ListParagraph"/>
        <w:numPr>
          <w:ilvl w:val="3"/>
          <w:numId w:val="67"/>
        </w:numPr>
        <w:tabs>
          <w:tab w:pos="1022" w:val="left" w:leader="none"/>
        </w:tabs>
        <w:spacing w:line="322" w:lineRule="exact" w:before="0" w:after="0"/>
        <w:ind w:left="1021" w:right="0" w:hanging="306"/>
        <w:jc w:val="left"/>
        <w:rPr>
          <w:sz w:val="28"/>
        </w:rPr>
      </w:pPr>
      <w:r>
        <w:rPr>
          <w:sz w:val="28"/>
        </w:rPr>
        <w:t>Établissement de la liste restreinte de consultants</w:t>
      </w:r>
      <w:r>
        <w:rPr>
          <w:spacing w:val="-13"/>
          <w:sz w:val="28"/>
        </w:rPr>
        <w:t> </w:t>
      </w:r>
      <w:r>
        <w:rPr>
          <w:sz w:val="28"/>
        </w:rPr>
        <w:t>;</w:t>
      </w:r>
    </w:p>
    <w:p>
      <w:pPr>
        <w:pStyle w:val="ListParagraph"/>
        <w:numPr>
          <w:ilvl w:val="3"/>
          <w:numId w:val="67"/>
        </w:numPr>
        <w:tabs>
          <w:tab w:pos="1036" w:val="left" w:leader="none"/>
        </w:tabs>
        <w:spacing w:line="240" w:lineRule="auto" w:before="0" w:after="0"/>
        <w:ind w:left="999" w:right="749" w:hanging="284"/>
        <w:jc w:val="both"/>
        <w:rPr>
          <w:sz w:val="28"/>
        </w:rPr>
      </w:pPr>
      <w:r>
        <w:rPr>
          <w:sz w:val="28"/>
        </w:rPr>
        <w:t>Préparation et émission du cahier de charges de la consultation ( qui  doit inclure la Lettre d’invitation, les Termes de référence </w:t>
      </w:r>
      <w:r>
        <w:rPr>
          <w:spacing w:val="-3"/>
          <w:sz w:val="28"/>
        </w:rPr>
        <w:t>et </w:t>
      </w:r>
      <w:r>
        <w:rPr>
          <w:sz w:val="28"/>
        </w:rPr>
        <w:t>le projet du contrat proposé)</w:t>
      </w:r>
      <w:r>
        <w:rPr>
          <w:spacing w:val="-1"/>
          <w:sz w:val="28"/>
        </w:rPr>
        <w:t> </w:t>
      </w:r>
      <w:r>
        <w:rPr>
          <w:sz w:val="28"/>
        </w:rPr>
        <w:t>;</w:t>
      </w:r>
    </w:p>
    <w:p>
      <w:pPr>
        <w:pStyle w:val="ListParagraph"/>
        <w:numPr>
          <w:ilvl w:val="3"/>
          <w:numId w:val="67"/>
        </w:numPr>
        <w:tabs>
          <w:tab w:pos="974" w:val="left" w:leader="none"/>
        </w:tabs>
        <w:spacing w:line="322" w:lineRule="exact" w:before="1" w:after="0"/>
        <w:ind w:left="973" w:right="0" w:hanging="258"/>
        <w:jc w:val="both"/>
        <w:rPr>
          <w:sz w:val="28"/>
        </w:rPr>
      </w:pPr>
      <w:r>
        <w:rPr>
          <w:sz w:val="28"/>
        </w:rPr>
        <w:t>Réception des propositions</w:t>
      </w:r>
      <w:r>
        <w:rPr>
          <w:spacing w:val="-7"/>
          <w:sz w:val="28"/>
        </w:rPr>
        <w:t> </w:t>
      </w:r>
      <w:r>
        <w:rPr>
          <w:sz w:val="28"/>
        </w:rPr>
        <w:t>;</w:t>
      </w:r>
    </w:p>
    <w:p>
      <w:pPr>
        <w:pStyle w:val="ListParagraph"/>
        <w:numPr>
          <w:ilvl w:val="3"/>
          <w:numId w:val="67"/>
        </w:numPr>
        <w:tabs>
          <w:tab w:pos="1072" w:val="left" w:leader="none"/>
        </w:tabs>
        <w:spacing w:line="240" w:lineRule="auto" w:before="0" w:after="0"/>
        <w:ind w:left="999" w:right="748" w:hanging="284"/>
        <w:jc w:val="left"/>
        <w:rPr>
          <w:sz w:val="28"/>
        </w:rPr>
      </w:pPr>
      <w:r>
        <w:rPr/>
        <w:tab/>
      </w:r>
      <w:r>
        <w:rPr>
          <w:sz w:val="28"/>
        </w:rPr>
        <w:t>Ouverture </w:t>
      </w:r>
      <w:r>
        <w:rPr>
          <w:spacing w:val="-3"/>
          <w:sz w:val="28"/>
        </w:rPr>
        <w:t>et </w:t>
      </w:r>
      <w:r>
        <w:rPr>
          <w:sz w:val="28"/>
        </w:rPr>
        <w:t>évaluation des propositions techniques : prise en compte de la qualité</w:t>
      </w:r>
      <w:r>
        <w:rPr>
          <w:spacing w:val="-2"/>
          <w:sz w:val="28"/>
        </w:rPr>
        <w:t> </w:t>
      </w:r>
      <w:r>
        <w:rPr>
          <w:sz w:val="28"/>
        </w:rPr>
        <w:t>;</w:t>
      </w:r>
    </w:p>
    <w:p>
      <w:pPr>
        <w:pStyle w:val="ListParagraph"/>
        <w:numPr>
          <w:ilvl w:val="3"/>
          <w:numId w:val="67"/>
        </w:numPr>
        <w:tabs>
          <w:tab w:pos="1022" w:val="left" w:leader="none"/>
        </w:tabs>
        <w:spacing w:line="321" w:lineRule="exact" w:before="0" w:after="0"/>
        <w:ind w:left="1021" w:right="0" w:hanging="306"/>
        <w:jc w:val="left"/>
        <w:rPr>
          <w:sz w:val="28"/>
        </w:rPr>
      </w:pPr>
      <w:r>
        <w:rPr>
          <w:sz w:val="28"/>
        </w:rPr>
        <w:t>Ouverture publique des propositions financières</w:t>
      </w:r>
      <w:r>
        <w:rPr>
          <w:spacing w:val="-10"/>
          <w:sz w:val="28"/>
        </w:rPr>
        <w:t> </w:t>
      </w:r>
      <w:r>
        <w:rPr>
          <w:sz w:val="28"/>
        </w:rPr>
        <w:t>;</w:t>
      </w:r>
    </w:p>
    <w:p>
      <w:pPr>
        <w:pStyle w:val="ListParagraph"/>
        <w:numPr>
          <w:ilvl w:val="3"/>
          <w:numId w:val="67"/>
        </w:numPr>
        <w:tabs>
          <w:tab w:pos="959" w:val="left" w:leader="none"/>
        </w:tabs>
        <w:spacing w:line="322" w:lineRule="exact" w:before="0" w:after="0"/>
        <w:ind w:left="958" w:right="0" w:hanging="243"/>
        <w:jc w:val="left"/>
        <w:rPr>
          <w:sz w:val="28"/>
        </w:rPr>
      </w:pPr>
      <w:r>
        <w:rPr>
          <w:sz w:val="28"/>
        </w:rPr>
        <w:t>Évaluation des propositions financières</w:t>
      </w:r>
      <w:r>
        <w:rPr>
          <w:spacing w:val="-9"/>
          <w:sz w:val="28"/>
        </w:rPr>
        <w:t> </w:t>
      </w:r>
      <w:r>
        <w:rPr>
          <w:sz w:val="28"/>
        </w:rPr>
        <w:t>;</w:t>
      </w:r>
    </w:p>
    <w:p>
      <w:pPr>
        <w:pStyle w:val="BodyText"/>
        <w:spacing w:line="322" w:lineRule="exact"/>
        <w:ind w:left="716" w:firstLine="0"/>
        <w:jc w:val="left"/>
      </w:pPr>
      <w:r>
        <w:rPr/>
        <w:t>J) Évaluation finale consolidée de la qualité et du coût ;</w:t>
      </w:r>
    </w:p>
    <w:p>
      <w:pPr>
        <w:pStyle w:val="BodyText"/>
        <w:spacing w:line="242" w:lineRule="auto"/>
        <w:ind w:left="999" w:right="749" w:firstLine="0"/>
      </w:pPr>
      <w:r>
        <w:rPr/>
        <w:t>En ce sens que L’évaluation des propositions se fera en deux étapes : d’abord,</w:t>
      </w:r>
      <w:r>
        <w:rPr>
          <w:spacing w:val="-49"/>
        </w:rPr>
        <w:t> </w:t>
      </w:r>
      <w:r>
        <w:rPr/>
        <w:t>du point de </w:t>
      </w:r>
      <w:r>
        <w:rPr>
          <w:spacing w:val="-2"/>
        </w:rPr>
        <w:t>vue </w:t>
      </w:r>
      <w:r>
        <w:rPr/>
        <w:t>de la qualité technique, puis du point de </w:t>
      </w:r>
      <w:r>
        <w:rPr>
          <w:spacing w:val="-2"/>
        </w:rPr>
        <w:t>vue </w:t>
      </w:r>
      <w:r>
        <w:rPr/>
        <w:t>du</w:t>
      </w:r>
      <w:r>
        <w:rPr>
          <w:spacing w:val="-13"/>
        </w:rPr>
        <w:t> </w:t>
      </w:r>
      <w:r>
        <w:rPr/>
        <w:t>coût.</w:t>
      </w:r>
    </w:p>
    <w:p>
      <w:pPr>
        <w:pStyle w:val="BodyText"/>
        <w:ind w:left="999" w:right="747" w:firstLine="0"/>
      </w:pPr>
      <w:r>
        <w:rPr/>
        <w:t>La note totale sera obtenue par l’addition des notes techniques et financières, après introduction d’une pondération. La pondération attribuée au « coût » sera déterminée compte tenu de la complexité de la mission </w:t>
      </w:r>
      <w:r>
        <w:rPr>
          <w:spacing w:val="-3"/>
        </w:rPr>
        <w:t>et </w:t>
      </w:r>
      <w:r>
        <w:rPr/>
        <w:t>du niveau de qualité technique</w:t>
      </w:r>
      <w:r>
        <w:rPr>
          <w:spacing w:val="-8"/>
        </w:rPr>
        <w:t> </w:t>
      </w:r>
      <w:r>
        <w:rPr/>
        <w:t>voulu.</w:t>
      </w:r>
      <w:r>
        <w:rPr>
          <w:spacing w:val="-5"/>
        </w:rPr>
        <w:t> </w:t>
      </w:r>
      <w:r>
        <w:rPr/>
        <w:t>L’auteur</w:t>
      </w:r>
      <w:r>
        <w:rPr>
          <w:spacing w:val="-11"/>
        </w:rPr>
        <w:t> </w:t>
      </w:r>
      <w:r>
        <w:rPr/>
        <w:t>de</w:t>
      </w:r>
      <w:r>
        <w:rPr>
          <w:spacing w:val="-11"/>
        </w:rPr>
        <w:t> </w:t>
      </w:r>
      <w:r>
        <w:rPr/>
        <w:t>l’offre</w:t>
      </w:r>
      <w:r>
        <w:rPr>
          <w:spacing w:val="-11"/>
        </w:rPr>
        <w:t> </w:t>
      </w:r>
      <w:r>
        <w:rPr/>
        <w:t>ayant</w:t>
      </w:r>
      <w:r>
        <w:rPr>
          <w:spacing w:val="-10"/>
        </w:rPr>
        <w:t> </w:t>
      </w:r>
      <w:r>
        <w:rPr/>
        <w:t>obtenu</w:t>
      </w:r>
      <w:r>
        <w:rPr>
          <w:spacing w:val="-8"/>
        </w:rPr>
        <w:t> </w:t>
      </w:r>
      <w:r>
        <w:rPr/>
        <w:t>la</w:t>
      </w:r>
      <w:r>
        <w:rPr>
          <w:spacing w:val="-6"/>
        </w:rPr>
        <w:t> </w:t>
      </w:r>
      <w:r>
        <w:rPr/>
        <w:t>note</w:t>
      </w:r>
      <w:r>
        <w:rPr>
          <w:spacing w:val="-9"/>
        </w:rPr>
        <w:t> </w:t>
      </w:r>
      <w:r>
        <w:rPr/>
        <w:t>totale</w:t>
      </w:r>
      <w:r>
        <w:rPr>
          <w:spacing w:val="-9"/>
        </w:rPr>
        <w:t> </w:t>
      </w:r>
      <w:r>
        <w:rPr/>
        <w:t>la</w:t>
      </w:r>
      <w:r>
        <w:rPr>
          <w:spacing w:val="-11"/>
        </w:rPr>
        <w:t> </w:t>
      </w:r>
      <w:r>
        <w:rPr/>
        <w:t>plus</w:t>
      </w:r>
      <w:r>
        <w:rPr>
          <w:spacing w:val="-8"/>
        </w:rPr>
        <w:t> </w:t>
      </w:r>
      <w:r>
        <w:rPr/>
        <w:t>élevée</w:t>
      </w:r>
      <w:r>
        <w:rPr>
          <w:spacing w:val="-7"/>
        </w:rPr>
        <w:t> </w:t>
      </w:r>
      <w:r>
        <w:rPr/>
        <w:t>sera sélectionné</w:t>
      </w:r>
      <w:r>
        <w:rPr>
          <w:spacing w:val="-2"/>
        </w:rPr>
        <w:t> </w:t>
      </w:r>
      <w:r>
        <w:rPr/>
        <w:t>;</w:t>
      </w:r>
    </w:p>
    <w:p>
      <w:pPr>
        <w:pStyle w:val="BodyText"/>
        <w:ind w:left="716" w:firstLine="0"/>
      </w:pPr>
      <w:r>
        <w:rPr/>
        <w:t>k) Négociations et attribution.</w:t>
      </w:r>
    </w:p>
    <w:p>
      <w:pPr>
        <w:pStyle w:val="Heading2"/>
        <w:numPr>
          <w:ilvl w:val="0"/>
          <w:numId w:val="58"/>
        </w:numPr>
        <w:tabs>
          <w:tab w:pos="717" w:val="left" w:leader="none"/>
        </w:tabs>
        <w:spacing w:line="319" w:lineRule="exact" w:before="121" w:after="0"/>
        <w:ind w:left="716" w:right="0" w:hanging="284"/>
        <w:jc w:val="both"/>
      </w:pPr>
      <w:r>
        <w:rPr/>
        <w:t>Sélection fondée sur la qualité</w:t>
      </w:r>
      <w:r>
        <w:rPr>
          <w:spacing w:val="-6"/>
        </w:rPr>
        <w:t> </w:t>
      </w:r>
      <w:r>
        <w:rPr/>
        <w:t>(SFQ)</w:t>
      </w:r>
    </w:p>
    <w:p>
      <w:pPr>
        <w:pStyle w:val="BodyText"/>
        <w:ind w:right="756"/>
      </w:pPr>
      <w:r>
        <w:rPr/>
        <w:t>La méthode de Sélection fondée sur la qualité convient aux types de missions suivants :</w:t>
      </w:r>
    </w:p>
    <w:p>
      <w:pPr>
        <w:pStyle w:val="ListParagraph"/>
        <w:numPr>
          <w:ilvl w:val="0"/>
          <w:numId w:val="68"/>
        </w:numPr>
        <w:tabs>
          <w:tab w:pos="1000" w:val="left" w:leader="none"/>
        </w:tabs>
        <w:spacing w:line="240" w:lineRule="auto" w:before="0" w:after="0"/>
        <w:ind w:left="999" w:right="747" w:hanging="284"/>
        <w:jc w:val="both"/>
        <w:rPr>
          <w:sz w:val="28"/>
        </w:rPr>
      </w:pPr>
      <w:r>
        <w:rPr>
          <w:spacing w:val="-3"/>
          <w:sz w:val="28"/>
        </w:rPr>
        <w:t>Les </w:t>
      </w:r>
      <w:r>
        <w:rPr>
          <w:sz w:val="28"/>
        </w:rPr>
        <w:t>missions complexes ou très spécialisées pour lesquelles il est difficile de définir précisément les Termes de référence des consultants et ce qu’ils sont censés fournir, </w:t>
      </w:r>
      <w:r>
        <w:rPr>
          <w:spacing w:val="-3"/>
          <w:sz w:val="28"/>
        </w:rPr>
        <w:t>et </w:t>
      </w:r>
      <w:r>
        <w:rPr>
          <w:sz w:val="28"/>
        </w:rPr>
        <w:t>pour lesquelles le </w:t>
      </w:r>
      <w:r>
        <w:rPr>
          <w:spacing w:val="-3"/>
          <w:sz w:val="28"/>
        </w:rPr>
        <w:t>GCT </w:t>
      </w:r>
      <w:r>
        <w:rPr>
          <w:sz w:val="28"/>
        </w:rPr>
        <w:t>attend des consultants qu’ils fassent preuve d’innovation dans leurs propositions (par exemple, études économiques ou sectorielles sur un pays donné, études de faisabilité plurisectorielles, conception d’une usine de traitement de déchets dangereux, préparation</w:t>
      </w:r>
      <w:r>
        <w:rPr>
          <w:spacing w:val="5"/>
          <w:sz w:val="28"/>
        </w:rPr>
        <w:t> </w:t>
      </w:r>
      <w:r>
        <w:rPr>
          <w:sz w:val="28"/>
        </w:rPr>
        <w:t>d’un</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left="999" w:right="748" w:firstLine="0"/>
      </w:pPr>
      <w:r>
        <w:rPr/>
        <w:t>schéma directeur d’aménagement urbain, définition des réformes du secteur financier) ;</w:t>
      </w:r>
    </w:p>
    <w:p>
      <w:pPr>
        <w:pStyle w:val="ListParagraph"/>
        <w:numPr>
          <w:ilvl w:val="0"/>
          <w:numId w:val="68"/>
        </w:numPr>
        <w:tabs>
          <w:tab w:pos="1000" w:val="left" w:leader="none"/>
        </w:tabs>
        <w:spacing w:line="240" w:lineRule="auto" w:before="0" w:after="0"/>
        <w:ind w:left="999" w:right="749" w:hanging="284"/>
        <w:jc w:val="both"/>
        <w:rPr>
          <w:sz w:val="28"/>
        </w:rPr>
      </w:pPr>
      <w:r>
        <w:rPr>
          <w:spacing w:val="-3"/>
          <w:sz w:val="28"/>
        </w:rPr>
        <w:t>Les </w:t>
      </w:r>
      <w:r>
        <w:rPr>
          <w:sz w:val="28"/>
        </w:rPr>
        <w:t>missions ayant un impact très marqué en aval </w:t>
      </w:r>
      <w:r>
        <w:rPr>
          <w:spacing w:val="-3"/>
          <w:sz w:val="28"/>
        </w:rPr>
        <w:t>et </w:t>
      </w:r>
      <w:r>
        <w:rPr>
          <w:sz w:val="28"/>
        </w:rPr>
        <w:t>pour lesquelles l’objectif </w:t>
      </w:r>
      <w:r>
        <w:rPr>
          <w:spacing w:val="-3"/>
          <w:sz w:val="28"/>
        </w:rPr>
        <w:t>est </w:t>
      </w:r>
      <w:r>
        <w:rPr>
          <w:sz w:val="28"/>
        </w:rPr>
        <w:t>d’obtenir les services des meilleurs experts</w:t>
      </w:r>
      <w:r>
        <w:rPr>
          <w:spacing w:val="-25"/>
          <w:sz w:val="28"/>
        </w:rPr>
        <w:t> </w:t>
      </w:r>
      <w:r>
        <w:rPr>
          <w:sz w:val="28"/>
        </w:rPr>
        <w:t>;</w:t>
      </w:r>
    </w:p>
    <w:p>
      <w:pPr>
        <w:pStyle w:val="ListParagraph"/>
        <w:numPr>
          <w:ilvl w:val="0"/>
          <w:numId w:val="68"/>
        </w:numPr>
        <w:tabs>
          <w:tab w:pos="1000" w:val="left" w:leader="none"/>
        </w:tabs>
        <w:spacing w:line="240" w:lineRule="auto" w:before="0" w:after="0"/>
        <w:ind w:left="999" w:right="747" w:hanging="284"/>
        <w:jc w:val="both"/>
        <w:rPr>
          <w:sz w:val="28"/>
        </w:rPr>
      </w:pPr>
      <w:r>
        <w:rPr>
          <w:spacing w:val="-3"/>
          <w:sz w:val="28"/>
        </w:rPr>
        <w:t>Les </w:t>
      </w:r>
      <w:r>
        <w:rPr>
          <w:sz w:val="28"/>
        </w:rPr>
        <w:t>missions pouvant être réalisées de manière sensiblement différente et pour lesquelles les propositions seront difficilement comparables (par exemple, conseils </w:t>
      </w:r>
      <w:r>
        <w:rPr>
          <w:spacing w:val="-3"/>
          <w:sz w:val="28"/>
        </w:rPr>
        <w:t>en </w:t>
      </w:r>
      <w:r>
        <w:rPr>
          <w:sz w:val="28"/>
        </w:rPr>
        <w:t>gestion, études de politique générale ou sectorielle pour lesquelles la valeur des services dépend de la qualité de</w:t>
      </w:r>
      <w:r>
        <w:rPr>
          <w:spacing w:val="-18"/>
          <w:sz w:val="28"/>
        </w:rPr>
        <w:t> </w:t>
      </w:r>
      <w:r>
        <w:rPr>
          <w:sz w:val="28"/>
        </w:rPr>
        <w:t>l’analyse).</w:t>
      </w:r>
    </w:p>
    <w:p>
      <w:pPr>
        <w:pStyle w:val="Heading3"/>
        <w:jc w:val="left"/>
        <w:rPr>
          <w:i/>
        </w:rPr>
      </w:pPr>
      <w:r>
        <w:rPr>
          <w:i/>
        </w:rPr>
        <w:t>Procédure</w:t>
      </w:r>
    </w:p>
    <w:p>
      <w:pPr>
        <w:pStyle w:val="BodyText"/>
        <w:ind w:right="754"/>
      </w:pPr>
      <w:r>
        <w:rPr/>
        <w:t>Dans le cadre de la méthode SFQ, la consultation exige que, la remise simultanée des propositions techniques et financières mais sous plis séparés.</w:t>
      </w:r>
    </w:p>
    <w:p>
      <w:pPr>
        <w:pStyle w:val="BodyText"/>
        <w:ind w:right="749"/>
      </w:pPr>
      <w:r>
        <w:rPr/>
        <w:t>Le dossier de consultation fournira soit le budget estimatif, soit des estimations du temps de travail des experts clés, en précisant toutefois que ces données sont fournies à titre purement indicatif et que les consultants sont libres de soumettre leurs propres estimations.</w:t>
      </w:r>
    </w:p>
    <w:p>
      <w:pPr>
        <w:pStyle w:val="BodyText"/>
        <w:spacing w:before="73"/>
        <w:ind w:right="748"/>
      </w:pPr>
      <w:r>
        <w:rPr/>
        <w:t>La commission d’évaluation évalue les propositions techniques selon la même méthodologie</w:t>
      </w:r>
      <w:r>
        <w:rPr>
          <w:spacing w:val="-5"/>
        </w:rPr>
        <w:t> </w:t>
      </w:r>
      <w:r>
        <w:rPr/>
        <w:t>que</w:t>
      </w:r>
      <w:r>
        <w:rPr>
          <w:spacing w:val="-4"/>
        </w:rPr>
        <w:t> </w:t>
      </w:r>
      <w:r>
        <w:rPr/>
        <w:t>celle</w:t>
      </w:r>
      <w:r>
        <w:rPr>
          <w:spacing w:val="5"/>
        </w:rPr>
        <w:t> </w:t>
      </w:r>
      <w:r>
        <w:rPr/>
        <w:t>de</w:t>
      </w:r>
      <w:r>
        <w:rPr>
          <w:spacing w:val="-9"/>
        </w:rPr>
        <w:t> </w:t>
      </w:r>
      <w:r>
        <w:rPr/>
        <w:t>la</w:t>
      </w:r>
      <w:r>
        <w:rPr>
          <w:spacing w:val="-8"/>
        </w:rPr>
        <w:t> </w:t>
      </w:r>
      <w:r>
        <w:rPr/>
        <w:t>méthode</w:t>
      </w:r>
      <w:r>
        <w:rPr>
          <w:spacing w:val="-6"/>
        </w:rPr>
        <w:t> </w:t>
      </w:r>
      <w:r>
        <w:rPr/>
        <w:t>SFQC,</w:t>
      </w:r>
      <w:r>
        <w:rPr>
          <w:spacing w:val="-5"/>
        </w:rPr>
        <w:t> </w:t>
      </w:r>
      <w:r>
        <w:rPr/>
        <w:t>puis</w:t>
      </w:r>
      <w:r>
        <w:rPr>
          <w:spacing w:val="-6"/>
        </w:rPr>
        <w:t> </w:t>
      </w:r>
      <w:r>
        <w:rPr/>
        <w:t>la</w:t>
      </w:r>
      <w:r>
        <w:rPr>
          <w:spacing w:val="-9"/>
        </w:rPr>
        <w:t> </w:t>
      </w:r>
      <w:r>
        <w:rPr/>
        <w:t>commission</w:t>
      </w:r>
      <w:r>
        <w:rPr>
          <w:spacing w:val="-8"/>
        </w:rPr>
        <w:t> </w:t>
      </w:r>
      <w:r>
        <w:rPr/>
        <w:t>d’ouverture</w:t>
      </w:r>
      <w:r>
        <w:rPr>
          <w:spacing w:val="-10"/>
        </w:rPr>
        <w:t> </w:t>
      </w:r>
      <w:r>
        <w:rPr/>
        <w:t>ouvre</w:t>
      </w:r>
      <w:r>
        <w:rPr>
          <w:spacing w:val="-11"/>
        </w:rPr>
        <w:t> </w:t>
      </w:r>
      <w:r>
        <w:rPr/>
        <w:t>le pli financier du Consultant ayant obtenu le score le plus élevé. La commission d’évaluation et le consultant négocient alors la proposition financière </w:t>
      </w:r>
      <w:r>
        <w:rPr>
          <w:spacing w:val="-3"/>
        </w:rPr>
        <w:t>et </w:t>
      </w:r>
      <w:r>
        <w:rPr/>
        <w:t>le</w:t>
      </w:r>
      <w:r>
        <w:rPr>
          <w:spacing w:val="2"/>
        </w:rPr>
        <w:t> </w:t>
      </w:r>
      <w:r>
        <w:rPr/>
        <w:t>contrat.</w:t>
      </w:r>
    </w:p>
    <w:p>
      <w:pPr>
        <w:pStyle w:val="BodyText"/>
        <w:spacing w:before="121"/>
        <w:ind w:right="748"/>
      </w:pPr>
      <w:r>
        <w:rPr/>
        <w:t>Tous les autres aspects du processus de sélection sont identiques à ceux de la méthode SFQC, y compris la publication de l’attribution de l’achat, telle que décrite au paragraphe </w:t>
      </w:r>
      <w:r>
        <w:rPr>
          <w:sz w:val="22"/>
        </w:rPr>
        <w:t>« </w:t>
      </w:r>
      <w:r>
        <w:rPr/>
        <w:t>Sélection fondée sur la qualité et le coût (SFQC) », doivent être prévues pour veiller à ce que seule correspondant à l’entreprise retenue soit ouverte, les autres propositions financières des soumissionnaires doivent être renvoyées fermées à l’issue des négociations.</w:t>
      </w:r>
    </w:p>
    <w:p>
      <w:pPr>
        <w:pStyle w:val="Heading2"/>
        <w:numPr>
          <w:ilvl w:val="0"/>
          <w:numId w:val="58"/>
        </w:numPr>
        <w:tabs>
          <w:tab w:pos="717" w:val="left" w:leader="none"/>
        </w:tabs>
        <w:spacing w:line="320" w:lineRule="exact" w:before="125" w:after="0"/>
        <w:ind w:left="716" w:right="0" w:hanging="284"/>
        <w:jc w:val="both"/>
      </w:pPr>
      <w:r>
        <w:rPr/>
        <w:t>Sélection fondée sur le moindre coût</w:t>
      </w:r>
      <w:r>
        <w:rPr>
          <w:spacing w:val="-7"/>
        </w:rPr>
        <w:t> </w:t>
      </w:r>
      <w:r>
        <w:rPr/>
        <w:t>(SFMC)</w:t>
      </w:r>
    </w:p>
    <w:p>
      <w:pPr>
        <w:pStyle w:val="BodyText"/>
        <w:ind w:right="751"/>
      </w:pPr>
      <w:r>
        <w:rPr/>
        <w:t>Cette méthode s’applique en règle générale à la sélection de consultants pour des missions standards ou courantes (audits, contrôle technique, etc.), pour lesquelles il existe des pratiques et des normes bien établies.</w:t>
      </w:r>
    </w:p>
    <w:p>
      <w:pPr>
        <w:pStyle w:val="Heading3"/>
        <w:jc w:val="left"/>
        <w:rPr>
          <w:i/>
        </w:rPr>
      </w:pPr>
      <w:r>
        <w:rPr>
          <w:i/>
        </w:rPr>
        <w:t>Procédure</w:t>
      </w:r>
    </w:p>
    <w:p>
      <w:pPr>
        <w:pStyle w:val="BodyText"/>
        <w:ind w:right="757"/>
      </w:pPr>
      <w:r>
        <w:rPr/>
        <w:t>Cette méthode consiste à fixer une note technique minimum de qualification et à inviter les consultants et les bureaux d’études dans le cadre d’un appel d’offres ouvert conformément aux procédures fixées dans ce manuel à remettre des propositions sous deux enveloppes séparées.</w:t>
      </w:r>
    </w:p>
    <w:p>
      <w:pPr>
        <w:pStyle w:val="BodyText"/>
        <w:ind w:right="758"/>
      </w:pPr>
      <w:r>
        <w:rPr/>
        <w:t>Les</w:t>
      </w:r>
      <w:r>
        <w:rPr>
          <w:spacing w:val="-8"/>
        </w:rPr>
        <w:t> </w:t>
      </w:r>
      <w:r>
        <w:rPr/>
        <w:t>propositions</w:t>
      </w:r>
      <w:r>
        <w:rPr>
          <w:spacing w:val="-9"/>
        </w:rPr>
        <w:t> </w:t>
      </w:r>
      <w:r>
        <w:rPr/>
        <w:t>techniques</w:t>
      </w:r>
      <w:r>
        <w:rPr>
          <w:spacing w:val="-10"/>
        </w:rPr>
        <w:t> </w:t>
      </w:r>
      <w:r>
        <w:rPr/>
        <w:t>sont</w:t>
      </w:r>
      <w:r>
        <w:rPr>
          <w:spacing w:val="-11"/>
        </w:rPr>
        <w:t> </w:t>
      </w:r>
      <w:r>
        <w:rPr/>
        <w:t>ouvertes</w:t>
      </w:r>
      <w:r>
        <w:rPr>
          <w:spacing w:val="-10"/>
        </w:rPr>
        <w:t> </w:t>
      </w:r>
      <w:r>
        <w:rPr/>
        <w:t>en</w:t>
      </w:r>
      <w:r>
        <w:rPr>
          <w:spacing w:val="-11"/>
        </w:rPr>
        <w:t> </w:t>
      </w:r>
      <w:r>
        <w:rPr/>
        <w:t>premier</w:t>
      </w:r>
      <w:r>
        <w:rPr>
          <w:spacing w:val="-9"/>
        </w:rPr>
        <w:t> </w:t>
      </w:r>
      <w:r>
        <w:rPr/>
        <w:t>lieu</w:t>
      </w:r>
      <w:r>
        <w:rPr>
          <w:spacing w:val="-8"/>
        </w:rPr>
        <w:t> </w:t>
      </w:r>
      <w:r>
        <w:rPr/>
        <w:t>et</w:t>
      </w:r>
      <w:r>
        <w:rPr>
          <w:spacing w:val="-9"/>
        </w:rPr>
        <w:t> </w:t>
      </w:r>
      <w:r>
        <w:rPr/>
        <w:t>sont</w:t>
      </w:r>
      <w:r>
        <w:rPr>
          <w:spacing w:val="-9"/>
        </w:rPr>
        <w:t> </w:t>
      </w:r>
      <w:r>
        <w:rPr/>
        <w:t>évaluées.</w:t>
      </w:r>
      <w:r>
        <w:rPr>
          <w:spacing w:val="-9"/>
        </w:rPr>
        <w:t> </w:t>
      </w:r>
      <w:r>
        <w:rPr/>
        <w:t>Celles qui n’atteignent pas le score de qualification technique minimum sont éliminées et les propositions</w:t>
      </w:r>
      <w:r>
        <w:rPr>
          <w:spacing w:val="-8"/>
        </w:rPr>
        <w:t> </w:t>
      </w:r>
      <w:r>
        <w:rPr/>
        <w:t>financières</w:t>
      </w:r>
      <w:r>
        <w:rPr>
          <w:spacing w:val="-9"/>
        </w:rPr>
        <w:t> </w:t>
      </w:r>
      <w:r>
        <w:rPr/>
        <w:t>des</w:t>
      </w:r>
      <w:r>
        <w:rPr>
          <w:spacing w:val="-8"/>
        </w:rPr>
        <w:t> </w:t>
      </w:r>
      <w:r>
        <w:rPr/>
        <w:t>consultants</w:t>
      </w:r>
      <w:r>
        <w:rPr>
          <w:spacing w:val="-7"/>
        </w:rPr>
        <w:t> </w:t>
      </w:r>
      <w:r>
        <w:rPr/>
        <w:t>restants</w:t>
      </w:r>
      <w:r>
        <w:rPr>
          <w:spacing w:val="-10"/>
        </w:rPr>
        <w:t> </w:t>
      </w:r>
      <w:r>
        <w:rPr/>
        <w:t>sont</w:t>
      </w:r>
      <w:r>
        <w:rPr>
          <w:spacing w:val="-9"/>
        </w:rPr>
        <w:t> </w:t>
      </w:r>
      <w:r>
        <w:rPr/>
        <w:t>alors</w:t>
      </w:r>
      <w:r>
        <w:rPr>
          <w:spacing w:val="-9"/>
        </w:rPr>
        <w:t> </w:t>
      </w:r>
      <w:r>
        <w:rPr/>
        <w:t>ouvertes</w:t>
      </w:r>
      <w:r>
        <w:rPr>
          <w:spacing w:val="-9"/>
        </w:rPr>
        <w:t> </w:t>
      </w:r>
      <w:r>
        <w:rPr/>
        <w:t>par</w:t>
      </w:r>
      <w:r>
        <w:rPr>
          <w:spacing w:val="-10"/>
        </w:rPr>
        <w:t> </w:t>
      </w:r>
      <w:r>
        <w:rPr/>
        <w:t>la</w:t>
      </w:r>
      <w:r>
        <w:rPr>
          <w:spacing w:val="-10"/>
        </w:rPr>
        <w:t> </w:t>
      </w:r>
      <w:r>
        <w:rPr/>
        <w:t>commission d’ouverture des plis. La proposition dont le prix est le plus bas est</w:t>
      </w:r>
      <w:r>
        <w:rPr>
          <w:spacing w:val="-24"/>
        </w:rPr>
        <w:t> </w:t>
      </w:r>
      <w:r>
        <w:rPr/>
        <w:t>retenue.</w:t>
      </w:r>
    </w:p>
    <w:p>
      <w:pPr>
        <w:pStyle w:val="BodyText"/>
        <w:ind w:right="757" w:firstLine="0"/>
      </w:pPr>
      <w:r>
        <w:rPr/>
        <w:t>Lorsqu’on</w:t>
      </w:r>
      <w:r>
        <w:rPr>
          <w:spacing w:val="-8"/>
        </w:rPr>
        <w:t> </w:t>
      </w:r>
      <w:r>
        <w:rPr/>
        <w:t>suit</w:t>
      </w:r>
      <w:r>
        <w:rPr>
          <w:spacing w:val="-5"/>
        </w:rPr>
        <w:t> </w:t>
      </w:r>
      <w:r>
        <w:rPr/>
        <w:t>cette</w:t>
      </w:r>
      <w:r>
        <w:rPr>
          <w:spacing w:val="-9"/>
        </w:rPr>
        <w:t> </w:t>
      </w:r>
      <w:r>
        <w:rPr/>
        <w:t>méthode,</w:t>
      </w:r>
      <w:r>
        <w:rPr>
          <w:spacing w:val="-9"/>
        </w:rPr>
        <w:t> </w:t>
      </w:r>
      <w:r>
        <w:rPr/>
        <w:t>il</w:t>
      </w:r>
      <w:r>
        <w:rPr>
          <w:spacing w:val="-7"/>
        </w:rPr>
        <w:t> </w:t>
      </w:r>
      <w:r>
        <w:rPr/>
        <w:t>s’agit</w:t>
      </w:r>
      <w:r>
        <w:rPr>
          <w:spacing w:val="-5"/>
        </w:rPr>
        <w:t> </w:t>
      </w:r>
      <w:r>
        <w:rPr/>
        <w:t>de</w:t>
      </w:r>
      <w:r>
        <w:rPr>
          <w:spacing w:val="-9"/>
        </w:rPr>
        <w:t> </w:t>
      </w:r>
      <w:r>
        <w:rPr/>
        <w:t>déterminer</w:t>
      </w:r>
      <w:r>
        <w:rPr>
          <w:spacing w:val="-7"/>
        </w:rPr>
        <w:t> </w:t>
      </w:r>
      <w:r>
        <w:rPr/>
        <w:t>la</w:t>
      </w:r>
      <w:r>
        <w:rPr>
          <w:spacing w:val="-9"/>
        </w:rPr>
        <w:t> </w:t>
      </w:r>
      <w:r>
        <w:rPr/>
        <w:t>note</w:t>
      </w:r>
      <w:r>
        <w:rPr>
          <w:spacing w:val="-9"/>
        </w:rPr>
        <w:t> </w:t>
      </w:r>
      <w:r>
        <w:rPr/>
        <w:t>de</w:t>
      </w:r>
      <w:r>
        <w:rPr>
          <w:spacing w:val="-9"/>
        </w:rPr>
        <w:t> </w:t>
      </w:r>
      <w:r>
        <w:rPr/>
        <w:t>qualification</w:t>
      </w:r>
      <w:r>
        <w:rPr>
          <w:spacing w:val="-8"/>
        </w:rPr>
        <w:t> </w:t>
      </w:r>
      <w:r>
        <w:rPr/>
        <w:t>technique minimum en gardant à l’esprit que les propositions obtenant une note</w:t>
      </w:r>
      <w:r>
        <w:rPr>
          <w:spacing w:val="-27"/>
        </w:rPr>
        <w:t> </w:t>
      </w:r>
      <w:r>
        <w:rPr/>
        <w:t>technique</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48" w:firstLine="0"/>
        <w:jc w:val="left"/>
      </w:pPr>
      <w:r>
        <w:rPr/>
        <w:t>supérieure à ce minimum concourent selon le seul critère « coût ». La note de qualification technique minimum doit être spécifiée dans le dossier d’appel d’offre.</w:t>
      </w:r>
    </w:p>
    <w:p>
      <w:pPr>
        <w:pStyle w:val="BodyText"/>
        <w:spacing w:line="242" w:lineRule="auto"/>
        <w:ind w:right="748" w:firstLine="0"/>
        <w:jc w:val="left"/>
      </w:pPr>
      <w:r>
        <w:rPr/>
        <w:t>L’attribution de l’achat sera publiée conformément aux procédures prévues dans ce manuel.</w:t>
      </w:r>
    </w:p>
    <w:p>
      <w:pPr>
        <w:pStyle w:val="Heading2"/>
        <w:numPr>
          <w:ilvl w:val="0"/>
          <w:numId w:val="58"/>
        </w:numPr>
        <w:tabs>
          <w:tab w:pos="717" w:val="left" w:leader="none"/>
        </w:tabs>
        <w:spacing w:line="319" w:lineRule="exact" w:before="119" w:after="0"/>
        <w:ind w:left="716" w:right="0" w:hanging="284"/>
        <w:jc w:val="left"/>
      </w:pPr>
      <w:r>
        <w:rPr/>
        <w:t>Sélection dans le cadre d’un budget déterminé</w:t>
      </w:r>
      <w:r>
        <w:rPr>
          <w:spacing w:val="-6"/>
        </w:rPr>
        <w:t> </w:t>
      </w:r>
      <w:r>
        <w:rPr/>
        <w:t>(SCBD)</w:t>
      </w:r>
    </w:p>
    <w:p>
      <w:pPr>
        <w:pStyle w:val="BodyText"/>
        <w:ind w:right="749"/>
      </w:pPr>
      <w:r>
        <w:rPr/>
        <w:t>Cette méthode convient uniquement pour une mission simple, dont l’estimation ne dépasse généralement pas la compétence de la CAE. Cette méthode porte sur des mission ou actions qui peuvent être définies de manière précise et dont le budget est prédéterminé.</w:t>
      </w:r>
    </w:p>
    <w:p>
      <w:pPr>
        <w:pStyle w:val="Heading2"/>
        <w:spacing w:line="319" w:lineRule="exact" w:before="124"/>
        <w:jc w:val="left"/>
      </w:pPr>
      <w:r>
        <w:rPr/>
        <w:t>Procédure</w:t>
      </w:r>
    </w:p>
    <w:p>
      <w:pPr>
        <w:pStyle w:val="BodyText"/>
        <w:spacing w:line="319" w:lineRule="exact"/>
        <w:ind w:firstLine="0"/>
        <w:jc w:val="left"/>
      </w:pPr>
      <w:r>
        <w:rPr/>
        <w:t>La procédure de sélection comprend les étapes suivantes :</w:t>
      </w:r>
    </w:p>
    <w:p>
      <w:pPr>
        <w:pStyle w:val="ListParagraph"/>
        <w:numPr>
          <w:ilvl w:val="0"/>
          <w:numId w:val="69"/>
        </w:numPr>
        <w:tabs>
          <w:tab w:pos="1039" w:val="left" w:leader="none"/>
        </w:tabs>
        <w:spacing w:line="240" w:lineRule="auto" w:before="7" w:after="0"/>
        <w:ind w:left="999" w:right="748" w:hanging="284"/>
        <w:jc w:val="both"/>
        <w:rPr>
          <w:sz w:val="28"/>
        </w:rPr>
      </w:pPr>
      <w:r>
        <w:rPr>
          <w:sz w:val="28"/>
        </w:rPr>
        <w:t>Rédaction des </w:t>
      </w:r>
      <w:r>
        <w:rPr>
          <w:spacing w:val="-3"/>
          <w:sz w:val="28"/>
        </w:rPr>
        <w:t>termes </w:t>
      </w:r>
      <w:r>
        <w:rPr>
          <w:sz w:val="28"/>
        </w:rPr>
        <w:t>de référence. </w:t>
      </w:r>
      <w:r>
        <w:rPr>
          <w:spacing w:val="-3"/>
          <w:sz w:val="28"/>
        </w:rPr>
        <w:t>Il </w:t>
      </w:r>
      <w:r>
        <w:rPr>
          <w:sz w:val="28"/>
        </w:rPr>
        <w:t>faut dans, ce sens, établir les Termes de référence avec un soin particulier, pour s’assurer que le budget est suffisant pour permettre </w:t>
      </w:r>
      <w:r>
        <w:rPr>
          <w:spacing w:val="-3"/>
          <w:sz w:val="28"/>
        </w:rPr>
        <w:t>aux </w:t>
      </w:r>
      <w:r>
        <w:rPr>
          <w:sz w:val="28"/>
        </w:rPr>
        <w:t>consultants d’exécuter les</w:t>
      </w:r>
      <w:r>
        <w:rPr>
          <w:spacing w:val="11"/>
          <w:sz w:val="28"/>
        </w:rPr>
        <w:t> </w:t>
      </w:r>
      <w:r>
        <w:rPr>
          <w:sz w:val="28"/>
        </w:rPr>
        <w:t>prestations.</w:t>
      </w:r>
    </w:p>
    <w:p>
      <w:pPr>
        <w:pStyle w:val="ListParagraph"/>
        <w:numPr>
          <w:ilvl w:val="0"/>
          <w:numId w:val="69"/>
        </w:numPr>
        <w:tabs>
          <w:tab w:pos="1089" w:val="left" w:leader="none"/>
        </w:tabs>
        <w:spacing w:line="240" w:lineRule="auto" w:before="0" w:after="0"/>
        <w:ind w:left="999" w:right="748" w:hanging="284"/>
        <w:jc w:val="both"/>
        <w:rPr>
          <w:sz w:val="28"/>
        </w:rPr>
      </w:pPr>
      <w:r>
        <w:rPr/>
        <w:tab/>
      </w:r>
      <w:r>
        <w:rPr>
          <w:sz w:val="28"/>
        </w:rPr>
        <w:t>Estimation des coûts, établissement du budget disponible et des critères de sélection</w:t>
      </w:r>
    </w:p>
    <w:p>
      <w:pPr>
        <w:pStyle w:val="ListParagraph"/>
        <w:numPr>
          <w:ilvl w:val="0"/>
          <w:numId w:val="69"/>
        </w:numPr>
        <w:tabs>
          <w:tab w:pos="1034" w:val="left" w:leader="none"/>
        </w:tabs>
        <w:spacing w:line="240" w:lineRule="auto" w:before="7" w:after="0"/>
        <w:ind w:left="999" w:right="749" w:hanging="284"/>
        <w:jc w:val="both"/>
        <w:rPr>
          <w:sz w:val="28"/>
        </w:rPr>
      </w:pPr>
      <w:r>
        <w:rPr>
          <w:sz w:val="28"/>
        </w:rPr>
        <w:t>Publicité </w:t>
      </w:r>
      <w:r>
        <w:rPr>
          <w:spacing w:val="-3"/>
          <w:sz w:val="28"/>
        </w:rPr>
        <w:t>en </w:t>
      </w:r>
      <w:r>
        <w:rPr>
          <w:sz w:val="28"/>
        </w:rPr>
        <w:t>invitant les consultants à soumettre, sous plis séparés, leurs meilleures propositions technique et financière dans les limites de ce</w:t>
      </w:r>
      <w:r>
        <w:rPr>
          <w:spacing w:val="-50"/>
          <w:sz w:val="28"/>
        </w:rPr>
        <w:t> </w:t>
      </w:r>
      <w:r>
        <w:rPr>
          <w:sz w:val="28"/>
        </w:rPr>
        <w:t>budget.</w:t>
      </w:r>
    </w:p>
    <w:p>
      <w:pPr>
        <w:pStyle w:val="ListParagraph"/>
        <w:numPr>
          <w:ilvl w:val="0"/>
          <w:numId w:val="69"/>
        </w:numPr>
        <w:tabs>
          <w:tab w:pos="1024" w:val="left" w:leader="none"/>
        </w:tabs>
        <w:spacing w:line="321" w:lineRule="exact" w:before="0" w:after="0"/>
        <w:ind w:left="1023" w:right="0" w:hanging="308"/>
        <w:jc w:val="both"/>
        <w:rPr>
          <w:sz w:val="28"/>
        </w:rPr>
      </w:pPr>
      <w:r>
        <w:rPr>
          <w:sz w:val="28"/>
        </w:rPr>
        <w:t>Ouverture des propositions</w:t>
      </w:r>
      <w:r>
        <w:rPr>
          <w:spacing w:val="-6"/>
          <w:sz w:val="28"/>
        </w:rPr>
        <w:t> </w:t>
      </w:r>
      <w:r>
        <w:rPr>
          <w:sz w:val="28"/>
        </w:rPr>
        <w:t>techniques</w:t>
      </w:r>
    </w:p>
    <w:p>
      <w:pPr>
        <w:pStyle w:val="ListParagraph"/>
        <w:numPr>
          <w:ilvl w:val="0"/>
          <w:numId w:val="69"/>
        </w:numPr>
        <w:tabs>
          <w:tab w:pos="993" w:val="left" w:leader="none"/>
        </w:tabs>
        <w:spacing w:line="240" w:lineRule="auto" w:before="0" w:after="0"/>
        <w:ind w:left="999" w:right="749" w:hanging="284"/>
        <w:jc w:val="both"/>
        <w:rPr>
          <w:sz w:val="28"/>
        </w:rPr>
      </w:pPr>
      <w:r>
        <w:rPr>
          <w:sz w:val="28"/>
        </w:rPr>
        <w:t>Les</w:t>
      </w:r>
      <w:r>
        <w:rPr>
          <w:spacing w:val="-9"/>
          <w:sz w:val="28"/>
        </w:rPr>
        <w:t> </w:t>
      </w:r>
      <w:r>
        <w:rPr>
          <w:sz w:val="28"/>
        </w:rPr>
        <w:t>propositions</w:t>
      </w:r>
      <w:r>
        <w:rPr>
          <w:spacing w:val="-8"/>
          <w:sz w:val="28"/>
        </w:rPr>
        <w:t> </w:t>
      </w:r>
      <w:r>
        <w:rPr>
          <w:sz w:val="28"/>
        </w:rPr>
        <w:t>techniques</w:t>
      </w:r>
      <w:r>
        <w:rPr>
          <w:spacing w:val="-8"/>
          <w:sz w:val="28"/>
        </w:rPr>
        <w:t> </w:t>
      </w:r>
      <w:r>
        <w:rPr>
          <w:sz w:val="28"/>
        </w:rPr>
        <w:t>sont</w:t>
      </w:r>
      <w:r>
        <w:rPr>
          <w:spacing w:val="-7"/>
          <w:sz w:val="28"/>
        </w:rPr>
        <w:t> </w:t>
      </w:r>
      <w:r>
        <w:rPr>
          <w:sz w:val="28"/>
        </w:rPr>
        <w:t>ouvertes</w:t>
      </w:r>
      <w:r>
        <w:rPr>
          <w:spacing w:val="-3"/>
          <w:sz w:val="28"/>
        </w:rPr>
        <w:t> en</w:t>
      </w:r>
      <w:r>
        <w:rPr>
          <w:spacing w:val="-7"/>
          <w:sz w:val="28"/>
        </w:rPr>
        <w:t> </w:t>
      </w:r>
      <w:r>
        <w:rPr>
          <w:sz w:val="28"/>
        </w:rPr>
        <w:t>premier</w:t>
      </w:r>
      <w:r>
        <w:rPr>
          <w:spacing w:val="-9"/>
          <w:sz w:val="28"/>
        </w:rPr>
        <w:t> </w:t>
      </w:r>
      <w:r>
        <w:rPr>
          <w:sz w:val="28"/>
        </w:rPr>
        <w:t>lieu</w:t>
      </w:r>
      <w:r>
        <w:rPr>
          <w:spacing w:val="-7"/>
          <w:sz w:val="28"/>
        </w:rPr>
        <w:t> </w:t>
      </w:r>
      <w:r>
        <w:rPr>
          <w:sz w:val="28"/>
        </w:rPr>
        <w:t>et</w:t>
      </w:r>
      <w:r>
        <w:rPr>
          <w:spacing w:val="-4"/>
          <w:sz w:val="28"/>
        </w:rPr>
        <w:t> </w:t>
      </w:r>
      <w:r>
        <w:rPr>
          <w:sz w:val="28"/>
        </w:rPr>
        <w:t>sont</w:t>
      </w:r>
      <w:r>
        <w:rPr>
          <w:spacing w:val="-8"/>
          <w:sz w:val="28"/>
        </w:rPr>
        <w:t> </w:t>
      </w:r>
      <w:r>
        <w:rPr>
          <w:sz w:val="28"/>
        </w:rPr>
        <w:t>évaluées.</w:t>
      </w:r>
      <w:r>
        <w:rPr>
          <w:spacing w:val="-7"/>
          <w:sz w:val="28"/>
        </w:rPr>
        <w:t> </w:t>
      </w:r>
      <w:r>
        <w:rPr>
          <w:sz w:val="28"/>
        </w:rPr>
        <w:t>Celles qui n’atteignent pas le score de qualification technique minimum sont</w:t>
      </w:r>
      <w:r>
        <w:rPr>
          <w:spacing w:val="-14"/>
          <w:sz w:val="28"/>
        </w:rPr>
        <w:t> </w:t>
      </w:r>
      <w:r>
        <w:rPr>
          <w:sz w:val="28"/>
        </w:rPr>
        <w:t>éliminées.</w:t>
      </w:r>
    </w:p>
    <w:p>
      <w:pPr>
        <w:pStyle w:val="ListParagraph"/>
        <w:numPr>
          <w:ilvl w:val="0"/>
          <w:numId w:val="69"/>
        </w:numPr>
        <w:tabs>
          <w:tab w:pos="1010" w:val="left" w:leader="none"/>
        </w:tabs>
        <w:spacing w:line="240" w:lineRule="auto" w:before="76" w:after="0"/>
        <w:ind w:left="999" w:right="748" w:hanging="284"/>
        <w:jc w:val="both"/>
        <w:rPr>
          <w:sz w:val="28"/>
        </w:rPr>
      </w:pPr>
      <w:r>
        <w:rPr>
          <w:spacing w:val="-3"/>
          <w:sz w:val="28"/>
        </w:rPr>
        <w:t>Les </w:t>
      </w:r>
      <w:r>
        <w:rPr>
          <w:sz w:val="28"/>
        </w:rPr>
        <w:t>propositions financières des consultants restants sont alors ouvertes par la commission</w:t>
      </w:r>
      <w:r>
        <w:rPr>
          <w:spacing w:val="-12"/>
          <w:sz w:val="28"/>
        </w:rPr>
        <w:t> </w:t>
      </w:r>
      <w:r>
        <w:rPr>
          <w:sz w:val="28"/>
        </w:rPr>
        <w:t>d’ouverture</w:t>
      </w:r>
      <w:r>
        <w:rPr>
          <w:spacing w:val="-12"/>
          <w:sz w:val="28"/>
        </w:rPr>
        <w:t> </w:t>
      </w:r>
      <w:r>
        <w:rPr>
          <w:sz w:val="28"/>
        </w:rPr>
        <w:t>des</w:t>
      </w:r>
      <w:r>
        <w:rPr>
          <w:spacing w:val="-11"/>
          <w:sz w:val="28"/>
        </w:rPr>
        <w:t> </w:t>
      </w:r>
      <w:r>
        <w:rPr>
          <w:sz w:val="28"/>
        </w:rPr>
        <w:t>plis.</w:t>
      </w:r>
      <w:r>
        <w:rPr>
          <w:spacing w:val="-11"/>
          <w:sz w:val="28"/>
        </w:rPr>
        <w:t> </w:t>
      </w:r>
      <w:r>
        <w:rPr>
          <w:sz w:val="28"/>
        </w:rPr>
        <w:t>La</w:t>
      </w:r>
      <w:r>
        <w:rPr>
          <w:spacing w:val="-10"/>
          <w:sz w:val="28"/>
        </w:rPr>
        <w:t> </w:t>
      </w:r>
      <w:r>
        <w:rPr>
          <w:sz w:val="28"/>
        </w:rPr>
        <w:t>commission</w:t>
      </w:r>
      <w:r>
        <w:rPr>
          <w:spacing w:val="-13"/>
          <w:sz w:val="28"/>
        </w:rPr>
        <w:t> </w:t>
      </w:r>
      <w:r>
        <w:rPr>
          <w:sz w:val="28"/>
        </w:rPr>
        <w:t>d’évaluation</w:t>
      </w:r>
      <w:r>
        <w:rPr>
          <w:spacing w:val="-9"/>
          <w:sz w:val="28"/>
        </w:rPr>
        <w:t> </w:t>
      </w:r>
      <w:r>
        <w:rPr>
          <w:sz w:val="28"/>
        </w:rPr>
        <w:t>après</w:t>
      </w:r>
      <w:r>
        <w:rPr>
          <w:spacing w:val="-11"/>
          <w:sz w:val="28"/>
        </w:rPr>
        <w:t> </w:t>
      </w:r>
      <w:r>
        <w:rPr>
          <w:sz w:val="28"/>
        </w:rPr>
        <w:t>avoir</w:t>
      </w:r>
      <w:r>
        <w:rPr>
          <w:spacing w:val="-11"/>
          <w:sz w:val="28"/>
        </w:rPr>
        <w:t> </w:t>
      </w:r>
      <w:r>
        <w:rPr>
          <w:sz w:val="28"/>
        </w:rPr>
        <w:t>corrigé les erreurs matérielles elle rejette Les propositions financières d’un montant supérieur au budget</w:t>
      </w:r>
      <w:r>
        <w:rPr>
          <w:spacing w:val="-1"/>
          <w:sz w:val="28"/>
        </w:rPr>
        <w:t> </w:t>
      </w:r>
      <w:r>
        <w:rPr>
          <w:sz w:val="28"/>
        </w:rPr>
        <w:t>indiqué.</w:t>
      </w:r>
    </w:p>
    <w:p>
      <w:pPr>
        <w:pStyle w:val="ListParagraph"/>
        <w:numPr>
          <w:ilvl w:val="0"/>
          <w:numId w:val="69"/>
        </w:numPr>
        <w:tabs>
          <w:tab w:pos="1024" w:val="left" w:leader="none"/>
        </w:tabs>
        <w:spacing w:line="240" w:lineRule="auto" w:before="1" w:after="0"/>
        <w:ind w:left="999" w:right="749" w:hanging="284"/>
        <w:jc w:val="both"/>
        <w:rPr>
          <w:sz w:val="28"/>
        </w:rPr>
      </w:pPr>
      <w:r>
        <w:rPr>
          <w:sz w:val="28"/>
        </w:rPr>
        <w:t>Celle correspondant à la proposition technique la mieux classée est retenue,  et le consultant qui l’a soumise est invité à négocier un</w:t>
      </w:r>
      <w:r>
        <w:rPr>
          <w:spacing w:val="6"/>
          <w:sz w:val="28"/>
        </w:rPr>
        <w:t> </w:t>
      </w:r>
      <w:r>
        <w:rPr>
          <w:sz w:val="28"/>
        </w:rPr>
        <w:t>achat.</w:t>
      </w:r>
    </w:p>
    <w:p>
      <w:pPr>
        <w:pStyle w:val="ListParagraph"/>
        <w:numPr>
          <w:ilvl w:val="0"/>
          <w:numId w:val="69"/>
        </w:numPr>
        <w:tabs>
          <w:tab w:pos="1031" w:val="left" w:leader="none"/>
        </w:tabs>
        <w:spacing w:line="240" w:lineRule="auto" w:before="2" w:after="0"/>
        <w:ind w:left="999" w:right="749" w:hanging="284"/>
        <w:jc w:val="both"/>
        <w:rPr>
          <w:sz w:val="28"/>
        </w:rPr>
      </w:pPr>
      <w:r>
        <w:rPr>
          <w:sz w:val="28"/>
        </w:rPr>
        <w:t>La publication de l’attribution de l’achat se fera telle que décrite dans le présent manuel.</w:t>
      </w:r>
    </w:p>
    <w:p>
      <w:pPr>
        <w:pStyle w:val="Heading2"/>
        <w:numPr>
          <w:ilvl w:val="0"/>
          <w:numId w:val="58"/>
        </w:numPr>
        <w:tabs>
          <w:tab w:pos="717" w:val="left" w:leader="none"/>
        </w:tabs>
        <w:spacing w:line="319" w:lineRule="exact" w:before="125" w:after="0"/>
        <w:ind w:left="716" w:right="0" w:hanging="284"/>
        <w:jc w:val="both"/>
      </w:pPr>
      <w:r>
        <w:rPr/>
        <w:t>Sélection fondée sur les qualifications des consultants Individuels</w:t>
      </w:r>
      <w:r>
        <w:rPr>
          <w:spacing w:val="-12"/>
        </w:rPr>
        <w:t> </w:t>
      </w:r>
      <w:r>
        <w:rPr/>
        <w:t>(QC)</w:t>
      </w:r>
    </w:p>
    <w:p>
      <w:pPr>
        <w:pStyle w:val="BodyText"/>
        <w:ind w:right="749"/>
      </w:pPr>
      <w:r>
        <w:rPr/>
        <w:t>On désigne par consultant individuel toute personne physique fournissant des services à caractère intellectuel.</w:t>
      </w:r>
    </w:p>
    <w:p>
      <w:pPr>
        <w:pStyle w:val="BodyText"/>
        <w:ind w:right="748"/>
      </w:pPr>
      <w:r>
        <w:rPr/>
        <w:t>Cette méthode peut être utilisée pour des achats d’un montant faible ou les situations d'urgence déclarées par le GCT, pour lesquels il n’est pas justifié de publier un avis à manifestation d’intérêt et de faire établir et d’évaluer des propositions concurrentes. Le GCT doit alors établir les Termes de référence et recueillir, des CV incluant les informations sur l'expérience et les qualifications d'au moins trois consultants qualifiés dotés d'une expérience pertinente.</w:t>
      </w:r>
    </w:p>
    <w:p>
      <w:pPr>
        <w:pStyle w:val="Heading3"/>
        <w:spacing w:before="124"/>
        <w:jc w:val="left"/>
        <w:rPr>
          <w:i/>
        </w:rPr>
      </w:pPr>
      <w:r>
        <w:rPr>
          <w:i/>
        </w:rPr>
        <w:t>Procédure</w:t>
      </w:r>
    </w:p>
    <w:p>
      <w:pPr>
        <w:pStyle w:val="ListParagraph"/>
        <w:numPr>
          <w:ilvl w:val="0"/>
          <w:numId w:val="70"/>
        </w:numPr>
        <w:tabs>
          <w:tab w:pos="794" w:val="left" w:leader="none"/>
        </w:tabs>
        <w:spacing w:line="318" w:lineRule="exact" w:before="0" w:after="0"/>
        <w:ind w:left="793" w:right="0" w:hanging="361"/>
        <w:jc w:val="left"/>
        <w:rPr>
          <w:sz w:val="28"/>
        </w:rPr>
      </w:pPr>
      <w:r>
        <w:rPr>
          <w:sz w:val="28"/>
        </w:rPr>
        <w:t>Choix des critères de comparaison des</w:t>
      </w:r>
      <w:r>
        <w:rPr>
          <w:spacing w:val="-25"/>
          <w:sz w:val="28"/>
        </w:rPr>
        <w:t> </w:t>
      </w:r>
      <w:r>
        <w:rPr>
          <w:sz w:val="28"/>
        </w:rPr>
        <w:t>CV</w:t>
      </w:r>
    </w:p>
    <w:p>
      <w:pPr>
        <w:spacing w:after="0" w:line="318" w:lineRule="exact"/>
        <w:jc w:val="left"/>
        <w:rPr>
          <w:sz w:val="28"/>
        </w:rPr>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48"/>
        <w:jc w:val="left"/>
      </w:pPr>
      <w:r>
        <w:rPr/>
        <w:t>La consultation des trois consultants doit contenir, au moins, les critères de comparaison ci-après :</w:t>
      </w:r>
    </w:p>
    <w:p>
      <w:pPr>
        <w:pStyle w:val="ListParagraph"/>
        <w:numPr>
          <w:ilvl w:val="1"/>
          <w:numId w:val="70"/>
        </w:numPr>
        <w:tabs>
          <w:tab w:pos="1005" w:val="left" w:leader="none"/>
        </w:tabs>
        <w:spacing w:line="240" w:lineRule="auto" w:before="4" w:after="0"/>
        <w:ind w:left="1004" w:right="0" w:hanging="289"/>
        <w:jc w:val="left"/>
        <w:rPr>
          <w:sz w:val="28"/>
        </w:rPr>
      </w:pPr>
      <w:r>
        <w:rPr>
          <w:spacing w:val="-3"/>
          <w:sz w:val="28"/>
        </w:rPr>
        <w:t>Qualifications générales (éducation,</w:t>
      </w:r>
      <w:r>
        <w:rPr>
          <w:spacing w:val="-27"/>
          <w:sz w:val="28"/>
        </w:rPr>
        <w:t> </w:t>
      </w:r>
      <w:r>
        <w:rPr>
          <w:spacing w:val="-3"/>
          <w:sz w:val="28"/>
        </w:rPr>
        <w:t>diplômes).</w:t>
      </w:r>
    </w:p>
    <w:p>
      <w:pPr>
        <w:pStyle w:val="ListParagraph"/>
        <w:numPr>
          <w:ilvl w:val="1"/>
          <w:numId w:val="70"/>
        </w:numPr>
        <w:tabs>
          <w:tab w:pos="1017" w:val="left" w:leader="none"/>
        </w:tabs>
        <w:spacing w:line="240" w:lineRule="auto" w:before="2" w:after="0"/>
        <w:ind w:left="1016" w:right="0" w:hanging="301"/>
        <w:jc w:val="left"/>
        <w:rPr>
          <w:sz w:val="28"/>
        </w:rPr>
      </w:pPr>
      <w:r>
        <w:rPr>
          <w:spacing w:val="-3"/>
          <w:sz w:val="28"/>
        </w:rPr>
        <w:t>Nombre</w:t>
      </w:r>
      <w:r>
        <w:rPr>
          <w:spacing w:val="-16"/>
          <w:sz w:val="28"/>
        </w:rPr>
        <w:t> </w:t>
      </w:r>
      <w:r>
        <w:rPr>
          <w:sz w:val="28"/>
        </w:rPr>
        <w:t>d’années</w:t>
      </w:r>
      <w:r>
        <w:rPr>
          <w:spacing w:val="-20"/>
          <w:sz w:val="28"/>
        </w:rPr>
        <w:t> </w:t>
      </w:r>
      <w:r>
        <w:rPr>
          <w:sz w:val="28"/>
        </w:rPr>
        <w:t>d’expérience</w:t>
      </w:r>
      <w:r>
        <w:rPr>
          <w:spacing w:val="-11"/>
          <w:sz w:val="28"/>
        </w:rPr>
        <w:t> </w:t>
      </w:r>
      <w:r>
        <w:rPr>
          <w:sz w:val="28"/>
        </w:rPr>
        <w:t>générales</w:t>
      </w:r>
      <w:r>
        <w:rPr>
          <w:spacing w:val="-15"/>
          <w:sz w:val="28"/>
        </w:rPr>
        <w:t> </w:t>
      </w:r>
      <w:r>
        <w:rPr>
          <w:sz w:val="28"/>
        </w:rPr>
        <w:t>pertinente</w:t>
      </w:r>
      <w:r>
        <w:rPr>
          <w:spacing w:val="-11"/>
          <w:sz w:val="28"/>
        </w:rPr>
        <w:t> </w:t>
      </w:r>
      <w:r>
        <w:rPr>
          <w:sz w:val="28"/>
        </w:rPr>
        <w:t>pour</w:t>
      </w:r>
      <w:r>
        <w:rPr>
          <w:spacing w:val="-19"/>
          <w:sz w:val="28"/>
        </w:rPr>
        <w:t> </w:t>
      </w:r>
      <w:r>
        <w:rPr>
          <w:sz w:val="28"/>
        </w:rPr>
        <w:t>la</w:t>
      </w:r>
      <w:r>
        <w:rPr>
          <w:spacing w:val="-14"/>
          <w:sz w:val="28"/>
        </w:rPr>
        <w:t> </w:t>
      </w:r>
      <w:r>
        <w:rPr>
          <w:sz w:val="28"/>
        </w:rPr>
        <w:t>mission.</w:t>
      </w:r>
    </w:p>
    <w:p>
      <w:pPr>
        <w:pStyle w:val="ListParagraph"/>
        <w:numPr>
          <w:ilvl w:val="1"/>
          <w:numId w:val="70"/>
        </w:numPr>
        <w:tabs>
          <w:tab w:pos="1003" w:val="left" w:leader="none"/>
        </w:tabs>
        <w:spacing w:line="242" w:lineRule="auto" w:before="4" w:after="0"/>
        <w:ind w:left="999" w:right="749" w:hanging="284"/>
        <w:jc w:val="left"/>
        <w:rPr>
          <w:sz w:val="28"/>
        </w:rPr>
      </w:pPr>
      <w:r>
        <w:rPr>
          <w:sz w:val="28"/>
        </w:rPr>
        <w:t>Nombre</w:t>
      </w:r>
      <w:r>
        <w:rPr>
          <w:spacing w:val="-12"/>
          <w:sz w:val="28"/>
        </w:rPr>
        <w:t> </w:t>
      </w:r>
      <w:r>
        <w:rPr>
          <w:sz w:val="28"/>
        </w:rPr>
        <w:t>de</w:t>
      </w:r>
      <w:r>
        <w:rPr>
          <w:spacing w:val="-4"/>
          <w:sz w:val="28"/>
        </w:rPr>
        <w:t> </w:t>
      </w:r>
      <w:r>
        <w:rPr>
          <w:sz w:val="28"/>
        </w:rPr>
        <w:t>missions</w:t>
      </w:r>
      <w:r>
        <w:rPr>
          <w:spacing w:val="-11"/>
          <w:sz w:val="28"/>
        </w:rPr>
        <w:t> </w:t>
      </w:r>
      <w:r>
        <w:rPr>
          <w:sz w:val="28"/>
        </w:rPr>
        <w:t>similaires</w:t>
      </w:r>
      <w:r>
        <w:rPr>
          <w:spacing w:val="-10"/>
          <w:sz w:val="28"/>
        </w:rPr>
        <w:t> </w:t>
      </w:r>
      <w:r>
        <w:rPr>
          <w:sz w:val="28"/>
        </w:rPr>
        <w:t>réalisées</w:t>
      </w:r>
      <w:r>
        <w:rPr>
          <w:spacing w:val="-8"/>
          <w:sz w:val="28"/>
        </w:rPr>
        <w:t> </w:t>
      </w:r>
      <w:r>
        <w:rPr>
          <w:sz w:val="28"/>
        </w:rPr>
        <w:t>(sur</w:t>
      </w:r>
      <w:r>
        <w:rPr>
          <w:spacing w:val="-12"/>
          <w:sz w:val="28"/>
        </w:rPr>
        <w:t> </w:t>
      </w:r>
      <w:r>
        <w:rPr>
          <w:sz w:val="28"/>
        </w:rPr>
        <w:t>un</w:t>
      </w:r>
      <w:r>
        <w:rPr>
          <w:spacing w:val="-10"/>
          <w:sz w:val="28"/>
        </w:rPr>
        <w:t> </w:t>
      </w:r>
      <w:r>
        <w:rPr>
          <w:sz w:val="28"/>
        </w:rPr>
        <w:t>nombre</w:t>
      </w:r>
      <w:r>
        <w:rPr>
          <w:spacing w:val="-6"/>
          <w:sz w:val="28"/>
        </w:rPr>
        <w:t> </w:t>
      </w:r>
      <w:r>
        <w:rPr>
          <w:sz w:val="28"/>
        </w:rPr>
        <w:t>d’années</w:t>
      </w:r>
      <w:r>
        <w:rPr>
          <w:spacing w:val="-11"/>
          <w:sz w:val="28"/>
        </w:rPr>
        <w:t> </w:t>
      </w:r>
      <w:r>
        <w:rPr>
          <w:sz w:val="28"/>
        </w:rPr>
        <w:t>à</w:t>
      </w:r>
      <w:r>
        <w:rPr>
          <w:spacing w:val="-7"/>
          <w:sz w:val="28"/>
        </w:rPr>
        <w:t> </w:t>
      </w:r>
      <w:r>
        <w:rPr>
          <w:sz w:val="28"/>
        </w:rPr>
        <w:t>déterminer</w:t>
      </w:r>
      <w:r>
        <w:rPr>
          <w:spacing w:val="-11"/>
          <w:sz w:val="28"/>
        </w:rPr>
        <w:t> </w:t>
      </w:r>
      <w:r>
        <w:rPr>
          <w:sz w:val="28"/>
        </w:rPr>
        <w:t>en fonction de la nature et de la complexité de la</w:t>
      </w:r>
      <w:r>
        <w:rPr>
          <w:spacing w:val="-43"/>
          <w:sz w:val="28"/>
        </w:rPr>
        <w:t> </w:t>
      </w:r>
      <w:r>
        <w:rPr>
          <w:sz w:val="28"/>
        </w:rPr>
        <w:t>mission)</w:t>
      </w:r>
    </w:p>
    <w:p>
      <w:pPr>
        <w:pStyle w:val="ListParagraph"/>
        <w:numPr>
          <w:ilvl w:val="1"/>
          <w:numId w:val="70"/>
        </w:numPr>
        <w:tabs>
          <w:tab w:pos="1017" w:val="left" w:leader="none"/>
        </w:tabs>
        <w:spacing w:line="317" w:lineRule="exact" w:before="0" w:after="0"/>
        <w:ind w:left="1016" w:right="0" w:hanging="301"/>
        <w:jc w:val="left"/>
        <w:rPr>
          <w:sz w:val="28"/>
        </w:rPr>
      </w:pPr>
      <w:r>
        <w:rPr>
          <w:sz w:val="28"/>
        </w:rPr>
        <w:t>Connaissance</w:t>
      </w:r>
      <w:r>
        <w:rPr>
          <w:spacing w:val="-13"/>
          <w:sz w:val="28"/>
        </w:rPr>
        <w:t> </w:t>
      </w:r>
      <w:r>
        <w:rPr>
          <w:sz w:val="28"/>
        </w:rPr>
        <w:t>du</w:t>
      </w:r>
      <w:r>
        <w:rPr>
          <w:spacing w:val="-15"/>
          <w:sz w:val="28"/>
        </w:rPr>
        <w:t> </w:t>
      </w:r>
      <w:r>
        <w:rPr>
          <w:sz w:val="28"/>
        </w:rPr>
        <w:t>contexte</w:t>
      </w:r>
      <w:r>
        <w:rPr>
          <w:spacing w:val="-10"/>
          <w:sz w:val="28"/>
        </w:rPr>
        <w:t> </w:t>
      </w:r>
      <w:r>
        <w:rPr>
          <w:spacing w:val="-3"/>
          <w:sz w:val="28"/>
        </w:rPr>
        <w:t>local</w:t>
      </w:r>
      <w:r>
        <w:rPr>
          <w:spacing w:val="-10"/>
          <w:sz w:val="28"/>
        </w:rPr>
        <w:t> </w:t>
      </w:r>
      <w:r>
        <w:rPr>
          <w:spacing w:val="-3"/>
          <w:sz w:val="28"/>
        </w:rPr>
        <w:t>ou</w:t>
      </w:r>
      <w:r>
        <w:rPr>
          <w:spacing w:val="-12"/>
          <w:sz w:val="28"/>
        </w:rPr>
        <w:t> </w:t>
      </w:r>
      <w:r>
        <w:rPr>
          <w:sz w:val="28"/>
        </w:rPr>
        <w:t>de</w:t>
      </w:r>
      <w:r>
        <w:rPr>
          <w:spacing w:val="-16"/>
          <w:sz w:val="28"/>
        </w:rPr>
        <w:t> </w:t>
      </w:r>
      <w:r>
        <w:rPr>
          <w:sz w:val="28"/>
        </w:rPr>
        <w:t>la</w:t>
      </w:r>
      <w:r>
        <w:rPr>
          <w:spacing w:val="-13"/>
          <w:sz w:val="28"/>
        </w:rPr>
        <w:t> </w:t>
      </w:r>
      <w:r>
        <w:rPr>
          <w:sz w:val="28"/>
        </w:rPr>
        <w:t>langue</w:t>
      </w:r>
      <w:r>
        <w:rPr>
          <w:spacing w:val="-11"/>
          <w:sz w:val="28"/>
        </w:rPr>
        <w:t> </w:t>
      </w:r>
      <w:r>
        <w:rPr>
          <w:spacing w:val="-3"/>
          <w:sz w:val="28"/>
        </w:rPr>
        <w:t>locale</w:t>
      </w:r>
      <w:r>
        <w:rPr>
          <w:spacing w:val="-10"/>
          <w:sz w:val="28"/>
        </w:rPr>
        <w:t> </w:t>
      </w:r>
      <w:r>
        <w:rPr>
          <w:sz w:val="28"/>
        </w:rPr>
        <w:t>(si</w:t>
      </w:r>
      <w:r>
        <w:rPr>
          <w:spacing w:val="-13"/>
          <w:sz w:val="28"/>
        </w:rPr>
        <w:t> </w:t>
      </w:r>
      <w:r>
        <w:rPr>
          <w:sz w:val="28"/>
        </w:rPr>
        <w:t>nécessaire).</w:t>
      </w:r>
    </w:p>
    <w:p>
      <w:pPr>
        <w:pStyle w:val="ListParagraph"/>
        <w:numPr>
          <w:ilvl w:val="0"/>
          <w:numId w:val="70"/>
        </w:numPr>
        <w:tabs>
          <w:tab w:pos="794" w:val="left" w:leader="none"/>
        </w:tabs>
        <w:spacing w:line="322" w:lineRule="exact" w:before="243" w:after="0"/>
        <w:ind w:left="793" w:right="0" w:hanging="361"/>
        <w:jc w:val="both"/>
        <w:rPr>
          <w:sz w:val="28"/>
        </w:rPr>
      </w:pPr>
      <w:r>
        <w:rPr>
          <w:sz w:val="28"/>
        </w:rPr>
        <w:t>Comparaison des CV et classement des</w:t>
      </w:r>
      <w:r>
        <w:rPr>
          <w:spacing w:val="-3"/>
          <w:sz w:val="28"/>
        </w:rPr>
        <w:t> </w:t>
      </w:r>
      <w:r>
        <w:rPr>
          <w:sz w:val="28"/>
        </w:rPr>
        <w:t>candidats</w:t>
      </w:r>
    </w:p>
    <w:p>
      <w:pPr>
        <w:pStyle w:val="BodyText"/>
        <w:ind w:right="747"/>
      </w:pPr>
      <w:r>
        <w:rPr/>
        <w:t>A la date fixée pour le dépôt des réponses, la commission d’évaluation des offres procède à leur comparaison. L’évaluation se fait </w:t>
      </w:r>
      <w:r>
        <w:rPr>
          <w:spacing w:val="-2"/>
        </w:rPr>
        <w:t>sur </w:t>
      </w:r>
      <w:r>
        <w:rPr/>
        <w:t>la base de leurs diplômes, de leur expérience antérieure et, s’il y a lieu, de leur connaissance du contexte local (langue, culture,</w:t>
      </w:r>
      <w:r>
        <w:rPr>
          <w:spacing w:val="-8"/>
        </w:rPr>
        <w:t> </w:t>
      </w:r>
      <w:r>
        <w:rPr/>
        <w:t>organisation</w:t>
      </w:r>
      <w:r>
        <w:rPr>
          <w:spacing w:val="-9"/>
        </w:rPr>
        <w:t> </w:t>
      </w:r>
      <w:r>
        <w:rPr/>
        <w:t>administrative</w:t>
      </w:r>
      <w:r>
        <w:rPr>
          <w:spacing w:val="-8"/>
        </w:rPr>
        <w:t> </w:t>
      </w:r>
      <w:r>
        <w:rPr/>
        <w:t>et</w:t>
      </w:r>
      <w:r>
        <w:rPr>
          <w:spacing w:val="-6"/>
        </w:rPr>
        <w:t> </w:t>
      </w:r>
      <w:r>
        <w:rPr/>
        <w:t>politique</w:t>
      </w:r>
      <w:r>
        <w:rPr>
          <w:spacing w:val="-5"/>
        </w:rPr>
        <w:t> </w:t>
      </w:r>
      <w:r>
        <w:rPr/>
        <w:t>etc.).</w:t>
      </w:r>
      <w:r>
        <w:rPr>
          <w:spacing w:val="-1"/>
        </w:rPr>
        <w:t> </w:t>
      </w:r>
      <w:r>
        <w:rPr/>
        <w:t>Il</w:t>
      </w:r>
      <w:r>
        <w:rPr>
          <w:spacing w:val="-4"/>
        </w:rPr>
        <w:t> </w:t>
      </w:r>
      <w:r>
        <w:rPr/>
        <w:t>est</w:t>
      </w:r>
      <w:r>
        <w:rPr>
          <w:spacing w:val="-7"/>
        </w:rPr>
        <w:t> </w:t>
      </w:r>
      <w:r>
        <w:rPr/>
        <w:t>dressé</w:t>
      </w:r>
      <w:r>
        <w:rPr>
          <w:spacing w:val="-3"/>
        </w:rPr>
        <w:t> </w:t>
      </w:r>
      <w:r>
        <w:rPr/>
        <w:t>un</w:t>
      </w:r>
      <w:r>
        <w:rPr>
          <w:spacing w:val="-9"/>
        </w:rPr>
        <w:t> </w:t>
      </w:r>
      <w:r>
        <w:rPr/>
        <w:t>procès-</w:t>
      </w:r>
      <w:r>
        <w:rPr>
          <w:spacing w:val="-6"/>
        </w:rPr>
        <w:t> </w:t>
      </w:r>
      <w:r>
        <w:rPr/>
        <w:t>verbal</w:t>
      </w:r>
      <w:r>
        <w:rPr>
          <w:spacing w:val="-9"/>
        </w:rPr>
        <w:t> </w:t>
      </w:r>
      <w:r>
        <w:rPr/>
        <w:t>de sélection.</w:t>
      </w:r>
    </w:p>
    <w:p>
      <w:pPr>
        <w:pStyle w:val="BodyText"/>
        <w:spacing w:line="322" w:lineRule="exact"/>
        <w:ind w:firstLine="0"/>
      </w:pPr>
      <w:r>
        <w:rPr/>
        <w:t>Le consultant le plus qualifié et expérimenté sera sélectionné.</w:t>
      </w:r>
    </w:p>
    <w:p>
      <w:pPr>
        <w:pStyle w:val="BodyText"/>
        <w:ind w:right="748" w:firstLine="0"/>
      </w:pPr>
      <w:r>
        <w:rPr/>
        <w:t>Seul le consultant retenu doit être invité à remettre une proposition technique et financière puis, à condition que cette proposition soit conforme et acceptable, être invité à négocier le contrat. Les aspects techniques et financiers de la proposition peuvent être négociés. Si les négociations avec le consultant sélectionné échouent, la commission d’évaluation peut passer au second consultant. Le procès-verbal des négociations sera préparé et signé par les deux parties.</w:t>
      </w:r>
    </w:p>
    <w:p>
      <w:pPr>
        <w:pStyle w:val="BodyText"/>
        <w:spacing w:before="1"/>
        <w:ind w:left="999" w:firstLine="0"/>
      </w:pPr>
      <w:r>
        <w:rPr/>
        <w:t>Les attributions de contrat seront publiées conformément au présent manuel.</w:t>
      </w:r>
    </w:p>
    <w:p>
      <w:pPr>
        <w:pStyle w:val="Heading2"/>
        <w:numPr>
          <w:ilvl w:val="0"/>
          <w:numId w:val="58"/>
        </w:numPr>
        <w:tabs>
          <w:tab w:pos="717" w:val="left" w:leader="none"/>
        </w:tabs>
        <w:spacing w:line="319" w:lineRule="exact" w:before="124" w:after="0"/>
        <w:ind w:left="716" w:right="0" w:hanging="284"/>
        <w:jc w:val="both"/>
      </w:pPr>
      <w:r>
        <w:rPr/>
        <w:t>Sélection par entente directe</w:t>
      </w:r>
      <w:r>
        <w:rPr>
          <w:spacing w:val="-1"/>
        </w:rPr>
        <w:t> </w:t>
      </w:r>
      <w:r>
        <w:rPr/>
        <w:t>(SED)</w:t>
      </w:r>
    </w:p>
    <w:p>
      <w:pPr>
        <w:pStyle w:val="BodyText"/>
        <w:ind w:right="748"/>
      </w:pPr>
      <w:r>
        <w:rPr/>
        <w:t>La sélection de consultants par entente directe n’est à utiliser qu’exceptionnellement. La justification de cette méthode </w:t>
      </w:r>
      <w:r>
        <w:rPr>
          <w:spacing w:val="-3"/>
        </w:rPr>
        <w:t>est </w:t>
      </w:r>
      <w:r>
        <w:rPr/>
        <w:t>à considérer dans le contexte</w:t>
      </w:r>
      <w:r>
        <w:rPr>
          <w:spacing w:val="-18"/>
        </w:rPr>
        <w:t> </w:t>
      </w:r>
      <w:r>
        <w:rPr/>
        <w:t>des</w:t>
      </w:r>
      <w:r>
        <w:rPr>
          <w:spacing w:val="-16"/>
        </w:rPr>
        <w:t> </w:t>
      </w:r>
      <w:r>
        <w:rPr/>
        <w:t>intérêts</w:t>
      </w:r>
      <w:r>
        <w:rPr>
          <w:spacing w:val="-17"/>
        </w:rPr>
        <w:t> </w:t>
      </w:r>
      <w:r>
        <w:rPr/>
        <w:t>globaux</w:t>
      </w:r>
      <w:r>
        <w:rPr>
          <w:spacing w:val="-7"/>
        </w:rPr>
        <w:t> </w:t>
      </w:r>
      <w:r>
        <w:rPr/>
        <w:t>du</w:t>
      </w:r>
      <w:r>
        <w:rPr>
          <w:spacing w:val="-19"/>
        </w:rPr>
        <w:t> </w:t>
      </w:r>
      <w:r>
        <w:rPr/>
        <w:t>GCT,</w:t>
      </w:r>
      <w:r>
        <w:rPr>
          <w:spacing w:val="-16"/>
        </w:rPr>
        <w:t> </w:t>
      </w:r>
      <w:r>
        <w:rPr/>
        <w:t>tout</w:t>
      </w:r>
      <w:r>
        <w:rPr>
          <w:spacing w:val="-16"/>
        </w:rPr>
        <w:t> </w:t>
      </w:r>
      <w:r>
        <w:rPr/>
        <w:t>en</w:t>
      </w:r>
      <w:r>
        <w:rPr>
          <w:spacing w:val="-17"/>
        </w:rPr>
        <w:t> </w:t>
      </w:r>
      <w:r>
        <w:rPr/>
        <w:t>veillant</w:t>
      </w:r>
      <w:r>
        <w:rPr>
          <w:spacing w:val="-16"/>
        </w:rPr>
        <w:t> </w:t>
      </w:r>
      <w:r>
        <w:rPr/>
        <w:t>au</w:t>
      </w:r>
      <w:r>
        <w:rPr>
          <w:spacing w:val="-17"/>
        </w:rPr>
        <w:t> </w:t>
      </w:r>
      <w:r>
        <w:rPr/>
        <w:t>respect</w:t>
      </w:r>
      <w:r>
        <w:rPr>
          <w:spacing w:val="-19"/>
        </w:rPr>
        <w:t> </w:t>
      </w:r>
      <w:r>
        <w:rPr/>
        <w:t>des</w:t>
      </w:r>
      <w:r>
        <w:rPr>
          <w:spacing w:val="-21"/>
        </w:rPr>
        <w:t> </w:t>
      </w:r>
      <w:r>
        <w:rPr/>
        <w:t>règles</w:t>
      </w:r>
      <w:r>
        <w:rPr>
          <w:spacing w:val="-21"/>
        </w:rPr>
        <w:t> </w:t>
      </w:r>
      <w:r>
        <w:rPr/>
        <w:t>d’économie et d’efficacité </w:t>
      </w:r>
      <w:r>
        <w:rPr>
          <w:spacing w:val="-3"/>
        </w:rPr>
        <w:t>et </w:t>
      </w:r>
      <w:r>
        <w:rPr/>
        <w:t>d’assurer dans toute la mesure du possible des chances égales aux consultants qui présentent les qualifications</w:t>
      </w:r>
      <w:r>
        <w:rPr>
          <w:spacing w:val="-6"/>
        </w:rPr>
        <w:t> </w:t>
      </w:r>
      <w:r>
        <w:rPr/>
        <w:t>requises.</w:t>
      </w:r>
    </w:p>
    <w:p>
      <w:pPr>
        <w:pStyle w:val="BodyText"/>
        <w:ind w:right="748" w:firstLine="0"/>
      </w:pPr>
      <w:r>
        <w:rPr/>
        <w:t>Cette méthode de sélection n’est acceptable dans les cas suivants que si elle présente un net avantage par rapport à l’appel à la concurrence :</w:t>
      </w:r>
    </w:p>
    <w:p>
      <w:pPr>
        <w:pStyle w:val="ListParagraph"/>
        <w:numPr>
          <w:ilvl w:val="0"/>
          <w:numId w:val="71"/>
        </w:numPr>
        <w:tabs>
          <w:tab w:pos="1000" w:val="left" w:leader="none"/>
        </w:tabs>
        <w:spacing w:line="240" w:lineRule="auto" w:before="0" w:after="0"/>
        <w:ind w:left="999" w:right="748" w:hanging="284"/>
        <w:jc w:val="left"/>
        <w:rPr>
          <w:sz w:val="28"/>
        </w:rPr>
      </w:pPr>
      <w:r>
        <w:rPr>
          <w:sz w:val="28"/>
        </w:rPr>
        <w:t>Pour les missions qui sont le prolongement naturel d’activités menées par le Consultant</w:t>
      </w:r>
      <w:r>
        <w:rPr>
          <w:spacing w:val="-1"/>
          <w:sz w:val="28"/>
        </w:rPr>
        <w:t> </w:t>
      </w:r>
      <w:r>
        <w:rPr>
          <w:sz w:val="28"/>
        </w:rPr>
        <w:t>concerné</w:t>
      </w:r>
    </w:p>
    <w:p>
      <w:pPr>
        <w:pStyle w:val="ListParagraph"/>
        <w:numPr>
          <w:ilvl w:val="0"/>
          <w:numId w:val="71"/>
        </w:numPr>
        <w:tabs>
          <w:tab w:pos="1000" w:val="left" w:leader="none"/>
        </w:tabs>
        <w:spacing w:line="240" w:lineRule="auto" w:before="0" w:after="0"/>
        <w:ind w:left="999" w:right="749" w:hanging="284"/>
        <w:jc w:val="left"/>
        <w:rPr>
          <w:sz w:val="28"/>
        </w:rPr>
      </w:pPr>
      <w:r>
        <w:rPr>
          <w:sz w:val="28"/>
        </w:rPr>
        <w:t>Dans les cas exceptionnels, tels que, une catastrophe naturelle ou de situations urgence déclarées par le GCT et reconnues par la direction générale</w:t>
      </w:r>
      <w:r>
        <w:rPr>
          <w:spacing w:val="-25"/>
          <w:sz w:val="28"/>
        </w:rPr>
        <w:t> </w:t>
      </w:r>
      <w:r>
        <w:rPr>
          <w:sz w:val="28"/>
        </w:rPr>
        <w:t>;</w:t>
      </w:r>
    </w:p>
    <w:p>
      <w:pPr>
        <w:pStyle w:val="ListParagraph"/>
        <w:numPr>
          <w:ilvl w:val="0"/>
          <w:numId w:val="71"/>
        </w:numPr>
        <w:tabs>
          <w:tab w:pos="1000" w:val="left" w:leader="none"/>
        </w:tabs>
        <w:spacing w:line="340" w:lineRule="exact" w:before="0" w:after="0"/>
        <w:ind w:left="999" w:right="0" w:hanging="284"/>
        <w:jc w:val="left"/>
        <w:rPr>
          <w:sz w:val="28"/>
        </w:rPr>
      </w:pPr>
      <w:r>
        <w:rPr>
          <w:sz w:val="28"/>
        </w:rPr>
        <w:t>Pour les prestations d’un montant faible ne dépassant pas 10000 dinars</w:t>
      </w:r>
      <w:r>
        <w:rPr>
          <w:spacing w:val="-15"/>
          <w:sz w:val="28"/>
        </w:rPr>
        <w:t> </w:t>
      </w:r>
      <w:r>
        <w:rPr>
          <w:sz w:val="28"/>
        </w:rPr>
        <w:t>;</w:t>
      </w:r>
    </w:p>
    <w:p>
      <w:pPr>
        <w:pStyle w:val="ListParagraph"/>
        <w:numPr>
          <w:ilvl w:val="0"/>
          <w:numId w:val="71"/>
        </w:numPr>
        <w:tabs>
          <w:tab w:pos="1000" w:val="left" w:leader="none"/>
        </w:tabs>
        <w:spacing w:line="240" w:lineRule="auto" w:before="0" w:after="0"/>
        <w:ind w:left="999" w:right="748" w:hanging="284"/>
        <w:jc w:val="left"/>
        <w:rPr>
          <w:sz w:val="28"/>
        </w:rPr>
      </w:pPr>
      <w:r>
        <w:rPr>
          <w:sz w:val="28"/>
        </w:rPr>
        <w:t>Lorsqu’un</w:t>
      </w:r>
      <w:r>
        <w:rPr>
          <w:spacing w:val="-9"/>
          <w:sz w:val="28"/>
        </w:rPr>
        <w:t> </w:t>
      </w:r>
      <w:r>
        <w:rPr>
          <w:sz w:val="28"/>
        </w:rPr>
        <w:t>bureau</w:t>
      </w:r>
      <w:r>
        <w:rPr>
          <w:spacing w:val="-6"/>
          <w:sz w:val="28"/>
        </w:rPr>
        <w:t> </w:t>
      </w:r>
      <w:r>
        <w:rPr>
          <w:spacing w:val="-3"/>
          <w:sz w:val="28"/>
        </w:rPr>
        <w:t>est</w:t>
      </w:r>
      <w:r>
        <w:rPr>
          <w:spacing w:val="-9"/>
          <w:sz w:val="28"/>
        </w:rPr>
        <w:t> </w:t>
      </w:r>
      <w:r>
        <w:rPr>
          <w:sz w:val="28"/>
        </w:rPr>
        <w:t>le</w:t>
      </w:r>
      <w:r>
        <w:rPr>
          <w:spacing w:val="-10"/>
          <w:sz w:val="28"/>
        </w:rPr>
        <w:t> </w:t>
      </w:r>
      <w:r>
        <w:rPr>
          <w:sz w:val="28"/>
        </w:rPr>
        <w:t>seul</w:t>
      </w:r>
      <w:r>
        <w:rPr>
          <w:spacing w:val="-7"/>
          <w:sz w:val="28"/>
        </w:rPr>
        <w:t> </w:t>
      </w:r>
      <w:r>
        <w:rPr>
          <w:sz w:val="28"/>
        </w:rPr>
        <w:t>à</w:t>
      </w:r>
      <w:r>
        <w:rPr>
          <w:spacing w:val="-10"/>
          <w:sz w:val="28"/>
        </w:rPr>
        <w:t> </w:t>
      </w:r>
      <w:r>
        <w:rPr>
          <w:sz w:val="28"/>
        </w:rPr>
        <w:t>posséder</w:t>
      </w:r>
      <w:r>
        <w:rPr>
          <w:spacing w:val="-10"/>
          <w:sz w:val="28"/>
        </w:rPr>
        <w:t> </w:t>
      </w:r>
      <w:r>
        <w:rPr>
          <w:sz w:val="28"/>
        </w:rPr>
        <w:t>les</w:t>
      </w:r>
      <w:r>
        <w:rPr>
          <w:spacing w:val="-9"/>
          <w:sz w:val="28"/>
        </w:rPr>
        <w:t> </w:t>
      </w:r>
      <w:r>
        <w:rPr>
          <w:sz w:val="28"/>
        </w:rPr>
        <w:t>qualifications</w:t>
      </w:r>
      <w:r>
        <w:rPr>
          <w:spacing w:val="-8"/>
          <w:sz w:val="28"/>
        </w:rPr>
        <w:t> </w:t>
      </w:r>
      <w:r>
        <w:rPr>
          <w:sz w:val="28"/>
        </w:rPr>
        <w:t>voulues</w:t>
      </w:r>
      <w:r>
        <w:rPr>
          <w:spacing w:val="-9"/>
          <w:sz w:val="28"/>
        </w:rPr>
        <w:t> </w:t>
      </w:r>
      <w:r>
        <w:rPr>
          <w:sz w:val="28"/>
        </w:rPr>
        <w:t>ou</w:t>
      </w:r>
      <w:r>
        <w:rPr>
          <w:spacing w:val="-9"/>
          <w:sz w:val="28"/>
        </w:rPr>
        <w:t> </w:t>
      </w:r>
      <w:r>
        <w:rPr>
          <w:sz w:val="28"/>
        </w:rPr>
        <w:t>présente</w:t>
      </w:r>
      <w:r>
        <w:rPr>
          <w:spacing w:val="-10"/>
          <w:sz w:val="28"/>
        </w:rPr>
        <w:t> </w:t>
      </w:r>
      <w:r>
        <w:rPr>
          <w:sz w:val="28"/>
        </w:rPr>
        <w:t>une expérience d’un intérêt exceptionnel pour la mission considérée.</w:t>
      </w:r>
    </w:p>
    <w:p>
      <w:pPr>
        <w:pStyle w:val="Heading3"/>
        <w:spacing w:before="125"/>
        <w:jc w:val="left"/>
        <w:rPr>
          <w:i/>
        </w:rPr>
      </w:pPr>
      <w:r>
        <w:rPr>
          <w:i/>
        </w:rPr>
        <w:t>Procédure</w:t>
      </w:r>
    </w:p>
    <w:p>
      <w:pPr>
        <w:pStyle w:val="BodyText"/>
        <w:jc w:val="left"/>
      </w:pPr>
      <w:r>
        <w:rPr/>
        <w:t>La procédure de sélection par entente directe (SED) suit la même procédure de négociation directe paragraphe III.1.5.</w:t>
      </w:r>
    </w:p>
    <w:p>
      <w:pPr>
        <w:spacing w:after="0"/>
        <w:jc w:val="left"/>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67"/>
        </w:numPr>
        <w:tabs>
          <w:tab w:pos="1197" w:val="left" w:leader="none"/>
        </w:tabs>
        <w:spacing w:line="240" w:lineRule="auto" w:before="89" w:after="0"/>
        <w:ind w:left="1196" w:right="0" w:hanging="764"/>
        <w:jc w:val="both"/>
      </w:pPr>
      <w:bookmarkStart w:name="_TOC_250068" w:id="75"/>
      <w:r>
        <w:rPr/>
        <w:t>Modes de rémunération des</w:t>
      </w:r>
      <w:r>
        <w:rPr>
          <w:spacing w:val="-8"/>
        </w:rPr>
        <w:t> </w:t>
      </w:r>
      <w:bookmarkEnd w:id="75"/>
      <w:r>
        <w:rPr/>
        <w:t>consultants</w:t>
      </w:r>
    </w:p>
    <w:p>
      <w:pPr>
        <w:pStyle w:val="BodyText"/>
        <w:spacing w:line="242" w:lineRule="auto" w:before="43"/>
        <w:ind w:right="749"/>
      </w:pPr>
      <w:r>
        <w:rPr/>
        <w:t>Les coûts d'un achat de prestations intellectuelles sont répartis en trois grandes catégories :</w:t>
      </w:r>
    </w:p>
    <w:p>
      <w:pPr>
        <w:pStyle w:val="ListParagraph"/>
        <w:numPr>
          <w:ilvl w:val="0"/>
          <w:numId w:val="72"/>
        </w:numPr>
        <w:tabs>
          <w:tab w:pos="722" w:val="left" w:leader="none"/>
        </w:tabs>
        <w:spacing w:line="317" w:lineRule="exact" w:before="0" w:after="0"/>
        <w:ind w:left="721" w:right="0" w:hanging="289"/>
        <w:jc w:val="both"/>
        <w:rPr>
          <w:sz w:val="28"/>
        </w:rPr>
      </w:pPr>
      <w:r>
        <w:rPr>
          <w:sz w:val="28"/>
        </w:rPr>
        <w:t>Honoraires ou rémunération proprement dits</w:t>
      </w:r>
      <w:r>
        <w:rPr>
          <w:spacing w:val="-6"/>
          <w:sz w:val="28"/>
        </w:rPr>
        <w:t> </w:t>
      </w:r>
      <w:r>
        <w:rPr>
          <w:sz w:val="28"/>
        </w:rPr>
        <w:t>;</w:t>
      </w:r>
    </w:p>
    <w:p>
      <w:pPr>
        <w:pStyle w:val="ListParagraph"/>
        <w:numPr>
          <w:ilvl w:val="0"/>
          <w:numId w:val="72"/>
        </w:numPr>
        <w:tabs>
          <w:tab w:pos="717" w:val="left" w:leader="none"/>
        </w:tabs>
        <w:spacing w:line="242" w:lineRule="auto" w:before="2" w:after="0"/>
        <w:ind w:left="716" w:right="750" w:hanging="284"/>
        <w:jc w:val="both"/>
        <w:rPr>
          <w:sz w:val="28"/>
        </w:rPr>
      </w:pPr>
      <w:r>
        <w:rPr>
          <w:sz w:val="28"/>
        </w:rPr>
        <w:t>Perdiem : indemnité journalière de subsistance allouée au personnel du Consultant pour chaque jour de déplacement aux fins d'exécution </w:t>
      </w:r>
      <w:r>
        <w:rPr>
          <w:spacing w:val="-3"/>
          <w:sz w:val="28"/>
        </w:rPr>
        <w:t>des </w:t>
      </w:r>
      <w:r>
        <w:rPr>
          <w:sz w:val="28"/>
        </w:rPr>
        <w:t>Prestations</w:t>
      </w:r>
      <w:r>
        <w:rPr>
          <w:spacing w:val="-45"/>
          <w:sz w:val="28"/>
        </w:rPr>
        <w:t> </w:t>
      </w:r>
      <w:r>
        <w:rPr>
          <w:sz w:val="28"/>
        </w:rPr>
        <w:t>;</w:t>
      </w:r>
    </w:p>
    <w:p>
      <w:pPr>
        <w:pStyle w:val="ListParagraph"/>
        <w:numPr>
          <w:ilvl w:val="1"/>
          <w:numId w:val="72"/>
        </w:numPr>
        <w:tabs>
          <w:tab w:pos="1000" w:val="left" w:leader="none"/>
        </w:tabs>
        <w:spacing w:line="240" w:lineRule="auto" w:before="0" w:after="0"/>
        <w:ind w:left="999" w:right="751" w:hanging="284"/>
        <w:jc w:val="both"/>
        <w:rPr>
          <w:sz w:val="28"/>
        </w:rPr>
      </w:pPr>
      <w:r>
        <w:rPr>
          <w:sz w:val="28"/>
        </w:rPr>
        <w:t>Un</w:t>
      </w:r>
      <w:r>
        <w:rPr>
          <w:spacing w:val="-10"/>
          <w:sz w:val="28"/>
        </w:rPr>
        <w:t> </w:t>
      </w:r>
      <w:r>
        <w:rPr>
          <w:sz w:val="28"/>
        </w:rPr>
        <w:t>budget</w:t>
      </w:r>
      <w:r>
        <w:rPr>
          <w:spacing w:val="-8"/>
          <w:sz w:val="28"/>
        </w:rPr>
        <w:t> </w:t>
      </w:r>
      <w:r>
        <w:rPr>
          <w:sz w:val="28"/>
        </w:rPr>
        <w:t>forfaitaire</w:t>
      </w:r>
      <w:r>
        <w:rPr>
          <w:spacing w:val="-7"/>
          <w:sz w:val="28"/>
        </w:rPr>
        <w:t> </w:t>
      </w:r>
      <w:r>
        <w:rPr>
          <w:sz w:val="28"/>
        </w:rPr>
        <w:t>pour</w:t>
      </w:r>
      <w:r>
        <w:rPr>
          <w:spacing w:val="-11"/>
          <w:sz w:val="28"/>
        </w:rPr>
        <w:t> </w:t>
      </w:r>
      <w:r>
        <w:rPr>
          <w:sz w:val="28"/>
        </w:rPr>
        <w:t>le</w:t>
      </w:r>
      <w:r>
        <w:rPr>
          <w:spacing w:val="-11"/>
          <w:sz w:val="28"/>
        </w:rPr>
        <w:t> </w:t>
      </w:r>
      <w:r>
        <w:rPr>
          <w:sz w:val="28"/>
        </w:rPr>
        <w:t>coût</w:t>
      </w:r>
      <w:r>
        <w:rPr>
          <w:spacing w:val="-9"/>
          <w:sz w:val="28"/>
        </w:rPr>
        <w:t> </w:t>
      </w:r>
      <w:r>
        <w:rPr>
          <w:sz w:val="28"/>
        </w:rPr>
        <w:t>des</w:t>
      </w:r>
      <w:r>
        <w:rPr>
          <w:spacing w:val="-10"/>
          <w:sz w:val="28"/>
        </w:rPr>
        <w:t> </w:t>
      </w:r>
      <w:r>
        <w:rPr>
          <w:sz w:val="28"/>
        </w:rPr>
        <w:t>communications</w:t>
      </w:r>
      <w:r>
        <w:rPr>
          <w:spacing w:val="-9"/>
          <w:sz w:val="28"/>
        </w:rPr>
        <w:t> </w:t>
      </w:r>
      <w:r>
        <w:rPr>
          <w:sz w:val="28"/>
        </w:rPr>
        <w:t>locales</w:t>
      </w:r>
      <w:r>
        <w:rPr>
          <w:spacing w:val="-10"/>
          <w:sz w:val="28"/>
        </w:rPr>
        <w:t> </w:t>
      </w:r>
      <w:r>
        <w:rPr>
          <w:sz w:val="28"/>
        </w:rPr>
        <w:t>ou</w:t>
      </w:r>
      <w:r>
        <w:rPr>
          <w:spacing w:val="2"/>
          <w:sz w:val="28"/>
        </w:rPr>
        <w:t> </w:t>
      </w:r>
      <w:r>
        <w:rPr>
          <w:sz w:val="28"/>
        </w:rPr>
        <w:t>internationales, le</w:t>
      </w:r>
      <w:r>
        <w:rPr>
          <w:spacing w:val="-11"/>
          <w:sz w:val="28"/>
        </w:rPr>
        <w:t> </w:t>
      </w:r>
      <w:r>
        <w:rPr>
          <w:sz w:val="28"/>
        </w:rPr>
        <w:t>cas</w:t>
      </w:r>
      <w:r>
        <w:rPr>
          <w:spacing w:val="-6"/>
          <w:sz w:val="28"/>
        </w:rPr>
        <w:t> </w:t>
      </w:r>
      <w:r>
        <w:rPr>
          <w:sz w:val="28"/>
        </w:rPr>
        <w:t>échéant</w:t>
      </w:r>
      <w:r>
        <w:rPr>
          <w:spacing w:val="-8"/>
          <w:sz w:val="28"/>
        </w:rPr>
        <w:t> </w:t>
      </w:r>
      <w:r>
        <w:rPr>
          <w:sz w:val="28"/>
        </w:rPr>
        <w:t>ainsi</w:t>
      </w:r>
      <w:r>
        <w:rPr>
          <w:spacing w:val="-9"/>
          <w:sz w:val="28"/>
        </w:rPr>
        <w:t> </w:t>
      </w:r>
      <w:r>
        <w:rPr>
          <w:sz w:val="28"/>
        </w:rPr>
        <w:t>que</w:t>
      </w:r>
      <w:r>
        <w:rPr>
          <w:spacing w:val="-11"/>
          <w:sz w:val="28"/>
        </w:rPr>
        <w:t> </w:t>
      </w:r>
      <w:r>
        <w:rPr>
          <w:sz w:val="28"/>
        </w:rPr>
        <w:t>l’utilisation</w:t>
      </w:r>
      <w:r>
        <w:rPr>
          <w:spacing w:val="-9"/>
          <w:sz w:val="28"/>
        </w:rPr>
        <w:t> </w:t>
      </w:r>
      <w:r>
        <w:rPr>
          <w:sz w:val="28"/>
        </w:rPr>
        <w:t>de</w:t>
      </w:r>
      <w:r>
        <w:rPr>
          <w:spacing w:val="-3"/>
          <w:sz w:val="28"/>
        </w:rPr>
        <w:t> </w:t>
      </w:r>
      <w:r>
        <w:rPr>
          <w:sz w:val="28"/>
        </w:rPr>
        <w:t>téléphone</w:t>
      </w:r>
      <w:r>
        <w:rPr>
          <w:spacing w:val="-10"/>
          <w:sz w:val="28"/>
        </w:rPr>
        <w:t> </w:t>
      </w:r>
      <w:r>
        <w:rPr>
          <w:sz w:val="28"/>
        </w:rPr>
        <w:t>et</w:t>
      </w:r>
      <w:r>
        <w:rPr>
          <w:spacing w:val="-7"/>
          <w:sz w:val="28"/>
        </w:rPr>
        <w:t> </w:t>
      </w:r>
      <w:r>
        <w:rPr>
          <w:sz w:val="28"/>
        </w:rPr>
        <w:t>télécopie</w:t>
      </w:r>
      <w:r>
        <w:rPr>
          <w:spacing w:val="-10"/>
          <w:sz w:val="28"/>
        </w:rPr>
        <w:t> </w:t>
      </w:r>
      <w:r>
        <w:rPr>
          <w:sz w:val="28"/>
        </w:rPr>
        <w:t>nécessaires</w:t>
      </w:r>
      <w:r>
        <w:rPr>
          <w:spacing w:val="-10"/>
          <w:sz w:val="28"/>
        </w:rPr>
        <w:t> </w:t>
      </w:r>
      <w:r>
        <w:rPr>
          <w:sz w:val="28"/>
        </w:rPr>
        <w:t>aux</w:t>
      </w:r>
      <w:r>
        <w:rPr>
          <w:spacing w:val="-7"/>
          <w:sz w:val="28"/>
        </w:rPr>
        <w:t> </w:t>
      </w:r>
      <w:r>
        <w:rPr>
          <w:sz w:val="28"/>
        </w:rPr>
        <w:t>fins de la mission</w:t>
      </w:r>
      <w:r>
        <w:rPr>
          <w:spacing w:val="3"/>
          <w:sz w:val="28"/>
        </w:rPr>
        <w:t> </w:t>
      </w:r>
      <w:r>
        <w:rPr>
          <w:sz w:val="28"/>
        </w:rPr>
        <w:t>;</w:t>
      </w:r>
    </w:p>
    <w:p>
      <w:pPr>
        <w:pStyle w:val="ListParagraph"/>
        <w:numPr>
          <w:ilvl w:val="1"/>
          <w:numId w:val="72"/>
        </w:numPr>
        <w:tabs>
          <w:tab w:pos="1000" w:val="left" w:leader="none"/>
        </w:tabs>
        <w:spacing w:line="240" w:lineRule="auto" w:before="0" w:after="0"/>
        <w:ind w:left="999" w:right="761" w:hanging="284"/>
        <w:jc w:val="both"/>
        <w:rPr>
          <w:sz w:val="28"/>
        </w:rPr>
      </w:pPr>
      <w:r>
        <w:rPr>
          <w:sz w:val="28"/>
        </w:rPr>
        <w:t>Un budget forfaitaire pour le coût d’impression et d’envoi des rapports, plans, documents écrits ou graphiques constituant les résultats de la mission ; budget forfaitaire pour le coût des espaces de bureaux nécessaires à l'exécution de la mission sur le lieu de réalisation des Prestations</w:t>
      </w:r>
      <w:r>
        <w:rPr>
          <w:spacing w:val="13"/>
          <w:sz w:val="28"/>
        </w:rPr>
        <w:t> </w:t>
      </w:r>
      <w:r>
        <w:rPr>
          <w:sz w:val="28"/>
        </w:rPr>
        <w:t>;</w:t>
      </w:r>
    </w:p>
    <w:p>
      <w:pPr>
        <w:pStyle w:val="ListParagraph"/>
        <w:numPr>
          <w:ilvl w:val="0"/>
          <w:numId w:val="72"/>
        </w:numPr>
        <w:tabs>
          <w:tab w:pos="717" w:val="left" w:leader="none"/>
        </w:tabs>
        <w:spacing w:line="240" w:lineRule="auto" w:before="0" w:after="0"/>
        <w:ind w:left="716" w:right="748" w:hanging="284"/>
        <w:jc w:val="both"/>
        <w:rPr>
          <w:sz w:val="28"/>
        </w:rPr>
      </w:pPr>
      <w:r>
        <w:rPr>
          <w:sz w:val="28"/>
        </w:rPr>
        <w:t>Frais remboursables : dépenses </w:t>
      </w:r>
      <w:r>
        <w:rPr>
          <w:spacing w:val="8"/>
          <w:sz w:val="28"/>
        </w:rPr>
        <w:t>engagées pour </w:t>
      </w:r>
      <w:r>
        <w:rPr>
          <w:spacing w:val="6"/>
          <w:sz w:val="28"/>
        </w:rPr>
        <w:t>réaliser les </w:t>
      </w:r>
      <w:r>
        <w:rPr>
          <w:spacing w:val="5"/>
          <w:sz w:val="28"/>
        </w:rPr>
        <w:t>prestations. </w:t>
      </w:r>
      <w:r>
        <w:rPr>
          <w:spacing w:val="-3"/>
          <w:sz w:val="28"/>
        </w:rPr>
        <w:t>Il </w:t>
      </w:r>
      <w:r>
        <w:rPr>
          <w:sz w:val="28"/>
        </w:rPr>
        <w:t>peut </w:t>
      </w:r>
      <w:r>
        <w:rPr>
          <w:spacing w:val="-5"/>
          <w:sz w:val="28"/>
        </w:rPr>
        <w:t>s’agir du </w:t>
      </w:r>
      <w:r>
        <w:rPr>
          <w:sz w:val="28"/>
        </w:rPr>
        <w:t>coût des voyages nécessaires, y inclus le transport du personnel par le moyen le plus approprié et par la route la plus directe (le mode de transport et le tarif/classe doivent être</w:t>
      </w:r>
      <w:r>
        <w:rPr>
          <w:spacing w:val="10"/>
          <w:sz w:val="28"/>
        </w:rPr>
        <w:t> </w:t>
      </w:r>
      <w:r>
        <w:rPr>
          <w:sz w:val="28"/>
        </w:rPr>
        <w:t>spécifiés).</w:t>
      </w:r>
    </w:p>
    <w:p>
      <w:pPr>
        <w:pStyle w:val="BodyText"/>
        <w:spacing w:line="321" w:lineRule="exact"/>
        <w:ind w:firstLine="0"/>
      </w:pPr>
      <w:r>
        <w:rPr/>
        <w:t>Les principaux modes de rémunérations suivants peuvent être prévus :</w:t>
      </w:r>
    </w:p>
    <w:p>
      <w:pPr>
        <w:pStyle w:val="Heading3"/>
        <w:spacing w:line="319" w:lineRule="exact" w:before="121"/>
        <w:rPr>
          <w:i/>
        </w:rPr>
      </w:pPr>
      <w:r>
        <w:rPr>
          <w:i/>
        </w:rPr>
        <w:t>Achats à rémunération forfaitaire</w:t>
      </w:r>
    </w:p>
    <w:p>
      <w:pPr>
        <w:pStyle w:val="BodyText"/>
        <w:ind w:right="747"/>
      </w:pPr>
      <w:r>
        <w:rPr/>
        <w:t>Le Consultant doit indiquer un montant global correspondant à sa rémunération, quel que soit le temps passé, ainsi que le montant des frais remboursables et des frais divers énumérés par les cahiers des charges.</w:t>
      </w:r>
    </w:p>
    <w:p>
      <w:pPr>
        <w:pStyle w:val="BodyText"/>
        <w:ind w:right="747" w:firstLine="993"/>
      </w:pPr>
      <w:r>
        <w:rPr/>
        <w:t>Ce mode de rémunération convient généralement aux prestations qui peuvent donner lieu à la remise de supports ou documents matérialisant l'achèvement des prestations intellectuelles tels que rapports, études, plans, documents d’appel d’offres, programmes logiciels, dûment approuvés par le Directeur Général.</w:t>
      </w:r>
    </w:p>
    <w:p>
      <w:pPr>
        <w:pStyle w:val="BodyText"/>
        <w:ind w:right="749" w:firstLine="993"/>
      </w:pPr>
      <w:r>
        <w:rPr/>
        <w:t>Les paiements sont liés aux étapes de réalisation des prestations à la fin desquelles sont remis des supports écrits ou électroniques qui contiennent le résultat des prestations. La rémunération doit comporter tout ce qui concerne le complet achèvement des Prestations.</w:t>
      </w:r>
    </w:p>
    <w:p>
      <w:pPr>
        <w:pStyle w:val="BodyText"/>
        <w:ind w:right="748" w:firstLine="993"/>
      </w:pPr>
      <w:r>
        <w:rPr/>
        <w:t>Une rémunération au temps passé peut également être prévue pour la réalisation de prestations supplémentaires.</w:t>
      </w:r>
    </w:p>
    <w:p>
      <w:pPr>
        <w:pStyle w:val="Heading3"/>
        <w:spacing w:before="125"/>
        <w:rPr>
          <w:i/>
        </w:rPr>
      </w:pPr>
      <w:r>
        <w:rPr>
          <w:i/>
        </w:rPr>
        <w:t>Achats rémunérés au temps passé</w:t>
      </w:r>
    </w:p>
    <w:p>
      <w:pPr>
        <w:pStyle w:val="BodyText"/>
        <w:spacing w:line="318" w:lineRule="exact"/>
        <w:ind w:left="999" w:firstLine="0"/>
      </w:pPr>
      <w:r>
        <w:rPr/>
        <w:t>Le Consultant indique :</w:t>
      </w:r>
    </w:p>
    <w:p>
      <w:pPr>
        <w:pStyle w:val="BodyText"/>
        <w:ind w:right="748" w:firstLine="0"/>
      </w:pPr>
      <w:r>
        <w:rPr/>
        <w:t>Les taux unitaires (taux horaires, journaliers, hebdomadaires ou mensuels, selon la durée et le type des Prestations) applicables à chaque catégorie de Personnel désigné dans la Proposition technique. Ces taux comprennent :</w:t>
      </w:r>
    </w:p>
    <w:p>
      <w:pPr>
        <w:pStyle w:val="ListParagraph"/>
        <w:numPr>
          <w:ilvl w:val="0"/>
          <w:numId w:val="73"/>
        </w:numPr>
        <w:tabs>
          <w:tab w:pos="1153" w:val="left" w:leader="none"/>
          <w:tab w:pos="1154" w:val="left" w:leader="none"/>
        </w:tabs>
        <w:spacing w:line="334" w:lineRule="exact" w:before="0" w:after="0"/>
        <w:ind w:left="1153" w:right="0" w:hanging="361"/>
        <w:jc w:val="left"/>
        <w:rPr>
          <w:sz w:val="28"/>
        </w:rPr>
      </w:pPr>
      <w:r>
        <w:rPr>
          <w:spacing w:val="-6"/>
          <w:sz w:val="28"/>
        </w:rPr>
        <w:t>Les </w:t>
      </w:r>
      <w:r>
        <w:rPr>
          <w:spacing w:val="-7"/>
          <w:sz w:val="28"/>
        </w:rPr>
        <w:t>salaires</w:t>
      </w:r>
      <w:r>
        <w:rPr>
          <w:spacing w:val="-22"/>
          <w:sz w:val="28"/>
        </w:rPr>
        <w:t> </w:t>
      </w:r>
      <w:r>
        <w:rPr>
          <w:sz w:val="28"/>
        </w:rPr>
        <w:t>;</w:t>
      </w:r>
    </w:p>
    <w:p>
      <w:pPr>
        <w:pStyle w:val="ListParagraph"/>
        <w:numPr>
          <w:ilvl w:val="0"/>
          <w:numId w:val="73"/>
        </w:numPr>
        <w:tabs>
          <w:tab w:pos="1153" w:val="left" w:leader="none"/>
          <w:tab w:pos="1154" w:val="left" w:leader="none"/>
        </w:tabs>
        <w:spacing w:line="328" w:lineRule="exact" w:before="0" w:after="0"/>
        <w:ind w:left="1153" w:right="0" w:hanging="361"/>
        <w:jc w:val="left"/>
        <w:rPr>
          <w:sz w:val="28"/>
        </w:rPr>
      </w:pPr>
      <w:r>
        <w:rPr>
          <w:spacing w:val="-6"/>
          <w:sz w:val="28"/>
        </w:rPr>
        <w:t>Les </w:t>
      </w:r>
      <w:r>
        <w:rPr>
          <w:spacing w:val="-7"/>
          <w:sz w:val="28"/>
        </w:rPr>
        <w:t>charges sociales</w:t>
      </w:r>
      <w:r>
        <w:rPr>
          <w:spacing w:val="-29"/>
          <w:sz w:val="28"/>
        </w:rPr>
        <w:t> </w:t>
      </w:r>
      <w:r>
        <w:rPr>
          <w:sz w:val="28"/>
        </w:rPr>
        <w:t>;</w:t>
      </w:r>
    </w:p>
    <w:p>
      <w:pPr>
        <w:pStyle w:val="ListParagraph"/>
        <w:numPr>
          <w:ilvl w:val="0"/>
          <w:numId w:val="73"/>
        </w:numPr>
        <w:tabs>
          <w:tab w:pos="1153" w:val="left" w:leader="none"/>
          <w:tab w:pos="1154" w:val="left" w:leader="none"/>
        </w:tabs>
        <w:spacing w:line="334" w:lineRule="exact" w:before="0" w:after="0"/>
        <w:ind w:left="1153" w:right="0" w:hanging="361"/>
        <w:jc w:val="left"/>
        <w:rPr>
          <w:sz w:val="28"/>
        </w:rPr>
      </w:pPr>
      <w:r>
        <w:rPr>
          <w:spacing w:val="-6"/>
          <w:sz w:val="28"/>
        </w:rPr>
        <w:t>Les frais</w:t>
      </w:r>
      <w:r>
        <w:rPr>
          <w:spacing w:val="-24"/>
          <w:sz w:val="28"/>
        </w:rPr>
        <w:t> </w:t>
      </w:r>
      <w:r>
        <w:rPr>
          <w:spacing w:val="-7"/>
          <w:sz w:val="28"/>
        </w:rPr>
        <w:t>généraux,</w:t>
      </w:r>
    </w:p>
    <w:p>
      <w:pPr>
        <w:spacing w:after="0" w:line="334" w:lineRule="exact"/>
        <w:jc w:val="left"/>
        <w:rPr>
          <w:sz w:val="28"/>
        </w:rPr>
        <w:sectPr>
          <w:pgSz w:w="11910" w:h="16840"/>
          <w:pgMar w:header="722" w:footer="0" w:top="1860" w:bottom="280" w:left="700" w:right="380"/>
        </w:sectPr>
      </w:pPr>
    </w:p>
    <w:p>
      <w:pPr>
        <w:pStyle w:val="BodyText"/>
        <w:spacing w:before="8"/>
        <w:ind w:left="0" w:firstLine="0"/>
        <w:jc w:val="left"/>
        <w:rPr>
          <w:sz w:val="16"/>
        </w:rPr>
      </w:pPr>
    </w:p>
    <w:p>
      <w:pPr>
        <w:pStyle w:val="ListParagraph"/>
        <w:numPr>
          <w:ilvl w:val="0"/>
          <w:numId w:val="73"/>
        </w:numPr>
        <w:tabs>
          <w:tab w:pos="1153" w:val="left" w:leader="none"/>
          <w:tab w:pos="1154" w:val="left" w:leader="none"/>
        </w:tabs>
        <w:spacing w:line="334" w:lineRule="exact" w:before="84" w:after="0"/>
        <w:ind w:left="1153" w:right="0" w:hanging="361"/>
        <w:jc w:val="left"/>
        <w:rPr>
          <w:sz w:val="28"/>
        </w:rPr>
      </w:pPr>
      <w:r>
        <w:rPr>
          <w:spacing w:val="-5"/>
          <w:sz w:val="28"/>
        </w:rPr>
        <w:t>La </w:t>
      </w:r>
      <w:r>
        <w:rPr>
          <w:spacing w:val="-7"/>
          <w:sz w:val="28"/>
        </w:rPr>
        <w:t>marge bénéficiaire</w:t>
      </w:r>
      <w:r>
        <w:rPr>
          <w:spacing w:val="-31"/>
          <w:sz w:val="28"/>
        </w:rPr>
        <w:t> </w:t>
      </w:r>
      <w:r>
        <w:rPr>
          <w:sz w:val="28"/>
        </w:rPr>
        <w:t>;</w:t>
      </w:r>
    </w:p>
    <w:p>
      <w:pPr>
        <w:pStyle w:val="ListParagraph"/>
        <w:numPr>
          <w:ilvl w:val="0"/>
          <w:numId w:val="73"/>
        </w:numPr>
        <w:tabs>
          <w:tab w:pos="1153" w:val="left" w:leader="none"/>
          <w:tab w:pos="1154" w:val="left" w:leader="none"/>
        </w:tabs>
        <w:spacing w:line="334" w:lineRule="exact" w:before="0" w:after="0"/>
        <w:ind w:left="1153" w:right="0" w:hanging="361"/>
        <w:jc w:val="left"/>
        <w:rPr>
          <w:sz w:val="28"/>
        </w:rPr>
      </w:pPr>
      <w:r>
        <w:rPr>
          <w:sz w:val="28"/>
        </w:rPr>
        <w:t>Les frais divers</w:t>
      </w:r>
      <w:r>
        <w:rPr>
          <w:spacing w:val="17"/>
          <w:sz w:val="28"/>
        </w:rPr>
        <w:t> </w:t>
      </w:r>
      <w:r>
        <w:rPr>
          <w:sz w:val="28"/>
        </w:rPr>
        <w:t>;</w:t>
      </w:r>
    </w:p>
    <w:p>
      <w:pPr>
        <w:pStyle w:val="BodyText"/>
        <w:spacing w:line="237" w:lineRule="auto" w:before="110"/>
        <w:ind w:left="793" w:right="748" w:firstLine="0"/>
        <w:jc w:val="left"/>
      </w:pPr>
      <w:r>
        <w:rPr/>
        <w:t>Les frais remboursables établis à partir des dépenses effectives et/ou des prix unitaires convenus.</w:t>
      </w:r>
    </w:p>
    <w:p>
      <w:pPr>
        <w:pStyle w:val="BodyText"/>
        <w:spacing w:before="163"/>
        <w:ind w:right="764"/>
      </w:pPr>
      <w:r>
        <w:rPr/>
        <w:t>Ce</w:t>
      </w:r>
      <w:r>
        <w:rPr>
          <w:spacing w:val="-8"/>
        </w:rPr>
        <w:t> </w:t>
      </w:r>
      <w:r>
        <w:rPr/>
        <w:t>type</w:t>
      </w:r>
      <w:r>
        <w:rPr>
          <w:spacing w:val="-7"/>
        </w:rPr>
        <w:t> </w:t>
      </w:r>
      <w:r>
        <w:rPr/>
        <w:t>d’achat</w:t>
      </w:r>
      <w:r>
        <w:rPr>
          <w:spacing w:val="-4"/>
        </w:rPr>
        <w:t> </w:t>
      </w:r>
      <w:r>
        <w:rPr/>
        <w:t>convient</w:t>
      </w:r>
      <w:r>
        <w:rPr>
          <w:spacing w:val="-8"/>
        </w:rPr>
        <w:t> </w:t>
      </w:r>
      <w:r>
        <w:rPr/>
        <w:t>pour</w:t>
      </w:r>
      <w:r>
        <w:rPr>
          <w:spacing w:val="-7"/>
        </w:rPr>
        <w:t> </w:t>
      </w:r>
      <w:r>
        <w:rPr/>
        <w:t>les</w:t>
      </w:r>
      <w:r>
        <w:rPr>
          <w:spacing w:val="-6"/>
        </w:rPr>
        <w:t> </w:t>
      </w:r>
      <w:r>
        <w:rPr/>
        <w:t>services</w:t>
      </w:r>
      <w:r>
        <w:rPr>
          <w:spacing w:val="-8"/>
        </w:rPr>
        <w:t> </w:t>
      </w:r>
      <w:r>
        <w:rPr/>
        <w:t>dont</w:t>
      </w:r>
      <w:r>
        <w:rPr>
          <w:spacing w:val="-9"/>
        </w:rPr>
        <w:t> </w:t>
      </w:r>
      <w:r>
        <w:rPr/>
        <w:t>il</w:t>
      </w:r>
      <w:r>
        <w:rPr>
          <w:spacing w:val="-5"/>
        </w:rPr>
        <w:t> </w:t>
      </w:r>
      <w:r>
        <w:rPr/>
        <w:t>est</w:t>
      </w:r>
      <w:r>
        <w:rPr>
          <w:spacing w:val="-6"/>
        </w:rPr>
        <w:t> </w:t>
      </w:r>
      <w:r>
        <w:rPr/>
        <w:t>difficile</w:t>
      </w:r>
      <w:r>
        <w:rPr>
          <w:spacing w:val="-10"/>
        </w:rPr>
        <w:t> </w:t>
      </w:r>
      <w:r>
        <w:rPr/>
        <w:t>de</w:t>
      </w:r>
      <w:r>
        <w:rPr>
          <w:spacing w:val="-9"/>
        </w:rPr>
        <w:t> </w:t>
      </w:r>
      <w:r>
        <w:rPr/>
        <w:t>définir</w:t>
      </w:r>
      <w:r>
        <w:rPr>
          <w:spacing w:val="-9"/>
        </w:rPr>
        <w:t> </w:t>
      </w:r>
      <w:r>
        <w:rPr/>
        <w:t>l’étendue ou la durée, soit qu’il s’agisse de services liés aux activités d’autres prestataires dont les délais d’exécution peuvent varier, soit que l’on ait du mal à déterminer l’ampleur des</w:t>
      </w:r>
      <w:r>
        <w:rPr>
          <w:spacing w:val="7"/>
        </w:rPr>
        <w:t> </w:t>
      </w:r>
      <w:r>
        <w:rPr/>
        <w:t>prestations</w:t>
      </w:r>
      <w:r>
        <w:rPr>
          <w:spacing w:val="8"/>
        </w:rPr>
        <w:t> </w:t>
      </w:r>
      <w:r>
        <w:rPr/>
        <w:t>que</w:t>
      </w:r>
      <w:r>
        <w:rPr>
          <w:spacing w:val="6"/>
        </w:rPr>
        <w:t> </w:t>
      </w:r>
      <w:r>
        <w:rPr/>
        <w:t>les</w:t>
      </w:r>
      <w:r>
        <w:rPr>
          <w:spacing w:val="10"/>
        </w:rPr>
        <w:t> </w:t>
      </w:r>
      <w:r>
        <w:rPr/>
        <w:t>consultants</w:t>
      </w:r>
      <w:r>
        <w:rPr>
          <w:spacing w:val="8"/>
        </w:rPr>
        <w:t> </w:t>
      </w:r>
      <w:r>
        <w:rPr/>
        <w:t>ont</w:t>
      </w:r>
      <w:r>
        <w:rPr>
          <w:spacing w:val="10"/>
        </w:rPr>
        <w:t> </w:t>
      </w:r>
      <w:r>
        <w:rPr/>
        <w:t>à</w:t>
      </w:r>
      <w:r>
        <w:rPr>
          <w:spacing w:val="6"/>
        </w:rPr>
        <w:t> </w:t>
      </w:r>
      <w:r>
        <w:rPr/>
        <w:t>fournir</w:t>
      </w:r>
      <w:r>
        <w:rPr>
          <w:spacing w:val="7"/>
        </w:rPr>
        <w:t> </w:t>
      </w:r>
      <w:r>
        <w:rPr/>
        <w:t>pour</w:t>
      </w:r>
      <w:r>
        <w:rPr>
          <w:spacing w:val="7"/>
        </w:rPr>
        <w:t> </w:t>
      </w:r>
      <w:r>
        <w:rPr/>
        <w:t>atteindre</w:t>
      </w:r>
      <w:r>
        <w:rPr>
          <w:spacing w:val="7"/>
        </w:rPr>
        <w:t> </w:t>
      </w:r>
      <w:r>
        <w:rPr/>
        <w:t>les</w:t>
      </w:r>
      <w:r>
        <w:rPr>
          <w:spacing w:val="7"/>
        </w:rPr>
        <w:t> </w:t>
      </w:r>
      <w:r>
        <w:rPr/>
        <w:t>objectifs</w:t>
      </w:r>
      <w:r>
        <w:rPr>
          <w:spacing w:val="9"/>
        </w:rPr>
        <w:t> </w:t>
      </w:r>
      <w:r>
        <w:rPr>
          <w:spacing w:val="4"/>
        </w:rPr>
        <w:t>fixés.</w:t>
      </w:r>
    </w:p>
    <w:p>
      <w:pPr>
        <w:pStyle w:val="Heading3"/>
        <w:spacing w:line="319" w:lineRule="exact" w:before="127"/>
        <w:rPr>
          <w:i/>
        </w:rPr>
      </w:pPr>
      <w:r>
        <w:rPr>
          <w:i/>
        </w:rPr>
        <w:t>Achats rémunérés au pourcentage</w:t>
      </w:r>
    </w:p>
    <w:p>
      <w:pPr>
        <w:pStyle w:val="BodyText"/>
        <w:ind w:right="753"/>
      </w:pPr>
      <w:r>
        <w:rPr/>
        <w:t>Lorsque</w:t>
      </w:r>
      <w:r>
        <w:rPr>
          <w:spacing w:val="-9"/>
        </w:rPr>
        <w:t> </w:t>
      </w:r>
      <w:r>
        <w:rPr/>
        <w:t>le</w:t>
      </w:r>
      <w:r>
        <w:rPr>
          <w:spacing w:val="-9"/>
        </w:rPr>
        <w:t> </w:t>
      </w:r>
      <w:r>
        <w:rPr/>
        <w:t>prix</w:t>
      </w:r>
      <w:r>
        <w:rPr>
          <w:spacing w:val="-6"/>
        </w:rPr>
        <w:t> </w:t>
      </w:r>
      <w:r>
        <w:rPr/>
        <w:t>de</w:t>
      </w:r>
      <w:r>
        <w:rPr>
          <w:spacing w:val="-7"/>
        </w:rPr>
        <w:t> </w:t>
      </w:r>
      <w:r>
        <w:rPr/>
        <w:t>la</w:t>
      </w:r>
      <w:r>
        <w:rPr>
          <w:spacing w:val="-9"/>
        </w:rPr>
        <w:t> </w:t>
      </w:r>
      <w:r>
        <w:rPr/>
        <w:t>prestation</w:t>
      </w:r>
      <w:r>
        <w:rPr>
          <w:spacing w:val="-6"/>
        </w:rPr>
        <w:t> </w:t>
      </w:r>
      <w:r>
        <w:rPr/>
        <w:t>est</w:t>
      </w:r>
      <w:r>
        <w:rPr>
          <w:spacing w:val="-7"/>
        </w:rPr>
        <w:t> </w:t>
      </w:r>
      <w:r>
        <w:rPr/>
        <w:t>fixé</w:t>
      </w:r>
      <w:r>
        <w:rPr>
          <w:spacing w:val="-7"/>
        </w:rPr>
        <w:t> </w:t>
      </w:r>
      <w:r>
        <w:rPr/>
        <w:t>par</w:t>
      </w:r>
      <w:r>
        <w:rPr>
          <w:spacing w:val="-9"/>
        </w:rPr>
        <w:t> </w:t>
      </w:r>
      <w:r>
        <w:rPr/>
        <w:t>un</w:t>
      </w:r>
      <w:r>
        <w:rPr>
          <w:spacing w:val="6"/>
        </w:rPr>
        <w:t> </w:t>
      </w:r>
      <w:r>
        <w:rPr/>
        <w:t>taux</w:t>
      </w:r>
      <w:r>
        <w:rPr>
          <w:spacing w:val="-8"/>
        </w:rPr>
        <w:t> </w:t>
      </w:r>
      <w:r>
        <w:rPr/>
        <w:t>à</w:t>
      </w:r>
      <w:r>
        <w:rPr>
          <w:spacing w:val="-5"/>
        </w:rPr>
        <w:t> </w:t>
      </w:r>
      <w:r>
        <w:rPr/>
        <w:t>appliquer</w:t>
      </w:r>
      <w:r>
        <w:rPr>
          <w:spacing w:val="-6"/>
        </w:rPr>
        <w:t> </w:t>
      </w:r>
      <w:r>
        <w:rPr/>
        <w:t>au</w:t>
      </w:r>
      <w:r>
        <w:rPr>
          <w:spacing w:val="-6"/>
        </w:rPr>
        <w:t> </w:t>
      </w:r>
      <w:r>
        <w:rPr/>
        <w:t>montant</w:t>
      </w:r>
      <w:r>
        <w:rPr>
          <w:spacing w:val="-6"/>
        </w:rPr>
        <w:t> </w:t>
      </w:r>
      <w:r>
        <w:rPr/>
        <w:t>global de l’achat de travaux hors taxes et sans inclure le montant découlant de la révision des prix, les indemnités et les pénalités éventuelles ou au montant estimatif globale des biens à assurer ou à</w:t>
      </w:r>
      <w:r>
        <w:rPr>
          <w:spacing w:val="-8"/>
        </w:rPr>
        <w:t> </w:t>
      </w:r>
      <w:r>
        <w:rPr/>
        <w:t>recouvrir.</w:t>
      </w:r>
    </w:p>
    <w:p>
      <w:pPr>
        <w:spacing w:after="0"/>
        <w:sectPr>
          <w:pgSz w:w="11910" w:h="16840"/>
          <w:pgMar w:header="722" w:footer="0" w:top="1860" w:bottom="280" w:left="700" w:right="380"/>
        </w:sectPr>
      </w:pPr>
    </w:p>
    <w:p>
      <w:pPr>
        <w:pStyle w:val="BodyText"/>
        <w:ind w:left="0" w:firstLine="0"/>
        <w:jc w:val="left"/>
        <w:rPr>
          <w:sz w:val="17"/>
        </w:rPr>
      </w:pPr>
    </w:p>
    <w:p>
      <w:pPr>
        <w:pStyle w:val="Heading1"/>
        <w:ind w:left="668" w:right="994" w:firstLine="1"/>
        <w:jc w:val="center"/>
      </w:pPr>
      <w:bookmarkStart w:name="_TOC_250067" w:id="76"/>
      <w:bookmarkEnd w:id="76"/>
      <w:r>
        <w:rPr/>
        <w:t>Chapitre 3. PROCEDURES D'ACHATS DES MATIERES PREMIERES ET DES PRODUITS DESTINÉS À ETRE VENDUS EN L'ÉTAT OU CONDITIONNÉS</w:t>
      </w:r>
    </w:p>
    <w:p>
      <w:pPr>
        <w:pStyle w:val="Heading2"/>
        <w:numPr>
          <w:ilvl w:val="0"/>
          <w:numId w:val="74"/>
        </w:numPr>
        <w:tabs>
          <w:tab w:pos="683" w:val="left" w:leader="none"/>
        </w:tabs>
        <w:spacing w:line="319" w:lineRule="exact" w:before="239" w:after="0"/>
        <w:ind w:left="682" w:right="0" w:hanging="250"/>
        <w:jc w:val="both"/>
      </w:pPr>
      <w:bookmarkStart w:name="_TOC_250066" w:id="77"/>
      <w:r>
        <w:rPr/>
        <w:t>Détermination des</w:t>
      </w:r>
      <w:r>
        <w:rPr>
          <w:spacing w:val="-2"/>
        </w:rPr>
        <w:t> </w:t>
      </w:r>
      <w:bookmarkEnd w:id="77"/>
      <w:r>
        <w:rPr/>
        <w:t>besoins</w:t>
      </w:r>
    </w:p>
    <w:p>
      <w:pPr>
        <w:pStyle w:val="BodyText"/>
        <w:ind w:right="758"/>
      </w:pPr>
      <w:r>
        <w:rPr/>
        <w:t>La DCAMP arrête le programme annuel des achats des matières premières sur la base</w:t>
      </w:r>
      <w:r>
        <w:rPr>
          <w:spacing w:val="-13"/>
        </w:rPr>
        <w:t> </w:t>
      </w:r>
      <w:r>
        <w:rPr/>
        <w:t>d’une</w:t>
      </w:r>
      <w:r>
        <w:rPr>
          <w:spacing w:val="-12"/>
        </w:rPr>
        <w:t> </w:t>
      </w:r>
      <w:r>
        <w:rPr/>
        <w:t>liste</w:t>
      </w:r>
      <w:r>
        <w:rPr>
          <w:spacing w:val="-12"/>
        </w:rPr>
        <w:t> </w:t>
      </w:r>
      <w:r>
        <w:rPr/>
        <w:t>approuvée</w:t>
      </w:r>
      <w:r>
        <w:rPr>
          <w:spacing w:val="-13"/>
        </w:rPr>
        <w:t> </w:t>
      </w:r>
      <w:r>
        <w:rPr/>
        <w:t>par</w:t>
      </w:r>
      <w:r>
        <w:rPr>
          <w:spacing w:val="-12"/>
        </w:rPr>
        <w:t> </w:t>
      </w:r>
      <w:r>
        <w:rPr/>
        <w:t>le</w:t>
      </w:r>
      <w:r>
        <w:rPr>
          <w:spacing w:val="-12"/>
        </w:rPr>
        <w:t> </w:t>
      </w:r>
      <w:r>
        <w:rPr/>
        <w:t>Conseil</w:t>
      </w:r>
      <w:r>
        <w:rPr>
          <w:spacing w:val="-10"/>
        </w:rPr>
        <w:t> </w:t>
      </w:r>
      <w:r>
        <w:rPr/>
        <w:t>d’Administration,</w:t>
      </w:r>
      <w:r>
        <w:rPr>
          <w:spacing w:val="-13"/>
        </w:rPr>
        <w:t> </w:t>
      </w:r>
      <w:r>
        <w:rPr/>
        <w:t>en</w:t>
      </w:r>
      <w:r>
        <w:rPr>
          <w:spacing w:val="-11"/>
        </w:rPr>
        <w:t> </w:t>
      </w:r>
      <w:r>
        <w:rPr/>
        <w:t>fonction</w:t>
      </w:r>
      <w:r>
        <w:rPr>
          <w:spacing w:val="-15"/>
        </w:rPr>
        <w:t> </w:t>
      </w:r>
      <w:r>
        <w:rPr/>
        <w:t>du</w:t>
      </w:r>
      <w:r>
        <w:rPr>
          <w:spacing w:val="-11"/>
        </w:rPr>
        <w:t> </w:t>
      </w:r>
      <w:r>
        <w:rPr/>
        <w:t>programme annuel prévisionnel de la production, en coordination avec toutes les structures concernées.</w:t>
      </w:r>
    </w:p>
    <w:p>
      <w:pPr>
        <w:pStyle w:val="BodyText"/>
        <w:spacing w:before="119"/>
        <w:ind w:right="759"/>
      </w:pPr>
      <w:r>
        <w:rPr/>
        <w:t>Ce</w:t>
      </w:r>
      <w:r>
        <w:rPr>
          <w:spacing w:val="-6"/>
        </w:rPr>
        <w:t> </w:t>
      </w:r>
      <w:r>
        <w:rPr/>
        <w:t>programme</w:t>
      </w:r>
      <w:r>
        <w:rPr>
          <w:spacing w:val="-6"/>
        </w:rPr>
        <w:t> </w:t>
      </w:r>
      <w:r>
        <w:rPr/>
        <w:t>doit</w:t>
      </w:r>
      <w:r>
        <w:rPr>
          <w:spacing w:val="-6"/>
        </w:rPr>
        <w:t> </w:t>
      </w:r>
      <w:r>
        <w:rPr/>
        <w:t>être</w:t>
      </w:r>
      <w:r>
        <w:rPr>
          <w:spacing w:val="-5"/>
        </w:rPr>
        <w:t> </w:t>
      </w:r>
      <w:r>
        <w:rPr/>
        <w:t>approuvé</w:t>
      </w:r>
      <w:r>
        <w:rPr>
          <w:spacing w:val="-9"/>
        </w:rPr>
        <w:t> </w:t>
      </w:r>
      <w:r>
        <w:rPr/>
        <w:t>par</w:t>
      </w:r>
      <w:r>
        <w:rPr>
          <w:spacing w:val="-6"/>
        </w:rPr>
        <w:t> </w:t>
      </w:r>
      <w:r>
        <w:rPr/>
        <w:t>le</w:t>
      </w:r>
      <w:r>
        <w:rPr>
          <w:spacing w:val="-6"/>
        </w:rPr>
        <w:t> </w:t>
      </w:r>
      <w:r>
        <w:rPr/>
        <w:t>conseil</w:t>
      </w:r>
      <w:r>
        <w:rPr>
          <w:spacing w:val="-5"/>
        </w:rPr>
        <w:t> </w:t>
      </w:r>
      <w:r>
        <w:rPr/>
        <w:t>d'administration</w:t>
      </w:r>
      <w:r>
        <w:rPr>
          <w:spacing w:val="-8"/>
        </w:rPr>
        <w:t> </w:t>
      </w:r>
      <w:r>
        <w:rPr/>
        <w:t>dans</w:t>
      </w:r>
      <w:r>
        <w:rPr>
          <w:spacing w:val="-6"/>
        </w:rPr>
        <w:t> </w:t>
      </w:r>
      <w:r>
        <w:rPr/>
        <w:t>le</w:t>
      </w:r>
      <w:r>
        <w:rPr>
          <w:spacing w:val="-5"/>
        </w:rPr>
        <w:t> </w:t>
      </w:r>
      <w:r>
        <w:rPr/>
        <w:t>cadre</w:t>
      </w:r>
      <w:r>
        <w:rPr>
          <w:spacing w:val="-8"/>
        </w:rPr>
        <w:t> </w:t>
      </w:r>
      <w:r>
        <w:rPr/>
        <w:t>du budget prévisionnel du</w:t>
      </w:r>
      <w:r>
        <w:rPr>
          <w:spacing w:val="-2"/>
        </w:rPr>
        <w:t> </w:t>
      </w:r>
      <w:r>
        <w:rPr/>
        <w:t>GCT.</w:t>
      </w:r>
    </w:p>
    <w:p>
      <w:pPr>
        <w:pStyle w:val="BodyText"/>
        <w:spacing w:before="119"/>
        <w:ind w:right="759"/>
      </w:pPr>
      <w:r>
        <w:rPr/>
        <w:t>La liste des matières premières ne peut être révisée qu’après approbation du Conseil d’Administration.</w:t>
      </w:r>
    </w:p>
    <w:p>
      <w:pPr>
        <w:pStyle w:val="Heading2"/>
        <w:numPr>
          <w:ilvl w:val="0"/>
          <w:numId w:val="74"/>
        </w:numPr>
        <w:tabs>
          <w:tab w:pos="802" w:val="left" w:leader="none"/>
        </w:tabs>
        <w:spacing w:line="242" w:lineRule="auto" w:before="245" w:after="0"/>
        <w:ind w:left="433" w:right="749" w:firstLine="0"/>
        <w:jc w:val="both"/>
      </w:pPr>
      <w:bookmarkStart w:name="_TOC_250065" w:id="78"/>
      <w:r>
        <w:rPr/>
        <w:t>Modes et Procédures de passation des marchés des matières premières et des produits destinés à être vendus en l'état ou</w:t>
      </w:r>
      <w:r>
        <w:rPr>
          <w:spacing w:val="-5"/>
        </w:rPr>
        <w:t> </w:t>
      </w:r>
      <w:bookmarkEnd w:id="78"/>
      <w:r>
        <w:rPr/>
        <w:t>conditionnés</w:t>
      </w:r>
    </w:p>
    <w:p>
      <w:pPr>
        <w:pStyle w:val="BodyText"/>
        <w:ind w:right="754"/>
      </w:pPr>
      <w:r>
        <w:rPr/>
        <w:t>Les procédures de passation des marchés des matières premières décrites dans ce document concernent :</w:t>
      </w:r>
    </w:p>
    <w:p>
      <w:pPr>
        <w:pStyle w:val="ListParagraph"/>
        <w:numPr>
          <w:ilvl w:val="1"/>
          <w:numId w:val="74"/>
        </w:numPr>
        <w:tabs>
          <w:tab w:pos="1000" w:val="left" w:leader="none"/>
        </w:tabs>
        <w:spacing w:line="240" w:lineRule="auto" w:before="109" w:after="0"/>
        <w:ind w:left="999" w:right="0" w:hanging="284"/>
        <w:jc w:val="both"/>
        <w:rPr>
          <w:sz w:val="28"/>
        </w:rPr>
      </w:pPr>
      <w:r>
        <w:rPr>
          <w:sz w:val="28"/>
        </w:rPr>
        <w:t>Marchés</w:t>
      </w:r>
      <w:r>
        <w:rPr>
          <w:spacing w:val="-13"/>
          <w:sz w:val="28"/>
        </w:rPr>
        <w:t> </w:t>
      </w:r>
      <w:r>
        <w:rPr>
          <w:sz w:val="28"/>
        </w:rPr>
        <w:t>de</w:t>
      </w:r>
      <w:r>
        <w:rPr>
          <w:spacing w:val="-11"/>
          <w:sz w:val="28"/>
        </w:rPr>
        <w:t> </w:t>
      </w:r>
      <w:r>
        <w:rPr>
          <w:sz w:val="28"/>
        </w:rPr>
        <w:t>matières</w:t>
      </w:r>
      <w:r>
        <w:rPr>
          <w:spacing w:val="-12"/>
          <w:sz w:val="28"/>
        </w:rPr>
        <w:t> </w:t>
      </w:r>
      <w:r>
        <w:rPr>
          <w:sz w:val="28"/>
        </w:rPr>
        <w:t>premières</w:t>
      </w:r>
      <w:r>
        <w:rPr>
          <w:spacing w:val="-13"/>
          <w:sz w:val="28"/>
        </w:rPr>
        <w:t> </w:t>
      </w:r>
      <w:r>
        <w:rPr>
          <w:sz w:val="28"/>
        </w:rPr>
        <w:t>nécessaires</w:t>
      </w:r>
      <w:r>
        <w:rPr>
          <w:spacing w:val="-15"/>
          <w:sz w:val="28"/>
        </w:rPr>
        <w:t> </w:t>
      </w:r>
      <w:r>
        <w:rPr>
          <w:sz w:val="28"/>
        </w:rPr>
        <w:t>à</w:t>
      </w:r>
      <w:r>
        <w:rPr>
          <w:spacing w:val="-13"/>
          <w:sz w:val="28"/>
        </w:rPr>
        <w:t> </w:t>
      </w:r>
      <w:r>
        <w:rPr>
          <w:sz w:val="28"/>
        </w:rPr>
        <w:t>la</w:t>
      </w:r>
      <w:r>
        <w:rPr>
          <w:spacing w:val="-14"/>
          <w:sz w:val="28"/>
        </w:rPr>
        <w:t> </w:t>
      </w:r>
      <w:r>
        <w:rPr>
          <w:sz w:val="28"/>
        </w:rPr>
        <w:t>fabrication</w:t>
      </w:r>
      <w:r>
        <w:rPr>
          <w:spacing w:val="-12"/>
          <w:sz w:val="28"/>
        </w:rPr>
        <w:t> </w:t>
      </w:r>
      <w:r>
        <w:rPr>
          <w:sz w:val="28"/>
        </w:rPr>
        <w:t>des</w:t>
      </w:r>
      <w:r>
        <w:rPr>
          <w:spacing w:val="-13"/>
          <w:sz w:val="28"/>
        </w:rPr>
        <w:t> </w:t>
      </w:r>
      <w:r>
        <w:rPr>
          <w:sz w:val="28"/>
        </w:rPr>
        <w:t>engrais</w:t>
      </w:r>
      <w:r>
        <w:rPr>
          <w:spacing w:val="-13"/>
          <w:sz w:val="28"/>
        </w:rPr>
        <w:t> </w:t>
      </w:r>
      <w:r>
        <w:rPr>
          <w:sz w:val="28"/>
        </w:rPr>
        <w:t>chimiques,</w:t>
      </w:r>
    </w:p>
    <w:p>
      <w:pPr>
        <w:pStyle w:val="ListParagraph"/>
        <w:numPr>
          <w:ilvl w:val="1"/>
          <w:numId w:val="74"/>
        </w:numPr>
        <w:tabs>
          <w:tab w:pos="1000" w:val="left" w:leader="none"/>
        </w:tabs>
        <w:spacing w:line="240" w:lineRule="auto" w:before="0" w:after="0"/>
        <w:ind w:left="999" w:right="760" w:hanging="284"/>
        <w:jc w:val="both"/>
        <w:rPr>
          <w:sz w:val="28"/>
        </w:rPr>
      </w:pPr>
      <w:r>
        <w:rPr>
          <w:sz w:val="28"/>
        </w:rPr>
        <w:t>Marchés spécifiques d’acide sulfurique et des produits destinés à être vendus en l'état ou conditionnés (Nitrate d'Ammonium, Urée, ASN, CAN,</w:t>
      </w:r>
      <w:r>
        <w:rPr>
          <w:spacing w:val="-18"/>
          <w:sz w:val="28"/>
        </w:rPr>
        <w:t> </w:t>
      </w:r>
      <w:r>
        <w:rPr>
          <w:sz w:val="28"/>
        </w:rPr>
        <w:t>etc…).</w:t>
      </w:r>
    </w:p>
    <w:p>
      <w:pPr>
        <w:pStyle w:val="Heading2"/>
        <w:numPr>
          <w:ilvl w:val="1"/>
          <w:numId w:val="75"/>
        </w:numPr>
        <w:tabs>
          <w:tab w:pos="987" w:val="left" w:leader="none"/>
        </w:tabs>
        <w:spacing w:line="240" w:lineRule="auto" w:before="123" w:after="0"/>
        <w:ind w:left="433" w:right="757" w:firstLine="0"/>
        <w:jc w:val="both"/>
      </w:pPr>
      <w:bookmarkStart w:name="_TOC_250064" w:id="79"/>
      <w:r>
        <w:rPr/>
        <w:t>Modes de passation des marchés des matières premières et des produits destinés à être vendus en l'état ou</w:t>
      </w:r>
      <w:r>
        <w:rPr>
          <w:spacing w:val="-4"/>
        </w:rPr>
        <w:t> </w:t>
      </w:r>
      <w:bookmarkEnd w:id="79"/>
      <w:r>
        <w:rPr/>
        <w:t>conditionnés</w:t>
      </w:r>
    </w:p>
    <w:p>
      <w:pPr>
        <w:pStyle w:val="BodyText"/>
        <w:ind w:right="762"/>
      </w:pPr>
      <w:r>
        <w:rPr/>
        <w:t>La stratégie du GCT, étant de s’approvisionner essentiellement avec des contrats cadres à moyen et long terme conclus avec les principaux producteurs et traders du marché</w:t>
      </w:r>
      <w:r>
        <w:rPr>
          <w:spacing w:val="-18"/>
        </w:rPr>
        <w:t> </w:t>
      </w:r>
      <w:r>
        <w:rPr/>
        <w:t>et</w:t>
      </w:r>
      <w:r>
        <w:rPr>
          <w:spacing w:val="-16"/>
        </w:rPr>
        <w:t> </w:t>
      </w:r>
      <w:r>
        <w:rPr/>
        <w:t>cette</w:t>
      </w:r>
      <w:r>
        <w:rPr>
          <w:spacing w:val="-17"/>
        </w:rPr>
        <w:t> </w:t>
      </w:r>
      <w:r>
        <w:rPr/>
        <w:t>stratégie</w:t>
      </w:r>
      <w:r>
        <w:rPr>
          <w:spacing w:val="-20"/>
        </w:rPr>
        <w:t> </w:t>
      </w:r>
      <w:r>
        <w:rPr/>
        <w:t>se</w:t>
      </w:r>
      <w:r>
        <w:rPr>
          <w:spacing w:val="-18"/>
        </w:rPr>
        <w:t> </w:t>
      </w:r>
      <w:r>
        <w:rPr/>
        <w:t>justifie</w:t>
      </w:r>
      <w:r>
        <w:rPr>
          <w:spacing w:val="-17"/>
        </w:rPr>
        <w:t> </w:t>
      </w:r>
      <w:r>
        <w:rPr/>
        <w:t>par</w:t>
      </w:r>
      <w:r>
        <w:rPr>
          <w:spacing w:val="-17"/>
        </w:rPr>
        <w:t> </w:t>
      </w:r>
      <w:r>
        <w:rPr/>
        <w:t>la</w:t>
      </w:r>
      <w:r>
        <w:rPr>
          <w:spacing w:val="-17"/>
        </w:rPr>
        <w:t> </w:t>
      </w:r>
      <w:r>
        <w:rPr/>
        <w:t>spécificité</w:t>
      </w:r>
      <w:r>
        <w:rPr>
          <w:spacing w:val="-20"/>
        </w:rPr>
        <w:t> </w:t>
      </w:r>
      <w:r>
        <w:rPr/>
        <w:t>du</w:t>
      </w:r>
      <w:r>
        <w:rPr>
          <w:spacing w:val="-17"/>
        </w:rPr>
        <w:t> </w:t>
      </w:r>
      <w:r>
        <w:rPr/>
        <w:t>marché</w:t>
      </w:r>
      <w:r>
        <w:rPr>
          <w:spacing w:val="-17"/>
        </w:rPr>
        <w:t> </w:t>
      </w:r>
      <w:r>
        <w:rPr/>
        <w:t>mondial</w:t>
      </w:r>
      <w:r>
        <w:rPr>
          <w:spacing w:val="-19"/>
        </w:rPr>
        <w:t> </w:t>
      </w:r>
      <w:r>
        <w:rPr/>
        <w:t>de</w:t>
      </w:r>
      <w:r>
        <w:rPr>
          <w:spacing w:val="-17"/>
        </w:rPr>
        <w:t> </w:t>
      </w:r>
      <w:r>
        <w:rPr/>
        <w:t>ces</w:t>
      </w:r>
      <w:r>
        <w:rPr>
          <w:spacing w:val="-16"/>
        </w:rPr>
        <w:t> </w:t>
      </w:r>
      <w:r>
        <w:rPr/>
        <w:t>produits.</w:t>
      </w:r>
    </w:p>
    <w:p>
      <w:pPr>
        <w:pStyle w:val="Heading2"/>
        <w:numPr>
          <w:ilvl w:val="2"/>
          <w:numId w:val="75"/>
        </w:numPr>
        <w:tabs>
          <w:tab w:pos="1143" w:val="left" w:leader="none"/>
        </w:tabs>
        <w:spacing w:line="240" w:lineRule="auto" w:before="121" w:after="0"/>
        <w:ind w:left="1142" w:right="0" w:hanging="710"/>
        <w:jc w:val="both"/>
      </w:pPr>
      <w:bookmarkStart w:name="_TOC_250063" w:id="80"/>
      <w:r>
        <w:rPr/>
        <w:t>Contrats cadres</w:t>
      </w:r>
      <w:r>
        <w:rPr>
          <w:spacing w:val="3"/>
        </w:rPr>
        <w:t> </w:t>
      </w:r>
      <w:bookmarkEnd w:id="80"/>
      <w:r>
        <w:rPr/>
        <w:t>:</w:t>
      </w:r>
    </w:p>
    <w:p>
      <w:pPr>
        <w:pStyle w:val="BodyText"/>
        <w:spacing w:line="276" w:lineRule="auto" w:before="43"/>
        <w:ind w:right="754"/>
      </w:pPr>
      <w:r>
        <w:rPr/>
        <w:t>En vue d'assurer l'approvisionnement continu en quantités nécessaires des matières premières du GCT pour la régularité de marche des usines, il est nécessaire d’assurer le maximum des besoins par des contrats cadres d’approvisionnement avec des fournisseurs.</w:t>
      </w:r>
    </w:p>
    <w:p>
      <w:pPr>
        <w:pStyle w:val="BodyText"/>
        <w:spacing w:line="276" w:lineRule="auto"/>
        <w:ind w:right="750"/>
      </w:pPr>
      <w:r>
        <w:rPr/>
        <w:t>Le contrat-cadre est un mode d’achat permettant au GCT d’établir une liste de fournisseurs, pouvant répondre à ses besoins spécifiques, permanents et prévisibles et nécessitant une certaine souplesse dans la procédure.</w:t>
      </w:r>
    </w:p>
    <w:p>
      <w:pPr>
        <w:pStyle w:val="BodyText"/>
        <w:spacing w:line="278" w:lineRule="auto"/>
        <w:ind w:right="765" w:hanging="12"/>
      </w:pPr>
      <w:r>
        <w:rPr/>
        <w:t>Elle se passe par la voie de négociations directes avec un ou plusieurs fournisseurs figurant dans la liste approuvée par le conseil d’administration.</w:t>
      </w:r>
    </w:p>
    <w:p>
      <w:pPr>
        <w:spacing w:after="0" w:line="278" w:lineRule="auto"/>
        <w:sectPr>
          <w:pgSz w:w="11910" w:h="16840"/>
          <w:pgMar w:header="722" w:footer="0" w:top="1860" w:bottom="280" w:left="700" w:right="380"/>
        </w:sectPr>
      </w:pPr>
    </w:p>
    <w:p>
      <w:pPr>
        <w:pStyle w:val="BodyText"/>
        <w:spacing w:before="8"/>
        <w:ind w:left="0" w:firstLine="0"/>
        <w:jc w:val="left"/>
        <w:rPr>
          <w:sz w:val="16"/>
        </w:rPr>
      </w:pPr>
    </w:p>
    <w:p>
      <w:pPr>
        <w:pStyle w:val="Heading2"/>
        <w:numPr>
          <w:ilvl w:val="2"/>
          <w:numId w:val="75"/>
        </w:numPr>
        <w:tabs>
          <w:tab w:pos="1143" w:val="left" w:leader="none"/>
        </w:tabs>
        <w:spacing w:line="240" w:lineRule="auto" w:before="89" w:after="0"/>
        <w:ind w:left="1142" w:right="0" w:hanging="710"/>
        <w:jc w:val="both"/>
      </w:pPr>
      <w:bookmarkStart w:name="_TOC_250062" w:id="81"/>
      <w:r>
        <w:rPr/>
        <w:t>Achats SPOTS</w:t>
      </w:r>
      <w:r>
        <w:rPr>
          <w:spacing w:val="2"/>
        </w:rPr>
        <w:t> </w:t>
      </w:r>
      <w:bookmarkEnd w:id="81"/>
      <w:r>
        <w:rPr/>
        <w:t>:</w:t>
      </w:r>
    </w:p>
    <w:p>
      <w:pPr>
        <w:pStyle w:val="BodyText"/>
        <w:spacing w:before="43"/>
        <w:ind w:right="757"/>
      </w:pPr>
      <w:r>
        <w:rPr/>
        <w:t>Les contrats spots expriment le besoin d’achat immédiat d'une marchandise. Il s’agit d’un besoin nouveau non couvert par le contrat cadre qui peut survenir à n’importe quel moment. Ils concernent exclusivement l’approvisionnement pour couvrir les besoins des usines en quantités supplémentaires non couvertes par les contrats cadres de matières premières, ou pour profiter des baisses occasionnelles des prix de ces matières premières, le GCT pourrait avoir recours à des achats ponctuels hors contrats cadres.</w:t>
      </w:r>
    </w:p>
    <w:p>
      <w:pPr>
        <w:pStyle w:val="BodyText"/>
        <w:spacing w:before="120"/>
        <w:ind w:left="999" w:firstLine="0"/>
      </w:pPr>
      <w:r>
        <w:rPr/>
        <w:t>Il est à noter que le recours aux achats SPOTS se fait dans les cas suivants :</w:t>
      </w:r>
    </w:p>
    <w:p>
      <w:pPr>
        <w:pStyle w:val="ListParagraph"/>
        <w:numPr>
          <w:ilvl w:val="3"/>
          <w:numId w:val="75"/>
        </w:numPr>
        <w:tabs>
          <w:tab w:pos="1154" w:val="left" w:leader="none"/>
        </w:tabs>
        <w:spacing w:line="230" w:lineRule="auto" w:before="132" w:after="0"/>
        <w:ind w:left="1153" w:right="758" w:hanging="360"/>
        <w:jc w:val="both"/>
        <w:rPr>
          <w:sz w:val="28"/>
        </w:rPr>
      </w:pPr>
      <w:r>
        <w:rPr>
          <w:sz w:val="28"/>
        </w:rPr>
        <w:t>Satisfaction</w:t>
      </w:r>
      <w:r>
        <w:rPr>
          <w:spacing w:val="-9"/>
          <w:sz w:val="28"/>
        </w:rPr>
        <w:t> </w:t>
      </w:r>
      <w:r>
        <w:rPr>
          <w:sz w:val="28"/>
        </w:rPr>
        <w:t>des</w:t>
      </w:r>
      <w:r>
        <w:rPr>
          <w:spacing w:val="-7"/>
          <w:sz w:val="28"/>
        </w:rPr>
        <w:t> </w:t>
      </w:r>
      <w:r>
        <w:rPr>
          <w:sz w:val="28"/>
        </w:rPr>
        <w:t>besoins</w:t>
      </w:r>
      <w:r>
        <w:rPr>
          <w:spacing w:val="-8"/>
          <w:sz w:val="28"/>
        </w:rPr>
        <w:t> </w:t>
      </w:r>
      <w:r>
        <w:rPr>
          <w:sz w:val="28"/>
        </w:rPr>
        <w:t>éminents</w:t>
      </w:r>
      <w:r>
        <w:rPr>
          <w:spacing w:val="-9"/>
          <w:sz w:val="28"/>
        </w:rPr>
        <w:t> </w:t>
      </w:r>
      <w:r>
        <w:rPr>
          <w:sz w:val="28"/>
        </w:rPr>
        <w:t>en</w:t>
      </w:r>
      <w:r>
        <w:rPr>
          <w:spacing w:val="-7"/>
          <w:sz w:val="28"/>
        </w:rPr>
        <w:t> </w:t>
      </w:r>
      <w:r>
        <w:rPr>
          <w:sz w:val="28"/>
        </w:rPr>
        <w:t>termes</w:t>
      </w:r>
      <w:r>
        <w:rPr>
          <w:spacing w:val="-8"/>
          <w:sz w:val="28"/>
        </w:rPr>
        <w:t> </w:t>
      </w:r>
      <w:r>
        <w:rPr>
          <w:sz w:val="28"/>
        </w:rPr>
        <w:t>de</w:t>
      </w:r>
      <w:r>
        <w:rPr>
          <w:spacing w:val="-9"/>
          <w:sz w:val="28"/>
        </w:rPr>
        <w:t> </w:t>
      </w:r>
      <w:r>
        <w:rPr>
          <w:sz w:val="28"/>
        </w:rPr>
        <w:t>quantités</w:t>
      </w:r>
      <w:r>
        <w:rPr>
          <w:spacing w:val="-10"/>
          <w:sz w:val="28"/>
        </w:rPr>
        <w:t> </w:t>
      </w:r>
      <w:r>
        <w:rPr>
          <w:sz w:val="28"/>
        </w:rPr>
        <w:t>suite</w:t>
      </w:r>
      <w:r>
        <w:rPr>
          <w:spacing w:val="-10"/>
          <w:sz w:val="28"/>
        </w:rPr>
        <w:t> </w:t>
      </w:r>
      <w:r>
        <w:rPr>
          <w:sz w:val="28"/>
        </w:rPr>
        <w:t>à</w:t>
      </w:r>
      <w:r>
        <w:rPr>
          <w:spacing w:val="-9"/>
          <w:sz w:val="28"/>
        </w:rPr>
        <w:t> </w:t>
      </w:r>
      <w:r>
        <w:rPr>
          <w:sz w:val="28"/>
        </w:rPr>
        <w:t>une</w:t>
      </w:r>
      <w:r>
        <w:rPr>
          <w:spacing w:val="-9"/>
          <w:sz w:val="28"/>
        </w:rPr>
        <w:t> </w:t>
      </w:r>
      <w:r>
        <w:rPr>
          <w:sz w:val="28"/>
        </w:rPr>
        <w:t>négociation de contrat cadre non</w:t>
      </w:r>
      <w:r>
        <w:rPr>
          <w:spacing w:val="-6"/>
          <w:sz w:val="28"/>
        </w:rPr>
        <w:t> </w:t>
      </w:r>
      <w:r>
        <w:rPr>
          <w:sz w:val="28"/>
        </w:rPr>
        <w:t>aboutie.</w:t>
      </w:r>
    </w:p>
    <w:p>
      <w:pPr>
        <w:pStyle w:val="ListParagraph"/>
        <w:numPr>
          <w:ilvl w:val="3"/>
          <w:numId w:val="75"/>
        </w:numPr>
        <w:tabs>
          <w:tab w:pos="1154" w:val="left" w:leader="none"/>
        </w:tabs>
        <w:spacing w:line="334" w:lineRule="exact" w:before="0" w:after="0"/>
        <w:ind w:left="1153" w:right="0" w:hanging="361"/>
        <w:jc w:val="both"/>
        <w:rPr>
          <w:sz w:val="28"/>
        </w:rPr>
      </w:pPr>
      <w:r>
        <w:rPr>
          <w:sz w:val="28"/>
        </w:rPr>
        <w:t>Réception d’une offre</w:t>
      </w:r>
      <w:r>
        <w:rPr>
          <w:spacing w:val="-3"/>
          <w:sz w:val="28"/>
        </w:rPr>
        <w:t> </w:t>
      </w:r>
      <w:r>
        <w:rPr>
          <w:sz w:val="28"/>
        </w:rPr>
        <w:t>spontanée.</w:t>
      </w:r>
    </w:p>
    <w:p>
      <w:pPr>
        <w:pStyle w:val="ListParagraph"/>
        <w:numPr>
          <w:ilvl w:val="3"/>
          <w:numId w:val="75"/>
        </w:numPr>
        <w:tabs>
          <w:tab w:pos="1154" w:val="left" w:leader="none"/>
        </w:tabs>
        <w:spacing w:line="230" w:lineRule="auto" w:before="3" w:after="0"/>
        <w:ind w:left="1153" w:right="760" w:hanging="360"/>
        <w:jc w:val="both"/>
        <w:rPr>
          <w:sz w:val="28"/>
        </w:rPr>
      </w:pPr>
      <w:r>
        <w:rPr>
          <w:sz w:val="28"/>
        </w:rPr>
        <w:t>Un nouveau besoin dépassant les quantités négociées pour la période contractuelle.</w:t>
      </w:r>
    </w:p>
    <w:p>
      <w:pPr>
        <w:pStyle w:val="Heading2"/>
        <w:numPr>
          <w:ilvl w:val="1"/>
          <w:numId w:val="76"/>
        </w:numPr>
        <w:tabs>
          <w:tab w:pos="1002" w:val="left" w:leader="none"/>
        </w:tabs>
        <w:spacing w:line="319" w:lineRule="exact" w:before="128" w:after="0"/>
        <w:ind w:left="1001" w:right="0" w:hanging="569"/>
        <w:jc w:val="both"/>
      </w:pPr>
      <w:bookmarkStart w:name="_TOC_250061" w:id="82"/>
      <w:r>
        <w:rPr/>
        <w:t>Procédures de passation des marchés de matières</w:t>
      </w:r>
      <w:r>
        <w:rPr>
          <w:spacing w:val="-5"/>
        </w:rPr>
        <w:t> </w:t>
      </w:r>
      <w:bookmarkEnd w:id="82"/>
      <w:r>
        <w:rPr/>
        <w:t>premières</w:t>
      </w:r>
    </w:p>
    <w:p>
      <w:pPr>
        <w:pStyle w:val="BodyText"/>
        <w:ind w:right="752"/>
      </w:pPr>
      <w:r>
        <w:rPr/>
        <w:t>Le besoin périodique en matières premières du GCT est arrêté en collaboration entre les responsables des structures techniques et des structures d’achat.</w:t>
      </w:r>
    </w:p>
    <w:p>
      <w:pPr>
        <w:pStyle w:val="BodyText"/>
        <w:spacing w:before="117"/>
        <w:ind w:right="751"/>
      </w:pPr>
      <w:r>
        <w:rPr/>
        <w:t>La passation des marchés de matières premières figurant dans la liste est réalisée par des contrats cadres par négociation directe et exceptionnellement par des marchés ponctuels (SPOT) par négociation directe et éventuellement par mise en concurrence via un cahier des charges spécifique.</w:t>
      </w:r>
    </w:p>
    <w:p>
      <w:pPr>
        <w:pStyle w:val="BodyText"/>
        <w:spacing w:before="121"/>
        <w:ind w:right="759"/>
      </w:pPr>
      <w:r>
        <w:rPr/>
        <w:t>Toutefois, tout déclenchement de procédure d’achat SPOT est appuyé par une note d’opportunité élaborée par la DCAMP et approuvée et signée par le DGAT.</w:t>
      </w:r>
    </w:p>
    <w:p>
      <w:pPr>
        <w:pStyle w:val="Heading2"/>
        <w:numPr>
          <w:ilvl w:val="2"/>
          <w:numId w:val="76"/>
        </w:numPr>
        <w:tabs>
          <w:tab w:pos="1214" w:val="left" w:leader="none"/>
        </w:tabs>
        <w:spacing w:line="322" w:lineRule="exact" w:before="124" w:after="0"/>
        <w:ind w:left="1213" w:right="0" w:hanging="781"/>
        <w:jc w:val="both"/>
      </w:pPr>
      <w:bookmarkStart w:name="_TOC_250060" w:id="83"/>
      <w:r>
        <w:rPr/>
        <w:t>Passation des contrats-cadres par négociation</w:t>
      </w:r>
      <w:r>
        <w:rPr>
          <w:spacing w:val="-6"/>
        </w:rPr>
        <w:t> </w:t>
      </w:r>
      <w:bookmarkEnd w:id="83"/>
      <w:r>
        <w:rPr/>
        <w:t>directe</w:t>
      </w:r>
    </w:p>
    <w:p>
      <w:pPr>
        <w:pStyle w:val="ListParagraph"/>
        <w:numPr>
          <w:ilvl w:val="3"/>
          <w:numId w:val="76"/>
        </w:numPr>
        <w:tabs>
          <w:tab w:pos="1422" w:val="left" w:leader="none"/>
        </w:tabs>
        <w:spacing w:line="321" w:lineRule="exact" w:before="0" w:after="0"/>
        <w:ind w:left="1421" w:right="0" w:hanging="989"/>
        <w:jc w:val="both"/>
        <w:rPr>
          <w:b/>
          <w:sz w:val="28"/>
        </w:rPr>
      </w:pPr>
      <w:r>
        <w:rPr>
          <w:b/>
          <w:sz w:val="28"/>
        </w:rPr>
        <w:t>Choix Présélection des</w:t>
      </w:r>
      <w:r>
        <w:rPr>
          <w:b/>
          <w:spacing w:val="1"/>
          <w:sz w:val="28"/>
        </w:rPr>
        <w:t> </w:t>
      </w:r>
      <w:r>
        <w:rPr>
          <w:b/>
          <w:sz w:val="28"/>
        </w:rPr>
        <w:t>fournisseurs</w:t>
      </w:r>
    </w:p>
    <w:p>
      <w:pPr>
        <w:pStyle w:val="BodyText"/>
        <w:ind w:right="756"/>
      </w:pPr>
      <w:r>
        <w:rPr/>
        <w:t>Les</w:t>
      </w:r>
      <w:r>
        <w:rPr>
          <w:spacing w:val="-18"/>
        </w:rPr>
        <w:t> </w:t>
      </w:r>
      <w:r>
        <w:rPr/>
        <w:t>fournisseurs</w:t>
      </w:r>
      <w:r>
        <w:rPr>
          <w:spacing w:val="-17"/>
        </w:rPr>
        <w:t> </w:t>
      </w:r>
      <w:r>
        <w:rPr/>
        <w:t>présélectionnés</w:t>
      </w:r>
      <w:r>
        <w:rPr>
          <w:spacing w:val="-20"/>
        </w:rPr>
        <w:t> </w:t>
      </w:r>
      <w:r>
        <w:rPr/>
        <w:t>doivent</w:t>
      </w:r>
      <w:r>
        <w:rPr>
          <w:spacing w:val="-17"/>
        </w:rPr>
        <w:t> </w:t>
      </w:r>
      <w:r>
        <w:rPr/>
        <w:t>répondre,</w:t>
      </w:r>
      <w:r>
        <w:rPr>
          <w:spacing w:val="-19"/>
        </w:rPr>
        <w:t> </w:t>
      </w:r>
      <w:r>
        <w:rPr/>
        <w:t>par</w:t>
      </w:r>
      <w:r>
        <w:rPr>
          <w:spacing w:val="-18"/>
        </w:rPr>
        <w:t> </w:t>
      </w:r>
      <w:r>
        <w:rPr/>
        <w:t>ordre</w:t>
      </w:r>
      <w:r>
        <w:rPr>
          <w:spacing w:val="-20"/>
        </w:rPr>
        <w:t> </w:t>
      </w:r>
      <w:r>
        <w:rPr/>
        <w:t>de</w:t>
      </w:r>
      <w:r>
        <w:rPr>
          <w:spacing w:val="-18"/>
        </w:rPr>
        <w:t> </w:t>
      </w:r>
      <w:r>
        <w:rPr/>
        <w:t>priorité,</w:t>
      </w:r>
      <w:r>
        <w:rPr>
          <w:spacing w:val="-19"/>
        </w:rPr>
        <w:t> </w:t>
      </w:r>
      <w:r>
        <w:rPr/>
        <w:t>à</w:t>
      </w:r>
      <w:r>
        <w:rPr>
          <w:spacing w:val="-18"/>
        </w:rPr>
        <w:t> </w:t>
      </w:r>
      <w:r>
        <w:rPr/>
        <w:t>l’un</w:t>
      </w:r>
      <w:r>
        <w:rPr>
          <w:spacing w:val="-17"/>
        </w:rPr>
        <w:t> </w:t>
      </w:r>
      <w:r>
        <w:rPr/>
        <w:t>des critères suivants</w:t>
      </w:r>
      <w:r>
        <w:rPr>
          <w:spacing w:val="2"/>
        </w:rPr>
        <w:t> </w:t>
      </w:r>
      <w:r>
        <w:rPr/>
        <w:t>:</w:t>
      </w:r>
    </w:p>
    <w:p>
      <w:pPr>
        <w:pStyle w:val="ListParagraph"/>
        <w:numPr>
          <w:ilvl w:val="4"/>
          <w:numId w:val="76"/>
        </w:numPr>
        <w:tabs>
          <w:tab w:pos="1000" w:val="left" w:leader="none"/>
        </w:tabs>
        <w:spacing w:line="342" w:lineRule="exact" w:before="117" w:after="0"/>
        <w:ind w:left="999" w:right="0" w:hanging="284"/>
        <w:jc w:val="left"/>
        <w:rPr>
          <w:sz w:val="28"/>
        </w:rPr>
      </w:pPr>
      <w:r>
        <w:rPr>
          <w:sz w:val="28"/>
        </w:rPr>
        <w:t>Des producteurs de matières</w:t>
      </w:r>
      <w:r>
        <w:rPr>
          <w:spacing w:val="1"/>
          <w:sz w:val="28"/>
        </w:rPr>
        <w:t> </w:t>
      </w:r>
      <w:r>
        <w:rPr>
          <w:sz w:val="28"/>
        </w:rPr>
        <w:t>premières,</w:t>
      </w:r>
    </w:p>
    <w:p>
      <w:pPr>
        <w:pStyle w:val="ListParagraph"/>
        <w:numPr>
          <w:ilvl w:val="4"/>
          <w:numId w:val="76"/>
        </w:numPr>
        <w:tabs>
          <w:tab w:pos="1000" w:val="left" w:leader="none"/>
        </w:tabs>
        <w:spacing w:line="240" w:lineRule="auto" w:before="0" w:after="0"/>
        <w:ind w:left="999" w:right="759" w:hanging="284"/>
        <w:jc w:val="left"/>
        <w:rPr>
          <w:sz w:val="28"/>
        </w:rPr>
      </w:pPr>
      <w:r>
        <w:rPr>
          <w:sz w:val="28"/>
        </w:rPr>
        <w:t>Des traders ayant l’assurance des producteurs de leurs fournir de la matière première,</w:t>
      </w:r>
    </w:p>
    <w:p>
      <w:pPr>
        <w:pStyle w:val="ListParagraph"/>
        <w:numPr>
          <w:ilvl w:val="4"/>
          <w:numId w:val="76"/>
        </w:numPr>
        <w:tabs>
          <w:tab w:pos="1000" w:val="left" w:leader="none"/>
        </w:tabs>
        <w:spacing w:line="343" w:lineRule="exact" w:before="0" w:after="0"/>
        <w:ind w:left="999" w:right="0" w:hanging="284"/>
        <w:jc w:val="left"/>
        <w:rPr>
          <w:sz w:val="28"/>
        </w:rPr>
      </w:pPr>
      <w:r>
        <w:rPr>
          <w:sz w:val="28"/>
        </w:rPr>
        <w:t>À défaut, des traders ayant la capacité de fournir des quantités</w:t>
      </w:r>
      <w:r>
        <w:rPr>
          <w:spacing w:val="-16"/>
          <w:sz w:val="28"/>
        </w:rPr>
        <w:t> </w:t>
      </w:r>
      <w:r>
        <w:rPr>
          <w:sz w:val="28"/>
        </w:rPr>
        <w:t>contractuelles.</w:t>
      </w:r>
    </w:p>
    <w:p>
      <w:pPr>
        <w:pStyle w:val="BodyText"/>
        <w:spacing w:before="120"/>
        <w:ind w:right="751"/>
      </w:pPr>
      <w:r>
        <w:rPr/>
        <w:t>Une liste des producteurs et  des  traders  est  arrêtée  à  l’avance  et  mise  à  jour annuellement par la DCAMP selon des critères de choix technique, commercial ou autres critères objectifs qui s’intègrent dans la stratégie du GCT. Cette liste est soumise à l’approbation de la</w:t>
      </w:r>
      <w:r>
        <w:rPr>
          <w:spacing w:val="-2"/>
        </w:rPr>
        <w:t> </w:t>
      </w:r>
      <w:r>
        <w:rPr/>
        <w:t>CME.</w:t>
      </w:r>
    </w:p>
    <w:p>
      <w:pPr>
        <w:spacing w:after="0"/>
        <w:sectPr>
          <w:pgSz w:w="11910" w:h="16840"/>
          <w:pgMar w:header="722" w:footer="0" w:top="1860" w:bottom="280" w:left="700" w:right="380"/>
        </w:sectPr>
      </w:pPr>
    </w:p>
    <w:p>
      <w:pPr>
        <w:pStyle w:val="BodyText"/>
        <w:spacing w:before="8"/>
        <w:ind w:left="0" w:firstLine="0"/>
        <w:jc w:val="left"/>
        <w:rPr>
          <w:sz w:val="16"/>
        </w:rPr>
      </w:pPr>
    </w:p>
    <w:p>
      <w:pPr>
        <w:pStyle w:val="Heading2"/>
        <w:numPr>
          <w:ilvl w:val="3"/>
          <w:numId w:val="76"/>
        </w:numPr>
        <w:tabs>
          <w:tab w:pos="1422" w:val="left" w:leader="none"/>
        </w:tabs>
        <w:spacing w:line="240" w:lineRule="auto" w:before="89" w:after="0"/>
        <w:ind w:left="1421" w:right="0" w:hanging="989"/>
        <w:jc w:val="both"/>
      </w:pPr>
      <w:r>
        <w:rPr/>
        <w:t>Sélection des</w:t>
      </w:r>
      <w:r>
        <w:rPr>
          <w:spacing w:val="1"/>
        </w:rPr>
        <w:t> </w:t>
      </w:r>
      <w:r>
        <w:rPr/>
        <w:t>fournisseurs</w:t>
      </w:r>
    </w:p>
    <w:p>
      <w:pPr>
        <w:pStyle w:val="BodyText"/>
        <w:spacing w:before="115"/>
        <w:ind w:right="760"/>
      </w:pPr>
      <w:r>
        <w:rPr/>
        <w:t>La DCAMP se charge des travaux préparatifs pour l’élaboration des nouveaux contrats cadres.</w:t>
      </w:r>
    </w:p>
    <w:p>
      <w:pPr>
        <w:pStyle w:val="BodyText"/>
        <w:spacing w:before="121"/>
        <w:ind w:right="761"/>
      </w:pPr>
      <w:r>
        <w:rPr/>
        <w:t>Le choix des nouveaux fournisseurs doit émaner de la liste des fournisseurs déjà approuvée par la CME.</w:t>
      </w:r>
    </w:p>
    <w:p>
      <w:pPr>
        <w:pStyle w:val="BodyText"/>
        <w:spacing w:before="119"/>
        <w:ind w:right="750"/>
      </w:pPr>
      <w:r>
        <w:rPr/>
        <w:t>La</w:t>
      </w:r>
      <w:r>
        <w:rPr>
          <w:spacing w:val="-17"/>
        </w:rPr>
        <w:t> </w:t>
      </w:r>
      <w:r>
        <w:rPr/>
        <w:t>CME</w:t>
      </w:r>
      <w:r>
        <w:rPr>
          <w:spacing w:val="-18"/>
        </w:rPr>
        <w:t> </w:t>
      </w:r>
      <w:r>
        <w:rPr/>
        <w:t>se</w:t>
      </w:r>
      <w:r>
        <w:rPr>
          <w:spacing w:val="-16"/>
        </w:rPr>
        <w:t> </w:t>
      </w:r>
      <w:r>
        <w:rPr/>
        <w:t>réunit</w:t>
      </w:r>
      <w:r>
        <w:rPr>
          <w:spacing w:val="-15"/>
        </w:rPr>
        <w:t> </w:t>
      </w:r>
      <w:r>
        <w:rPr/>
        <w:t>sur</w:t>
      </w:r>
      <w:r>
        <w:rPr>
          <w:spacing w:val="-19"/>
        </w:rPr>
        <w:t> </w:t>
      </w:r>
      <w:r>
        <w:rPr/>
        <w:t>convocation</w:t>
      </w:r>
      <w:r>
        <w:rPr>
          <w:spacing w:val="-16"/>
        </w:rPr>
        <w:t> </w:t>
      </w:r>
      <w:r>
        <w:rPr/>
        <w:t>de</w:t>
      </w:r>
      <w:r>
        <w:rPr>
          <w:spacing w:val="-16"/>
        </w:rPr>
        <w:t> </w:t>
      </w:r>
      <w:r>
        <w:rPr/>
        <w:t>son</w:t>
      </w:r>
      <w:r>
        <w:rPr>
          <w:spacing w:val="-15"/>
        </w:rPr>
        <w:t> </w:t>
      </w:r>
      <w:r>
        <w:rPr/>
        <w:t>président</w:t>
      </w:r>
      <w:r>
        <w:rPr>
          <w:spacing w:val="-15"/>
        </w:rPr>
        <w:t> </w:t>
      </w:r>
      <w:r>
        <w:rPr/>
        <w:t>chaque</w:t>
      </w:r>
      <w:r>
        <w:rPr>
          <w:spacing w:val="-17"/>
        </w:rPr>
        <w:t> </w:t>
      </w:r>
      <w:r>
        <w:rPr/>
        <w:t>fois</w:t>
      </w:r>
      <w:r>
        <w:rPr>
          <w:spacing w:val="-15"/>
        </w:rPr>
        <w:t> </w:t>
      </w:r>
      <w:r>
        <w:rPr/>
        <w:t>qu'il</w:t>
      </w:r>
      <w:r>
        <w:rPr>
          <w:spacing w:val="-16"/>
        </w:rPr>
        <w:t> </w:t>
      </w:r>
      <w:r>
        <w:rPr/>
        <w:t>est</w:t>
      </w:r>
      <w:r>
        <w:rPr>
          <w:spacing w:val="-15"/>
        </w:rPr>
        <w:t> </w:t>
      </w:r>
      <w:r>
        <w:rPr/>
        <w:t>nécessaire et dans des délais raisonnables pour valider la sélection des fournisseurs et ce à l’occasion d’une note présentée par la DCAMP à ce</w:t>
      </w:r>
      <w:r>
        <w:rPr>
          <w:spacing w:val="-11"/>
        </w:rPr>
        <w:t> </w:t>
      </w:r>
      <w:r>
        <w:rPr/>
        <w:t>sujet.</w:t>
      </w:r>
    </w:p>
    <w:p>
      <w:pPr>
        <w:pStyle w:val="BodyText"/>
        <w:spacing w:before="120"/>
        <w:ind w:right="750"/>
      </w:pPr>
      <w:r>
        <w:rPr/>
        <w:t>La CME ne peut délibérer valablement qu'en présence de la majorité de ses membres. Faute de quorum, tout membre de la CME peut déléguer au président ou à un autre membre de la CME.</w:t>
      </w:r>
    </w:p>
    <w:p>
      <w:pPr>
        <w:pStyle w:val="BodyText"/>
        <w:spacing w:before="121"/>
        <w:ind w:right="752"/>
      </w:pPr>
      <w:r>
        <w:rPr/>
        <w:t>Les décisions de la CME sont prises à la majorité des voix de ses membres présents. En cas d'égalité des voix, celle du président est prépondérante.</w:t>
      </w:r>
    </w:p>
    <w:p>
      <w:pPr>
        <w:pStyle w:val="BodyText"/>
        <w:spacing w:before="119"/>
        <w:ind w:right="763"/>
      </w:pPr>
      <w:r>
        <w:rPr/>
        <w:t>Le président de la CME peut désigner un ou plusieurs membres de la CME pour suivre et assister aux étapes de négociation du nouveau contrat cadre à établir.</w:t>
      </w:r>
    </w:p>
    <w:p>
      <w:pPr>
        <w:pStyle w:val="Heading2"/>
        <w:numPr>
          <w:ilvl w:val="3"/>
          <w:numId w:val="76"/>
        </w:numPr>
        <w:tabs>
          <w:tab w:pos="1422" w:val="left" w:leader="none"/>
        </w:tabs>
        <w:spacing w:line="240" w:lineRule="auto" w:before="125" w:after="0"/>
        <w:ind w:left="1421" w:right="0" w:hanging="989"/>
        <w:jc w:val="both"/>
      </w:pPr>
      <w:r>
        <w:rPr/>
        <w:t>Négociation et Etablissement des</w:t>
      </w:r>
      <w:r>
        <w:rPr>
          <w:spacing w:val="-5"/>
        </w:rPr>
        <w:t> </w:t>
      </w:r>
      <w:r>
        <w:rPr/>
        <w:t>contrats-cadres</w:t>
      </w:r>
    </w:p>
    <w:p>
      <w:pPr>
        <w:pStyle w:val="BodyText"/>
        <w:spacing w:before="117"/>
        <w:ind w:right="754"/>
      </w:pPr>
      <w:r>
        <w:rPr/>
        <w:t>Il est à noter que les contrats cadres stipulent essentiellement l’engagement des fournisseurs de fournir au GCT des quantités annuelles convenues et fixent les modalités et conditions de livraison.</w:t>
      </w:r>
    </w:p>
    <w:p>
      <w:pPr>
        <w:pStyle w:val="BodyText"/>
        <w:spacing w:before="119"/>
        <w:ind w:right="756"/>
      </w:pPr>
      <w:r>
        <w:rPr/>
        <w:t>Les</w:t>
      </w:r>
      <w:r>
        <w:rPr>
          <w:spacing w:val="-8"/>
        </w:rPr>
        <w:t> </w:t>
      </w:r>
      <w:r>
        <w:rPr/>
        <w:t>prix</w:t>
      </w:r>
      <w:r>
        <w:rPr>
          <w:spacing w:val="-11"/>
        </w:rPr>
        <w:t> </w:t>
      </w:r>
      <w:r>
        <w:rPr/>
        <w:t>de</w:t>
      </w:r>
      <w:r>
        <w:rPr>
          <w:spacing w:val="-9"/>
        </w:rPr>
        <w:t> </w:t>
      </w:r>
      <w:r>
        <w:rPr/>
        <w:t>ces</w:t>
      </w:r>
      <w:r>
        <w:rPr>
          <w:spacing w:val="-8"/>
        </w:rPr>
        <w:t> </w:t>
      </w:r>
      <w:r>
        <w:rPr/>
        <w:t>matières</w:t>
      </w:r>
      <w:r>
        <w:rPr>
          <w:spacing w:val="-10"/>
        </w:rPr>
        <w:t> </w:t>
      </w:r>
      <w:r>
        <w:rPr/>
        <w:t>premières</w:t>
      </w:r>
      <w:r>
        <w:rPr>
          <w:spacing w:val="-8"/>
        </w:rPr>
        <w:t> </w:t>
      </w:r>
      <w:r>
        <w:rPr/>
        <w:t>étant</w:t>
      </w:r>
      <w:r>
        <w:rPr>
          <w:spacing w:val="-11"/>
        </w:rPr>
        <w:t> </w:t>
      </w:r>
      <w:r>
        <w:rPr/>
        <w:t>fluctuants</w:t>
      </w:r>
      <w:r>
        <w:rPr>
          <w:spacing w:val="-8"/>
        </w:rPr>
        <w:t> </w:t>
      </w:r>
      <w:r>
        <w:rPr/>
        <w:t>durant</w:t>
      </w:r>
      <w:r>
        <w:rPr>
          <w:spacing w:val="-9"/>
        </w:rPr>
        <w:t> </w:t>
      </w:r>
      <w:r>
        <w:rPr/>
        <w:t>l’année</w:t>
      </w:r>
      <w:r>
        <w:rPr>
          <w:spacing w:val="-10"/>
        </w:rPr>
        <w:t> </w:t>
      </w:r>
      <w:r>
        <w:rPr/>
        <w:t>contractuelle</w:t>
      </w:r>
      <w:r>
        <w:rPr>
          <w:spacing w:val="-11"/>
        </w:rPr>
        <w:t> </w:t>
      </w:r>
      <w:r>
        <w:rPr/>
        <w:t>et peuvent être fixés soit à la base de formules convenues entre les deux parties tenant compte des indexes de prix publiés régulièrement dans les revues spécialisées ou négociés directement à des périodes convenues (généralement par trimestre) par l’établissement des</w:t>
      </w:r>
      <w:r>
        <w:rPr>
          <w:spacing w:val="1"/>
        </w:rPr>
        <w:t> </w:t>
      </w:r>
      <w:r>
        <w:rPr/>
        <w:t>avenants.</w:t>
      </w:r>
    </w:p>
    <w:p>
      <w:pPr>
        <w:pStyle w:val="BodyText"/>
        <w:spacing w:before="121"/>
        <w:ind w:right="759"/>
      </w:pPr>
      <w:r>
        <w:rPr/>
        <w:t>A la lumière des négociations effectuées avec les fournisseurs, la DCAMP prépare, en concertation avec les fournisseurs sélectionnés des projets de contrats.</w:t>
      </w:r>
    </w:p>
    <w:p>
      <w:pPr>
        <w:pStyle w:val="BodyText"/>
        <w:spacing w:before="119"/>
        <w:ind w:right="761"/>
      </w:pPr>
      <w:r>
        <w:rPr/>
        <w:t>Les projets de contrats indiquent la durée pour laquelle il est conclu et doivent comporter une clause de tacite reconduction sans que la durée globale du contrat ne dépasse trois années et exceptionnellement, cinq années.</w:t>
      </w:r>
    </w:p>
    <w:p>
      <w:pPr>
        <w:pStyle w:val="BodyText"/>
        <w:spacing w:before="122"/>
        <w:ind w:right="755"/>
      </w:pPr>
      <w:r>
        <w:rPr/>
        <w:t>La reconduction est faiteselon la satisfaction de la bonne exécution et prévoient, principalement, les tonnages annuels, les spécifications techniques de la matière première, les conditions commerciales (déchargement, planning des livraisons…) et les conditions financières (mode de fixation du prix et conditions de paiement).</w:t>
      </w:r>
    </w:p>
    <w:p>
      <w:pPr>
        <w:pStyle w:val="BodyText"/>
        <w:spacing w:before="119"/>
        <w:ind w:right="752"/>
      </w:pPr>
      <w:r>
        <w:rPr/>
        <w:t>Les</w:t>
      </w:r>
      <w:r>
        <w:rPr>
          <w:spacing w:val="-9"/>
        </w:rPr>
        <w:t> </w:t>
      </w:r>
      <w:r>
        <w:rPr/>
        <w:t>clauses</w:t>
      </w:r>
      <w:r>
        <w:rPr>
          <w:spacing w:val="-8"/>
        </w:rPr>
        <w:t> </w:t>
      </w:r>
      <w:r>
        <w:rPr/>
        <w:t>des</w:t>
      </w:r>
      <w:r>
        <w:rPr>
          <w:spacing w:val="-9"/>
        </w:rPr>
        <w:t> </w:t>
      </w:r>
      <w:r>
        <w:rPr/>
        <w:t>contrats</w:t>
      </w:r>
      <w:r>
        <w:rPr>
          <w:spacing w:val="-8"/>
        </w:rPr>
        <w:t> </w:t>
      </w:r>
      <w:r>
        <w:rPr/>
        <w:t>sont</w:t>
      </w:r>
      <w:r>
        <w:rPr>
          <w:spacing w:val="-9"/>
        </w:rPr>
        <w:t> </w:t>
      </w:r>
      <w:r>
        <w:rPr/>
        <w:t>négociées</w:t>
      </w:r>
      <w:r>
        <w:rPr>
          <w:spacing w:val="-8"/>
        </w:rPr>
        <w:t> </w:t>
      </w:r>
      <w:r>
        <w:rPr/>
        <w:t>par</w:t>
      </w:r>
      <w:r>
        <w:rPr>
          <w:spacing w:val="-11"/>
        </w:rPr>
        <w:t> </w:t>
      </w:r>
      <w:r>
        <w:rPr/>
        <w:t>la</w:t>
      </w:r>
      <w:r>
        <w:rPr>
          <w:spacing w:val="-10"/>
        </w:rPr>
        <w:t> </w:t>
      </w:r>
      <w:r>
        <w:rPr/>
        <w:t>DCAMP</w:t>
      </w:r>
      <w:r>
        <w:rPr>
          <w:spacing w:val="-9"/>
        </w:rPr>
        <w:t> </w:t>
      </w:r>
      <w:r>
        <w:rPr/>
        <w:t>avec</w:t>
      </w:r>
      <w:r>
        <w:rPr>
          <w:spacing w:val="-9"/>
        </w:rPr>
        <w:t> </w:t>
      </w:r>
      <w:r>
        <w:rPr/>
        <w:t>le</w:t>
      </w:r>
      <w:r>
        <w:rPr>
          <w:spacing w:val="-10"/>
        </w:rPr>
        <w:t> </w:t>
      </w:r>
      <w:r>
        <w:rPr/>
        <w:t>fournisseur</w:t>
      </w:r>
      <w:r>
        <w:rPr>
          <w:spacing w:val="-9"/>
        </w:rPr>
        <w:t> </w:t>
      </w:r>
      <w:r>
        <w:rPr/>
        <w:t>et</w:t>
      </w:r>
      <w:r>
        <w:rPr>
          <w:spacing w:val="-9"/>
        </w:rPr>
        <w:t> </w:t>
      </w:r>
      <w:r>
        <w:rPr/>
        <w:t>sont soumis à l'avis des structures chargées des affaires juridiques, financières et d’affrètement</w:t>
      </w:r>
      <w:r>
        <w:rPr>
          <w:spacing w:val="-7"/>
        </w:rPr>
        <w:t> </w:t>
      </w:r>
      <w:r>
        <w:rPr/>
        <w:t>(si</w:t>
      </w:r>
      <w:r>
        <w:rPr>
          <w:spacing w:val="-7"/>
        </w:rPr>
        <w:t> </w:t>
      </w:r>
      <w:r>
        <w:rPr/>
        <w:t>nécessaire)</w:t>
      </w:r>
      <w:r>
        <w:rPr>
          <w:spacing w:val="-9"/>
        </w:rPr>
        <w:t> </w:t>
      </w:r>
      <w:r>
        <w:rPr/>
        <w:t>dans</w:t>
      </w:r>
      <w:r>
        <w:rPr>
          <w:spacing w:val="-7"/>
        </w:rPr>
        <w:t> </w:t>
      </w:r>
      <w:r>
        <w:rPr/>
        <w:t>l'esprit</w:t>
      </w:r>
      <w:r>
        <w:rPr>
          <w:spacing w:val="-7"/>
        </w:rPr>
        <w:t> </w:t>
      </w:r>
      <w:r>
        <w:rPr/>
        <w:t>de</w:t>
      </w:r>
      <w:r>
        <w:rPr>
          <w:spacing w:val="-7"/>
        </w:rPr>
        <w:t> </w:t>
      </w:r>
      <w:r>
        <w:rPr/>
        <w:t>les</w:t>
      </w:r>
      <w:r>
        <w:rPr>
          <w:spacing w:val="-6"/>
        </w:rPr>
        <w:t> </w:t>
      </w:r>
      <w:r>
        <w:rPr/>
        <w:t>aligner</w:t>
      </w:r>
      <w:r>
        <w:rPr>
          <w:spacing w:val="-6"/>
        </w:rPr>
        <w:t> </w:t>
      </w:r>
      <w:r>
        <w:rPr/>
        <w:t>dans</w:t>
      </w:r>
      <w:r>
        <w:rPr>
          <w:spacing w:val="-7"/>
        </w:rPr>
        <w:t> </w:t>
      </w:r>
      <w:r>
        <w:rPr/>
        <w:t>la</w:t>
      </w:r>
      <w:r>
        <w:rPr>
          <w:spacing w:val="-10"/>
        </w:rPr>
        <w:t> </w:t>
      </w:r>
      <w:r>
        <w:rPr/>
        <w:t>mesure</w:t>
      </w:r>
      <w:r>
        <w:rPr>
          <w:spacing w:val="-6"/>
        </w:rPr>
        <w:t> </w:t>
      </w:r>
      <w:r>
        <w:rPr/>
        <w:t>du</w:t>
      </w:r>
      <w:r>
        <w:rPr>
          <w:spacing w:val="-7"/>
        </w:rPr>
        <w:t> </w:t>
      </w:r>
      <w:r>
        <w:rPr/>
        <w:t>possible</w:t>
      </w:r>
      <w:r>
        <w:rPr>
          <w:spacing w:val="-8"/>
        </w:rPr>
        <w:t> </w:t>
      </w:r>
      <w:r>
        <w:rPr/>
        <w:t>à</w:t>
      </w:r>
      <w:r>
        <w:rPr>
          <w:spacing w:val="-7"/>
        </w:rPr>
        <w:t> </w:t>
      </w:r>
      <w:r>
        <w:rPr/>
        <w:t>la législation tunisienne et préserver les droits du</w:t>
      </w:r>
      <w:r>
        <w:rPr>
          <w:spacing w:val="-5"/>
        </w:rPr>
        <w:t> </w:t>
      </w:r>
      <w:r>
        <w:rPr/>
        <w:t>GCT.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3"/>
      </w:pPr>
      <w:r>
        <w:rPr/>
        <w:t>Les</w:t>
      </w:r>
      <w:r>
        <w:rPr>
          <w:spacing w:val="-7"/>
        </w:rPr>
        <w:t> </w:t>
      </w:r>
      <w:r>
        <w:rPr/>
        <w:t>projets</w:t>
      </w:r>
      <w:r>
        <w:rPr>
          <w:spacing w:val="-7"/>
        </w:rPr>
        <w:t> </w:t>
      </w:r>
      <w:r>
        <w:rPr/>
        <w:t>de</w:t>
      </w:r>
      <w:r>
        <w:rPr>
          <w:spacing w:val="-9"/>
        </w:rPr>
        <w:t> </w:t>
      </w:r>
      <w:r>
        <w:rPr/>
        <w:t>contrats</w:t>
      </w:r>
      <w:r>
        <w:rPr>
          <w:spacing w:val="-7"/>
        </w:rPr>
        <w:t> </w:t>
      </w:r>
      <w:r>
        <w:rPr/>
        <w:t>finalisés</w:t>
      </w:r>
      <w:r>
        <w:rPr>
          <w:spacing w:val="-7"/>
        </w:rPr>
        <w:t> </w:t>
      </w:r>
      <w:r>
        <w:rPr/>
        <w:t>sont</w:t>
      </w:r>
      <w:r>
        <w:rPr>
          <w:spacing w:val="-7"/>
        </w:rPr>
        <w:t> </w:t>
      </w:r>
      <w:r>
        <w:rPr/>
        <w:t>soumis</w:t>
      </w:r>
      <w:r>
        <w:rPr>
          <w:spacing w:val="-8"/>
        </w:rPr>
        <w:t> </w:t>
      </w:r>
      <w:r>
        <w:rPr/>
        <w:t>à</w:t>
      </w:r>
      <w:r>
        <w:rPr>
          <w:spacing w:val="-8"/>
        </w:rPr>
        <w:t> </w:t>
      </w:r>
      <w:r>
        <w:rPr/>
        <w:t>l'avis</w:t>
      </w:r>
      <w:r>
        <w:rPr>
          <w:spacing w:val="-3"/>
        </w:rPr>
        <w:t> </w:t>
      </w:r>
      <w:r>
        <w:rPr/>
        <w:t>de</w:t>
      </w:r>
      <w:r>
        <w:rPr>
          <w:spacing w:val="-8"/>
        </w:rPr>
        <w:t> </w:t>
      </w:r>
      <w:r>
        <w:rPr/>
        <w:t>la</w:t>
      </w:r>
      <w:r>
        <w:rPr>
          <w:spacing w:val="-7"/>
        </w:rPr>
        <w:t> </w:t>
      </w:r>
      <w:r>
        <w:rPr/>
        <w:t>Commission</w:t>
      </w:r>
      <w:r>
        <w:rPr>
          <w:spacing w:val="-7"/>
        </w:rPr>
        <w:t> </w:t>
      </w:r>
      <w:r>
        <w:rPr/>
        <w:t>de</w:t>
      </w:r>
      <w:r>
        <w:rPr>
          <w:spacing w:val="-9"/>
        </w:rPr>
        <w:t> </w:t>
      </w:r>
      <w:r>
        <w:rPr/>
        <w:t>Marché de l’Entreprise (CME). Suite à la réception de l’avis de la CME, la DCAMP prépare une note de présentation du dossier d’attribution du marché cadre et la soumet au Conseil d’Administration pour</w:t>
      </w:r>
      <w:r>
        <w:rPr>
          <w:spacing w:val="-6"/>
        </w:rPr>
        <w:t> </w:t>
      </w:r>
      <w:r>
        <w:rPr/>
        <w:t>approbation.</w:t>
      </w:r>
    </w:p>
    <w:p>
      <w:pPr>
        <w:pStyle w:val="BodyText"/>
        <w:spacing w:before="121"/>
        <w:ind w:right="754" w:firstLine="708"/>
      </w:pPr>
      <w:r>
        <w:rPr/>
        <w:t>L’avis de la CME est consultatif pour le Conseil d'administration. Toutefois, dans</w:t>
      </w:r>
      <w:r>
        <w:rPr>
          <w:spacing w:val="-10"/>
        </w:rPr>
        <w:t> </w:t>
      </w:r>
      <w:r>
        <w:rPr/>
        <w:t>le</w:t>
      </w:r>
      <w:r>
        <w:rPr>
          <w:spacing w:val="-10"/>
        </w:rPr>
        <w:t> </w:t>
      </w:r>
      <w:r>
        <w:rPr/>
        <w:t>cas</w:t>
      </w:r>
      <w:r>
        <w:rPr>
          <w:spacing w:val="-8"/>
        </w:rPr>
        <w:t> </w:t>
      </w:r>
      <w:r>
        <w:rPr/>
        <w:t>où</w:t>
      </w:r>
      <w:r>
        <w:rPr>
          <w:spacing w:val="-9"/>
        </w:rPr>
        <w:t> </w:t>
      </w:r>
      <w:r>
        <w:rPr/>
        <w:t>le</w:t>
      </w:r>
      <w:r>
        <w:rPr>
          <w:spacing w:val="-8"/>
        </w:rPr>
        <w:t> </w:t>
      </w:r>
      <w:r>
        <w:rPr/>
        <w:t>conseil</w:t>
      </w:r>
      <w:r>
        <w:rPr>
          <w:spacing w:val="-9"/>
        </w:rPr>
        <w:t> </w:t>
      </w:r>
      <w:r>
        <w:rPr/>
        <w:t>d'administration</w:t>
      </w:r>
      <w:r>
        <w:rPr>
          <w:spacing w:val="-9"/>
        </w:rPr>
        <w:t> </w:t>
      </w:r>
      <w:r>
        <w:rPr/>
        <w:t>passe</w:t>
      </w:r>
      <w:r>
        <w:rPr>
          <w:spacing w:val="-8"/>
        </w:rPr>
        <w:t> </w:t>
      </w:r>
      <w:r>
        <w:rPr/>
        <w:t>outre</w:t>
      </w:r>
      <w:r>
        <w:rPr>
          <w:spacing w:val="-10"/>
        </w:rPr>
        <w:t> </w:t>
      </w:r>
      <w:r>
        <w:rPr/>
        <w:t>l'avis</w:t>
      </w:r>
      <w:r>
        <w:rPr>
          <w:spacing w:val="-9"/>
        </w:rPr>
        <w:t> </w:t>
      </w:r>
      <w:r>
        <w:rPr/>
        <w:t>de</w:t>
      </w:r>
      <w:r>
        <w:rPr>
          <w:spacing w:val="-10"/>
        </w:rPr>
        <w:t> </w:t>
      </w:r>
      <w:r>
        <w:rPr/>
        <w:t>la</w:t>
      </w:r>
      <w:r>
        <w:rPr>
          <w:spacing w:val="-10"/>
        </w:rPr>
        <w:t> </w:t>
      </w:r>
      <w:r>
        <w:rPr/>
        <w:t>CME</w:t>
      </w:r>
      <w:r>
        <w:rPr>
          <w:spacing w:val="-9"/>
        </w:rPr>
        <w:t> </w:t>
      </w:r>
      <w:r>
        <w:rPr/>
        <w:t>ou</w:t>
      </w:r>
      <w:r>
        <w:rPr>
          <w:spacing w:val="-7"/>
        </w:rPr>
        <w:t> </w:t>
      </w:r>
      <w:r>
        <w:rPr/>
        <w:t>lorsque</w:t>
      </w:r>
      <w:r>
        <w:rPr>
          <w:spacing w:val="-10"/>
        </w:rPr>
        <w:t> </w:t>
      </w:r>
      <w:r>
        <w:rPr/>
        <w:t>l'avis de la CME comporte des réserves ou oppositions émises par le contrôleur d'Etat, le Conseil</w:t>
      </w:r>
      <w:r>
        <w:rPr>
          <w:spacing w:val="-6"/>
        </w:rPr>
        <w:t> </w:t>
      </w:r>
      <w:r>
        <w:rPr/>
        <w:t>d'Administration</w:t>
      </w:r>
      <w:r>
        <w:rPr>
          <w:spacing w:val="-7"/>
        </w:rPr>
        <w:t> </w:t>
      </w:r>
      <w:r>
        <w:rPr/>
        <w:t>doit,</w:t>
      </w:r>
      <w:r>
        <w:rPr>
          <w:spacing w:val="-6"/>
        </w:rPr>
        <w:t> </w:t>
      </w:r>
      <w:r>
        <w:rPr/>
        <w:t>lors</w:t>
      </w:r>
      <w:r>
        <w:rPr>
          <w:spacing w:val="-7"/>
        </w:rPr>
        <w:t> </w:t>
      </w:r>
      <w:r>
        <w:rPr/>
        <w:t>de</w:t>
      </w:r>
      <w:r>
        <w:rPr>
          <w:spacing w:val="-7"/>
        </w:rPr>
        <w:t> </w:t>
      </w:r>
      <w:r>
        <w:rPr/>
        <w:t>l'approbation</w:t>
      </w:r>
      <w:r>
        <w:rPr>
          <w:spacing w:val="-8"/>
        </w:rPr>
        <w:t> </w:t>
      </w:r>
      <w:r>
        <w:rPr/>
        <w:t>du</w:t>
      </w:r>
      <w:r>
        <w:rPr>
          <w:spacing w:val="-3"/>
        </w:rPr>
        <w:t> </w:t>
      </w:r>
      <w:r>
        <w:rPr/>
        <w:t>marché,</w:t>
      </w:r>
      <w:r>
        <w:rPr>
          <w:spacing w:val="-6"/>
        </w:rPr>
        <w:t> </w:t>
      </w:r>
      <w:r>
        <w:rPr/>
        <w:t>citer</w:t>
      </w:r>
      <w:r>
        <w:rPr>
          <w:spacing w:val="-4"/>
        </w:rPr>
        <w:t> </w:t>
      </w:r>
      <w:r>
        <w:rPr/>
        <w:t>expressément</w:t>
      </w:r>
      <w:r>
        <w:rPr>
          <w:spacing w:val="-4"/>
        </w:rPr>
        <w:t> </w:t>
      </w:r>
      <w:r>
        <w:rPr/>
        <w:t>ces réserves et oppositions dans un Procès-Verbal.</w:t>
      </w:r>
    </w:p>
    <w:p>
      <w:pPr>
        <w:pStyle w:val="Heading2"/>
        <w:numPr>
          <w:ilvl w:val="3"/>
          <w:numId w:val="76"/>
        </w:numPr>
        <w:tabs>
          <w:tab w:pos="1422" w:val="left" w:leader="none"/>
        </w:tabs>
        <w:spacing w:line="319" w:lineRule="exact" w:before="126" w:after="0"/>
        <w:ind w:left="1421" w:right="0" w:hanging="989"/>
        <w:jc w:val="both"/>
      </w:pPr>
      <w:r>
        <w:rPr/>
        <w:t>Exécution des contrats-cadres</w:t>
      </w:r>
    </w:p>
    <w:p>
      <w:pPr>
        <w:pStyle w:val="BodyText"/>
        <w:ind w:right="750"/>
      </w:pPr>
      <w:r>
        <w:rPr/>
        <w:t>La DCAMP est chargée de l'exécution des contrats, en collaboration avec les autres structures du GCT (ouverture des accréditifs, établissement des time-sheets, réclamations).</w:t>
      </w:r>
    </w:p>
    <w:p>
      <w:pPr>
        <w:pStyle w:val="Heading2"/>
        <w:numPr>
          <w:ilvl w:val="4"/>
          <w:numId w:val="77"/>
        </w:numPr>
        <w:tabs>
          <w:tab w:pos="1634" w:val="left" w:leader="none"/>
        </w:tabs>
        <w:spacing w:line="319" w:lineRule="exact" w:before="121" w:after="0"/>
        <w:ind w:left="1633" w:right="0" w:hanging="1201"/>
        <w:jc w:val="both"/>
      </w:pPr>
      <w:r>
        <w:rPr/>
        <w:t>Identification périodique des besoins</w:t>
      </w:r>
    </w:p>
    <w:p>
      <w:pPr>
        <w:pStyle w:val="BodyText"/>
        <w:ind w:right="758"/>
      </w:pPr>
      <w:r>
        <w:rPr/>
        <w:t>La DCAMP arrête avec les structures du GCT concernées (de production, commerciales, etc.) le besoin actualisé en matières premières de la période.</w:t>
      </w:r>
    </w:p>
    <w:p>
      <w:pPr>
        <w:pStyle w:val="BodyText"/>
        <w:spacing w:before="119"/>
        <w:ind w:right="753" w:firstLine="708"/>
      </w:pPr>
      <w:r>
        <w:rPr/>
        <w:t>Il est à noter que les prix des matières premières sont fixés par négociation périodique</w:t>
      </w:r>
      <w:r>
        <w:rPr>
          <w:spacing w:val="-16"/>
        </w:rPr>
        <w:t> </w:t>
      </w:r>
      <w:r>
        <w:rPr/>
        <w:t>généralement</w:t>
      </w:r>
      <w:r>
        <w:rPr>
          <w:spacing w:val="-16"/>
        </w:rPr>
        <w:t> </w:t>
      </w:r>
      <w:r>
        <w:rPr/>
        <w:t>par</w:t>
      </w:r>
      <w:r>
        <w:rPr>
          <w:spacing w:val="-17"/>
        </w:rPr>
        <w:t> </w:t>
      </w:r>
      <w:r>
        <w:rPr/>
        <w:t>trimestre</w:t>
      </w:r>
      <w:r>
        <w:rPr>
          <w:spacing w:val="-18"/>
        </w:rPr>
        <w:t> </w:t>
      </w:r>
      <w:r>
        <w:rPr/>
        <w:t>ou</w:t>
      </w:r>
      <w:r>
        <w:rPr>
          <w:spacing w:val="-16"/>
        </w:rPr>
        <w:t> </w:t>
      </w:r>
      <w:r>
        <w:rPr/>
        <w:t>par</w:t>
      </w:r>
      <w:r>
        <w:rPr>
          <w:spacing w:val="-16"/>
        </w:rPr>
        <w:t> </w:t>
      </w:r>
      <w:r>
        <w:rPr/>
        <w:t>des</w:t>
      </w:r>
      <w:r>
        <w:rPr>
          <w:spacing w:val="-14"/>
        </w:rPr>
        <w:t> </w:t>
      </w:r>
      <w:r>
        <w:rPr/>
        <w:t>prix</w:t>
      </w:r>
      <w:r>
        <w:rPr>
          <w:spacing w:val="-14"/>
        </w:rPr>
        <w:t> </w:t>
      </w:r>
      <w:r>
        <w:rPr/>
        <w:t>formules</w:t>
      </w:r>
      <w:r>
        <w:rPr>
          <w:spacing w:val="-17"/>
        </w:rPr>
        <w:t> </w:t>
      </w:r>
      <w:r>
        <w:rPr/>
        <w:t>qui</w:t>
      </w:r>
      <w:r>
        <w:rPr>
          <w:spacing w:val="-16"/>
        </w:rPr>
        <w:t> </w:t>
      </w:r>
      <w:r>
        <w:rPr/>
        <w:t>prennent</w:t>
      </w:r>
      <w:r>
        <w:rPr>
          <w:spacing w:val="-14"/>
        </w:rPr>
        <w:t> </w:t>
      </w:r>
      <w:r>
        <w:rPr/>
        <w:t>en</w:t>
      </w:r>
      <w:r>
        <w:rPr>
          <w:spacing w:val="-15"/>
        </w:rPr>
        <w:t> </w:t>
      </w:r>
      <w:r>
        <w:rPr/>
        <w:t>compte l’index des prix publiés dans les revues</w:t>
      </w:r>
      <w:r>
        <w:rPr>
          <w:spacing w:val="1"/>
        </w:rPr>
        <w:t> </w:t>
      </w:r>
      <w:r>
        <w:rPr/>
        <w:t>spécialisées.</w:t>
      </w:r>
    </w:p>
    <w:p>
      <w:pPr>
        <w:pStyle w:val="BodyText"/>
        <w:spacing w:before="119"/>
        <w:ind w:right="748" w:firstLine="708"/>
      </w:pPr>
      <w:r>
        <w:rPr/>
        <w:t>Pour les contrats ou les prix sont fixés par négociation, une note fixant les quantités pour chaque période repartie selon les fournisseurs contractuels ainsi qu'une évaluation</w:t>
      </w:r>
      <w:r>
        <w:rPr>
          <w:spacing w:val="-6"/>
        </w:rPr>
        <w:t> </w:t>
      </w:r>
      <w:r>
        <w:rPr/>
        <w:t>du</w:t>
      </w:r>
      <w:r>
        <w:rPr>
          <w:spacing w:val="-6"/>
        </w:rPr>
        <w:t> </w:t>
      </w:r>
      <w:r>
        <w:rPr/>
        <w:t>marché</w:t>
      </w:r>
      <w:r>
        <w:rPr>
          <w:spacing w:val="-7"/>
        </w:rPr>
        <w:t> </w:t>
      </w:r>
      <w:r>
        <w:rPr/>
        <w:t>et</w:t>
      </w:r>
      <w:r>
        <w:rPr>
          <w:spacing w:val="-6"/>
        </w:rPr>
        <w:t> </w:t>
      </w:r>
      <w:r>
        <w:rPr/>
        <w:t>des</w:t>
      </w:r>
      <w:r>
        <w:rPr>
          <w:spacing w:val="-7"/>
        </w:rPr>
        <w:t> </w:t>
      </w:r>
      <w:r>
        <w:rPr/>
        <w:t>prix</w:t>
      </w:r>
      <w:r>
        <w:rPr>
          <w:spacing w:val="-6"/>
        </w:rPr>
        <w:t> </w:t>
      </w:r>
      <w:r>
        <w:rPr/>
        <w:t>prévisionnels,</w:t>
      </w:r>
      <w:r>
        <w:rPr>
          <w:spacing w:val="-7"/>
        </w:rPr>
        <w:t> </w:t>
      </w:r>
      <w:r>
        <w:rPr/>
        <w:t>est</w:t>
      </w:r>
      <w:r>
        <w:rPr>
          <w:spacing w:val="-6"/>
        </w:rPr>
        <w:t> </w:t>
      </w:r>
      <w:r>
        <w:rPr/>
        <w:t>présentée</w:t>
      </w:r>
      <w:r>
        <w:rPr>
          <w:spacing w:val="-7"/>
        </w:rPr>
        <w:t> </w:t>
      </w:r>
      <w:r>
        <w:rPr/>
        <w:t>par</w:t>
      </w:r>
      <w:r>
        <w:rPr>
          <w:spacing w:val="-8"/>
        </w:rPr>
        <w:t> </w:t>
      </w:r>
      <w:r>
        <w:rPr/>
        <w:t>la</w:t>
      </w:r>
      <w:r>
        <w:rPr>
          <w:spacing w:val="-7"/>
        </w:rPr>
        <w:t> </w:t>
      </w:r>
      <w:r>
        <w:rPr/>
        <w:t>DCAMP</w:t>
      </w:r>
      <w:r>
        <w:rPr>
          <w:spacing w:val="-7"/>
        </w:rPr>
        <w:t> </w:t>
      </w:r>
      <w:r>
        <w:rPr/>
        <w:t>à</w:t>
      </w:r>
      <w:r>
        <w:rPr>
          <w:spacing w:val="-7"/>
        </w:rPr>
        <w:t> </w:t>
      </w:r>
      <w:r>
        <w:rPr/>
        <w:t>la</w:t>
      </w:r>
      <w:r>
        <w:rPr>
          <w:spacing w:val="-6"/>
        </w:rPr>
        <w:t> </w:t>
      </w:r>
      <w:r>
        <w:rPr/>
        <w:t>CME avant d’entamer les</w:t>
      </w:r>
      <w:r>
        <w:rPr>
          <w:spacing w:val="-2"/>
        </w:rPr>
        <w:t> </w:t>
      </w:r>
      <w:r>
        <w:rPr/>
        <w:t>négociations.</w:t>
      </w:r>
    </w:p>
    <w:p>
      <w:pPr>
        <w:pStyle w:val="Heading2"/>
        <w:numPr>
          <w:ilvl w:val="4"/>
          <w:numId w:val="77"/>
        </w:numPr>
        <w:tabs>
          <w:tab w:pos="1634" w:val="left" w:leader="none"/>
        </w:tabs>
        <w:spacing w:line="319" w:lineRule="exact" w:before="126" w:after="0"/>
        <w:ind w:left="1633" w:right="0" w:hanging="1201"/>
        <w:jc w:val="both"/>
      </w:pPr>
      <w:r>
        <w:rPr/>
        <w:t>Négociation des prix et passation des</w:t>
      </w:r>
      <w:r>
        <w:rPr>
          <w:spacing w:val="-1"/>
        </w:rPr>
        <w:t> </w:t>
      </w:r>
      <w:r>
        <w:rPr/>
        <w:t>commandes</w:t>
      </w:r>
    </w:p>
    <w:p>
      <w:pPr>
        <w:pStyle w:val="BodyText"/>
        <w:ind w:right="750"/>
      </w:pPr>
      <w:r>
        <w:rPr/>
        <w:t>Les négociations sont menées par le responsable de la DCAMP et sont déclenchées dans la mesure du possible par des réunions bilatérales GCT/Fournisseur présentielles ou à distance en présence des membres de la CME le cas échéant.</w:t>
      </w:r>
    </w:p>
    <w:p>
      <w:pPr>
        <w:pStyle w:val="BodyText"/>
        <w:spacing w:before="117"/>
        <w:ind w:right="758"/>
      </w:pPr>
      <w:r>
        <w:rPr/>
        <w:t>La CME demeure en session permanente jusqu’à la conclusion des accords concernant la négociation des prix. Suite à la notification de la DCAMP, le président de la CME autorise la DCAMP à entamer les négociations de prix avec la possibilité, si nécessaire, de désigner un membre ou plus de la CME pour accompagner les étapes de négociation.</w:t>
      </w:r>
    </w:p>
    <w:p>
      <w:pPr>
        <w:pStyle w:val="BodyText"/>
        <w:spacing w:before="120"/>
        <w:ind w:right="749"/>
      </w:pPr>
      <w:r>
        <w:rPr/>
        <w:t>Si</w:t>
      </w:r>
      <w:r>
        <w:rPr>
          <w:spacing w:val="-15"/>
        </w:rPr>
        <w:t> </w:t>
      </w:r>
      <w:r>
        <w:rPr/>
        <w:t>les</w:t>
      </w:r>
      <w:r>
        <w:rPr>
          <w:spacing w:val="-14"/>
        </w:rPr>
        <w:t> </w:t>
      </w:r>
      <w:r>
        <w:rPr/>
        <w:t>réunions</w:t>
      </w:r>
      <w:r>
        <w:rPr>
          <w:spacing w:val="-14"/>
        </w:rPr>
        <w:t> </w:t>
      </w:r>
      <w:r>
        <w:rPr/>
        <w:t>ne</w:t>
      </w:r>
      <w:r>
        <w:rPr>
          <w:spacing w:val="-16"/>
        </w:rPr>
        <w:t> </w:t>
      </w:r>
      <w:r>
        <w:rPr/>
        <w:t>pourront</w:t>
      </w:r>
      <w:r>
        <w:rPr>
          <w:spacing w:val="-14"/>
        </w:rPr>
        <w:t> </w:t>
      </w:r>
      <w:r>
        <w:rPr/>
        <w:t>pas</w:t>
      </w:r>
      <w:r>
        <w:rPr>
          <w:spacing w:val="-14"/>
        </w:rPr>
        <w:t> </w:t>
      </w:r>
      <w:r>
        <w:rPr/>
        <w:t>avoir</w:t>
      </w:r>
      <w:r>
        <w:rPr>
          <w:spacing w:val="-16"/>
        </w:rPr>
        <w:t> </w:t>
      </w:r>
      <w:r>
        <w:rPr/>
        <w:t>lieu</w:t>
      </w:r>
      <w:r>
        <w:rPr>
          <w:spacing w:val="-14"/>
        </w:rPr>
        <w:t> </w:t>
      </w:r>
      <w:r>
        <w:rPr/>
        <w:t>ou</w:t>
      </w:r>
      <w:r>
        <w:rPr>
          <w:spacing w:val="-16"/>
        </w:rPr>
        <w:t> </w:t>
      </w:r>
      <w:r>
        <w:rPr/>
        <w:t>que</w:t>
      </w:r>
      <w:r>
        <w:rPr>
          <w:spacing w:val="-15"/>
        </w:rPr>
        <w:t> </w:t>
      </w:r>
      <w:r>
        <w:rPr/>
        <w:t>les</w:t>
      </w:r>
      <w:r>
        <w:rPr>
          <w:spacing w:val="-15"/>
        </w:rPr>
        <w:t> </w:t>
      </w:r>
      <w:r>
        <w:rPr/>
        <w:t>conférences</w:t>
      </w:r>
      <w:r>
        <w:rPr>
          <w:spacing w:val="-14"/>
        </w:rPr>
        <w:t> </w:t>
      </w:r>
      <w:r>
        <w:rPr/>
        <w:t>n’aboutissent</w:t>
      </w:r>
      <w:r>
        <w:rPr>
          <w:spacing w:val="-5"/>
        </w:rPr>
        <w:t> </w:t>
      </w:r>
      <w:r>
        <w:rPr/>
        <w:t>pas à un accord, les négociations se poursuivent par échanges de courriers électroniques partagés avec tous les membres de la CME jusqu’à la conclusion d’un</w:t>
      </w:r>
      <w:r>
        <w:rPr>
          <w:spacing w:val="-17"/>
        </w:rPr>
        <w:t> </w:t>
      </w:r>
      <w:r>
        <w:rPr/>
        <w:t>accord.</w:t>
      </w:r>
    </w:p>
    <w:p>
      <w:pPr>
        <w:pStyle w:val="BodyText"/>
        <w:spacing w:before="122"/>
        <w:ind w:right="758"/>
      </w:pPr>
      <w:r>
        <w:rPr/>
        <w:t>A</w:t>
      </w:r>
      <w:r>
        <w:rPr>
          <w:spacing w:val="-19"/>
        </w:rPr>
        <w:t> </w:t>
      </w:r>
      <w:r>
        <w:rPr/>
        <w:t>la</w:t>
      </w:r>
      <w:r>
        <w:rPr>
          <w:spacing w:val="-17"/>
        </w:rPr>
        <w:t> </w:t>
      </w:r>
      <w:r>
        <w:rPr/>
        <w:t>fin</w:t>
      </w:r>
      <w:r>
        <w:rPr>
          <w:spacing w:val="-19"/>
        </w:rPr>
        <w:t> </w:t>
      </w:r>
      <w:r>
        <w:rPr/>
        <w:t>des</w:t>
      </w:r>
      <w:r>
        <w:rPr>
          <w:spacing w:val="-20"/>
        </w:rPr>
        <w:t> </w:t>
      </w:r>
      <w:r>
        <w:rPr/>
        <w:t>négociations,</w:t>
      </w:r>
      <w:r>
        <w:rPr>
          <w:spacing w:val="-18"/>
        </w:rPr>
        <w:t> </w:t>
      </w:r>
      <w:r>
        <w:rPr/>
        <w:t>la</w:t>
      </w:r>
      <w:r>
        <w:rPr>
          <w:spacing w:val="-17"/>
        </w:rPr>
        <w:t> </w:t>
      </w:r>
      <w:r>
        <w:rPr/>
        <w:t>DCAMP</w:t>
      </w:r>
      <w:r>
        <w:rPr>
          <w:spacing w:val="-21"/>
        </w:rPr>
        <w:t> </w:t>
      </w:r>
      <w:r>
        <w:rPr/>
        <w:t>procède</w:t>
      </w:r>
      <w:r>
        <w:rPr>
          <w:spacing w:val="-17"/>
        </w:rPr>
        <w:t> </w:t>
      </w:r>
      <w:r>
        <w:rPr/>
        <w:t>à</w:t>
      </w:r>
      <w:r>
        <w:rPr>
          <w:spacing w:val="-20"/>
        </w:rPr>
        <w:t> </w:t>
      </w:r>
      <w:r>
        <w:rPr/>
        <w:t>l’envoi</w:t>
      </w:r>
      <w:r>
        <w:rPr>
          <w:spacing w:val="-20"/>
        </w:rPr>
        <w:t> </w:t>
      </w:r>
      <w:r>
        <w:rPr/>
        <w:t>d’une</w:t>
      </w:r>
      <w:r>
        <w:rPr>
          <w:spacing w:val="-17"/>
        </w:rPr>
        <w:t> </w:t>
      </w:r>
      <w:r>
        <w:rPr/>
        <w:t>Note</w:t>
      </w:r>
      <w:r>
        <w:rPr>
          <w:spacing w:val="-20"/>
        </w:rPr>
        <w:t> </w:t>
      </w:r>
      <w:r>
        <w:rPr/>
        <w:t>par</w:t>
      </w:r>
      <w:r>
        <w:rPr>
          <w:spacing w:val="-17"/>
        </w:rPr>
        <w:t> </w:t>
      </w:r>
      <w:r>
        <w:rPr/>
        <w:t>messagerie ou</w:t>
      </w:r>
      <w:r>
        <w:rPr>
          <w:spacing w:val="17"/>
        </w:rPr>
        <w:t> </w:t>
      </w:r>
      <w:r>
        <w:rPr/>
        <w:t>par</w:t>
      </w:r>
      <w:r>
        <w:rPr>
          <w:spacing w:val="20"/>
        </w:rPr>
        <w:t> </w:t>
      </w:r>
      <w:r>
        <w:rPr/>
        <w:t>tout</w:t>
      </w:r>
      <w:r>
        <w:rPr>
          <w:spacing w:val="20"/>
        </w:rPr>
        <w:t> </w:t>
      </w:r>
      <w:r>
        <w:rPr/>
        <w:t>autre</w:t>
      </w:r>
      <w:r>
        <w:rPr>
          <w:spacing w:val="19"/>
        </w:rPr>
        <w:t> </w:t>
      </w:r>
      <w:r>
        <w:rPr/>
        <w:t>moyen,</w:t>
      </w:r>
      <w:r>
        <w:rPr>
          <w:spacing w:val="19"/>
        </w:rPr>
        <w:t> </w:t>
      </w:r>
      <w:r>
        <w:rPr/>
        <w:t>donnant</w:t>
      </w:r>
      <w:r>
        <w:rPr>
          <w:spacing w:val="20"/>
        </w:rPr>
        <w:t> </w:t>
      </w:r>
      <w:r>
        <w:rPr/>
        <w:t>une</w:t>
      </w:r>
      <w:r>
        <w:rPr>
          <w:spacing w:val="20"/>
        </w:rPr>
        <w:t> </w:t>
      </w:r>
      <w:r>
        <w:rPr/>
        <w:t>date</w:t>
      </w:r>
      <w:r>
        <w:rPr>
          <w:spacing w:val="19"/>
        </w:rPr>
        <w:t> </w:t>
      </w:r>
      <w:r>
        <w:rPr/>
        <w:t>et</w:t>
      </w:r>
      <w:r>
        <w:rPr>
          <w:spacing w:val="20"/>
        </w:rPr>
        <w:t> </w:t>
      </w:r>
      <w:r>
        <w:rPr/>
        <w:t>heure</w:t>
      </w:r>
      <w:r>
        <w:rPr>
          <w:spacing w:val="20"/>
        </w:rPr>
        <w:t> </w:t>
      </w:r>
      <w:r>
        <w:rPr/>
        <w:t>précise,</w:t>
      </w:r>
      <w:r>
        <w:rPr>
          <w:spacing w:val="19"/>
        </w:rPr>
        <w:t> </w:t>
      </w:r>
      <w:r>
        <w:rPr/>
        <w:t>à</w:t>
      </w:r>
      <w:r>
        <w:rPr>
          <w:spacing w:val="16"/>
        </w:rPr>
        <w:t> </w:t>
      </w:r>
      <w:r>
        <w:rPr/>
        <w:t>la</w:t>
      </w:r>
      <w:r>
        <w:rPr>
          <w:spacing w:val="20"/>
        </w:rPr>
        <w:t> </w:t>
      </w:r>
      <w:r>
        <w:rPr/>
        <w:t>CME</w:t>
      </w:r>
      <w:r>
        <w:rPr>
          <w:spacing w:val="18"/>
        </w:rPr>
        <w:t> </w:t>
      </w:r>
      <w:r>
        <w:rPr/>
        <w:t>contenant</w:t>
      </w:r>
      <w:r>
        <w:rPr>
          <w:spacing w:val="20"/>
        </w:rPr>
        <w:t> </w:t>
      </w:r>
      <w:r>
        <w:rPr/>
        <w:t>les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2" w:firstLine="0"/>
      </w:pPr>
      <w:r>
        <w:rPr/>
        <w:t>résultats des négociations et propose la conclusion de l’accord dans un délai raisonnable proposé par la DCAMP et convenu avec le fournisseur selon le cas.</w:t>
      </w:r>
    </w:p>
    <w:p>
      <w:pPr>
        <w:pStyle w:val="BodyText"/>
        <w:spacing w:line="242" w:lineRule="auto" w:before="119"/>
        <w:ind w:right="755"/>
      </w:pPr>
      <w:r>
        <w:rPr/>
        <w:t>Le président de la CME invite les membres pour statuer sur le sort de la négociation.</w:t>
      </w:r>
    </w:p>
    <w:p>
      <w:pPr>
        <w:pStyle w:val="BodyText"/>
        <w:spacing w:before="115"/>
        <w:ind w:right="761"/>
      </w:pPr>
      <w:r>
        <w:rPr/>
        <w:t>La décision de la CME se prend par la majorité de ses membres. En cas d'égalité des voix, celle du président est prépondérante.</w:t>
      </w:r>
    </w:p>
    <w:p>
      <w:pPr>
        <w:pStyle w:val="BodyText"/>
        <w:spacing w:before="120"/>
        <w:ind w:right="751"/>
      </w:pPr>
      <w:r>
        <w:rPr/>
        <w:t>En cas d’absence du quorum, le président de la CME réinvite dans la limite des délais accordés les membres de la CME pour statuer sur le sort de la négociation et prendre l’avis quel que soit le nombre des présents.</w:t>
      </w:r>
    </w:p>
    <w:p>
      <w:pPr>
        <w:pStyle w:val="BodyText"/>
        <w:spacing w:line="322" w:lineRule="exact" w:before="122"/>
        <w:ind w:left="999" w:firstLine="0"/>
      </w:pPr>
      <w:r>
        <w:rPr/>
        <w:t>Tout </w:t>
      </w:r>
      <w:r>
        <w:rPr>
          <w:spacing w:val="38"/>
        </w:rPr>
        <w:t> </w:t>
      </w:r>
      <w:r>
        <w:rPr/>
        <w:t>accord </w:t>
      </w:r>
      <w:r>
        <w:rPr>
          <w:spacing w:val="38"/>
        </w:rPr>
        <w:t> </w:t>
      </w:r>
      <w:r>
        <w:rPr/>
        <w:t>doit </w:t>
      </w:r>
      <w:r>
        <w:rPr>
          <w:spacing w:val="38"/>
        </w:rPr>
        <w:t> </w:t>
      </w:r>
      <w:r>
        <w:rPr/>
        <w:t>être </w:t>
      </w:r>
      <w:r>
        <w:rPr>
          <w:spacing w:val="38"/>
        </w:rPr>
        <w:t> </w:t>
      </w:r>
      <w:r>
        <w:rPr/>
        <w:t>confirmé </w:t>
      </w:r>
      <w:r>
        <w:rPr>
          <w:spacing w:val="37"/>
        </w:rPr>
        <w:t> </w:t>
      </w:r>
      <w:r>
        <w:rPr/>
        <w:t>par </w:t>
      </w:r>
      <w:r>
        <w:rPr>
          <w:spacing w:val="38"/>
        </w:rPr>
        <w:t> </w:t>
      </w:r>
      <w:r>
        <w:rPr/>
        <w:t>e-mail </w:t>
      </w:r>
      <w:r>
        <w:rPr>
          <w:spacing w:val="38"/>
        </w:rPr>
        <w:t> </w:t>
      </w:r>
      <w:r>
        <w:rPr/>
        <w:t>via </w:t>
      </w:r>
      <w:r>
        <w:rPr>
          <w:spacing w:val="37"/>
        </w:rPr>
        <w:t> </w:t>
      </w:r>
      <w:r>
        <w:rPr/>
        <w:t>le </w:t>
      </w:r>
      <w:r>
        <w:rPr>
          <w:spacing w:val="37"/>
        </w:rPr>
        <w:t> </w:t>
      </w:r>
      <w:r>
        <w:rPr/>
        <w:t>compte </w:t>
      </w:r>
      <w:r>
        <w:rPr>
          <w:spacing w:val="35"/>
        </w:rPr>
        <w:t> </w:t>
      </w:r>
      <w:r>
        <w:rPr/>
        <w:t>de </w:t>
      </w:r>
      <w:r>
        <w:rPr>
          <w:spacing w:val="37"/>
        </w:rPr>
        <w:t> </w:t>
      </w:r>
      <w:r>
        <w:rPr/>
        <w:t>messagerie</w:t>
      </w:r>
    </w:p>
    <w:p>
      <w:pPr>
        <w:pStyle w:val="BodyText"/>
        <w:ind w:right="754" w:firstLine="0"/>
      </w:pPr>
      <w:r>
        <w:rPr/>
        <w:t>«</w:t>
      </w:r>
      <w:hyperlink r:id="rId9">
        <w:r>
          <w:rPr>
            <w:b/>
          </w:rPr>
          <w:t>gct.achatmp@gct.com.tn</w:t>
        </w:r>
      </w:hyperlink>
      <w:r>
        <w:rPr/>
        <w:t>» ou à défaut par le mail du responsable de la DCAMP ayant   </w:t>
      </w:r>
      <w:r>
        <w:rPr>
          <w:spacing w:val="8"/>
        </w:rPr>
        <w:t> </w:t>
      </w:r>
      <w:r>
        <w:rPr/>
        <w:t>mené   </w:t>
      </w:r>
      <w:r>
        <w:rPr>
          <w:spacing w:val="8"/>
        </w:rPr>
        <w:t> </w:t>
      </w:r>
      <w:r>
        <w:rPr/>
        <w:t>la   </w:t>
      </w:r>
      <w:r>
        <w:rPr>
          <w:spacing w:val="5"/>
        </w:rPr>
        <w:t> </w:t>
      </w:r>
      <w:r>
        <w:rPr/>
        <w:t>négociation   </w:t>
      </w:r>
      <w:r>
        <w:rPr>
          <w:spacing w:val="11"/>
        </w:rPr>
        <w:t> </w:t>
      </w:r>
      <w:r>
        <w:rPr/>
        <w:t>;   </w:t>
      </w:r>
      <w:r>
        <w:rPr>
          <w:spacing w:val="6"/>
        </w:rPr>
        <w:t> </w:t>
      </w:r>
      <w:r>
        <w:rPr/>
        <w:t>dans   </w:t>
      </w:r>
      <w:r>
        <w:rPr>
          <w:spacing w:val="6"/>
        </w:rPr>
        <w:t> </w:t>
      </w:r>
      <w:r>
        <w:rPr/>
        <w:t>ce   </w:t>
      </w:r>
      <w:r>
        <w:rPr>
          <w:spacing w:val="9"/>
        </w:rPr>
        <w:t> </w:t>
      </w:r>
      <w:r>
        <w:rPr/>
        <w:t>cas   </w:t>
      </w:r>
      <w:r>
        <w:rPr>
          <w:spacing w:val="6"/>
        </w:rPr>
        <w:t> </w:t>
      </w:r>
      <w:r>
        <w:rPr/>
        <w:t>le   </w:t>
      </w:r>
      <w:r>
        <w:rPr>
          <w:spacing w:val="5"/>
        </w:rPr>
        <w:t> </w:t>
      </w:r>
      <w:r>
        <w:rPr/>
        <w:t>compte   </w:t>
      </w:r>
      <w:r>
        <w:rPr>
          <w:spacing w:val="5"/>
        </w:rPr>
        <w:t> </w:t>
      </w:r>
      <w:r>
        <w:rPr/>
        <w:t>de   </w:t>
      </w:r>
      <w:r>
        <w:rPr>
          <w:spacing w:val="9"/>
        </w:rPr>
        <w:t> </w:t>
      </w:r>
      <w:r>
        <w:rPr/>
        <w:t>messagerie</w:t>
      </w:r>
    </w:p>
    <w:p>
      <w:pPr>
        <w:spacing w:line="321" w:lineRule="exact" w:before="0"/>
        <w:ind w:left="433" w:right="0" w:firstLine="0"/>
        <w:jc w:val="both"/>
        <w:rPr>
          <w:sz w:val="28"/>
        </w:rPr>
      </w:pPr>
      <w:r>
        <w:rPr>
          <w:sz w:val="28"/>
        </w:rPr>
        <w:t>«</w:t>
      </w:r>
      <w:hyperlink r:id="rId9">
        <w:r>
          <w:rPr>
            <w:b/>
            <w:sz w:val="28"/>
          </w:rPr>
          <w:t>gct.achatmp@gct.com.tn</w:t>
        </w:r>
      </w:hyperlink>
      <w:r>
        <w:rPr>
          <w:sz w:val="28"/>
        </w:rPr>
        <w:t>» devrait être en copie dans tous les échanges.</w:t>
      </w:r>
    </w:p>
    <w:p>
      <w:pPr>
        <w:pStyle w:val="BodyText"/>
        <w:spacing w:before="119"/>
        <w:ind w:right="759"/>
      </w:pPr>
      <w:r>
        <w:rPr/>
        <w:t>Une fois les négociations achevées, les accords sont conclus et matérialisés par une note de confirmation de l’achat signée par le Directeur Général. Une note de synthèse récapitulative du déroulement et des résultats des négociations sera communiquée à la CME pour information.</w:t>
      </w:r>
    </w:p>
    <w:p>
      <w:pPr>
        <w:pStyle w:val="BodyText"/>
        <w:spacing w:before="121"/>
        <w:ind w:right="753"/>
      </w:pPr>
      <w:r>
        <w:rPr/>
        <w:t>Au vu des résultats conclus pour cette période dans le cadre des contrats Long Termes, une cotation de prix sur le marché du "SPOT" sera présentée à la CME pour approbation. Cette cotation servira de référence pour éventuel achats ponctuels sur la même période. En cas de fluctuation très significative, ce prix pourrait être révisé et actualisé suite à une note présentée par la DCAMP à la CME.</w:t>
      </w:r>
    </w:p>
    <w:p>
      <w:pPr>
        <w:pStyle w:val="Heading2"/>
        <w:numPr>
          <w:ilvl w:val="2"/>
          <w:numId w:val="76"/>
        </w:numPr>
        <w:tabs>
          <w:tab w:pos="1242" w:val="left" w:leader="none"/>
        </w:tabs>
        <w:spacing w:line="240" w:lineRule="auto" w:before="126" w:after="0"/>
        <w:ind w:left="433" w:right="759" w:firstLine="0"/>
        <w:jc w:val="both"/>
      </w:pPr>
      <w:bookmarkStart w:name="_TOC_250059" w:id="84"/>
      <w:bookmarkEnd w:id="84"/>
      <w:r>
        <w:rPr/>
        <w:t>Procédures de Passation des marchés ponctuels (SPOT) par négociation directe</w:t>
      </w:r>
    </w:p>
    <w:p>
      <w:pPr>
        <w:pStyle w:val="BodyText"/>
        <w:spacing w:line="316" w:lineRule="exact"/>
        <w:ind w:left="999" w:firstLine="0"/>
      </w:pPr>
      <w:r>
        <w:rPr/>
        <w:t>Le déroulement d'un achat ponctuel est comme suit :</w:t>
      </w:r>
    </w:p>
    <w:p>
      <w:pPr>
        <w:pStyle w:val="Heading2"/>
        <w:numPr>
          <w:ilvl w:val="3"/>
          <w:numId w:val="76"/>
        </w:numPr>
        <w:tabs>
          <w:tab w:pos="1422" w:val="left" w:leader="none"/>
        </w:tabs>
        <w:spacing w:line="319" w:lineRule="exact" w:before="125" w:after="0"/>
        <w:ind w:left="1421" w:right="0" w:hanging="989"/>
        <w:jc w:val="both"/>
      </w:pPr>
      <w:r>
        <w:rPr/>
        <w:t>Réception de(s)</w:t>
      </w:r>
      <w:r>
        <w:rPr>
          <w:spacing w:val="-4"/>
        </w:rPr>
        <w:t> </w:t>
      </w:r>
      <w:r>
        <w:rPr/>
        <w:t>offres</w:t>
      </w:r>
    </w:p>
    <w:p>
      <w:pPr>
        <w:pStyle w:val="BodyText"/>
        <w:spacing w:line="319" w:lineRule="exact"/>
        <w:ind w:left="999" w:firstLine="0"/>
      </w:pPr>
      <w:r>
        <w:rPr/>
        <w:t>La réception de l'offre se fait suite soit à :</w:t>
      </w:r>
    </w:p>
    <w:p>
      <w:pPr>
        <w:pStyle w:val="ListParagraph"/>
        <w:numPr>
          <w:ilvl w:val="0"/>
          <w:numId w:val="78"/>
        </w:numPr>
        <w:tabs>
          <w:tab w:pos="1646" w:val="left" w:leader="none"/>
        </w:tabs>
        <w:spacing w:line="240" w:lineRule="auto" w:before="119" w:after="0"/>
        <w:ind w:left="1645" w:right="758" w:hanging="360"/>
        <w:jc w:val="both"/>
        <w:rPr>
          <w:sz w:val="28"/>
        </w:rPr>
      </w:pPr>
      <w:r>
        <w:rPr>
          <w:sz w:val="28"/>
        </w:rPr>
        <w:t>Une demande de proposition quantitative et financière supplémentaire envoyée par la DCAMP aux fournisseurs titulaires de contrats cadres avec le GCT. A défaut, ladite demande de proposition est envoyée à trois</w:t>
      </w:r>
      <w:r>
        <w:rPr>
          <w:spacing w:val="31"/>
          <w:sz w:val="28"/>
        </w:rPr>
        <w:t> </w:t>
      </w:r>
      <w:r>
        <w:rPr>
          <w:sz w:val="28"/>
        </w:rPr>
        <w:t>autres</w:t>
      </w:r>
    </w:p>
    <w:p>
      <w:pPr>
        <w:pStyle w:val="BodyText"/>
        <w:spacing w:line="322" w:lineRule="exact" w:before="2"/>
        <w:ind w:left="1645" w:firstLine="0"/>
      </w:pPr>
      <w:r>
        <w:rPr/>
        <w:t>(03) fournisseurs non contractuels.</w:t>
      </w:r>
    </w:p>
    <w:p>
      <w:pPr>
        <w:pStyle w:val="ListParagraph"/>
        <w:numPr>
          <w:ilvl w:val="0"/>
          <w:numId w:val="78"/>
        </w:numPr>
        <w:tabs>
          <w:tab w:pos="1715" w:val="left" w:leader="none"/>
        </w:tabs>
        <w:spacing w:line="240" w:lineRule="auto" w:before="0" w:after="0"/>
        <w:ind w:left="1645" w:right="759" w:hanging="360"/>
        <w:jc w:val="both"/>
        <w:rPr>
          <w:sz w:val="28"/>
        </w:rPr>
      </w:pPr>
      <w:r>
        <w:rPr/>
        <w:tab/>
      </w:r>
      <w:r>
        <w:rPr>
          <w:sz w:val="28"/>
        </w:rPr>
        <w:t>A l'initiative propre de fournisseurs cherchant des preneurs pour des quantités disponibles.</w:t>
      </w:r>
    </w:p>
    <w:p>
      <w:pPr>
        <w:pStyle w:val="Heading2"/>
        <w:numPr>
          <w:ilvl w:val="3"/>
          <w:numId w:val="76"/>
        </w:numPr>
        <w:tabs>
          <w:tab w:pos="1422" w:val="left" w:leader="none"/>
        </w:tabs>
        <w:spacing w:line="319" w:lineRule="exact" w:before="124" w:after="0"/>
        <w:ind w:left="1421" w:right="0" w:hanging="989"/>
        <w:jc w:val="both"/>
      </w:pPr>
      <w:r>
        <w:rPr/>
        <w:t>Etude des offres</w:t>
      </w:r>
    </w:p>
    <w:p>
      <w:pPr>
        <w:pStyle w:val="BodyText"/>
        <w:spacing w:line="242" w:lineRule="auto"/>
        <w:ind w:right="758"/>
      </w:pPr>
      <w:r>
        <w:rPr/>
        <w:t>La DCAMP étudie l'opportunité de l'offre reçue par messagerie suivant quatre aspects :</w:t>
      </w:r>
    </w:p>
    <w:p>
      <w:pPr>
        <w:spacing w:after="0" w:line="242" w:lineRule="auto"/>
        <w:sectPr>
          <w:pgSz w:w="11910" w:h="16840"/>
          <w:pgMar w:header="722" w:footer="0" w:top="1860" w:bottom="280" w:left="700" w:right="380"/>
        </w:sectPr>
      </w:pPr>
    </w:p>
    <w:p>
      <w:pPr>
        <w:pStyle w:val="BodyText"/>
        <w:spacing w:before="2"/>
        <w:ind w:left="0" w:firstLine="0"/>
        <w:jc w:val="left"/>
        <w:rPr>
          <w:sz w:val="15"/>
        </w:rPr>
      </w:pPr>
    </w:p>
    <w:p>
      <w:pPr>
        <w:pStyle w:val="ListParagraph"/>
        <w:numPr>
          <w:ilvl w:val="4"/>
          <w:numId w:val="76"/>
        </w:numPr>
        <w:tabs>
          <w:tab w:pos="1000" w:val="left" w:leader="none"/>
        </w:tabs>
        <w:spacing w:line="240" w:lineRule="auto" w:before="101" w:after="0"/>
        <w:ind w:left="999" w:right="753" w:hanging="284"/>
        <w:jc w:val="left"/>
        <w:rPr>
          <w:sz w:val="28"/>
        </w:rPr>
      </w:pPr>
      <w:r>
        <w:rPr>
          <w:sz w:val="28"/>
        </w:rPr>
        <w:t>Conformité : la matière première proposée doit être conforme aux exigences techniques du</w:t>
      </w:r>
      <w:r>
        <w:rPr>
          <w:spacing w:val="-3"/>
          <w:sz w:val="28"/>
        </w:rPr>
        <w:t> </w:t>
      </w:r>
      <w:r>
        <w:rPr>
          <w:sz w:val="28"/>
        </w:rPr>
        <w:t>GCT,</w:t>
      </w:r>
    </w:p>
    <w:p>
      <w:pPr>
        <w:pStyle w:val="ListParagraph"/>
        <w:numPr>
          <w:ilvl w:val="4"/>
          <w:numId w:val="76"/>
        </w:numPr>
        <w:tabs>
          <w:tab w:pos="1000" w:val="left" w:leader="none"/>
        </w:tabs>
        <w:spacing w:line="240" w:lineRule="auto" w:before="0" w:after="0"/>
        <w:ind w:left="999" w:right="759" w:hanging="284"/>
        <w:jc w:val="left"/>
        <w:rPr>
          <w:sz w:val="28"/>
        </w:rPr>
      </w:pPr>
      <w:r>
        <w:rPr>
          <w:sz w:val="28"/>
        </w:rPr>
        <w:t>Quantité</w:t>
      </w:r>
      <w:r>
        <w:rPr>
          <w:spacing w:val="-10"/>
          <w:sz w:val="28"/>
        </w:rPr>
        <w:t> </w:t>
      </w:r>
      <w:r>
        <w:rPr>
          <w:sz w:val="28"/>
        </w:rPr>
        <w:t>:</w:t>
      </w:r>
      <w:r>
        <w:rPr>
          <w:spacing w:val="-6"/>
          <w:sz w:val="28"/>
        </w:rPr>
        <w:t> </w:t>
      </w:r>
      <w:r>
        <w:rPr>
          <w:sz w:val="28"/>
        </w:rPr>
        <w:t>les</w:t>
      </w:r>
      <w:r>
        <w:rPr>
          <w:spacing w:val="-6"/>
          <w:sz w:val="28"/>
        </w:rPr>
        <w:t> </w:t>
      </w:r>
      <w:r>
        <w:rPr>
          <w:sz w:val="28"/>
        </w:rPr>
        <w:t>quantités</w:t>
      </w:r>
      <w:r>
        <w:rPr>
          <w:spacing w:val="-5"/>
          <w:sz w:val="28"/>
        </w:rPr>
        <w:t> </w:t>
      </w:r>
      <w:r>
        <w:rPr>
          <w:sz w:val="28"/>
        </w:rPr>
        <w:t>proposées</w:t>
      </w:r>
      <w:r>
        <w:rPr>
          <w:spacing w:val="-7"/>
          <w:sz w:val="28"/>
        </w:rPr>
        <w:t> </w:t>
      </w:r>
      <w:r>
        <w:rPr>
          <w:sz w:val="28"/>
        </w:rPr>
        <w:t>par</w:t>
      </w:r>
      <w:r>
        <w:rPr>
          <w:spacing w:val="-6"/>
          <w:sz w:val="28"/>
        </w:rPr>
        <w:t> </w:t>
      </w:r>
      <w:r>
        <w:rPr>
          <w:sz w:val="28"/>
        </w:rPr>
        <w:t>le</w:t>
      </w:r>
      <w:r>
        <w:rPr>
          <w:spacing w:val="-6"/>
          <w:sz w:val="28"/>
        </w:rPr>
        <w:t> </w:t>
      </w:r>
      <w:r>
        <w:rPr>
          <w:sz w:val="28"/>
        </w:rPr>
        <w:t>(s)</w:t>
      </w:r>
      <w:r>
        <w:rPr>
          <w:spacing w:val="-7"/>
          <w:sz w:val="28"/>
        </w:rPr>
        <w:t> </w:t>
      </w:r>
      <w:r>
        <w:rPr>
          <w:sz w:val="28"/>
        </w:rPr>
        <w:t>fournisseur</w:t>
      </w:r>
      <w:r>
        <w:rPr>
          <w:spacing w:val="-6"/>
          <w:sz w:val="28"/>
        </w:rPr>
        <w:t> </w:t>
      </w:r>
      <w:r>
        <w:rPr>
          <w:sz w:val="28"/>
        </w:rPr>
        <w:t>(s)</w:t>
      </w:r>
      <w:r>
        <w:rPr>
          <w:spacing w:val="-6"/>
          <w:sz w:val="28"/>
        </w:rPr>
        <w:t> </w:t>
      </w:r>
      <w:r>
        <w:rPr>
          <w:sz w:val="28"/>
        </w:rPr>
        <w:t>doivent</w:t>
      </w:r>
      <w:r>
        <w:rPr>
          <w:spacing w:val="-6"/>
          <w:sz w:val="28"/>
        </w:rPr>
        <w:t> </w:t>
      </w:r>
      <w:r>
        <w:rPr>
          <w:sz w:val="28"/>
        </w:rPr>
        <w:t>être</w:t>
      </w:r>
      <w:r>
        <w:rPr>
          <w:spacing w:val="-7"/>
          <w:sz w:val="28"/>
        </w:rPr>
        <w:t> </w:t>
      </w:r>
      <w:r>
        <w:rPr>
          <w:sz w:val="28"/>
        </w:rPr>
        <w:t>adéquates aux besoins du</w:t>
      </w:r>
      <w:r>
        <w:rPr>
          <w:spacing w:val="-2"/>
          <w:sz w:val="28"/>
        </w:rPr>
        <w:t> </w:t>
      </w:r>
      <w:r>
        <w:rPr>
          <w:sz w:val="28"/>
        </w:rPr>
        <w:t>GCT,</w:t>
      </w:r>
    </w:p>
    <w:p>
      <w:pPr>
        <w:pStyle w:val="ListParagraph"/>
        <w:numPr>
          <w:ilvl w:val="4"/>
          <w:numId w:val="76"/>
        </w:numPr>
        <w:tabs>
          <w:tab w:pos="1000" w:val="left" w:leader="none"/>
        </w:tabs>
        <w:spacing w:line="240" w:lineRule="auto" w:before="0" w:after="0"/>
        <w:ind w:left="999" w:right="761" w:hanging="284"/>
        <w:jc w:val="left"/>
        <w:rPr>
          <w:sz w:val="28"/>
        </w:rPr>
      </w:pPr>
      <w:r>
        <w:rPr>
          <w:sz w:val="28"/>
        </w:rPr>
        <w:t>Livraison : la période de livraison proposée doit être adéquate avec le planning général de réception,</w:t>
      </w:r>
    </w:p>
    <w:p>
      <w:pPr>
        <w:pStyle w:val="ListParagraph"/>
        <w:numPr>
          <w:ilvl w:val="4"/>
          <w:numId w:val="76"/>
        </w:numPr>
        <w:tabs>
          <w:tab w:pos="1000" w:val="left" w:leader="none"/>
        </w:tabs>
        <w:spacing w:line="240" w:lineRule="auto" w:before="0" w:after="0"/>
        <w:ind w:left="999" w:right="0" w:hanging="284"/>
        <w:jc w:val="left"/>
        <w:rPr>
          <w:sz w:val="28"/>
        </w:rPr>
      </w:pPr>
      <w:r>
        <w:rPr>
          <w:sz w:val="28"/>
        </w:rPr>
        <w:t>Prix proposé</w:t>
      </w:r>
    </w:p>
    <w:p>
      <w:pPr>
        <w:pStyle w:val="Heading2"/>
        <w:numPr>
          <w:ilvl w:val="3"/>
          <w:numId w:val="76"/>
        </w:numPr>
        <w:tabs>
          <w:tab w:pos="1422" w:val="left" w:leader="none"/>
        </w:tabs>
        <w:spacing w:line="240" w:lineRule="auto" w:before="123" w:after="0"/>
        <w:ind w:left="1421" w:right="0" w:hanging="989"/>
        <w:jc w:val="left"/>
      </w:pPr>
      <w:r>
        <w:rPr/>
        <w:t>Négociation de l'offre</w:t>
      </w:r>
      <w:r>
        <w:rPr>
          <w:spacing w:val="-5"/>
        </w:rPr>
        <w:t> </w:t>
      </w:r>
      <w:r>
        <w:rPr/>
        <w:t>financière</w:t>
      </w:r>
    </w:p>
    <w:p>
      <w:pPr>
        <w:pStyle w:val="BodyText"/>
        <w:spacing w:before="115"/>
        <w:ind w:right="749"/>
      </w:pPr>
      <w:r>
        <w:rPr/>
        <w:t>Lorsque la DCAMP estime utile de procéder à des négociations avec les fournisseurs, elle procède à l’envoi des offres aux président de la CME et demande l’autorisation pour entamer les négociations dans la limite de la cotation « SPOT » approuvée</w:t>
      </w:r>
      <w:r>
        <w:rPr>
          <w:spacing w:val="-11"/>
        </w:rPr>
        <w:t> </w:t>
      </w:r>
      <w:r>
        <w:rPr/>
        <w:t>par</w:t>
      </w:r>
      <w:r>
        <w:rPr>
          <w:spacing w:val="-10"/>
        </w:rPr>
        <w:t> </w:t>
      </w:r>
      <w:r>
        <w:rPr/>
        <w:t>la</w:t>
      </w:r>
      <w:r>
        <w:rPr>
          <w:spacing w:val="-10"/>
        </w:rPr>
        <w:t> </w:t>
      </w:r>
      <w:r>
        <w:rPr/>
        <w:t>CME</w:t>
      </w:r>
      <w:r>
        <w:rPr>
          <w:spacing w:val="-10"/>
        </w:rPr>
        <w:t> </w:t>
      </w:r>
      <w:r>
        <w:rPr/>
        <w:t>lors</w:t>
      </w:r>
      <w:r>
        <w:rPr>
          <w:spacing w:val="-9"/>
        </w:rPr>
        <w:t> </w:t>
      </w:r>
      <w:r>
        <w:rPr/>
        <w:t>de</w:t>
      </w:r>
      <w:r>
        <w:rPr>
          <w:spacing w:val="-11"/>
        </w:rPr>
        <w:t> </w:t>
      </w:r>
      <w:r>
        <w:rPr/>
        <w:t>la</w:t>
      </w:r>
      <w:r>
        <w:rPr>
          <w:spacing w:val="-8"/>
        </w:rPr>
        <w:t> </w:t>
      </w:r>
      <w:r>
        <w:rPr/>
        <w:t>conclusion</w:t>
      </w:r>
      <w:r>
        <w:rPr>
          <w:spacing w:val="-9"/>
        </w:rPr>
        <w:t> </w:t>
      </w:r>
      <w:r>
        <w:rPr/>
        <w:t>des</w:t>
      </w:r>
      <w:r>
        <w:rPr>
          <w:spacing w:val="-10"/>
        </w:rPr>
        <w:t> </w:t>
      </w:r>
      <w:r>
        <w:rPr/>
        <w:t>négociations</w:t>
      </w:r>
      <w:r>
        <w:rPr>
          <w:spacing w:val="-9"/>
        </w:rPr>
        <w:t> </w:t>
      </w:r>
      <w:r>
        <w:rPr/>
        <w:t>des</w:t>
      </w:r>
      <w:r>
        <w:rPr>
          <w:spacing w:val="-7"/>
        </w:rPr>
        <w:t> </w:t>
      </w:r>
      <w:r>
        <w:rPr/>
        <w:t>contrats</w:t>
      </w:r>
      <w:r>
        <w:rPr>
          <w:spacing w:val="-10"/>
        </w:rPr>
        <w:t> </w:t>
      </w:r>
      <w:r>
        <w:rPr/>
        <w:t>cadres</w:t>
      </w:r>
      <w:r>
        <w:rPr>
          <w:spacing w:val="-9"/>
        </w:rPr>
        <w:t> </w:t>
      </w:r>
      <w:r>
        <w:rPr/>
        <w:t>ou</w:t>
      </w:r>
      <w:r>
        <w:rPr>
          <w:spacing w:val="-9"/>
        </w:rPr>
        <w:t> </w:t>
      </w:r>
      <w:r>
        <w:rPr/>
        <w:t>en présentant une note d’opportunité le cas</w:t>
      </w:r>
      <w:r>
        <w:rPr>
          <w:spacing w:val="-4"/>
        </w:rPr>
        <w:t> </w:t>
      </w:r>
      <w:r>
        <w:rPr/>
        <w:t>échéant.</w:t>
      </w:r>
    </w:p>
    <w:p>
      <w:pPr>
        <w:pStyle w:val="BodyText"/>
        <w:spacing w:before="120"/>
        <w:ind w:right="759"/>
      </w:pPr>
      <w:r>
        <w:rPr/>
        <w:t>Les offres SPOT envoyées au président de la CME doivent spécifier la quantité, le prix, les spécifications techniques, la validité et les modes de paiements.</w:t>
      </w:r>
    </w:p>
    <w:p>
      <w:pPr>
        <w:pStyle w:val="BodyText"/>
        <w:spacing w:before="120"/>
        <w:ind w:right="755"/>
      </w:pPr>
      <w:r>
        <w:rPr/>
        <w:t>Le</w:t>
      </w:r>
      <w:r>
        <w:rPr>
          <w:spacing w:val="-15"/>
        </w:rPr>
        <w:t> </w:t>
      </w:r>
      <w:r>
        <w:rPr/>
        <w:t>président</w:t>
      </w:r>
      <w:r>
        <w:rPr>
          <w:spacing w:val="-16"/>
        </w:rPr>
        <w:t> </w:t>
      </w:r>
      <w:r>
        <w:rPr/>
        <w:t>de</w:t>
      </w:r>
      <w:r>
        <w:rPr>
          <w:spacing w:val="-15"/>
        </w:rPr>
        <w:t> </w:t>
      </w:r>
      <w:r>
        <w:rPr/>
        <w:t>la</w:t>
      </w:r>
      <w:r>
        <w:rPr>
          <w:spacing w:val="-15"/>
        </w:rPr>
        <w:t> </w:t>
      </w:r>
      <w:r>
        <w:rPr/>
        <w:t>CME</w:t>
      </w:r>
      <w:r>
        <w:rPr>
          <w:spacing w:val="-16"/>
        </w:rPr>
        <w:t> </w:t>
      </w:r>
      <w:r>
        <w:rPr/>
        <w:t>répond</w:t>
      </w:r>
      <w:r>
        <w:rPr>
          <w:spacing w:val="-14"/>
        </w:rPr>
        <w:t> </w:t>
      </w:r>
      <w:r>
        <w:rPr/>
        <w:t>à</w:t>
      </w:r>
      <w:r>
        <w:rPr>
          <w:spacing w:val="-17"/>
        </w:rPr>
        <w:t> </w:t>
      </w:r>
      <w:r>
        <w:rPr/>
        <w:t>la</w:t>
      </w:r>
      <w:r>
        <w:rPr>
          <w:spacing w:val="-17"/>
        </w:rPr>
        <w:t> </w:t>
      </w:r>
      <w:r>
        <w:rPr/>
        <w:t>requête</w:t>
      </w:r>
      <w:r>
        <w:rPr>
          <w:spacing w:val="-17"/>
        </w:rPr>
        <w:t> </w:t>
      </w:r>
      <w:r>
        <w:rPr/>
        <w:t>de</w:t>
      </w:r>
      <w:r>
        <w:rPr>
          <w:spacing w:val="-17"/>
        </w:rPr>
        <w:t> </w:t>
      </w:r>
      <w:r>
        <w:rPr/>
        <w:t>la</w:t>
      </w:r>
      <w:r>
        <w:rPr>
          <w:spacing w:val="-15"/>
        </w:rPr>
        <w:t> </w:t>
      </w:r>
      <w:r>
        <w:rPr/>
        <w:t>DCAMP</w:t>
      </w:r>
      <w:r>
        <w:rPr>
          <w:spacing w:val="-17"/>
        </w:rPr>
        <w:t> </w:t>
      </w:r>
      <w:r>
        <w:rPr/>
        <w:t>d’entrée</w:t>
      </w:r>
      <w:r>
        <w:rPr>
          <w:spacing w:val="-15"/>
        </w:rPr>
        <w:t> </w:t>
      </w:r>
      <w:r>
        <w:rPr/>
        <w:t>en</w:t>
      </w:r>
      <w:r>
        <w:rPr>
          <w:spacing w:val="-16"/>
        </w:rPr>
        <w:t> </w:t>
      </w:r>
      <w:r>
        <w:rPr/>
        <w:t>négociation dans</w:t>
      </w:r>
      <w:r>
        <w:rPr>
          <w:spacing w:val="-5"/>
        </w:rPr>
        <w:t> </w:t>
      </w:r>
      <w:r>
        <w:rPr/>
        <w:t>un</w:t>
      </w:r>
      <w:r>
        <w:rPr>
          <w:spacing w:val="-4"/>
        </w:rPr>
        <w:t> </w:t>
      </w:r>
      <w:r>
        <w:rPr/>
        <w:t>délai</w:t>
      </w:r>
      <w:r>
        <w:rPr>
          <w:spacing w:val="-3"/>
        </w:rPr>
        <w:t> </w:t>
      </w:r>
      <w:r>
        <w:rPr/>
        <w:t>de</w:t>
      </w:r>
      <w:r>
        <w:rPr>
          <w:spacing w:val="-4"/>
        </w:rPr>
        <w:t> </w:t>
      </w:r>
      <w:r>
        <w:rPr/>
        <w:t>(24)</w:t>
      </w:r>
      <w:r>
        <w:rPr>
          <w:spacing w:val="-4"/>
        </w:rPr>
        <w:t> </w:t>
      </w:r>
      <w:r>
        <w:rPr/>
        <w:t>heures</w:t>
      </w:r>
      <w:r>
        <w:rPr>
          <w:spacing w:val="-2"/>
        </w:rPr>
        <w:t> </w:t>
      </w:r>
      <w:r>
        <w:rPr/>
        <w:t>avant</w:t>
      </w:r>
      <w:r>
        <w:rPr>
          <w:spacing w:val="-3"/>
        </w:rPr>
        <w:t> </w:t>
      </w:r>
      <w:r>
        <w:rPr/>
        <w:t>la</w:t>
      </w:r>
      <w:r>
        <w:rPr>
          <w:spacing w:val="-4"/>
        </w:rPr>
        <w:t> </w:t>
      </w:r>
      <w:r>
        <w:rPr/>
        <w:t>date</w:t>
      </w:r>
      <w:r>
        <w:rPr>
          <w:spacing w:val="-5"/>
        </w:rPr>
        <w:t> </w:t>
      </w:r>
      <w:r>
        <w:rPr/>
        <w:t>de</w:t>
      </w:r>
      <w:r>
        <w:rPr>
          <w:spacing w:val="-1"/>
        </w:rPr>
        <w:t> </w:t>
      </w:r>
      <w:r>
        <w:rPr/>
        <w:t>fin</w:t>
      </w:r>
      <w:r>
        <w:rPr>
          <w:spacing w:val="-4"/>
        </w:rPr>
        <w:t> </w:t>
      </w:r>
      <w:r>
        <w:rPr/>
        <w:t>de</w:t>
      </w:r>
      <w:r>
        <w:rPr>
          <w:spacing w:val="-4"/>
        </w:rPr>
        <w:t> </w:t>
      </w:r>
      <w:r>
        <w:rPr/>
        <w:t>validité</w:t>
      </w:r>
      <w:r>
        <w:rPr>
          <w:spacing w:val="-4"/>
        </w:rPr>
        <w:t> </w:t>
      </w:r>
      <w:r>
        <w:rPr/>
        <w:t>de</w:t>
      </w:r>
      <w:r>
        <w:rPr>
          <w:spacing w:val="-3"/>
        </w:rPr>
        <w:t> </w:t>
      </w:r>
      <w:r>
        <w:rPr/>
        <w:t>l’offre</w:t>
      </w:r>
      <w:r>
        <w:rPr>
          <w:spacing w:val="-3"/>
        </w:rPr>
        <w:t> </w:t>
      </w:r>
      <w:r>
        <w:rPr/>
        <w:t>et</w:t>
      </w:r>
      <w:r>
        <w:rPr>
          <w:spacing w:val="-3"/>
        </w:rPr>
        <w:t> </w:t>
      </w:r>
      <w:r>
        <w:rPr/>
        <w:t>en</w:t>
      </w:r>
      <w:r>
        <w:rPr>
          <w:spacing w:val="-4"/>
        </w:rPr>
        <w:t> </w:t>
      </w:r>
      <w:r>
        <w:rPr/>
        <w:t>informe</w:t>
      </w:r>
      <w:r>
        <w:rPr>
          <w:spacing w:val="-1"/>
        </w:rPr>
        <w:t> </w:t>
      </w:r>
      <w:r>
        <w:rPr/>
        <w:t>les autres membres.</w:t>
      </w:r>
    </w:p>
    <w:p>
      <w:pPr>
        <w:pStyle w:val="BodyText"/>
        <w:spacing w:before="119"/>
        <w:ind w:right="757"/>
      </w:pPr>
      <w:r>
        <w:rPr/>
        <w:t>Le</w:t>
      </w:r>
      <w:r>
        <w:rPr>
          <w:spacing w:val="-16"/>
        </w:rPr>
        <w:t> </w:t>
      </w:r>
      <w:r>
        <w:rPr/>
        <w:t>président</w:t>
      </w:r>
      <w:r>
        <w:rPr>
          <w:spacing w:val="-16"/>
        </w:rPr>
        <w:t> </w:t>
      </w:r>
      <w:r>
        <w:rPr/>
        <w:t>de</w:t>
      </w:r>
      <w:r>
        <w:rPr>
          <w:spacing w:val="-16"/>
        </w:rPr>
        <w:t> </w:t>
      </w:r>
      <w:r>
        <w:rPr/>
        <w:t>la</w:t>
      </w:r>
      <w:r>
        <w:rPr>
          <w:spacing w:val="-15"/>
        </w:rPr>
        <w:t> </w:t>
      </w:r>
      <w:r>
        <w:rPr/>
        <w:t>CME</w:t>
      </w:r>
      <w:r>
        <w:rPr>
          <w:spacing w:val="-17"/>
        </w:rPr>
        <w:t> </w:t>
      </w:r>
      <w:r>
        <w:rPr/>
        <w:t>peut</w:t>
      </w:r>
      <w:r>
        <w:rPr>
          <w:spacing w:val="-14"/>
        </w:rPr>
        <w:t> </w:t>
      </w:r>
      <w:r>
        <w:rPr/>
        <w:t>désigner</w:t>
      </w:r>
      <w:r>
        <w:rPr>
          <w:spacing w:val="-18"/>
        </w:rPr>
        <w:t> </w:t>
      </w:r>
      <w:r>
        <w:rPr/>
        <w:t>un</w:t>
      </w:r>
      <w:r>
        <w:rPr>
          <w:spacing w:val="-14"/>
        </w:rPr>
        <w:t> </w:t>
      </w:r>
      <w:r>
        <w:rPr/>
        <w:t>ou</w:t>
      </w:r>
      <w:r>
        <w:rPr>
          <w:spacing w:val="-17"/>
        </w:rPr>
        <w:t> </w:t>
      </w:r>
      <w:r>
        <w:rPr/>
        <w:t>plusieurs</w:t>
      </w:r>
      <w:r>
        <w:rPr>
          <w:spacing w:val="-14"/>
        </w:rPr>
        <w:t> </w:t>
      </w:r>
      <w:r>
        <w:rPr/>
        <w:t>membres</w:t>
      </w:r>
      <w:r>
        <w:rPr>
          <w:spacing w:val="-15"/>
        </w:rPr>
        <w:t> </w:t>
      </w:r>
      <w:r>
        <w:rPr/>
        <w:t>afin</w:t>
      </w:r>
      <w:r>
        <w:rPr>
          <w:spacing w:val="-14"/>
        </w:rPr>
        <w:t> </w:t>
      </w:r>
      <w:r>
        <w:rPr/>
        <w:t>d’assister</w:t>
      </w:r>
      <w:r>
        <w:rPr>
          <w:spacing w:val="-16"/>
        </w:rPr>
        <w:t> </w:t>
      </w:r>
      <w:r>
        <w:rPr/>
        <w:t>aux différentes étapes de la négociation qui doivent rendre compte de façon continue au sujet des étapes, du détail et des résultats de</w:t>
      </w:r>
      <w:r>
        <w:rPr>
          <w:spacing w:val="-10"/>
        </w:rPr>
        <w:t> </w:t>
      </w:r>
      <w:r>
        <w:rPr/>
        <w:t>négociation.</w:t>
      </w:r>
    </w:p>
    <w:p>
      <w:pPr>
        <w:pStyle w:val="BodyText"/>
        <w:spacing w:before="121"/>
        <w:ind w:right="754"/>
      </w:pPr>
      <w:r>
        <w:rPr/>
        <w:t>La</w:t>
      </w:r>
      <w:r>
        <w:rPr>
          <w:spacing w:val="-15"/>
        </w:rPr>
        <w:t> </w:t>
      </w:r>
      <w:r>
        <w:rPr/>
        <w:t>DCAMP</w:t>
      </w:r>
      <w:r>
        <w:rPr>
          <w:spacing w:val="-14"/>
        </w:rPr>
        <w:t> </w:t>
      </w:r>
      <w:r>
        <w:rPr/>
        <w:t>entre</w:t>
      </w:r>
      <w:r>
        <w:rPr>
          <w:spacing w:val="-15"/>
        </w:rPr>
        <w:t> </w:t>
      </w:r>
      <w:r>
        <w:rPr/>
        <w:t>en</w:t>
      </w:r>
      <w:r>
        <w:rPr>
          <w:spacing w:val="-15"/>
        </w:rPr>
        <w:t> </w:t>
      </w:r>
      <w:r>
        <w:rPr/>
        <w:t>négociation</w:t>
      </w:r>
      <w:r>
        <w:rPr>
          <w:spacing w:val="-13"/>
        </w:rPr>
        <w:t> </w:t>
      </w:r>
      <w:r>
        <w:rPr/>
        <w:t>avec</w:t>
      </w:r>
      <w:r>
        <w:rPr>
          <w:spacing w:val="-17"/>
        </w:rPr>
        <w:t> </w:t>
      </w:r>
      <w:r>
        <w:rPr/>
        <w:t>le</w:t>
      </w:r>
      <w:r>
        <w:rPr>
          <w:spacing w:val="-14"/>
        </w:rPr>
        <w:t> </w:t>
      </w:r>
      <w:r>
        <w:rPr/>
        <w:t>fournisseur</w:t>
      </w:r>
      <w:r>
        <w:rPr>
          <w:spacing w:val="-14"/>
        </w:rPr>
        <w:t> </w:t>
      </w:r>
      <w:r>
        <w:rPr/>
        <w:t>pour</w:t>
      </w:r>
      <w:r>
        <w:rPr>
          <w:spacing w:val="-15"/>
        </w:rPr>
        <w:t> </w:t>
      </w:r>
      <w:r>
        <w:rPr/>
        <w:t>ramener</w:t>
      </w:r>
      <w:r>
        <w:rPr>
          <w:spacing w:val="-14"/>
        </w:rPr>
        <w:t> </w:t>
      </w:r>
      <w:r>
        <w:rPr/>
        <w:t>le</w:t>
      </w:r>
      <w:r>
        <w:rPr>
          <w:spacing w:val="-14"/>
        </w:rPr>
        <w:t> </w:t>
      </w:r>
      <w:r>
        <w:rPr/>
        <w:t>prix</w:t>
      </w:r>
      <w:r>
        <w:rPr>
          <w:spacing w:val="-14"/>
        </w:rPr>
        <w:t> </w:t>
      </w:r>
      <w:r>
        <w:rPr/>
        <w:t>proposé au niveau le plus bas acceptable en comparaison avec les principales indications de prix dans le marché mondial publiées dans les revues spécialisées et en concordance avec le prix de référence pour le marché SPOT présenté à la</w:t>
      </w:r>
      <w:r>
        <w:rPr>
          <w:spacing w:val="-10"/>
        </w:rPr>
        <w:t> </w:t>
      </w:r>
      <w:r>
        <w:rPr/>
        <w:t>CME.</w:t>
      </w:r>
    </w:p>
    <w:p>
      <w:pPr>
        <w:pStyle w:val="BodyText"/>
        <w:spacing w:before="119"/>
        <w:ind w:right="757"/>
      </w:pPr>
      <w:r>
        <w:rPr/>
        <w:t>A la fin des négociations, la DCAMP procède à l’envoi d’une Note par mail à la CME</w:t>
      </w:r>
      <w:r>
        <w:rPr>
          <w:spacing w:val="-16"/>
        </w:rPr>
        <w:t> </w:t>
      </w:r>
      <w:r>
        <w:rPr/>
        <w:t>contenant</w:t>
      </w:r>
      <w:r>
        <w:rPr>
          <w:spacing w:val="-15"/>
        </w:rPr>
        <w:t> </w:t>
      </w:r>
      <w:r>
        <w:rPr/>
        <w:t>les</w:t>
      </w:r>
      <w:r>
        <w:rPr>
          <w:spacing w:val="-13"/>
        </w:rPr>
        <w:t> </w:t>
      </w:r>
      <w:r>
        <w:rPr/>
        <w:t>résultats</w:t>
      </w:r>
      <w:r>
        <w:rPr>
          <w:spacing w:val="-15"/>
        </w:rPr>
        <w:t> </w:t>
      </w:r>
      <w:r>
        <w:rPr/>
        <w:t>des</w:t>
      </w:r>
      <w:r>
        <w:rPr>
          <w:spacing w:val="-13"/>
        </w:rPr>
        <w:t> </w:t>
      </w:r>
      <w:r>
        <w:rPr/>
        <w:t>négociations</w:t>
      </w:r>
      <w:r>
        <w:rPr>
          <w:spacing w:val="-15"/>
        </w:rPr>
        <w:t> </w:t>
      </w:r>
      <w:r>
        <w:rPr/>
        <w:t>et</w:t>
      </w:r>
      <w:r>
        <w:rPr>
          <w:spacing w:val="-14"/>
        </w:rPr>
        <w:t> </w:t>
      </w:r>
      <w:r>
        <w:rPr/>
        <w:t>propose</w:t>
      </w:r>
      <w:r>
        <w:rPr>
          <w:spacing w:val="-16"/>
        </w:rPr>
        <w:t> </w:t>
      </w:r>
      <w:r>
        <w:rPr/>
        <w:t>la</w:t>
      </w:r>
      <w:r>
        <w:rPr>
          <w:spacing w:val="-16"/>
        </w:rPr>
        <w:t> </w:t>
      </w:r>
      <w:r>
        <w:rPr/>
        <w:t>conclusion</w:t>
      </w:r>
      <w:r>
        <w:rPr>
          <w:spacing w:val="-15"/>
        </w:rPr>
        <w:t> </w:t>
      </w:r>
      <w:r>
        <w:rPr/>
        <w:t>de</w:t>
      </w:r>
      <w:r>
        <w:rPr>
          <w:spacing w:val="-16"/>
        </w:rPr>
        <w:t> </w:t>
      </w:r>
      <w:r>
        <w:rPr/>
        <w:t>l’accord</w:t>
      </w:r>
      <w:r>
        <w:rPr>
          <w:spacing w:val="-15"/>
        </w:rPr>
        <w:t> </w:t>
      </w:r>
      <w:r>
        <w:rPr/>
        <w:t>dans la limite de validité de l’offre convenue ou proposée par le</w:t>
      </w:r>
      <w:r>
        <w:rPr>
          <w:spacing w:val="-14"/>
        </w:rPr>
        <w:t> </w:t>
      </w:r>
      <w:r>
        <w:rPr/>
        <w:t>fournisseur.</w:t>
      </w:r>
    </w:p>
    <w:p>
      <w:pPr>
        <w:pStyle w:val="BodyText"/>
        <w:spacing w:before="122"/>
        <w:ind w:right="757"/>
      </w:pPr>
      <w:r>
        <w:rPr/>
        <w:t>En</w:t>
      </w:r>
      <w:r>
        <w:rPr>
          <w:spacing w:val="-12"/>
        </w:rPr>
        <w:t> </w:t>
      </w:r>
      <w:r>
        <w:rPr/>
        <w:t>l’absence</w:t>
      </w:r>
      <w:r>
        <w:rPr>
          <w:spacing w:val="-11"/>
        </w:rPr>
        <w:t> </w:t>
      </w:r>
      <w:r>
        <w:rPr/>
        <w:t>de</w:t>
      </w:r>
      <w:r>
        <w:rPr>
          <w:spacing w:val="-11"/>
        </w:rPr>
        <w:t> </w:t>
      </w:r>
      <w:r>
        <w:rPr/>
        <w:t>réponse</w:t>
      </w:r>
      <w:r>
        <w:rPr>
          <w:spacing w:val="-11"/>
        </w:rPr>
        <w:t> </w:t>
      </w:r>
      <w:r>
        <w:rPr/>
        <w:t>de</w:t>
      </w:r>
      <w:r>
        <w:rPr>
          <w:spacing w:val="-11"/>
        </w:rPr>
        <w:t> </w:t>
      </w:r>
      <w:r>
        <w:rPr/>
        <w:t>la</w:t>
      </w:r>
      <w:r>
        <w:rPr>
          <w:spacing w:val="-12"/>
        </w:rPr>
        <w:t> </w:t>
      </w:r>
      <w:r>
        <w:rPr/>
        <w:t>CME</w:t>
      </w:r>
      <w:r>
        <w:rPr>
          <w:spacing w:val="-13"/>
        </w:rPr>
        <w:t> </w:t>
      </w:r>
      <w:r>
        <w:rPr/>
        <w:t>avant</w:t>
      </w:r>
      <w:r>
        <w:rPr>
          <w:spacing w:val="-11"/>
        </w:rPr>
        <w:t> </w:t>
      </w:r>
      <w:r>
        <w:rPr/>
        <w:t>quatre</w:t>
      </w:r>
      <w:r>
        <w:rPr>
          <w:spacing w:val="-11"/>
        </w:rPr>
        <w:t> </w:t>
      </w:r>
      <w:r>
        <w:rPr/>
        <w:t>(04)</w:t>
      </w:r>
      <w:r>
        <w:rPr>
          <w:spacing w:val="-11"/>
        </w:rPr>
        <w:t> </w:t>
      </w:r>
      <w:r>
        <w:rPr/>
        <w:t>heures</w:t>
      </w:r>
      <w:r>
        <w:rPr>
          <w:spacing w:val="-12"/>
        </w:rPr>
        <w:t> </w:t>
      </w:r>
      <w:r>
        <w:rPr/>
        <w:t>des</w:t>
      </w:r>
      <w:r>
        <w:rPr>
          <w:spacing w:val="-13"/>
        </w:rPr>
        <w:t> </w:t>
      </w:r>
      <w:r>
        <w:rPr/>
        <w:t>délais</w:t>
      </w:r>
      <w:r>
        <w:rPr>
          <w:spacing w:val="-11"/>
        </w:rPr>
        <w:t> </w:t>
      </w:r>
      <w:r>
        <w:rPr/>
        <w:t>de</w:t>
      </w:r>
      <w:r>
        <w:rPr>
          <w:spacing w:val="-11"/>
        </w:rPr>
        <w:t> </w:t>
      </w:r>
      <w:r>
        <w:rPr/>
        <w:t>validité de l’offre, l’avis de la CME est réputé être positif et la DCAMP pourrait conclure     la</w:t>
      </w:r>
      <w:r>
        <w:rPr>
          <w:spacing w:val="-4"/>
        </w:rPr>
        <w:t> </w:t>
      </w:r>
      <w:r>
        <w:rPr/>
        <w:t>négociation.</w:t>
      </w:r>
    </w:p>
    <w:p>
      <w:pPr>
        <w:pStyle w:val="BodyText"/>
        <w:spacing w:before="118"/>
        <w:ind w:right="751"/>
      </w:pPr>
      <w:r>
        <w:rPr/>
        <w:t>L'offre négociée convenue avec le fournisseur est confirmée par e-mail via le compte de messagerie «</w:t>
      </w:r>
      <w:hyperlink r:id="rId10">
        <w:r>
          <w:rPr>
            <w:b/>
          </w:rPr>
          <w:t>gct.achatmp@gct.com.tn</w:t>
        </w:r>
      </w:hyperlink>
      <w:r>
        <w:rPr/>
        <w:t>» ou à défaut par le mail du responsable de la DCAMP ayant mené la négociation ; dans ce cas le compte de messagerie «</w:t>
      </w:r>
      <w:hyperlink r:id="rId9">
        <w:r>
          <w:rPr>
            <w:b/>
          </w:rPr>
          <w:t>gct.achatmp@gct.com.tn</w:t>
        </w:r>
      </w:hyperlink>
      <w:r>
        <w:rPr/>
        <w:t>» devrait être en copie dans tous les échanges.</w:t>
      </w:r>
    </w:p>
    <w:p>
      <w:pPr>
        <w:pStyle w:val="Heading2"/>
        <w:numPr>
          <w:ilvl w:val="3"/>
          <w:numId w:val="76"/>
        </w:numPr>
        <w:tabs>
          <w:tab w:pos="1422" w:val="left" w:leader="none"/>
        </w:tabs>
        <w:spacing w:line="319" w:lineRule="exact" w:before="127" w:after="0"/>
        <w:ind w:left="1421" w:right="0" w:hanging="989"/>
        <w:jc w:val="both"/>
      </w:pPr>
      <w:r>
        <w:rPr/>
        <w:t>Attribution du</w:t>
      </w:r>
      <w:r>
        <w:rPr>
          <w:spacing w:val="-5"/>
        </w:rPr>
        <w:t> </w:t>
      </w:r>
      <w:r>
        <w:rPr/>
        <w:t>marché</w:t>
      </w:r>
    </w:p>
    <w:p>
      <w:pPr>
        <w:pStyle w:val="BodyText"/>
        <w:ind w:right="754"/>
      </w:pPr>
      <w:r>
        <w:rPr/>
        <w:t>Une fois les négociations achevées, les accords sont conclus et matérialisés par une note de confirmation de l’achat signée par le Directeur Général et appuyés par</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2" w:firstLine="0"/>
      </w:pPr>
      <w:r>
        <w:rPr/>
        <w:t>l’accord de la CME sur la conclusion de l’affaire SPOT. Une note de synthèse récapitulative du déroulement et des résultats des négociations, préparée par la DCAMP, sera présentée à la CME et justifiant l'opportunité de l'achat et expliquant la rentabilité technique, financière et commerciale.</w:t>
      </w:r>
    </w:p>
    <w:p>
      <w:pPr>
        <w:pStyle w:val="Heading2"/>
        <w:numPr>
          <w:ilvl w:val="1"/>
          <w:numId w:val="76"/>
        </w:numPr>
        <w:tabs>
          <w:tab w:pos="1003" w:val="left" w:leader="none"/>
        </w:tabs>
        <w:spacing w:line="240" w:lineRule="auto" w:before="126" w:after="0"/>
        <w:ind w:left="433" w:right="754" w:firstLine="0"/>
        <w:jc w:val="both"/>
      </w:pPr>
      <w:bookmarkStart w:name="_TOC_250058" w:id="85"/>
      <w:r>
        <w:rPr/>
        <w:t>Mode et Procédures de passation des marchés spécifiques d'acide</w:t>
      </w:r>
      <w:r>
        <w:rPr>
          <w:spacing w:val="-34"/>
        </w:rPr>
        <w:t> </w:t>
      </w:r>
      <w:r>
        <w:rPr/>
        <w:t>sulfurique et des produits destinés à être vendus en l'état ou</w:t>
      </w:r>
      <w:r>
        <w:rPr>
          <w:spacing w:val="-10"/>
        </w:rPr>
        <w:t> </w:t>
      </w:r>
      <w:bookmarkEnd w:id="85"/>
      <w:r>
        <w:rPr/>
        <w:t>conditionnés</w:t>
      </w:r>
    </w:p>
    <w:p>
      <w:pPr>
        <w:pStyle w:val="BodyText"/>
        <w:ind w:right="759"/>
      </w:pPr>
      <w:r>
        <w:rPr/>
        <w:t>Le GCT peut acheter occasionnellement l’Acide sulfurique ou des produits revendus en l'état ou conditionnés, et ce sur demande de la Direction Générale.</w:t>
      </w:r>
    </w:p>
    <w:p>
      <w:pPr>
        <w:pStyle w:val="BodyText"/>
        <w:spacing w:line="242" w:lineRule="auto" w:before="114"/>
        <w:ind w:right="758"/>
      </w:pPr>
      <w:r>
        <w:rPr/>
        <w:t>La</w:t>
      </w:r>
      <w:r>
        <w:rPr>
          <w:spacing w:val="-17"/>
        </w:rPr>
        <w:t> </w:t>
      </w:r>
      <w:r>
        <w:rPr/>
        <w:t>conclusion</w:t>
      </w:r>
      <w:r>
        <w:rPr>
          <w:spacing w:val="-16"/>
        </w:rPr>
        <w:t> </w:t>
      </w:r>
      <w:r>
        <w:rPr/>
        <w:t>de</w:t>
      </w:r>
      <w:r>
        <w:rPr>
          <w:spacing w:val="-17"/>
        </w:rPr>
        <w:t> </w:t>
      </w:r>
      <w:r>
        <w:rPr/>
        <w:t>ces</w:t>
      </w:r>
      <w:r>
        <w:rPr>
          <w:spacing w:val="-15"/>
        </w:rPr>
        <w:t> </w:t>
      </w:r>
      <w:r>
        <w:rPr/>
        <w:t>marchés</w:t>
      </w:r>
      <w:r>
        <w:rPr>
          <w:spacing w:val="-16"/>
        </w:rPr>
        <w:t> </w:t>
      </w:r>
      <w:r>
        <w:rPr/>
        <w:t>doit</w:t>
      </w:r>
      <w:r>
        <w:rPr>
          <w:spacing w:val="-16"/>
        </w:rPr>
        <w:t> </w:t>
      </w:r>
      <w:r>
        <w:rPr/>
        <w:t>être</w:t>
      </w:r>
      <w:r>
        <w:rPr>
          <w:spacing w:val="-16"/>
        </w:rPr>
        <w:t> </w:t>
      </w:r>
      <w:r>
        <w:rPr/>
        <w:t>précédée</w:t>
      </w:r>
      <w:r>
        <w:rPr>
          <w:spacing w:val="-17"/>
        </w:rPr>
        <w:t> </w:t>
      </w:r>
      <w:r>
        <w:rPr/>
        <w:t>d'une</w:t>
      </w:r>
      <w:r>
        <w:rPr>
          <w:spacing w:val="-17"/>
        </w:rPr>
        <w:t> </w:t>
      </w:r>
      <w:r>
        <w:rPr/>
        <w:t>mise</w:t>
      </w:r>
      <w:r>
        <w:rPr>
          <w:spacing w:val="-17"/>
        </w:rPr>
        <w:t> </w:t>
      </w:r>
      <w:r>
        <w:rPr/>
        <w:t>en</w:t>
      </w:r>
      <w:r>
        <w:rPr>
          <w:spacing w:val="-15"/>
        </w:rPr>
        <w:t> </w:t>
      </w:r>
      <w:r>
        <w:rPr/>
        <w:t>concurrence</w:t>
      </w:r>
      <w:r>
        <w:rPr>
          <w:spacing w:val="-17"/>
        </w:rPr>
        <w:t> </w:t>
      </w:r>
      <w:r>
        <w:rPr/>
        <w:t>la</w:t>
      </w:r>
      <w:r>
        <w:rPr>
          <w:spacing w:val="-17"/>
        </w:rPr>
        <w:t> </w:t>
      </w:r>
      <w:r>
        <w:rPr/>
        <w:t>plus large possible par voie de</w:t>
      </w:r>
      <w:r>
        <w:rPr>
          <w:spacing w:val="-8"/>
        </w:rPr>
        <w:t> </w:t>
      </w:r>
      <w:r>
        <w:rPr/>
        <w:t>consultation.</w:t>
      </w:r>
    </w:p>
    <w:p>
      <w:pPr>
        <w:pStyle w:val="BodyText"/>
        <w:spacing w:before="115"/>
        <w:ind w:right="749"/>
      </w:pPr>
      <w:r>
        <w:rPr/>
        <w:t>Toutefois, ces marchés peuvent être conclus par voie de négociation directe lorsque</w:t>
      </w:r>
      <w:r>
        <w:rPr>
          <w:spacing w:val="-13"/>
        </w:rPr>
        <w:t> </w:t>
      </w:r>
      <w:r>
        <w:rPr/>
        <w:t>le</w:t>
      </w:r>
      <w:r>
        <w:rPr>
          <w:spacing w:val="-13"/>
        </w:rPr>
        <w:t> </w:t>
      </w:r>
      <w:r>
        <w:rPr/>
        <w:t>recours</w:t>
      </w:r>
      <w:r>
        <w:rPr>
          <w:spacing w:val="-12"/>
        </w:rPr>
        <w:t> </w:t>
      </w:r>
      <w:r>
        <w:rPr/>
        <w:t>à</w:t>
      </w:r>
      <w:r>
        <w:rPr>
          <w:spacing w:val="-13"/>
        </w:rPr>
        <w:t> </w:t>
      </w:r>
      <w:r>
        <w:rPr/>
        <w:t>ce</w:t>
      </w:r>
      <w:r>
        <w:rPr>
          <w:spacing w:val="-10"/>
        </w:rPr>
        <w:t> </w:t>
      </w:r>
      <w:r>
        <w:rPr/>
        <w:t>mode</w:t>
      </w:r>
      <w:r>
        <w:rPr>
          <w:spacing w:val="-13"/>
        </w:rPr>
        <w:t> </w:t>
      </w:r>
      <w:r>
        <w:rPr/>
        <w:t>est</w:t>
      </w:r>
      <w:r>
        <w:rPr>
          <w:spacing w:val="-12"/>
        </w:rPr>
        <w:t> </w:t>
      </w:r>
      <w:r>
        <w:rPr/>
        <w:t>pleinement</w:t>
      </w:r>
      <w:r>
        <w:rPr>
          <w:spacing w:val="-13"/>
        </w:rPr>
        <w:t> </w:t>
      </w:r>
      <w:r>
        <w:rPr/>
        <w:t>justifié</w:t>
      </w:r>
      <w:r>
        <w:rPr>
          <w:spacing w:val="-15"/>
        </w:rPr>
        <w:t> </w:t>
      </w:r>
      <w:r>
        <w:rPr/>
        <w:t>par</w:t>
      </w:r>
      <w:r>
        <w:rPr>
          <w:spacing w:val="-13"/>
        </w:rPr>
        <w:t> </w:t>
      </w:r>
      <w:r>
        <w:rPr/>
        <w:t>l'urgence</w:t>
      </w:r>
      <w:r>
        <w:rPr>
          <w:spacing w:val="-15"/>
        </w:rPr>
        <w:t> </w:t>
      </w:r>
      <w:r>
        <w:rPr/>
        <w:t>impérieuse</w:t>
      </w:r>
      <w:r>
        <w:rPr>
          <w:spacing w:val="-13"/>
        </w:rPr>
        <w:t> </w:t>
      </w:r>
      <w:r>
        <w:rPr/>
        <w:t>ou</w:t>
      </w:r>
      <w:r>
        <w:rPr>
          <w:spacing w:val="-13"/>
        </w:rPr>
        <w:t> </w:t>
      </w:r>
      <w:r>
        <w:rPr/>
        <w:t>par</w:t>
      </w:r>
      <w:r>
        <w:rPr>
          <w:spacing w:val="-12"/>
        </w:rPr>
        <w:t> </w:t>
      </w:r>
      <w:r>
        <w:rPr/>
        <w:t>des considérations d'ordre technique, commercial ou financier. Dans ce cas, la DCAMP prépare une note adressée à la Direction Générale justifiant le recours à ce mode,</w:t>
      </w:r>
      <w:r>
        <w:rPr>
          <w:spacing w:val="-46"/>
        </w:rPr>
        <w:t> </w:t>
      </w:r>
      <w:r>
        <w:rPr/>
        <w:t>pour avis. La procédure de déroulement de la négociation directe se fait selon la même procédure de passation des marchés ponctuels par négociation directe du Soufre de l'Ammoniac et du Phosphate, décrite dans le paragraphe</w:t>
      </w:r>
      <w:r>
        <w:rPr>
          <w:spacing w:val="-7"/>
        </w:rPr>
        <w:t> </w:t>
      </w:r>
      <w:r>
        <w:rPr/>
        <w:t>II.1.2.</w:t>
      </w:r>
    </w:p>
    <w:p>
      <w:pPr>
        <w:pStyle w:val="BodyText"/>
        <w:spacing w:before="120"/>
        <w:ind w:left="999" w:firstLine="0"/>
      </w:pPr>
      <w:r>
        <w:rPr/>
        <w:t>La passation des achats SPOT par voie de consultation est détaillée ci-après.</w:t>
      </w:r>
    </w:p>
    <w:p>
      <w:pPr>
        <w:pStyle w:val="Heading2"/>
        <w:numPr>
          <w:ilvl w:val="2"/>
          <w:numId w:val="76"/>
        </w:numPr>
        <w:tabs>
          <w:tab w:pos="1214" w:val="left" w:leader="none"/>
        </w:tabs>
        <w:spacing w:line="319" w:lineRule="exact" w:before="125" w:after="0"/>
        <w:ind w:left="1213" w:right="0" w:hanging="781"/>
        <w:jc w:val="both"/>
      </w:pPr>
      <w:bookmarkStart w:name="_TOC_250057" w:id="86"/>
      <w:r>
        <w:rPr/>
        <w:t>Elaboration des cahiers des</w:t>
      </w:r>
      <w:r>
        <w:rPr>
          <w:spacing w:val="1"/>
        </w:rPr>
        <w:t> </w:t>
      </w:r>
      <w:bookmarkEnd w:id="86"/>
      <w:r>
        <w:rPr/>
        <w:t>charges</w:t>
      </w:r>
    </w:p>
    <w:p>
      <w:pPr>
        <w:pStyle w:val="BodyText"/>
        <w:ind w:right="752"/>
      </w:pPr>
      <w:r>
        <w:rPr/>
        <w:t>La DCAMP élabore un cahier de charge qui décrit les conditions de soumission, de conclusion et d'exécution des contrats d'achat d'acide sulfurique et des produits destinés à être vendus en l'état ou conditionnés, ainsi que les caractéristiques du produit,</w:t>
      </w:r>
      <w:r>
        <w:rPr>
          <w:spacing w:val="-10"/>
        </w:rPr>
        <w:t> </w:t>
      </w:r>
      <w:r>
        <w:rPr/>
        <w:t>les</w:t>
      </w:r>
      <w:r>
        <w:rPr>
          <w:spacing w:val="-7"/>
        </w:rPr>
        <w:t> </w:t>
      </w:r>
      <w:r>
        <w:rPr/>
        <w:t>clauses</w:t>
      </w:r>
      <w:r>
        <w:rPr>
          <w:spacing w:val="-6"/>
        </w:rPr>
        <w:t> </w:t>
      </w:r>
      <w:r>
        <w:rPr/>
        <w:t>relatives</w:t>
      </w:r>
      <w:r>
        <w:rPr>
          <w:spacing w:val="-7"/>
        </w:rPr>
        <w:t> </w:t>
      </w:r>
      <w:r>
        <w:rPr/>
        <w:t>au</w:t>
      </w:r>
      <w:r>
        <w:rPr>
          <w:spacing w:val="-6"/>
        </w:rPr>
        <w:t> </w:t>
      </w:r>
      <w:r>
        <w:rPr/>
        <w:t>contrôle</w:t>
      </w:r>
      <w:r>
        <w:rPr>
          <w:spacing w:val="-7"/>
        </w:rPr>
        <w:t> </w:t>
      </w:r>
      <w:r>
        <w:rPr/>
        <w:t>qualité,</w:t>
      </w:r>
      <w:r>
        <w:rPr>
          <w:spacing w:val="-7"/>
        </w:rPr>
        <w:t> </w:t>
      </w:r>
      <w:r>
        <w:rPr/>
        <w:t>au</w:t>
      </w:r>
      <w:r>
        <w:rPr>
          <w:spacing w:val="-8"/>
        </w:rPr>
        <w:t> </w:t>
      </w:r>
      <w:r>
        <w:rPr/>
        <w:t>transport,</w:t>
      </w:r>
      <w:r>
        <w:rPr>
          <w:spacing w:val="-7"/>
        </w:rPr>
        <w:t> </w:t>
      </w:r>
      <w:r>
        <w:rPr/>
        <w:t>à</w:t>
      </w:r>
      <w:r>
        <w:rPr>
          <w:spacing w:val="-9"/>
        </w:rPr>
        <w:t> </w:t>
      </w:r>
      <w:r>
        <w:rPr/>
        <w:t>l'assurance,</w:t>
      </w:r>
      <w:r>
        <w:rPr>
          <w:spacing w:val="-8"/>
        </w:rPr>
        <w:t> </w:t>
      </w:r>
      <w:r>
        <w:rPr/>
        <w:t>au</w:t>
      </w:r>
      <w:r>
        <w:rPr>
          <w:spacing w:val="-7"/>
        </w:rPr>
        <w:t> </w:t>
      </w:r>
      <w:r>
        <w:rPr/>
        <w:t>délai</w:t>
      </w:r>
      <w:r>
        <w:rPr>
          <w:spacing w:val="-8"/>
        </w:rPr>
        <w:t> </w:t>
      </w:r>
      <w:r>
        <w:rPr/>
        <w:t>de livraison aussi que les clauses relatives aux modalités de paiement et de garantie, aux pénalités de retard et au règlement des</w:t>
      </w:r>
      <w:r>
        <w:rPr>
          <w:spacing w:val="-2"/>
        </w:rPr>
        <w:t> </w:t>
      </w:r>
      <w:r>
        <w:rPr/>
        <w:t>litiges.</w:t>
      </w:r>
    </w:p>
    <w:p>
      <w:pPr>
        <w:pStyle w:val="BodyText"/>
        <w:spacing w:before="118"/>
        <w:ind w:right="759"/>
      </w:pPr>
      <w:r>
        <w:rPr/>
        <w:t>Le cahier de charge précise les conditions liées à l'achat envisagé notamment la quantité prévue à l'achat, les spécifications du produit, les termes d'achat (CIF, FOB, etc.) et les termes de livraison.</w:t>
      </w:r>
    </w:p>
    <w:p>
      <w:pPr>
        <w:pStyle w:val="BodyText"/>
        <w:spacing w:line="242" w:lineRule="auto" w:before="119"/>
        <w:ind w:right="760"/>
      </w:pPr>
      <w:r>
        <w:rPr/>
        <w:t>Le cahier de charge précise en outre le délai imparti aux fournisseurs pour la communication de leurs offres.</w:t>
      </w:r>
    </w:p>
    <w:p>
      <w:pPr>
        <w:pStyle w:val="Heading2"/>
        <w:numPr>
          <w:ilvl w:val="2"/>
          <w:numId w:val="76"/>
        </w:numPr>
        <w:tabs>
          <w:tab w:pos="1214" w:val="left" w:leader="none"/>
        </w:tabs>
        <w:spacing w:line="319" w:lineRule="exact" w:before="120" w:after="0"/>
        <w:ind w:left="1213" w:right="0" w:hanging="781"/>
        <w:jc w:val="both"/>
      </w:pPr>
      <w:bookmarkStart w:name="_TOC_250056" w:id="87"/>
      <w:r>
        <w:rPr/>
        <w:t>Passation des marchés</w:t>
      </w:r>
      <w:r>
        <w:rPr>
          <w:spacing w:val="-2"/>
        </w:rPr>
        <w:t> </w:t>
      </w:r>
      <w:bookmarkEnd w:id="87"/>
      <w:r>
        <w:rPr/>
        <w:t>spécifiques</w:t>
      </w:r>
    </w:p>
    <w:p>
      <w:pPr>
        <w:pStyle w:val="BodyText"/>
        <w:ind w:right="760"/>
      </w:pPr>
      <w:r>
        <w:rPr/>
        <w:t>La passation des marchés spécifiques d’acide sulfurique et des produits destinés à être vendus en l'état ou conditionnés doit être précédée d’une mise en concurrence assurée par voie de consultation.</w:t>
      </w:r>
    </w:p>
    <w:p>
      <w:pPr>
        <w:pStyle w:val="Heading2"/>
        <w:numPr>
          <w:ilvl w:val="3"/>
          <w:numId w:val="79"/>
        </w:numPr>
        <w:tabs>
          <w:tab w:pos="1353" w:val="left" w:leader="none"/>
        </w:tabs>
        <w:spacing w:line="321" w:lineRule="exact" w:before="121" w:after="0"/>
        <w:ind w:left="1352" w:right="0" w:hanging="920"/>
        <w:jc w:val="both"/>
      </w:pPr>
      <w:r>
        <w:rPr/>
        <w:t>Lancement de la</w:t>
      </w:r>
      <w:r>
        <w:rPr>
          <w:spacing w:val="-1"/>
        </w:rPr>
        <w:t> </w:t>
      </w:r>
      <w:r>
        <w:rPr/>
        <w:t>consultation</w:t>
      </w:r>
    </w:p>
    <w:p>
      <w:pPr>
        <w:pStyle w:val="BodyText"/>
        <w:ind w:right="756"/>
      </w:pPr>
      <w:r>
        <w:rPr/>
        <w:t>La</w:t>
      </w:r>
      <w:r>
        <w:rPr>
          <w:spacing w:val="-18"/>
        </w:rPr>
        <w:t> </w:t>
      </w:r>
      <w:r>
        <w:rPr/>
        <w:t>consultation</w:t>
      </w:r>
      <w:r>
        <w:rPr>
          <w:spacing w:val="-17"/>
        </w:rPr>
        <w:t> </w:t>
      </w:r>
      <w:r>
        <w:rPr/>
        <w:t>se</w:t>
      </w:r>
      <w:r>
        <w:rPr>
          <w:spacing w:val="-17"/>
        </w:rPr>
        <w:t> </w:t>
      </w:r>
      <w:r>
        <w:rPr/>
        <w:t>fera</w:t>
      </w:r>
      <w:r>
        <w:rPr>
          <w:spacing w:val="-18"/>
        </w:rPr>
        <w:t> </w:t>
      </w:r>
      <w:r>
        <w:rPr/>
        <w:t>via</w:t>
      </w:r>
      <w:r>
        <w:rPr>
          <w:spacing w:val="-17"/>
        </w:rPr>
        <w:t> </w:t>
      </w:r>
      <w:r>
        <w:rPr/>
        <w:t>une</w:t>
      </w:r>
      <w:r>
        <w:rPr>
          <w:spacing w:val="-20"/>
        </w:rPr>
        <w:t> </w:t>
      </w:r>
      <w:r>
        <w:rPr/>
        <w:t>publication</w:t>
      </w:r>
      <w:r>
        <w:rPr>
          <w:spacing w:val="-20"/>
        </w:rPr>
        <w:t> </w:t>
      </w:r>
      <w:r>
        <w:rPr/>
        <w:t>de</w:t>
      </w:r>
      <w:r>
        <w:rPr>
          <w:spacing w:val="-20"/>
        </w:rPr>
        <w:t> </w:t>
      </w:r>
      <w:r>
        <w:rPr/>
        <w:t>l'annonce</w:t>
      </w:r>
      <w:r>
        <w:rPr>
          <w:spacing w:val="-20"/>
        </w:rPr>
        <w:t> </w:t>
      </w:r>
      <w:r>
        <w:rPr/>
        <w:t>de</w:t>
      </w:r>
      <w:r>
        <w:rPr>
          <w:spacing w:val="-17"/>
        </w:rPr>
        <w:t> </w:t>
      </w:r>
      <w:r>
        <w:rPr/>
        <w:t>l'appel</w:t>
      </w:r>
      <w:r>
        <w:rPr>
          <w:spacing w:val="-17"/>
        </w:rPr>
        <w:t> </w:t>
      </w:r>
      <w:r>
        <w:rPr/>
        <w:t>à</w:t>
      </w:r>
      <w:r>
        <w:rPr>
          <w:spacing w:val="-20"/>
        </w:rPr>
        <w:t> </w:t>
      </w:r>
      <w:r>
        <w:rPr/>
        <w:t>la</w:t>
      </w:r>
      <w:r>
        <w:rPr>
          <w:spacing w:val="-18"/>
        </w:rPr>
        <w:t> </w:t>
      </w:r>
      <w:r>
        <w:rPr/>
        <w:t>concurrence sur le site web du GCT, sur les journaux locaux et sur les publications spécialisées internationales.</w:t>
      </w:r>
      <w:r>
        <w:rPr>
          <w:spacing w:val="-12"/>
        </w:rPr>
        <w:t> </w:t>
      </w:r>
      <w:r>
        <w:rPr/>
        <w:t>L'avis</w:t>
      </w:r>
      <w:r>
        <w:rPr>
          <w:spacing w:val="-11"/>
        </w:rPr>
        <w:t> </w:t>
      </w:r>
      <w:r>
        <w:rPr/>
        <w:t>de</w:t>
      </w:r>
      <w:r>
        <w:rPr>
          <w:spacing w:val="-11"/>
        </w:rPr>
        <w:t> </w:t>
      </w:r>
      <w:r>
        <w:rPr/>
        <w:t>l'appel</w:t>
      </w:r>
      <w:r>
        <w:rPr>
          <w:spacing w:val="-9"/>
        </w:rPr>
        <w:t> </w:t>
      </w:r>
      <w:r>
        <w:rPr/>
        <w:t>à</w:t>
      </w:r>
      <w:r>
        <w:rPr>
          <w:spacing w:val="-10"/>
        </w:rPr>
        <w:t> </w:t>
      </w:r>
      <w:r>
        <w:rPr/>
        <w:t>la</w:t>
      </w:r>
      <w:r>
        <w:rPr>
          <w:spacing w:val="-11"/>
        </w:rPr>
        <w:t> </w:t>
      </w:r>
      <w:r>
        <w:rPr/>
        <w:t>concurrence</w:t>
      </w:r>
      <w:r>
        <w:rPr>
          <w:spacing w:val="-10"/>
        </w:rPr>
        <w:t> </w:t>
      </w:r>
      <w:r>
        <w:rPr/>
        <w:t>ainsi</w:t>
      </w:r>
      <w:r>
        <w:rPr>
          <w:spacing w:val="-10"/>
        </w:rPr>
        <w:t> </w:t>
      </w:r>
      <w:r>
        <w:rPr/>
        <w:t>que</w:t>
      </w:r>
      <w:r>
        <w:rPr>
          <w:spacing w:val="-10"/>
        </w:rPr>
        <w:t> </w:t>
      </w:r>
      <w:r>
        <w:rPr/>
        <w:t>le</w:t>
      </w:r>
      <w:r>
        <w:rPr>
          <w:spacing w:val="-10"/>
        </w:rPr>
        <w:t> </w:t>
      </w:r>
      <w:r>
        <w:rPr/>
        <w:t>cahier</w:t>
      </w:r>
      <w:r>
        <w:rPr>
          <w:spacing w:val="-11"/>
        </w:rPr>
        <w:t> </w:t>
      </w:r>
      <w:r>
        <w:rPr/>
        <w:t>des</w:t>
      </w:r>
      <w:r>
        <w:rPr>
          <w:spacing w:val="-9"/>
        </w:rPr>
        <w:t> </w:t>
      </w:r>
      <w:r>
        <w:rPr/>
        <w:t>charges</w:t>
      </w:r>
      <w:r>
        <w:rPr>
          <w:spacing w:val="-12"/>
        </w:rPr>
        <w:t> </w:t>
      </w:r>
      <w:r>
        <w:rPr/>
        <w:t>seront</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0" w:firstLine="0"/>
      </w:pPr>
      <w:r>
        <w:rPr/>
        <w:t>accessibles</w:t>
      </w:r>
      <w:r>
        <w:rPr>
          <w:spacing w:val="-5"/>
        </w:rPr>
        <w:t> </w:t>
      </w:r>
      <w:r>
        <w:rPr/>
        <w:t>sur</w:t>
      </w:r>
      <w:r>
        <w:rPr>
          <w:spacing w:val="-8"/>
        </w:rPr>
        <w:t> </w:t>
      </w:r>
      <w:r>
        <w:rPr/>
        <w:t>le</w:t>
      </w:r>
      <w:r>
        <w:rPr>
          <w:spacing w:val="-7"/>
        </w:rPr>
        <w:t> </w:t>
      </w:r>
      <w:r>
        <w:rPr/>
        <w:t>site</w:t>
      </w:r>
      <w:r>
        <w:rPr>
          <w:spacing w:val="-8"/>
        </w:rPr>
        <w:t> </w:t>
      </w:r>
      <w:r>
        <w:rPr/>
        <w:t>web</w:t>
      </w:r>
      <w:r>
        <w:rPr>
          <w:spacing w:val="-3"/>
        </w:rPr>
        <w:t> </w:t>
      </w:r>
      <w:r>
        <w:rPr/>
        <w:t>du</w:t>
      </w:r>
      <w:r>
        <w:rPr>
          <w:spacing w:val="-5"/>
        </w:rPr>
        <w:t> </w:t>
      </w:r>
      <w:r>
        <w:rPr/>
        <w:t>GCT.</w:t>
      </w:r>
      <w:r>
        <w:rPr>
          <w:spacing w:val="-5"/>
        </w:rPr>
        <w:t> </w:t>
      </w:r>
      <w:r>
        <w:rPr/>
        <w:t>Toutefois,</w:t>
      </w:r>
      <w:r>
        <w:rPr>
          <w:spacing w:val="-8"/>
        </w:rPr>
        <w:t> </w:t>
      </w:r>
      <w:r>
        <w:rPr/>
        <w:t>dans</w:t>
      </w:r>
      <w:r>
        <w:rPr>
          <w:spacing w:val="-6"/>
        </w:rPr>
        <w:t> </w:t>
      </w:r>
      <w:r>
        <w:rPr/>
        <w:t>le</w:t>
      </w:r>
      <w:r>
        <w:rPr>
          <w:spacing w:val="-8"/>
        </w:rPr>
        <w:t> </w:t>
      </w:r>
      <w:r>
        <w:rPr/>
        <w:t>but</w:t>
      </w:r>
      <w:r>
        <w:rPr>
          <w:spacing w:val="-7"/>
        </w:rPr>
        <w:t> </w:t>
      </w:r>
      <w:r>
        <w:rPr/>
        <w:t>de</w:t>
      </w:r>
      <w:r>
        <w:rPr>
          <w:spacing w:val="-7"/>
        </w:rPr>
        <w:t> </w:t>
      </w:r>
      <w:r>
        <w:rPr/>
        <w:t>s'assurer</w:t>
      </w:r>
      <w:r>
        <w:rPr>
          <w:spacing w:val="-7"/>
        </w:rPr>
        <w:t> </w:t>
      </w:r>
      <w:r>
        <w:rPr/>
        <w:t>de</w:t>
      </w:r>
      <w:r>
        <w:rPr>
          <w:spacing w:val="-7"/>
        </w:rPr>
        <w:t> </w:t>
      </w:r>
      <w:r>
        <w:rPr/>
        <w:t>la</w:t>
      </w:r>
      <w:r>
        <w:rPr>
          <w:spacing w:val="-8"/>
        </w:rPr>
        <w:t> </w:t>
      </w:r>
      <w:r>
        <w:rPr/>
        <w:t>réussite</w:t>
      </w:r>
      <w:r>
        <w:rPr>
          <w:spacing w:val="-7"/>
        </w:rPr>
        <w:t> </w:t>
      </w:r>
      <w:r>
        <w:rPr/>
        <w:t>de l'appel à la concurrence, la DCAMP pourrait consulter directement via e-mail les producteurs</w:t>
      </w:r>
      <w:r>
        <w:rPr>
          <w:spacing w:val="-18"/>
        </w:rPr>
        <w:t> </w:t>
      </w:r>
      <w:r>
        <w:rPr/>
        <w:t>et</w:t>
      </w:r>
      <w:r>
        <w:rPr>
          <w:spacing w:val="-17"/>
        </w:rPr>
        <w:t> </w:t>
      </w:r>
      <w:r>
        <w:rPr/>
        <w:t>les</w:t>
      </w:r>
      <w:r>
        <w:rPr>
          <w:spacing w:val="-18"/>
        </w:rPr>
        <w:t> </w:t>
      </w:r>
      <w:r>
        <w:rPr/>
        <w:t>traders</w:t>
      </w:r>
      <w:r>
        <w:rPr>
          <w:spacing w:val="-17"/>
        </w:rPr>
        <w:t> </w:t>
      </w:r>
      <w:r>
        <w:rPr/>
        <w:t>les</w:t>
      </w:r>
      <w:r>
        <w:rPr>
          <w:spacing w:val="-18"/>
        </w:rPr>
        <w:t> </w:t>
      </w:r>
      <w:r>
        <w:rPr/>
        <w:t>plus</w:t>
      </w:r>
      <w:r>
        <w:rPr>
          <w:spacing w:val="-17"/>
        </w:rPr>
        <w:t> </w:t>
      </w:r>
      <w:r>
        <w:rPr/>
        <w:t>reconnus</w:t>
      </w:r>
      <w:r>
        <w:rPr>
          <w:spacing w:val="-15"/>
        </w:rPr>
        <w:t> </w:t>
      </w:r>
      <w:r>
        <w:rPr/>
        <w:t>internationalement</w:t>
      </w:r>
      <w:r>
        <w:rPr>
          <w:spacing w:val="-16"/>
        </w:rPr>
        <w:t> </w:t>
      </w:r>
      <w:r>
        <w:rPr/>
        <w:t>et</w:t>
      </w:r>
      <w:r>
        <w:rPr>
          <w:spacing w:val="-17"/>
        </w:rPr>
        <w:t> </w:t>
      </w:r>
      <w:r>
        <w:rPr/>
        <w:t>les</w:t>
      </w:r>
      <w:r>
        <w:rPr>
          <w:spacing w:val="-18"/>
        </w:rPr>
        <w:t> </w:t>
      </w:r>
      <w:r>
        <w:rPr/>
        <w:t>inviter</w:t>
      </w:r>
      <w:r>
        <w:rPr>
          <w:spacing w:val="-16"/>
        </w:rPr>
        <w:t> </w:t>
      </w:r>
      <w:r>
        <w:rPr/>
        <w:t>à</w:t>
      </w:r>
      <w:r>
        <w:rPr>
          <w:spacing w:val="-19"/>
        </w:rPr>
        <w:t> </w:t>
      </w:r>
      <w:r>
        <w:rPr/>
        <w:t>soumettre leurs offres conformément aux conditions et termes de l'appel à la concurrence. La consultation de ces fournisseurs se fera via le compte de</w:t>
      </w:r>
      <w:r>
        <w:rPr>
          <w:spacing w:val="35"/>
        </w:rPr>
        <w:t> </w:t>
      </w:r>
      <w:r>
        <w:rPr/>
        <w:t>messagerie</w:t>
      </w:r>
    </w:p>
    <w:p>
      <w:pPr>
        <w:pStyle w:val="Heading2"/>
        <w:spacing w:before="0"/>
        <w:rPr>
          <w:b w:val="0"/>
        </w:rPr>
      </w:pPr>
      <w:r>
        <w:rPr>
          <w:b w:val="0"/>
        </w:rPr>
        <w:t>« </w:t>
      </w:r>
      <w:hyperlink r:id="rId9">
        <w:r>
          <w:rPr/>
          <w:t>gct.achatmp@gct.com.tn </w:t>
        </w:r>
      </w:hyperlink>
      <w:r>
        <w:rPr>
          <w:b w:val="0"/>
        </w:rPr>
        <w:t>».</w:t>
      </w:r>
    </w:p>
    <w:p>
      <w:pPr>
        <w:pStyle w:val="BodyText"/>
        <w:spacing w:before="120"/>
        <w:ind w:right="755"/>
      </w:pPr>
      <w:r>
        <w:rPr/>
        <w:t>La date de lancement de la consultation ainsi que la date et l’heure limites de réception des offres et la date et l’heure d'ouverture des offres sont fixées par la DCAMP</w:t>
      </w:r>
      <w:r>
        <w:rPr>
          <w:spacing w:val="-14"/>
        </w:rPr>
        <w:t> </w:t>
      </w:r>
      <w:r>
        <w:rPr/>
        <w:t>en</w:t>
      </w:r>
      <w:r>
        <w:rPr>
          <w:spacing w:val="-13"/>
        </w:rPr>
        <w:t> </w:t>
      </w:r>
      <w:r>
        <w:rPr/>
        <w:t>commun</w:t>
      </w:r>
      <w:r>
        <w:rPr>
          <w:spacing w:val="-10"/>
        </w:rPr>
        <w:t> </w:t>
      </w:r>
      <w:r>
        <w:rPr/>
        <w:t>accord</w:t>
      </w:r>
      <w:r>
        <w:rPr>
          <w:spacing w:val="-13"/>
        </w:rPr>
        <w:t> </w:t>
      </w:r>
      <w:r>
        <w:rPr/>
        <w:t>avec</w:t>
      </w:r>
      <w:r>
        <w:rPr>
          <w:spacing w:val="-13"/>
        </w:rPr>
        <w:t> </w:t>
      </w:r>
      <w:r>
        <w:rPr/>
        <w:t>le</w:t>
      </w:r>
      <w:r>
        <w:rPr>
          <w:spacing w:val="-14"/>
        </w:rPr>
        <w:t> </w:t>
      </w:r>
      <w:r>
        <w:rPr/>
        <w:t>SPCM.</w:t>
      </w:r>
      <w:r>
        <w:rPr>
          <w:spacing w:val="-16"/>
        </w:rPr>
        <w:t> </w:t>
      </w:r>
      <w:r>
        <w:rPr/>
        <w:t>Ce</w:t>
      </w:r>
      <w:r>
        <w:rPr>
          <w:spacing w:val="-14"/>
        </w:rPr>
        <w:t> </w:t>
      </w:r>
      <w:r>
        <w:rPr/>
        <w:t>dernier</w:t>
      </w:r>
      <w:r>
        <w:rPr>
          <w:spacing w:val="-13"/>
        </w:rPr>
        <w:t> </w:t>
      </w:r>
      <w:r>
        <w:rPr/>
        <w:t>arrête</w:t>
      </w:r>
      <w:r>
        <w:rPr>
          <w:spacing w:val="-14"/>
        </w:rPr>
        <w:t> </w:t>
      </w:r>
      <w:r>
        <w:rPr/>
        <w:t>ces</w:t>
      </w:r>
      <w:r>
        <w:rPr>
          <w:spacing w:val="-14"/>
        </w:rPr>
        <w:t> </w:t>
      </w:r>
      <w:r>
        <w:rPr/>
        <w:t>dates</w:t>
      </w:r>
      <w:r>
        <w:rPr>
          <w:spacing w:val="-13"/>
        </w:rPr>
        <w:t> </w:t>
      </w:r>
      <w:r>
        <w:rPr/>
        <w:t>en</w:t>
      </w:r>
      <w:r>
        <w:rPr>
          <w:spacing w:val="-12"/>
        </w:rPr>
        <w:t> </w:t>
      </w:r>
      <w:r>
        <w:rPr/>
        <w:t>coordination avec le président de la CROOM de</w:t>
      </w:r>
      <w:r>
        <w:rPr>
          <w:spacing w:val="-7"/>
        </w:rPr>
        <w:t> </w:t>
      </w:r>
      <w:r>
        <w:rPr/>
        <w:t>Tunis.</w:t>
      </w:r>
    </w:p>
    <w:p>
      <w:pPr>
        <w:pStyle w:val="Heading2"/>
        <w:numPr>
          <w:ilvl w:val="3"/>
          <w:numId w:val="79"/>
        </w:numPr>
        <w:tabs>
          <w:tab w:pos="1353" w:val="left" w:leader="none"/>
        </w:tabs>
        <w:spacing w:line="319" w:lineRule="exact" w:before="126" w:after="0"/>
        <w:ind w:left="1352" w:right="0" w:hanging="920"/>
        <w:jc w:val="both"/>
      </w:pPr>
      <w:r>
        <w:rPr/>
        <w:t>Réception des</w:t>
      </w:r>
      <w:r>
        <w:rPr>
          <w:spacing w:val="-5"/>
        </w:rPr>
        <w:t> </w:t>
      </w:r>
      <w:r>
        <w:rPr/>
        <w:t>offres</w:t>
      </w:r>
    </w:p>
    <w:p>
      <w:pPr>
        <w:spacing w:line="240" w:lineRule="auto" w:before="0"/>
        <w:ind w:left="433" w:right="759" w:firstLine="566"/>
        <w:jc w:val="both"/>
        <w:rPr>
          <w:sz w:val="28"/>
        </w:rPr>
      </w:pPr>
      <w:r>
        <w:rPr>
          <w:sz w:val="28"/>
        </w:rPr>
        <w:t>La réception des offres se fait exclusivement sur le compte de messagerie électronique «</w:t>
      </w:r>
      <w:hyperlink r:id="rId11">
        <w:r>
          <w:rPr>
            <w:b/>
            <w:sz w:val="28"/>
          </w:rPr>
          <w:t>gct.croomtunis@gct.com.tn</w:t>
        </w:r>
      </w:hyperlink>
      <w:r>
        <w:rPr>
          <w:sz w:val="28"/>
        </w:rPr>
        <w:t>».</w:t>
      </w:r>
    </w:p>
    <w:p>
      <w:pPr>
        <w:pStyle w:val="BodyText"/>
        <w:spacing w:before="117"/>
        <w:ind w:right="756"/>
      </w:pPr>
      <w:r>
        <w:rPr/>
        <w:t>L’accès à ce compte se fait via un seul login et (3) mots de passes distincts. Chaque</w:t>
      </w:r>
      <w:r>
        <w:rPr>
          <w:spacing w:val="-16"/>
        </w:rPr>
        <w:t> </w:t>
      </w:r>
      <w:r>
        <w:rPr/>
        <w:t>mot</w:t>
      </w:r>
      <w:r>
        <w:rPr>
          <w:spacing w:val="-14"/>
        </w:rPr>
        <w:t> </w:t>
      </w:r>
      <w:r>
        <w:rPr/>
        <w:t>de</w:t>
      </w:r>
      <w:r>
        <w:rPr>
          <w:spacing w:val="-17"/>
        </w:rPr>
        <w:t> </w:t>
      </w:r>
      <w:r>
        <w:rPr/>
        <w:t>passe</w:t>
      </w:r>
      <w:r>
        <w:rPr>
          <w:spacing w:val="-17"/>
        </w:rPr>
        <w:t> </w:t>
      </w:r>
      <w:r>
        <w:rPr/>
        <w:t>est</w:t>
      </w:r>
      <w:r>
        <w:rPr>
          <w:spacing w:val="-17"/>
        </w:rPr>
        <w:t> </w:t>
      </w:r>
      <w:r>
        <w:rPr/>
        <w:t>affecté</w:t>
      </w:r>
      <w:r>
        <w:rPr>
          <w:spacing w:val="-17"/>
        </w:rPr>
        <w:t> </w:t>
      </w:r>
      <w:r>
        <w:rPr/>
        <w:t>à</w:t>
      </w:r>
      <w:r>
        <w:rPr>
          <w:spacing w:val="-17"/>
        </w:rPr>
        <w:t> </w:t>
      </w:r>
      <w:r>
        <w:rPr/>
        <w:t>un</w:t>
      </w:r>
      <w:r>
        <w:rPr>
          <w:spacing w:val="-16"/>
        </w:rPr>
        <w:t> </w:t>
      </w:r>
      <w:r>
        <w:rPr/>
        <w:t>membre</w:t>
      </w:r>
      <w:r>
        <w:rPr>
          <w:spacing w:val="-16"/>
        </w:rPr>
        <w:t> </w:t>
      </w:r>
      <w:r>
        <w:rPr/>
        <w:t>de</w:t>
      </w:r>
      <w:r>
        <w:rPr>
          <w:spacing w:val="-15"/>
        </w:rPr>
        <w:t> </w:t>
      </w:r>
      <w:r>
        <w:rPr/>
        <w:t>la</w:t>
      </w:r>
      <w:r>
        <w:rPr>
          <w:spacing w:val="-15"/>
        </w:rPr>
        <w:t> </w:t>
      </w:r>
      <w:r>
        <w:rPr/>
        <w:t>Commission</w:t>
      </w:r>
      <w:r>
        <w:rPr>
          <w:spacing w:val="-16"/>
        </w:rPr>
        <w:t> </w:t>
      </w:r>
      <w:r>
        <w:rPr/>
        <w:t>Régionale</w:t>
      </w:r>
      <w:r>
        <w:rPr>
          <w:spacing w:val="-18"/>
        </w:rPr>
        <w:t> </w:t>
      </w:r>
      <w:r>
        <w:rPr/>
        <w:t>d'Ouverture des Offres des Marchés de Tunis qui peut le modifier à n'importe quel</w:t>
      </w:r>
      <w:r>
        <w:rPr>
          <w:spacing w:val="-23"/>
        </w:rPr>
        <w:t> </w:t>
      </w:r>
      <w:r>
        <w:rPr/>
        <w:t>moment.</w:t>
      </w:r>
    </w:p>
    <w:p>
      <w:pPr>
        <w:pStyle w:val="Heading2"/>
        <w:numPr>
          <w:ilvl w:val="3"/>
          <w:numId w:val="80"/>
        </w:numPr>
        <w:tabs>
          <w:tab w:pos="1352" w:val="left" w:leader="none"/>
        </w:tabs>
        <w:spacing w:line="319" w:lineRule="exact" w:before="127" w:after="0"/>
        <w:ind w:left="1351" w:right="0" w:hanging="919"/>
        <w:jc w:val="both"/>
      </w:pPr>
      <w:r>
        <w:rPr/>
        <w:t>Ouverture des offres</w:t>
      </w:r>
    </w:p>
    <w:p>
      <w:pPr>
        <w:pStyle w:val="BodyText"/>
        <w:ind w:right="756"/>
      </w:pPr>
      <w:r>
        <w:rPr/>
        <w:t>La</w:t>
      </w:r>
      <w:r>
        <w:rPr>
          <w:spacing w:val="-15"/>
        </w:rPr>
        <w:t> </w:t>
      </w:r>
      <w:r>
        <w:rPr/>
        <w:t>séance</w:t>
      </w:r>
      <w:r>
        <w:rPr>
          <w:spacing w:val="-15"/>
        </w:rPr>
        <w:t> </w:t>
      </w:r>
      <w:r>
        <w:rPr/>
        <w:t>d’ouverture</w:t>
      </w:r>
      <w:r>
        <w:rPr>
          <w:spacing w:val="-15"/>
        </w:rPr>
        <w:t> </w:t>
      </w:r>
      <w:r>
        <w:rPr/>
        <w:t>des</w:t>
      </w:r>
      <w:r>
        <w:rPr>
          <w:spacing w:val="-14"/>
        </w:rPr>
        <w:t> </w:t>
      </w:r>
      <w:r>
        <w:rPr/>
        <w:t>offres</w:t>
      </w:r>
      <w:r>
        <w:rPr>
          <w:spacing w:val="-14"/>
        </w:rPr>
        <w:t> </w:t>
      </w:r>
      <w:r>
        <w:rPr/>
        <w:t>est</w:t>
      </w:r>
      <w:r>
        <w:rPr>
          <w:spacing w:val="-14"/>
        </w:rPr>
        <w:t> </w:t>
      </w:r>
      <w:r>
        <w:rPr/>
        <w:t>tenue</w:t>
      </w:r>
      <w:r>
        <w:rPr>
          <w:spacing w:val="-15"/>
        </w:rPr>
        <w:t> </w:t>
      </w:r>
      <w:r>
        <w:rPr/>
        <w:t>obligatoirement</w:t>
      </w:r>
      <w:r>
        <w:rPr>
          <w:spacing w:val="-14"/>
        </w:rPr>
        <w:t> </w:t>
      </w:r>
      <w:r>
        <w:rPr/>
        <w:t>le</w:t>
      </w:r>
      <w:r>
        <w:rPr>
          <w:spacing w:val="-14"/>
        </w:rPr>
        <w:t> </w:t>
      </w:r>
      <w:r>
        <w:rPr/>
        <w:t>jour</w:t>
      </w:r>
      <w:r>
        <w:rPr>
          <w:spacing w:val="-15"/>
        </w:rPr>
        <w:t> </w:t>
      </w:r>
      <w:r>
        <w:rPr/>
        <w:t>de</w:t>
      </w:r>
      <w:r>
        <w:rPr>
          <w:spacing w:val="-15"/>
        </w:rPr>
        <w:t> </w:t>
      </w:r>
      <w:r>
        <w:rPr/>
        <w:t>la</w:t>
      </w:r>
      <w:r>
        <w:rPr>
          <w:spacing w:val="-15"/>
        </w:rPr>
        <w:t> </w:t>
      </w:r>
      <w:r>
        <w:rPr/>
        <w:t>date</w:t>
      </w:r>
      <w:r>
        <w:rPr>
          <w:spacing w:val="-15"/>
        </w:rPr>
        <w:t> </w:t>
      </w:r>
      <w:r>
        <w:rPr/>
        <w:t>limite de réception des</w:t>
      </w:r>
      <w:r>
        <w:rPr>
          <w:spacing w:val="1"/>
        </w:rPr>
        <w:t> </w:t>
      </w:r>
      <w:r>
        <w:rPr/>
        <w:t>offres.</w:t>
      </w:r>
    </w:p>
    <w:p>
      <w:pPr>
        <w:pStyle w:val="BodyText"/>
        <w:spacing w:before="116"/>
        <w:ind w:right="757"/>
      </w:pPr>
      <w:r>
        <w:rPr/>
        <w:t>Les soumissionnaires peuvent désigner des représentants. Ces représentants sont alors autorisés à assister aux travaux de la commission, après vérification de leurs identités et des procurations qui leurs ont été délivrées par les soumissionnaires en question.</w:t>
      </w:r>
    </w:p>
    <w:p>
      <w:pPr>
        <w:pStyle w:val="BodyText"/>
        <w:spacing w:before="121"/>
        <w:ind w:right="762"/>
      </w:pPr>
      <w:r>
        <w:rPr/>
        <w:t>L'opération d'ouverture des offres s'effectue en présence d'au moins deux membres de la commission dont obligatoirement son président.</w:t>
      </w:r>
    </w:p>
    <w:p>
      <w:pPr>
        <w:pStyle w:val="BodyText"/>
        <w:spacing w:before="120"/>
        <w:ind w:right="761"/>
      </w:pPr>
      <w:r>
        <w:rPr/>
        <w:t>Au jour prévu pour l’ouverture des offres (date et heure), les membres de la CROOM de Tunis se présentent devant un ordinateur pour effectuer l'ouverture.</w:t>
      </w:r>
    </w:p>
    <w:p>
      <w:pPr>
        <w:pStyle w:val="BodyText"/>
        <w:spacing w:before="119"/>
        <w:ind w:right="749"/>
      </w:pPr>
      <w:r>
        <w:rPr/>
        <w:t>Pour pouvoir consulter son contenu (les offres des soumissionnaires), le compte mail «</w:t>
      </w:r>
      <w:hyperlink r:id="rId11">
        <w:r>
          <w:rPr>
            <w:b/>
          </w:rPr>
          <w:t>gct.croomtunis@gct.com.tn</w:t>
        </w:r>
      </w:hyperlink>
      <w:r>
        <w:rPr/>
        <w:t>», nécessite obligatoirement la saisie d'au moins deux mots de passe parmi les (3) précités.</w:t>
      </w:r>
    </w:p>
    <w:p>
      <w:pPr>
        <w:pStyle w:val="BodyText"/>
        <w:spacing w:before="122"/>
        <w:ind w:right="750"/>
      </w:pPr>
      <w:r>
        <w:rPr/>
        <w:t>Suite à l’ouverture des offres, la CROOM de Tunis dresse un procès-verbal d’ouverture</w:t>
      </w:r>
      <w:r>
        <w:rPr>
          <w:spacing w:val="-13"/>
        </w:rPr>
        <w:t> </w:t>
      </w:r>
      <w:r>
        <w:rPr/>
        <w:t>des</w:t>
      </w:r>
      <w:r>
        <w:rPr>
          <w:spacing w:val="-12"/>
        </w:rPr>
        <w:t> </w:t>
      </w:r>
      <w:r>
        <w:rPr/>
        <w:t>offres</w:t>
      </w:r>
      <w:r>
        <w:rPr>
          <w:spacing w:val="-14"/>
        </w:rPr>
        <w:t> </w:t>
      </w:r>
      <w:r>
        <w:rPr/>
        <w:t>qui</w:t>
      </w:r>
      <w:r>
        <w:rPr>
          <w:spacing w:val="-13"/>
        </w:rPr>
        <w:t> </w:t>
      </w:r>
      <w:r>
        <w:rPr/>
        <w:t>doit</w:t>
      </w:r>
      <w:r>
        <w:rPr>
          <w:spacing w:val="-12"/>
        </w:rPr>
        <w:t> </w:t>
      </w:r>
      <w:r>
        <w:rPr/>
        <w:t>être</w:t>
      </w:r>
      <w:r>
        <w:rPr>
          <w:spacing w:val="-12"/>
        </w:rPr>
        <w:t> </w:t>
      </w:r>
      <w:r>
        <w:rPr/>
        <w:t>signé</w:t>
      </w:r>
      <w:r>
        <w:rPr>
          <w:spacing w:val="-12"/>
        </w:rPr>
        <w:t> </w:t>
      </w:r>
      <w:r>
        <w:rPr/>
        <w:t>par</w:t>
      </w:r>
      <w:r>
        <w:rPr>
          <w:spacing w:val="-13"/>
        </w:rPr>
        <w:t> </w:t>
      </w:r>
      <w:r>
        <w:rPr/>
        <w:t>tous</w:t>
      </w:r>
      <w:r>
        <w:rPr>
          <w:spacing w:val="-6"/>
        </w:rPr>
        <w:t> </w:t>
      </w:r>
      <w:r>
        <w:rPr/>
        <w:t>les</w:t>
      </w:r>
      <w:r>
        <w:rPr>
          <w:spacing w:val="-10"/>
        </w:rPr>
        <w:t> </w:t>
      </w:r>
      <w:r>
        <w:rPr/>
        <w:t>membres</w:t>
      </w:r>
      <w:r>
        <w:rPr>
          <w:spacing w:val="-11"/>
        </w:rPr>
        <w:t> </w:t>
      </w:r>
      <w:r>
        <w:rPr/>
        <w:t>présents</w:t>
      </w:r>
      <w:r>
        <w:rPr>
          <w:spacing w:val="-12"/>
        </w:rPr>
        <w:t> </w:t>
      </w:r>
      <w:r>
        <w:rPr/>
        <w:t>séance</w:t>
      </w:r>
      <w:r>
        <w:rPr>
          <w:spacing w:val="-12"/>
        </w:rPr>
        <w:t> </w:t>
      </w:r>
      <w:r>
        <w:rPr/>
        <w:t>tenante.</w:t>
      </w:r>
    </w:p>
    <w:p>
      <w:pPr>
        <w:pStyle w:val="BodyText"/>
        <w:spacing w:before="119"/>
        <w:ind w:left="999" w:firstLine="0"/>
      </w:pPr>
      <w:r>
        <w:rPr/>
        <w:t>Le procès-verbal doit préciser notamment les données suivantes :</w:t>
      </w:r>
    </w:p>
    <w:p>
      <w:pPr>
        <w:pStyle w:val="ListParagraph"/>
        <w:numPr>
          <w:ilvl w:val="4"/>
          <w:numId w:val="80"/>
        </w:numPr>
        <w:tabs>
          <w:tab w:pos="1000" w:val="left" w:leader="none"/>
        </w:tabs>
        <w:spacing w:line="240" w:lineRule="auto" w:before="119" w:after="0"/>
        <w:ind w:left="999" w:right="763" w:hanging="284"/>
        <w:jc w:val="both"/>
        <w:rPr>
          <w:sz w:val="28"/>
        </w:rPr>
      </w:pPr>
      <w:r>
        <w:rPr>
          <w:sz w:val="28"/>
        </w:rPr>
        <w:t>Les numéros d’ordre attribués aux offres conformément à leurs dates et heures d’arrivée et les noms des soumissionnaires</w:t>
      </w:r>
      <w:r>
        <w:rPr>
          <w:spacing w:val="3"/>
          <w:sz w:val="28"/>
        </w:rPr>
        <w:t> </w:t>
      </w:r>
      <w:r>
        <w:rPr>
          <w:sz w:val="28"/>
        </w:rPr>
        <w:t>;</w:t>
      </w:r>
    </w:p>
    <w:p>
      <w:pPr>
        <w:pStyle w:val="ListParagraph"/>
        <w:numPr>
          <w:ilvl w:val="4"/>
          <w:numId w:val="80"/>
        </w:numPr>
        <w:tabs>
          <w:tab w:pos="1000" w:val="left" w:leader="none"/>
        </w:tabs>
        <w:spacing w:line="343" w:lineRule="exact" w:before="0" w:after="0"/>
        <w:ind w:left="999" w:right="0" w:hanging="284"/>
        <w:jc w:val="both"/>
        <w:rPr>
          <w:sz w:val="28"/>
        </w:rPr>
      </w:pPr>
      <w:r>
        <w:rPr>
          <w:sz w:val="28"/>
        </w:rPr>
        <w:t>Les documents exigés et accompagnant les offres</w:t>
      </w:r>
      <w:r>
        <w:rPr>
          <w:spacing w:val="-1"/>
          <w:sz w:val="28"/>
        </w:rPr>
        <w:t> </w:t>
      </w:r>
      <w:r>
        <w:rPr>
          <w:sz w:val="28"/>
        </w:rPr>
        <w:t>;</w:t>
      </w:r>
    </w:p>
    <w:p>
      <w:pPr>
        <w:spacing w:after="0" w:line="343" w:lineRule="exact"/>
        <w:jc w:val="both"/>
        <w:rPr>
          <w:sz w:val="28"/>
        </w:rPr>
        <w:sectPr>
          <w:pgSz w:w="11910" w:h="16840"/>
          <w:pgMar w:header="722" w:footer="0" w:top="1860" w:bottom="280" w:left="700" w:right="380"/>
        </w:sectPr>
      </w:pPr>
    </w:p>
    <w:p>
      <w:pPr>
        <w:pStyle w:val="BodyText"/>
        <w:spacing w:before="2"/>
        <w:ind w:left="0" w:firstLine="0"/>
        <w:jc w:val="left"/>
        <w:rPr>
          <w:sz w:val="15"/>
        </w:rPr>
      </w:pPr>
    </w:p>
    <w:p>
      <w:pPr>
        <w:pStyle w:val="ListParagraph"/>
        <w:numPr>
          <w:ilvl w:val="4"/>
          <w:numId w:val="80"/>
        </w:numPr>
        <w:tabs>
          <w:tab w:pos="1000" w:val="left" w:leader="none"/>
        </w:tabs>
        <w:spacing w:line="240" w:lineRule="auto" w:before="101" w:after="0"/>
        <w:ind w:left="999" w:right="760" w:hanging="284"/>
        <w:jc w:val="left"/>
        <w:rPr>
          <w:sz w:val="28"/>
        </w:rPr>
      </w:pPr>
      <w:r>
        <w:rPr>
          <w:sz w:val="28"/>
        </w:rPr>
        <w:t>Les</w:t>
      </w:r>
      <w:r>
        <w:rPr>
          <w:spacing w:val="-5"/>
          <w:sz w:val="28"/>
        </w:rPr>
        <w:t> </w:t>
      </w:r>
      <w:r>
        <w:rPr>
          <w:sz w:val="28"/>
        </w:rPr>
        <w:t>offres</w:t>
      </w:r>
      <w:r>
        <w:rPr>
          <w:spacing w:val="-7"/>
          <w:sz w:val="28"/>
        </w:rPr>
        <w:t> </w:t>
      </w:r>
      <w:r>
        <w:rPr>
          <w:sz w:val="28"/>
        </w:rPr>
        <w:t>acceptées,</w:t>
      </w:r>
      <w:r>
        <w:rPr>
          <w:spacing w:val="-7"/>
          <w:sz w:val="28"/>
        </w:rPr>
        <w:t> </w:t>
      </w:r>
      <w:r>
        <w:rPr>
          <w:sz w:val="28"/>
        </w:rPr>
        <w:t>les</w:t>
      </w:r>
      <w:r>
        <w:rPr>
          <w:spacing w:val="-6"/>
          <w:sz w:val="28"/>
        </w:rPr>
        <w:t> </w:t>
      </w:r>
      <w:r>
        <w:rPr>
          <w:sz w:val="28"/>
        </w:rPr>
        <w:t>offres</w:t>
      </w:r>
      <w:r>
        <w:rPr>
          <w:spacing w:val="-5"/>
          <w:sz w:val="28"/>
        </w:rPr>
        <w:t> </w:t>
      </w:r>
      <w:r>
        <w:rPr>
          <w:sz w:val="28"/>
        </w:rPr>
        <w:t>rejetées</w:t>
      </w:r>
      <w:r>
        <w:rPr>
          <w:spacing w:val="-5"/>
          <w:sz w:val="28"/>
        </w:rPr>
        <w:t> </w:t>
      </w:r>
      <w:r>
        <w:rPr>
          <w:sz w:val="28"/>
        </w:rPr>
        <w:t>et</w:t>
      </w:r>
      <w:r>
        <w:rPr>
          <w:spacing w:val="-7"/>
          <w:sz w:val="28"/>
        </w:rPr>
        <w:t> </w:t>
      </w:r>
      <w:r>
        <w:rPr>
          <w:sz w:val="28"/>
        </w:rPr>
        <w:t>les</w:t>
      </w:r>
      <w:r>
        <w:rPr>
          <w:spacing w:val="-5"/>
          <w:sz w:val="28"/>
        </w:rPr>
        <w:t> </w:t>
      </w:r>
      <w:r>
        <w:rPr>
          <w:sz w:val="28"/>
        </w:rPr>
        <w:t>motifs</w:t>
      </w:r>
      <w:r>
        <w:rPr>
          <w:spacing w:val="-5"/>
          <w:sz w:val="28"/>
        </w:rPr>
        <w:t> </w:t>
      </w:r>
      <w:r>
        <w:rPr>
          <w:sz w:val="28"/>
        </w:rPr>
        <w:t>de</w:t>
      </w:r>
      <w:r>
        <w:rPr>
          <w:spacing w:val="-6"/>
          <w:sz w:val="28"/>
        </w:rPr>
        <w:t> </w:t>
      </w:r>
      <w:r>
        <w:rPr>
          <w:sz w:val="28"/>
        </w:rPr>
        <w:t>leurs</w:t>
      </w:r>
      <w:r>
        <w:rPr>
          <w:spacing w:val="-5"/>
          <w:sz w:val="28"/>
        </w:rPr>
        <w:t> </w:t>
      </w:r>
      <w:r>
        <w:rPr>
          <w:sz w:val="28"/>
        </w:rPr>
        <w:t>rejets,</w:t>
      </w:r>
      <w:r>
        <w:rPr>
          <w:spacing w:val="-8"/>
          <w:sz w:val="28"/>
        </w:rPr>
        <w:t> </w:t>
      </w:r>
      <w:r>
        <w:rPr>
          <w:sz w:val="28"/>
        </w:rPr>
        <w:t>les</w:t>
      </w:r>
      <w:r>
        <w:rPr>
          <w:spacing w:val="-7"/>
          <w:sz w:val="28"/>
        </w:rPr>
        <w:t> </w:t>
      </w:r>
      <w:r>
        <w:rPr>
          <w:sz w:val="28"/>
        </w:rPr>
        <w:t>débats</w:t>
      </w:r>
      <w:r>
        <w:rPr>
          <w:spacing w:val="-7"/>
          <w:sz w:val="28"/>
        </w:rPr>
        <w:t> </w:t>
      </w:r>
      <w:r>
        <w:rPr>
          <w:sz w:val="28"/>
        </w:rPr>
        <w:t>des membres de la commission d’ouverture et les réserves, le cas</w:t>
      </w:r>
      <w:r>
        <w:rPr>
          <w:spacing w:val="-9"/>
          <w:sz w:val="28"/>
        </w:rPr>
        <w:t> </w:t>
      </w:r>
      <w:r>
        <w:rPr>
          <w:sz w:val="28"/>
        </w:rPr>
        <w:t>échéant.</w:t>
      </w:r>
    </w:p>
    <w:p>
      <w:pPr>
        <w:pStyle w:val="BodyText"/>
        <w:spacing w:before="120"/>
        <w:ind w:right="748"/>
        <w:jc w:val="left"/>
      </w:pPr>
      <w:r>
        <w:rPr/>
        <w:t>Le dossier d’ouverture est transféré par la suite à la commission d'évaluation des offres par le biais du SPCM.</w:t>
      </w:r>
    </w:p>
    <w:p>
      <w:pPr>
        <w:pStyle w:val="Heading2"/>
        <w:numPr>
          <w:ilvl w:val="3"/>
          <w:numId w:val="81"/>
        </w:numPr>
        <w:tabs>
          <w:tab w:pos="1422" w:val="left" w:leader="none"/>
        </w:tabs>
        <w:spacing w:line="319" w:lineRule="exact" w:before="124" w:after="0"/>
        <w:ind w:left="1421" w:right="0" w:hanging="989"/>
        <w:jc w:val="left"/>
      </w:pPr>
      <w:r>
        <w:rPr/>
        <w:t>Évaluation des</w:t>
      </w:r>
      <w:r>
        <w:rPr>
          <w:spacing w:val="-3"/>
        </w:rPr>
        <w:t> </w:t>
      </w:r>
      <w:r>
        <w:rPr/>
        <w:t>offres</w:t>
      </w:r>
    </w:p>
    <w:p>
      <w:pPr>
        <w:pStyle w:val="BodyText"/>
        <w:ind w:right="748"/>
        <w:jc w:val="left"/>
      </w:pPr>
      <w:r>
        <w:rPr/>
        <w:t>La commission d'évaluation désignée par la Direction Générale procède à l'évaluation des offres ouvertes et acceptées par la CROOM de Tunis.</w:t>
      </w:r>
    </w:p>
    <w:p>
      <w:pPr>
        <w:pStyle w:val="BodyText"/>
        <w:spacing w:before="120"/>
        <w:ind w:left="999" w:firstLine="0"/>
        <w:jc w:val="left"/>
      </w:pPr>
      <w:r>
        <w:rPr/>
        <w:t>Les Offres Financières seront classées par ordre croissant de leurs Montants.</w:t>
      </w:r>
    </w:p>
    <w:p>
      <w:pPr>
        <w:pStyle w:val="BodyText"/>
        <w:spacing w:before="120"/>
        <w:ind w:right="753"/>
        <w:jc w:val="left"/>
      </w:pPr>
      <w:r>
        <w:rPr/>
        <w:t>A la lumière du classement des Offres Financières, l’Offre relative au montant le plus bas sera Dépouillée Techniquement.</w:t>
      </w:r>
    </w:p>
    <w:p>
      <w:pPr>
        <w:pStyle w:val="BodyText"/>
        <w:tabs>
          <w:tab w:pos="1435" w:val="left" w:leader="none"/>
          <w:tab w:pos="2167" w:val="left" w:leader="none"/>
          <w:tab w:pos="3983" w:val="left" w:leader="none"/>
          <w:tab w:pos="5924" w:val="left" w:leader="none"/>
          <w:tab w:pos="7267" w:val="left" w:leader="none"/>
          <w:tab w:pos="7875" w:val="left" w:leader="none"/>
          <w:tab w:pos="8527" w:val="left" w:leader="none"/>
          <w:tab w:pos="9554" w:val="left" w:leader="none"/>
        </w:tabs>
        <w:spacing w:before="119"/>
        <w:ind w:right="756"/>
        <w:jc w:val="left"/>
      </w:pPr>
      <w:r>
        <w:rPr/>
        <w:t>Si</w:t>
        <w:tab/>
        <w:t>cette</w:t>
        <w:tab/>
        <w:t>Offre </w:t>
      </w:r>
      <w:r>
        <w:rPr>
          <w:spacing w:val="57"/>
        </w:rPr>
        <w:t> </w:t>
      </w:r>
      <w:r>
        <w:rPr/>
        <w:t>s’avère</w:t>
        <w:tab/>
        <w:t>Techniquement</w:t>
        <w:tab/>
        <w:t>conforme,</w:t>
        <w:tab/>
        <w:t>elle</w:t>
        <w:tab/>
        <w:t>sera</w:t>
        <w:tab/>
        <w:t>retenue</w:t>
        <w:tab/>
      </w:r>
      <w:r>
        <w:rPr>
          <w:spacing w:val="-5"/>
        </w:rPr>
        <w:t>pour </w:t>
      </w:r>
      <w:r>
        <w:rPr/>
        <w:t>l’attribution du</w:t>
      </w:r>
      <w:r>
        <w:rPr>
          <w:spacing w:val="1"/>
        </w:rPr>
        <w:t> </w:t>
      </w:r>
      <w:r>
        <w:rPr/>
        <w:t>Marché.</w:t>
      </w:r>
    </w:p>
    <w:p>
      <w:pPr>
        <w:pStyle w:val="BodyText"/>
        <w:spacing w:before="119"/>
        <w:ind w:right="757"/>
      </w:pPr>
      <w:r>
        <w:rPr/>
        <w:t>Si cette Offre s’avère Techniquement non conforme, il sera procédé par itération à</w:t>
      </w:r>
      <w:r>
        <w:rPr>
          <w:spacing w:val="-7"/>
        </w:rPr>
        <w:t> </w:t>
      </w:r>
      <w:r>
        <w:rPr/>
        <w:t>l’évaluation</w:t>
      </w:r>
      <w:r>
        <w:rPr>
          <w:spacing w:val="-8"/>
        </w:rPr>
        <w:t> </w:t>
      </w:r>
      <w:r>
        <w:rPr/>
        <w:t>de</w:t>
      </w:r>
      <w:r>
        <w:rPr>
          <w:spacing w:val="-6"/>
        </w:rPr>
        <w:t> </w:t>
      </w:r>
      <w:r>
        <w:rPr/>
        <w:t>l’Offre</w:t>
      </w:r>
      <w:r>
        <w:rPr>
          <w:spacing w:val="-6"/>
        </w:rPr>
        <w:t> </w:t>
      </w:r>
      <w:r>
        <w:rPr/>
        <w:t>suivante</w:t>
      </w:r>
      <w:r>
        <w:rPr>
          <w:spacing w:val="-6"/>
        </w:rPr>
        <w:t> </w:t>
      </w:r>
      <w:r>
        <w:rPr/>
        <w:t>dans</w:t>
      </w:r>
      <w:r>
        <w:rPr>
          <w:spacing w:val="-7"/>
        </w:rPr>
        <w:t> </w:t>
      </w:r>
      <w:r>
        <w:rPr/>
        <w:t>le</w:t>
      </w:r>
      <w:r>
        <w:rPr>
          <w:spacing w:val="-6"/>
        </w:rPr>
        <w:t> </w:t>
      </w:r>
      <w:r>
        <w:rPr/>
        <w:t>classement</w:t>
      </w:r>
      <w:r>
        <w:rPr>
          <w:spacing w:val="-5"/>
        </w:rPr>
        <w:t> </w:t>
      </w:r>
      <w:r>
        <w:rPr/>
        <w:t>croissant</w:t>
      </w:r>
      <w:r>
        <w:rPr>
          <w:spacing w:val="-5"/>
        </w:rPr>
        <w:t> </w:t>
      </w:r>
      <w:r>
        <w:rPr/>
        <w:t>des</w:t>
      </w:r>
      <w:r>
        <w:rPr>
          <w:spacing w:val="-7"/>
        </w:rPr>
        <w:t> </w:t>
      </w:r>
      <w:r>
        <w:rPr/>
        <w:t>offres</w:t>
      </w:r>
      <w:r>
        <w:rPr>
          <w:spacing w:val="-8"/>
        </w:rPr>
        <w:t> </w:t>
      </w:r>
      <w:r>
        <w:rPr/>
        <w:t>financières</w:t>
      </w:r>
      <w:r>
        <w:rPr>
          <w:spacing w:val="-8"/>
        </w:rPr>
        <w:t> </w:t>
      </w:r>
      <w:r>
        <w:rPr/>
        <w:t>et ce</w:t>
      </w:r>
      <w:r>
        <w:rPr>
          <w:spacing w:val="-9"/>
        </w:rPr>
        <w:t> </w:t>
      </w:r>
      <w:r>
        <w:rPr/>
        <w:t>jusqu’à</w:t>
      </w:r>
      <w:r>
        <w:rPr>
          <w:spacing w:val="-9"/>
        </w:rPr>
        <w:t> </w:t>
      </w:r>
      <w:r>
        <w:rPr/>
        <w:t>l’obtention</w:t>
      </w:r>
      <w:r>
        <w:rPr>
          <w:spacing w:val="-9"/>
        </w:rPr>
        <w:t> </w:t>
      </w:r>
      <w:r>
        <w:rPr/>
        <w:t>d’une</w:t>
      </w:r>
      <w:r>
        <w:rPr>
          <w:spacing w:val="-9"/>
        </w:rPr>
        <w:t> </w:t>
      </w:r>
      <w:r>
        <w:rPr/>
        <w:t>Offre</w:t>
      </w:r>
      <w:r>
        <w:rPr>
          <w:spacing w:val="-8"/>
        </w:rPr>
        <w:t> </w:t>
      </w:r>
      <w:r>
        <w:rPr/>
        <w:t>Techniquement</w:t>
      </w:r>
      <w:r>
        <w:rPr>
          <w:spacing w:val="-9"/>
        </w:rPr>
        <w:t> </w:t>
      </w:r>
      <w:r>
        <w:rPr/>
        <w:t>Conforme.</w:t>
      </w:r>
      <w:r>
        <w:rPr>
          <w:spacing w:val="-7"/>
        </w:rPr>
        <w:t> </w:t>
      </w:r>
      <w:r>
        <w:rPr/>
        <w:t>Cette</w:t>
      </w:r>
      <w:r>
        <w:rPr>
          <w:spacing w:val="-9"/>
        </w:rPr>
        <w:t> </w:t>
      </w:r>
      <w:r>
        <w:rPr/>
        <w:t>dernière</w:t>
      </w:r>
      <w:r>
        <w:rPr>
          <w:spacing w:val="-8"/>
        </w:rPr>
        <w:t> </w:t>
      </w:r>
      <w:r>
        <w:rPr/>
        <w:t>sera</w:t>
      </w:r>
      <w:r>
        <w:rPr>
          <w:spacing w:val="-9"/>
        </w:rPr>
        <w:t> </w:t>
      </w:r>
      <w:r>
        <w:rPr/>
        <w:t>ainsi retenue pour l’attribution du</w:t>
      </w:r>
      <w:r>
        <w:rPr>
          <w:spacing w:val="-3"/>
        </w:rPr>
        <w:t> </w:t>
      </w:r>
      <w:r>
        <w:rPr/>
        <w:t>Marché.</w:t>
      </w:r>
    </w:p>
    <w:p>
      <w:pPr>
        <w:pStyle w:val="BodyText"/>
        <w:spacing w:before="121"/>
        <w:ind w:right="761"/>
      </w:pPr>
      <w:r>
        <w:rPr/>
        <w:t>La commission d’évaluation adresse son rapport signé par tous ses membres à le SPCM via la DCAMP.</w:t>
      </w:r>
    </w:p>
    <w:p>
      <w:pPr>
        <w:pStyle w:val="BodyText"/>
        <w:spacing w:before="120"/>
        <w:ind w:right="754"/>
      </w:pPr>
      <w:r>
        <w:rPr/>
        <w:t>Le SPCM se charge de soumettre le dossier d'achat d'acide sulfurique et des produits destinés à être vendus en l'état ou conditionnés et le rapport d’évaluation à la Commission des Marchés de l’Entreprise (CME) pour examen et décision.</w:t>
      </w:r>
    </w:p>
    <w:p>
      <w:pPr>
        <w:pStyle w:val="Heading2"/>
        <w:numPr>
          <w:ilvl w:val="3"/>
          <w:numId w:val="81"/>
        </w:numPr>
        <w:tabs>
          <w:tab w:pos="1422" w:val="left" w:leader="none"/>
        </w:tabs>
        <w:spacing w:line="319" w:lineRule="exact" w:before="126" w:after="0"/>
        <w:ind w:left="1421" w:right="0" w:hanging="989"/>
        <w:jc w:val="both"/>
      </w:pPr>
      <w:r>
        <w:rPr/>
        <w:t>Avis de la Commission de Marchés de l’Entreprise</w:t>
      </w:r>
      <w:r>
        <w:rPr>
          <w:spacing w:val="-5"/>
        </w:rPr>
        <w:t> </w:t>
      </w:r>
      <w:r>
        <w:rPr/>
        <w:t>(CME)</w:t>
      </w:r>
    </w:p>
    <w:p>
      <w:pPr>
        <w:pStyle w:val="BodyText"/>
        <w:ind w:right="759"/>
      </w:pPr>
      <w:r>
        <w:rPr/>
        <w:t>Le SPCM procède à l’envoi du dossier relatif à l’ordre du jour, aux membres de la commission de marchés de l’Entreprise, dans un délai minimum de 48 heures ouvrables avant la tenue de sa réunion sauf dans les cas d’urgence dument justifié où ce délai pourra être réduit.</w:t>
      </w:r>
    </w:p>
    <w:p>
      <w:pPr>
        <w:pStyle w:val="BodyText"/>
        <w:spacing w:before="119"/>
        <w:ind w:right="750"/>
      </w:pPr>
      <w:r>
        <w:rPr/>
        <w:t>La DCAMP présente lors de cette réunion la proposition de la commission d’évaluation des offres dans son rapport à la CME qui statuera sur sa validation.</w:t>
      </w:r>
    </w:p>
    <w:p>
      <w:pPr>
        <w:pStyle w:val="Heading2"/>
        <w:numPr>
          <w:ilvl w:val="3"/>
          <w:numId w:val="81"/>
        </w:numPr>
        <w:tabs>
          <w:tab w:pos="1422" w:val="left" w:leader="none"/>
        </w:tabs>
        <w:spacing w:line="319" w:lineRule="exact" w:before="124" w:after="0"/>
        <w:ind w:left="1421" w:right="0" w:hanging="989"/>
        <w:jc w:val="both"/>
      </w:pPr>
      <w:r>
        <w:rPr/>
        <w:t>Approbation du marché par le Conseil</w:t>
      </w:r>
      <w:r>
        <w:rPr>
          <w:spacing w:val="-27"/>
        </w:rPr>
        <w:t> </w:t>
      </w:r>
      <w:r>
        <w:rPr/>
        <w:t>d’administration</w:t>
      </w:r>
    </w:p>
    <w:p>
      <w:pPr>
        <w:pStyle w:val="BodyText"/>
        <w:ind w:right="748"/>
        <w:jc w:val="left"/>
      </w:pPr>
      <w:r>
        <w:rPr/>
        <w:t>En cas d’avis favorable de la CME, la DCAMP prépare une note de présentation du dossier d’attribution de marché au Conseil d’Administration pour</w:t>
      </w:r>
      <w:r>
        <w:rPr>
          <w:spacing w:val="-26"/>
        </w:rPr>
        <w:t> </w:t>
      </w:r>
      <w:r>
        <w:rPr/>
        <w:t>approbation.</w:t>
      </w:r>
    </w:p>
    <w:p>
      <w:pPr>
        <w:pStyle w:val="BodyText"/>
        <w:spacing w:before="116"/>
        <w:ind w:right="751"/>
        <w:jc w:val="left"/>
      </w:pPr>
      <w:r>
        <w:rPr/>
        <w:t>Suite l’approbation du conseil d’administration de la proposition d’attribution du marché,</w:t>
      </w:r>
      <w:r>
        <w:rPr>
          <w:spacing w:val="-18"/>
        </w:rPr>
        <w:t> </w:t>
      </w:r>
      <w:r>
        <w:rPr/>
        <w:t>la</w:t>
      </w:r>
      <w:r>
        <w:rPr>
          <w:spacing w:val="-16"/>
        </w:rPr>
        <w:t> </w:t>
      </w:r>
      <w:r>
        <w:rPr/>
        <w:t>DCAMP</w:t>
      </w:r>
      <w:r>
        <w:rPr>
          <w:spacing w:val="-20"/>
        </w:rPr>
        <w:t> </w:t>
      </w:r>
      <w:r>
        <w:rPr/>
        <w:t>publie</w:t>
      </w:r>
      <w:r>
        <w:rPr>
          <w:spacing w:val="-16"/>
        </w:rPr>
        <w:t> </w:t>
      </w:r>
      <w:r>
        <w:rPr/>
        <w:t>le</w:t>
      </w:r>
      <w:r>
        <w:rPr>
          <w:spacing w:val="-20"/>
        </w:rPr>
        <w:t> </w:t>
      </w:r>
      <w:r>
        <w:rPr/>
        <w:t>résultat</w:t>
      </w:r>
      <w:r>
        <w:rPr>
          <w:spacing w:val="-18"/>
        </w:rPr>
        <w:t> </w:t>
      </w:r>
      <w:r>
        <w:rPr/>
        <w:t>de</w:t>
      </w:r>
      <w:r>
        <w:rPr>
          <w:spacing w:val="-17"/>
        </w:rPr>
        <w:t> </w:t>
      </w:r>
      <w:r>
        <w:rPr/>
        <w:t>la</w:t>
      </w:r>
      <w:r>
        <w:rPr>
          <w:spacing w:val="-19"/>
        </w:rPr>
        <w:t> </w:t>
      </w:r>
      <w:r>
        <w:rPr/>
        <w:t>mise</w:t>
      </w:r>
      <w:r>
        <w:rPr>
          <w:spacing w:val="-16"/>
        </w:rPr>
        <w:t> </w:t>
      </w:r>
      <w:r>
        <w:rPr/>
        <w:t>en</w:t>
      </w:r>
      <w:r>
        <w:rPr>
          <w:spacing w:val="-16"/>
        </w:rPr>
        <w:t> </w:t>
      </w:r>
      <w:r>
        <w:rPr/>
        <w:t>concurrence</w:t>
      </w:r>
      <w:r>
        <w:rPr>
          <w:spacing w:val="-18"/>
        </w:rPr>
        <w:t> </w:t>
      </w:r>
      <w:r>
        <w:rPr/>
        <w:t>sur</w:t>
      </w:r>
      <w:r>
        <w:rPr>
          <w:spacing w:val="-17"/>
        </w:rPr>
        <w:t> </w:t>
      </w:r>
      <w:r>
        <w:rPr/>
        <w:t>le</w:t>
      </w:r>
      <w:r>
        <w:rPr>
          <w:spacing w:val="-16"/>
        </w:rPr>
        <w:t> </w:t>
      </w:r>
      <w:r>
        <w:rPr/>
        <w:t>site</w:t>
      </w:r>
      <w:r>
        <w:rPr>
          <w:spacing w:val="-17"/>
        </w:rPr>
        <w:t> </w:t>
      </w:r>
      <w:r>
        <w:rPr/>
        <w:t>web</w:t>
      </w:r>
      <w:r>
        <w:rPr>
          <w:spacing w:val="-18"/>
        </w:rPr>
        <w:t> </w:t>
      </w:r>
      <w:r>
        <w:rPr/>
        <w:t>du</w:t>
      </w:r>
      <w:r>
        <w:rPr>
          <w:spacing w:val="-16"/>
        </w:rPr>
        <w:t> </w:t>
      </w:r>
      <w:r>
        <w:rPr/>
        <w:t>GCT.</w:t>
      </w:r>
    </w:p>
    <w:p>
      <w:pPr>
        <w:pStyle w:val="Heading2"/>
        <w:numPr>
          <w:ilvl w:val="2"/>
          <w:numId w:val="76"/>
        </w:numPr>
        <w:tabs>
          <w:tab w:pos="1211" w:val="left" w:leader="none"/>
        </w:tabs>
        <w:spacing w:line="319" w:lineRule="exact" w:before="127" w:after="0"/>
        <w:ind w:left="1210" w:right="0" w:hanging="778"/>
        <w:jc w:val="left"/>
      </w:pPr>
      <w:bookmarkStart w:name="_TOC_250055" w:id="88"/>
      <w:r>
        <w:rPr/>
        <w:t>Etablissement du</w:t>
      </w:r>
      <w:r>
        <w:rPr>
          <w:spacing w:val="-3"/>
        </w:rPr>
        <w:t> </w:t>
      </w:r>
      <w:bookmarkEnd w:id="88"/>
      <w:r>
        <w:rPr/>
        <w:t>contrat</w:t>
      </w:r>
    </w:p>
    <w:p>
      <w:pPr>
        <w:pStyle w:val="BodyText"/>
        <w:spacing w:line="319" w:lineRule="exact"/>
        <w:ind w:left="716" w:firstLine="0"/>
        <w:jc w:val="left"/>
      </w:pPr>
      <w:r>
        <w:rPr/>
        <w:t>Suite à l’approbation de l’attribution du marché, la DCAMP procède à :</w:t>
      </w:r>
    </w:p>
    <w:p>
      <w:pPr>
        <w:pStyle w:val="ListParagraph"/>
        <w:numPr>
          <w:ilvl w:val="0"/>
          <w:numId w:val="82"/>
        </w:numPr>
        <w:tabs>
          <w:tab w:pos="1000" w:val="left" w:leader="none"/>
        </w:tabs>
        <w:spacing w:line="240" w:lineRule="auto" w:before="119" w:after="0"/>
        <w:ind w:left="999" w:right="0" w:hanging="284"/>
        <w:jc w:val="left"/>
        <w:rPr>
          <w:sz w:val="28"/>
        </w:rPr>
      </w:pPr>
      <w:r>
        <w:rPr>
          <w:sz w:val="28"/>
        </w:rPr>
        <w:t>Envoyer un mail de confirmation au fournisseur</w:t>
      </w:r>
      <w:r>
        <w:rPr>
          <w:spacing w:val="-1"/>
          <w:sz w:val="28"/>
        </w:rPr>
        <w:t> </w:t>
      </w:r>
      <w:r>
        <w:rPr>
          <w:sz w:val="28"/>
        </w:rPr>
        <w:t>retenu,</w:t>
      </w:r>
    </w:p>
    <w:p>
      <w:pPr>
        <w:spacing w:after="0" w:line="240" w:lineRule="auto"/>
        <w:jc w:val="left"/>
        <w:rPr>
          <w:sz w:val="28"/>
        </w:rPr>
        <w:sectPr>
          <w:pgSz w:w="11910" w:h="16840"/>
          <w:pgMar w:header="722" w:footer="0" w:top="1860" w:bottom="280" w:left="700" w:right="380"/>
        </w:sectPr>
      </w:pPr>
    </w:p>
    <w:p>
      <w:pPr>
        <w:pStyle w:val="BodyText"/>
        <w:spacing w:before="2"/>
        <w:ind w:left="0" w:firstLine="0"/>
        <w:jc w:val="left"/>
        <w:rPr>
          <w:sz w:val="15"/>
        </w:rPr>
      </w:pPr>
    </w:p>
    <w:p>
      <w:pPr>
        <w:pStyle w:val="ListParagraph"/>
        <w:numPr>
          <w:ilvl w:val="0"/>
          <w:numId w:val="82"/>
        </w:numPr>
        <w:tabs>
          <w:tab w:pos="1000" w:val="left" w:leader="none"/>
        </w:tabs>
        <w:spacing w:line="240" w:lineRule="auto" w:before="101" w:after="0"/>
        <w:ind w:left="716" w:right="753" w:firstLine="0"/>
        <w:jc w:val="both"/>
        <w:rPr>
          <w:sz w:val="28"/>
        </w:rPr>
      </w:pPr>
      <w:r>
        <w:rPr>
          <w:sz w:val="28"/>
        </w:rPr>
        <w:t>Transférer un projet de contrat aux structures concernées (Affaires Juridiques, Direction Financière, Direction des Affrètements si nécessaire) pour avis et commentaires,</w:t>
      </w:r>
    </w:p>
    <w:p>
      <w:pPr>
        <w:pStyle w:val="ListParagraph"/>
        <w:numPr>
          <w:ilvl w:val="0"/>
          <w:numId w:val="82"/>
        </w:numPr>
        <w:tabs>
          <w:tab w:pos="1000" w:val="left" w:leader="none"/>
        </w:tabs>
        <w:spacing w:line="240" w:lineRule="auto" w:before="0" w:after="0"/>
        <w:ind w:left="716" w:right="760" w:firstLine="0"/>
        <w:jc w:val="both"/>
        <w:rPr>
          <w:sz w:val="28"/>
        </w:rPr>
      </w:pPr>
      <w:r>
        <w:rPr>
          <w:sz w:val="28"/>
        </w:rPr>
        <w:t>Renvoyer le contrat final signé par le fournisseur aux structures du GCT concernées pour visa et signature.</w:t>
      </w:r>
    </w:p>
    <w:p>
      <w:pPr>
        <w:pStyle w:val="BodyText"/>
        <w:spacing w:before="120"/>
        <w:ind w:right="757"/>
      </w:pPr>
      <w:r>
        <w:rPr/>
        <w:t>Le contrat d'achat demeure, le document juridique consacrant définitivement l'achat, définissant les conditions de réalisation, précisant les droits et les obligations des parties et renvoyant au cahier des charges.</w:t>
      </w:r>
    </w:p>
    <w:p>
      <w:pPr>
        <w:pStyle w:val="BodyText"/>
        <w:spacing w:before="119"/>
        <w:ind w:right="750"/>
      </w:pPr>
      <w:r>
        <w:rPr/>
        <w:t>Toute modification touchant les clauses principales du contrat (prix, qualité, paiement, report de livraison, etc.) ne peut être introduite qu'après accord préalable de la CME.</w:t>
      </w:r>
    </w:p>
    <w:p>
      <w:pPr>
        <w:spacing w:after="0"/>
        <w:sectPr>
          <w:pgSz w:w="11910" w:h="16840"/>
          <w:pgMar w:header="722" w:footer="0" w:top="1860" w:bottom="280" w:left="700" w:right="380"/>
        </w:sectPr>
      </w:pPr>
    </w:p>
    <w:p>
      <w:pPr>
        <w:pStyle w:val="BodyText"/>
        <w:ind w:left="0" w:firstLine="0"/>
        <w:jc w:val="left"/>
        <w:rPr>
          <w:sz w:val="17"/>
        </w:rPr>
      </w:pPr>
    </w:p>
    <w:p>
      <w:pPr>
        <w:pStyle w:val="Heading1"/>
        <w:ind w:left="634" w:right="958"/>
        <w:jc w:val="center"/>
      </w:pPr>
      <w:bookmarkStart w:name="_TOC_250054" w:id="89"/>
      <w:bookmarkEnd w:id="89"/>
      <w:r>
        <w:rPr/>
        <w:t>Chapitre 4. PROCEDURES D'ACHAT DES SERVICES D'AFFRETEMENT DES NAVIRES</w:t>
      </w:r>
    </w:p>
    <w:p>
      <w:pPr>
        <w:pStyle w:val="BodyText"/>
        <w:spacing w:before="115"/>
        <w:ind w:left="634" w:right="880" w:firstLine="0"/>
        <w:jc w:val="center"/>
      </w:pPr>
      <w:r>
        <w:rPr/>
        <w:t>La procédure d’affrètement de navires se déroule selon les étapes suivantes :</w:t>
      </w:r>
    </w:p>
    <w:p>
      <w:pPr>
        <w:pStyle w:val="Heading2"/>
        <w:spacing w:line="319" w:lineRule="exact" w:before="245"/>
      </w:pPr>
      <w:bookmarkStart w:name="_TOC_250053" w:id="90"/>
      <w:bookmarkEnd w:id="90"/>
      <w:r>
        <w:rPr/>
        <w:t>I. Déclenchement de l'opération d’affrètement</w:t>
      </w:r>
    </w:p>
    <w:p>
      <w:pPr>
        <w:pStyle w:val="BodyText"/>
        <w:ind w:right="756"/>
      </w:pPr>
      <w:r>
        <w:rPr/>
        <w:t>La structure commerciale et la structure d’achat des matières premières sont tenues de communiquer à la structure chargée d’affrètements les programmes prévisionnels d’enlèvements, les tailles des lots afférents et les planches de chargement.</w:t>
      </w:r>
    </w:p>
    <w:p>
      <w:pPr>
        <w:pStyle w:val="BodyText"/>
        <w:spacing w:before="119"/>
        <w:ind w:right="755"/>
      </w:pPr>
      <w:r>
        <w:rPr/>
        <w:t>La structure commerciale et la structure chargée d’achat des matières premières doivent communiquer des Ordres d'affrètement à la structure chargée d'affrètements, par messagerie (ou tout autre moyen laissant preuve) pour chaque lot desdits programmes d’enlèvements.</w:t>
      </w:r>
    </w:p>
    <w:p>
      <w:pPr>
        <w:pStyle w:val="BodyText"/>
        <w:spacing w:before="118"/>
        <w:ind w:right="753"/>
      </w:pPr>
      <w:r>
        <w:rPr/>
        <w:t>L’Ordre</w:t>
      </w:r>
      <w:r>
        <w:rPr>
          <w:spacing w:val="-11"/>
        </w:rPr>
        <w:t> </w:t>
      </w:r>
      <w:r>
        <w:rPr/>
        <w:t>d’affrètement</w:t>
      </w:r>
      <w:r>
        <w:rPr>
          <w:spacing w:val="-9"/>
        </w:rPr>
        <w:t> </w:t>
      </w:r>
      <w:r>
        <w:rPr/>
        <w:t>comporte</w:t>
      </w:r>
      <w:r>
        <w:rPr>
          <w:spacing w:val="-10"/>
        </w:rPr>
        <w:t> </w:t>
      </w:r>
      <w:r>
        <w:rPr/>
        <w:t>notamment</w:t>
      </w:r>
      <w:r>
        <w:rPr>
          <w:spacing w:val="-9"/>
        </w:rPr>
        <w:t> </w:t>
      </w:r>
      <w:r>
        <w:rPr/>
        <w:t>les</w:t>
      </w:r>
      <w:r>
        <w:rPr>
          <w:spacing w:val="-9"/>
        </w:rPr>
        <w:t> </w:t>
      </w:r>
      <w:r>
        <w:rPr/>
        <w:t>données</w:t>
      </w:r>
      <w:r>
        <w:rPr>
          <w:spacing w:val="-9"/>
        </w:rPr>
        <w:t> </w:t>
      </w:r>
      <w:r>
        <w:rPr/>
        <w:t>concernant</w:t>
      </w:r>
      <w:r>
        <w:rPr>
          <w:spacing w:val="-10"/>
        </w:rPr>
        <w:t> </w:t>
      </w:r>
      <w:r>
        <w:rPr/>
        <w:t>le</w:t>
      </w:r>
      <w:r>
        <w:rPr>
          <w:spacing w:val="-10"/>
        </w:rPr>
        <w:t> </w:t>
      </w:r>
      <w:r>
        <w:rPr/>
        <w:t>produit,</w:t>
      </w:r>
      <w:r>
        <w:rPr>
          <w:spacing w:val="-11"/>
        </w:rPr>
        <w:t> </w:t>
      </w:r>
      <w:r>
        <w:rPr/>
        <w:t>la quantité, les cadences de chargement et de déchargement, les ports de chargement et de déchargement, les planches de chargement et de déchargement, les caractéristiques du navire, la désignation du client ou du</w:t>
      </w:r>
      <w:r>
        <w:rPr>
          <w:spacing w:val="-1"/>
        </w:rPr>
        <w:t> </w:t>
      </w:r>
      <w:r>
        <w:rPr/>
        <w:t>fournisseur.</w:t>
      </w:r>
    </w:p>
    <w:p>
      <w:pPr>
        <w:pStyle w:val="BodyText"/>
        <w:spacing w:before="121"/>
        <w:ind w:right="749"/>
      </w:pPr>
      <w:r>
        <w:rPr/>
        <w:t>En</w:t>
      </w:r>
      <w:r>
        <w:rPr>
          <w:spacing w:val="-11"/>
        </w:rPr>
        <w:t> </w:t>
      </w:r>
      <w:r>
        <w:rPr/>
        <w:t>cas</w:t>
      </w:r>
      <w:r>
        <w:rPr>
          <w:spacing w:val="-10"/>
        </w:rPr>
        <w:t> </w:t>
      </w:r>
      <w:r>
        <w:rPr/>
        <w:t>de</w:t>
      </w:r>
      <w:r>
        <w:rPr>
          <w:spacing w:val="-14"/>
        </w:rPr>
        <w:t> </w:t>
      </w:r>
      <w:r>
        <w:rPr/>
        <w:t>vente</w:t>
      </w:r>
      <w:r>
        <w:rPr>
          <w:spacing w:val="-9"/>
        </w:rPr>
        <w:t> </w:t>
      </w:r>
      <w:r>
        <w:rPr/>
        <w:t>C&amp;F</w:t>
      </w:r>
      <w:r>
        <w:rPr>
          <w:spacing w:val="-14"/>
        </w:rPr>
        <w:t> </w:t>
      </w:r>
      <w:r>
        <w:rPr/>
        <w:t>SPOT</w:t>
      </w:r>
      <w:r>
        <w:rPr>
          <w:spacing w:val="-13"/>
        </w:rPr>
        <w:t> </w:t>
      </w:r>
      <w:r>
        <w:rPr/>
        <w:t>ou</w:t>
      </w:r>
      <w:r>
        <w:rPr>
          <w:spacing w:val="-10"/>
        </w:rPr>
        <w:t> </w:t>
      </w:r>
      <w:r>
        <w:rPr/>
        <w:t>d'achat</w:t>
      </w:r>
      <w:r>
        <w:rPr>
          <w:spacing w:val="-11"/>
        </w:rPr>
        <w:t> </w:t>
      </w:r>
      <w:r>
        <w:rPr/>
        <w:t>FOB</w:t>
      </w:r>
      <w:r>
        <w:rPr>
          <w:spacing w:val="-12"/>
        </w:rPr>
        <w:t> </w:t>
      </w:r>
      <w:r>
        <w:rPr/>
        <w:t>SPOT</w:t>
      </w:r>
      <w:r>
        <w:rPr>
          <w:spacing w:val="-12"/>
        </w:rPr>
        <w:t> </w:t>
      </w:r>
      <w:r>
        <w:rPr/>
        <w:t>l’Ordre</w:t>
      </w:r>
      <w:r>
        <w:rPr>
          <w:spacing w:val="-8"/>
        </w:rPr>
        <w:t> </w:t>
      </w:r>
      <w:r>
        <w:rPr/>
        <w:t>d’affrètement</w:t>
      </w:r>
      <w:r>
        <w:rPr>
          <w:spacing w:val="-9"/>
        </w:rPr>
        <w:t> </w:t>
      </w:r>
      <w:r>
        <w:rPr/>
        <w:t>doit</w:t>
      </w:r>
      <w:r>
        <w:rPr>
          <w:spacing w:val="-10"/>
        </w:rPr>
        <w:t> </w:t>
      </w:r>
      <w:r>
        <w:rPr/>
        <w:t>être accompagné d’une note</w:t>
      </w:r>
      <w:r>
        <w:rPr>
          <w:spacing w:val="-7"/>
        </w:rPr>
        <w:t> </w:t>
      </w:r>
      <w:r>
        <w:rPr/>
        <w:t>d’opportunité.</w:t>
      </w:r>
    </w:p>
    <w:p>
      <w:pPr>
        <w:pStyle w:val="Heading2"/>
        <w:spacing w:line="319" w:lineRule="exact" w:before="244"/>
      </w:pPr>
      <w:bookmarkStart w:name="_TOC_250052" w:id="91"/>
      <w:bookmarkEnd w:id="91"/>
      <w:r>
        <w:rPr/>
        <w:t>II Établissement des termes de référence</w:t>
      </w:r>
    </w:p>
    <w:p>
      <w:pPr>
        <w:pStyle w:val="BodyText"/>
        <w:ind w:right="747"/>
      </w:pPr>
      <w:r>
        <w:rPr/>
        <w:t>La structure chargée d’affrètements prépare les termes de référence « GCT TERMS</w:t>
      </w:r>
      <w:r>
        <w:rPr>
          <w:spacing w:val="-8"/>
        </w:rPr>
        <w:t> </w:t>
      </w:r>
      <w:r>
        <w:rPr/>
        <w:t>»</w:t>
      </w:r>
      <w:r>
        <w:rPr>
          <w:spacing w:val="-8"/>
        </w:rPr>
        <w:t> </w:t>
      </w:r>
      <w:r>
        <w:rPr/>
        <w:t>conformément</w:t>
      </w:r>
      <w:r>
        <w:rPr>
          <w:spacing w:val="-7"/>
        </w:rPr>
        <w:t> </w:t>
      </w:r>
      <w:r>
        <w:rPr/>
        <w:t>aux</w:t>
      </w:r>
      <w:r>
        <w:rPr>
          <w:spacing w:val="-6"/>
        </w:rPr>
        <w:t> </w:t>
      </w:r>
      <w:r>
        <w:rPr/>
        <w:t>conditions</w:t>
      </w:r>
      <w:r>
        <w:rPr>
          <w:spacing w:val="-7"/>
        </w:rPr>
        <w:t> </w:t>
      </w:r>
      <w:r>
        <w:rPr/>
        <w:t>spécifiées</w:t>
      </w:r>
      <w:r>
        <w:rPr>
          <w:spacing w:val="-8"/>
        </w:rPr>
        <w:t> </w:t>
      </w:r>
      <w:r>
        <w:rPr/>
        <w:t>par</w:t>
      </w:r>
      <w:r>
        <w:rPr>
          <w:spacing w:val="-7"/>
        </w:rPr>
        <w:t> </w:t>
      </w:r>
      <w:r>
        <w:rPr/>
        <w:t>le</w:t>
      </w:r>
      <w:r>
        <w:rPr>
          <w:spacing w:val="-9"/>
        </w:rPr>
        <w:t> </w:t>
      </w:r>
      <w:r>
        <w:rPr/>
        <w:t>demandeur</w:t>
      </w:r>
      <w:r>
        <w:rPr>
          <w:spacing w:val="-2"/>
        </w:rPr>
        <w:t> </w:t>
      </w:r>
      <w:r>
        <w:rPr/>
        <w:t>en</w:t>
      </w:r>
      <w:r>
        <w:rPr>
          <w:spacing w:val="-6"/>
        </w:rPr>
        <w:t> </w:t>
      </w:r>
      <w:r>
        <w:rPr/>
        <w:t>fonction</w:t>
      </w:r>
      <w:r>
        <w:rPr>
          <w:spacing w:val="-9"/>
        </w:rPr>
        <w:t> </w:t>
      </w:r>
      <w:r>
        <w:rPr/>
        <w:t>de</w:t>
      </w:r>
      <w:r>
        <w:rPr>
          <w:spacing w:val="-7"/>
        </w:rPr>
        <w:t> </w:t>
      </w:r>
      <w:r>
        <w:rPr/>
        <w:t>la nature des produits et des contrats commerciaux. Ces termes de références seront annexés à la charte-partie y</w:t>
      </w:r>
      <w:r>
        <w:rPr>
          <w:spacing w:val="-9"/>
        </w:rPr>
        <w:t> </w:t>
      </w:r>
      <w:r>
        <w:rPr/>
        <w:t>afférente.</w:t>
      </w:r>
    </w:p>
    <w:p>
      <w:pPr>
        <w:pStyle w:val="BodyText"/>
        <w:spacing w:before="119"/>
        <w:ind w:right="750"/>
      </w:pPr>
      <w:r>
        <w:rPr/>
        <w:t>Les termes de références « GCT TERMS » doivent indiquer les évènements ouvrant</w:t>
      </w:r>
      <w:r>
        <w:rPr>
          <w:spacing w:val="-8"/>
        </w:rPr>
        <w:t> </w:t>
      </w:r>
      <w:r>
        <w:rPr/>
        <w:t>droit</w:t>
      </w:r>
      <w:r>
        <w:rPr>
          <w:spacing w:val="-8"/>
        </w:rPr>
        <w:t> </w:t>
      </w:r>
      <w:r>
        <w:rPr/>
        <w:t>à</w:t>
      </w:r>
      <w:r>
        <w:rPr>
          <w:spacing w:val="-11"/>
        </w:rPr>
        <w:t> </w:t>
      </w:r>
      <w:r>
        <w:rPr/>
        <w:t>la</w:t>
      </w:r>
      <w:r>
        <w:rPr>
          <w:spacing w:val="-8"/>
        </w:rPr>
        <w:t> </w:t>
      </w:r>
      <w:r>
        <w:rPr/>
        <w:t>résiliation</w:t>
      </w:r>
      <w:r>
        <w:rPr>
          <w:spacing w:val="-10"/>
        </w:rPr>
        <w:t> </w:t>
      </w:r>
      <w:r>
        <w:rPr/>
        <w:t>du</w:t>
      </w:r>
      <w:r>
        <w:rPr>
          <w:spacing w:val="-10"/>
        </w:rPr>
        <w:t> </w:t>
      </w:r>
      <w:r>
        <w:rPr/>
        <w:t>contrat</w:t>
      </w:r>
      <w:r>
        <w:rPr>
          <w:spacing w:val="-9"/>
        </w:rPr>
        <w:t> </w:t>
      </w:r>
      <w:r>
        <w:rPr/>
        <w:t>cadre.</w:t>
      </w:r>
      <w:r>
        <w:rPr>
          <w:spacing w:val="-9"/>
        </w:rPr>
        <w:t> </w:t>
      </w:r>
      <w:r>
        <w:rPr/>
        <w:t>Lesdits</w:t>
      </w:r>
      <w:r>
        <w:rPr>
          <w:spacing w:val="-8"/>
        </w:rPr>
        <w:t> </w:t>
      </w:r>
      <w:r>
        <w:rPr/>
        <w:t>termes</w:t>
      </w:r>
      <w:r>
        <w:rPr>
          <w:spacing w:val="-7"/>
        </w:rPr>
        <w:t> </w:t>
      </w:r>
      <w:r>
        <w:rPr/>
        <w:t>de</w:t>
      </w:r>
      <w:r>
        <w:rPr>
          <w:spacing w:val="-9"/>
        </w:rPr>
        <w:t> </w:t>
      </w:r>
      <w:r>
        <w:rPr/>
        <w:t>références</w:t>
      </w:r>
      <w:r>
        <w:rPr>
          <w:spacing w:val="-7"/>
        </w:rPr>
        <w:t> </w:t>
      </w:r>
      <w:r>
        <w:rPr/>
        <w:t>doivent</w:t>
      </w:r>
      <w:r>
        <w:rPr>
          <w:spacing w:val="-8"/>
        </w:rPr>
        <w:t> </w:t>
      </w:r>
      <w:r>
        <w:rPr/>
        <w:t>être soumis à l’avis préalable de la structure chargée des affaires</w:t>
      </w:r>
      <w:r>
        <w:rPr>
          <w:spacing w:val="-14"/>
        </w:rPr>
        <w:t> </w:t>
      </w:r>
      <w:r>
        <w:rPr/>
        <w:t>juridiques.</w:t>
      </w:r>
    </w:p>
    <w:p>
      <w:pPr>
        <w:pStyle w:val="Heading2"/>
        <w:numPr>
          <w:ilvl w:val="0"/>
          <w:numId w:val="83"/>
        </w:numPr>
        <w:tabs>
          <w:tab w:pos="901" w:val="left" w:leader="none"/>
        </w:tabs>
        <w:spacing w:line="321" w:lineRule="exact" w:before="244" w:after="0"/>
        <w:ind w:left="900" w:right="0" w:hanging="468"/>
        <w:jc w:val="both"/>
      </w:pPr>
      <w:bookmarkStart w:name="_TOC_250051" w:id="92"/>
      <w:r>
        <w:rPr/>
        <w:t>Préparation du dossier</w:t>
      </w:r>
      <w:r>
        <w:rPr>
          <w:spacing w:val="-4"/>
        </w:rPr>
        <w:t> </w:t>
      </w:r>
      <w:bookmarkEnd w:id="92"/>
      <w:r>
        <w:rPr/>
        <w:t>d’affrètement</w:t>
      </w:r>
    </w:p>
    <w:p>
      <w:pPr>
        <w:pStyle w:val="BodyText"/>
        <w:ind w:right="754"/>
      </w:pPr>
      <w:r>
        <w:rPr/>
        <w:t>Le dossier de l'affrètement est préparé par la structure chargée d’affrètements et comprend les documents suivants :</w:t>
      </w:r>
    </w:p>
    <w:p>
      <w:pPr>
        <w:pStyle w:val="ListParagraph"/>
        <w:numPr>
          <w:ilvl w:val="1"/>
          <w:numId w:val="83"/>
        </w:numPr>
        <w:tabs>
          <w:tab w:pos="1154" w:val="left" w:leader="none"/>
        </w:tabs>
        <w:spacing w:line="230" w:lineRule="auto" w:before="127" w:after="0"/>
        <w:ind w:left="1153" w:right="750" w:hanging="360"/>
        <w:jc w:val="both"/>
        <w:rPr>
          <w:sz w:val="28"/>
        </w:rPr>
      </w:pPr>
      <w:r>
        <w:rPr>
          <w:sz w:val="28"/>
        </w:rPr>
        <w:t>Une Copie de l’ordre d’affrètement reçu de la part de la structure commerciale ou de la structure chargée de l’achat de matières premières ou toute autre structure</w:t>
      </w:r>
      <w:r>
        <w:rPr>
          <w:spacing w:val="-1"/>
          <w:sz w:val="28"/>
        </w:rPr>
        <w:t> </w:t>
      </w:r>
      <w:r>
        <w:rPr>
          <w:sz w:val="28"/>
        </w:rPr>
        <w:t>;</w:t>
      </w:r>
    </w:p>
    <w:p>
      <w:pPr>
        <w:pStyle w:val="ListParagraph"/>
        <w:numPr>
          <w:ilvl w:val="1"/>
          <w:numId w:val="83"/>
        </w:numPr>
        <w:tabs>
          <w:tab w:pos="1154" w:val="left" w:leader="none"/>
        </w:tabs>
        <w:spacing w:line="225" w:lineRule="auto" w:before="20" w:after="0"/>
        <w:ind w:left="1153" w:right="754" w:hanging="360"/>
        <w:jc w:val="both"/>
        <w:rPr>
          <w:sz w:val="28"/>
        </w:rPr>
      </w:pPr>
      <w:r>
        <w:rPr>
          <w:sz w:val="28"/>
        </w:rPr>
        <w:t>Les</w:t>
      </w:r>
      <w:r>
        <w:rPr>
          <w:spacing w:val="-10"/>
          <w:sz w:val="28"/>
        </w:rPr>
        <w:t> </w:t>
      </w:r>
      <w:r>
        <w:rPr>
          <w:sz w:val="28"/>
        </w:rPr>
        <w:t>programmes</w:t>
      </w:r>
      <w:r>
        <w:rPr>
          <w:spacing w:val="-7"/>
          <w:sz w:val="28"/>
        </w:rPr>
        <w:t> </w:t>
      </w:r>
      <w:r>
        <w:rPr>
          <w:sz w:val="28"/>
        </w:rPr>
        <w:t>de</w:t>
      </w:r>
      <w:r>
        <w:rPr>
          <w:spacing w:val="-10"/>
          <w:sz w:val="28"/>
        </w:rPr>
        <w:t> </w:t>
      </w:r>
      <w:r>
        <w:rPr>
          <w:sz w:val="28"/>
        </w:rPr>
        <w:t>ventes</w:t>
      </w:r>
      <w:r>
        <w:rPr>
          <w:spacing w:val="-10"/>
          <w:sz w:val="28"/>
        </w:rPr>
        <w:t> </w:t>
      </w:r>
      <w:r>
        <w:rPr>
          <w:sz w:val="28"/>
        </w:rPr>
        <w:t>C&amp;F</w:t>
      </w:r>
      <w:r>
        <w:rPr>
          <w:spacing w:val="-10"/>
          <w:sz w:val="28"/>
        </w:rPr>
        <w:t> </w:t>
      </w:r>
      <w:r>
        <w:rPr>
          <w:sz w:val="28"/>
        </w:rPr>
        <w:t>des</w:t>
      </w:r>
      <w:r>
        <w:rPr>
          <w:spacing w:val="-9"/>
          <w:sz w:val="28"/>
        </w:rPr>
        <w:t> </w:t>
      </w:r>
      <w:r>
        <w:rPr>
          <w:sz w:val="28"/>
        </w:rPr>
        <w:t>produits</w:t>
      </w:r>
      <w:r>
        <w:rPr>
          <w:spacing w:val="-10"/>
          <w:sz w:val="28"/>
        </w:rPr>
        <w:t> </w:t>
      </w:r>
      <w:r>
        <w:rPr>
          <w:sz w:val="28"/>
        </w:rPr>
        <w:t>GCT</w:t>
      </w:r>
      <w:r>
        <w:rPr>
          <w:spacing w:val="-11"/>
          <w:sz w:val="28"/>
        </w:rPr>
        <w:t> </w:t>
      </w:r>
      <w:r>
        <w:rPr>
          <w:sz w:val="28"/>
        </w:rPr>
        <w:t>ou</w:t>
      </w:r>
      <w:r>
        <w:rPr>
          <w:spacing w:val="-9"/>
          <w:sz w:val="28"/>
        </w:rPr>
        <w:t> </w:t>
      </w:r>
      <w:r>
        <w:rPr>
          <w:sz w:val="28"/>
        </w:rPr>
        <w:t>d’achats</w:t>
      </w:r>
      <w:r>
        <w:rPr>
          <w:spacing w:val="-9"/>
          <w:sz w:val="28"/>
        </w:rPr>
        <w:t> </w:t>
      </w:r>
      <w:r>
        <w:rPr>
          <w:sz w:val="28"/>
        </w:rPr>
        <w:t>FOB</w:t>
      </w:r>
      <w:r>
        <w:rPr>
          <w:spacing w:val="-11"/>
          <w:sz w:val="28"/>
        </w:rPr>
        <w:t> </w:t>
      </w:r>
      <w:r>
        <w:rPr>
          <w:sz w:val="28"/>
        </w:rPr>
        <w:t>de</w:t>
      </w:r>
      <w:r>
        <w:rPr>
          <w:spacing w:val="-10"/>
          <w:sz w:val="28"/>
        </w:rPr>
        <w:t> </w:t>
      </w:r>
      <w:r>
        <w:rPr>
          <w:sz w:val="28"/>
        </w:rPr>
        <w:t>matières premières communiqués par les structures concernées</w:t>
      </w:r>
      <w:r>
        <w:rPr>
          <w:spacing w:val="-1"/>
          <w:sz w:val="28"/>
        </w:rPr>
        <w:t> </w:t>
      </w:r>
      <w:r>
        <w:rPr>
          <w:sz w:val="28"/>
        </w:rPr>
        <w:t>;</w:t>
      </w:r>
    </w:p>
    <w:p>
      <w:pPr>
        <w:pStyle w:val="ListParagraph"/>
        <w:numPr>
          <w:ilvl w:val="1"/>
          <w:numId w:val="83"/>
        </w:numPr>
        <w:tabs>
          <w:tab w:pos="1154" w:val="left" w:leader="none"/>
        </w:tabs>
        <w:spacing w:line="334" w:lineRule="exact" w:before="2" w:after="0"/>
        <w:ind w:left="1153" w:right="0" w:hanging="361"/>
        <w:jc w:val="left"/>
        <w:rPr>
          <w:sz w:val="28"/>
        </w:rPr>
      </w:pPr>
      <w:r>
        <w:rPr>
          <w:sz w:val="28"/>
        </w:rPr>
        <w:t>Un état des réalisations d’affrètement des navires</w:t>
      </w:r>
      <w:r>
        <w:rPr>
          <w:spacing w:val="5"/>
          <w:sz w:val="28"/>
        </w:rPr>
        <w:t> </w:t>
      </w:r>
      <w:r>
        <w:rPr>
          <w:sz w:val="28"/>
        </w:rPr>
        <w:t>;</w:t>
      </w:r>
    </w:p>
    <w:p>
      <w:pPr>
        <w:pStyle w:val="ListParagraph"/>
        <w:numPr>
          <w:ilvl w:val="1"/>
          <w:numId w:val="83"/>
        </w:numPr>
        <w:tabs>
          <w:tab w:pos="1154" w:val="left" w:leader="none"/>
        </w:tabs>
        <w:spacing w:line="322" w:lineRule="exact" w:before="0" w:after="0"/>
        <w:ind w:left="1153" w:right="0" w:hanging="361"/>
        <w:jc w:val="left"/>
        <w:rPr>
          <w:sz w:val="28"/>
        </w:rPr>
      </w:pPr>
      <w:r>
        <w:rPr>
          <w:sz w:val="28"/>
        </w:rPr>
        <w:t>Une analyse de la situation du marché de fret</w:t>
      </w:r>
      <w:r>
        <w:rPr>
          <w:spacing w:val="-2"/>
          <w:sz w:val="28"/>
        </w:rPr>
        <w:t> </w:t>
      </w:r>
      <w:r>
        <w:rPr>
          <w:sz w:val="28"/>
        </w:rPr>
        <w:t>;</w:t>
      </w:r>
    </w:p>
    <w:p>
      <w:pPr>
        <w:pStyle w:val="ListParagraph"/>
        <w:numPr>
          <w:ilvl w:val="1"/>
          <w:numId w:val="83"/>
        </w:numPr>
        <w:tabs>
          <w:tab w:pos="1154" w:val="left" w:leader="none"/>
        </w:tabs>
        <w:spacing w:line="334" w:lineRule="exact" w:before="0" w:after="0"/>
        <w:ind w:left="1153" w:right="0" w:hanging="361"/>
        <w:jc w:val="left"/>
        <w:rPr>
          <w:sz w:val="28"/>
        </w:rPr>
      </w:pPr>
      <w:r>
        <w:rPr>
          <w:sz w:val="28"/>
        </w:rPr>
        <w:t>Un programme d’affrètement pour la ou les périodes à venir</w:t>
      </w:r>
      <w:r>
        <w:rPr>
          <w:spacing w:val="-7"/>
          <w:sz w:val="28"/>
        </w:rPr>
        <w:t> </w:t>
      </w:r>
      <w:r>
        <w:rPr>
          <w:sz w:val="28"/>
        </w:rPr>
        <w:t>;</w:t>
      </w:r>
    </w:p>
    <w:p>
      <w:pPr>
        <w:spacing w:after="0" w:line="334" w:lineRule="exact"/>
        <w:jc w:val="left"/>
        <w:rPr>
          <w:sz w:val="28"/>
        </w:rPr>
        <w:sectPr>
          <w:pgSz w:w="11910" w:h="16840"/>
          <w:pgMar w:header="722" w:footer="0" w:top="1860" w:bottom="280" w:left="700" w:right="380"/>
        </w:sectPr>
      </w:pPr>
    </w:p>
    <w:p>
      <w:pPr>
        <w:pStyle w:val="BodyText"/>
        <w:spacing w:before="3"/>
        <w:ind w:left="0" w:firstLine="0"/>
        <w:jc w:val="left"/>
        <w:rPr>
          <w:sz w:val="16"/>
        </w:rPr>
      </w:pPr>
    </w:p>
    <w:p>
      <w:pPr>
        <w:pStyle w:val="ListParagraph"/>
        <w:numPr>
          <w:ilvl w:val="1"/>
          <w:numId w:val="83"/>
        </w:numPr>
        <w:tabs>
          <w:tab w:pos="1154" w:val="left" w:leader="none"/>
        </w:tabs>
        <w:spacing w:line="223" w:lineRule="auto" w:before="106" w:after="0"/>
        <w:ind w:left="1153" w:right="751" w:hanging="360"/>
        <w:jc w:val="both"/>
        <w:rPr>
          <w:sz w:val="28"/>
        </w:rPr>
      </w:pPr>
      <w:r>
        <w:rPr>
          <w:sz w:val="28"/>
        </w:rPr>
        <w:t>La liste des courtiers et des armateurs accompagnés d’une note d’opportunité, en cas de mise à jour.</w:t>
      </w:r>
    </w:p>
    <w:p>
      <w:pPr>
        <w:pStyle w:val="BodyText"/>
        <w:spacing w:before="4"/>
        <w:ind w:right="758"/>
      </w:pPr>
      <w:r>
        <w:rPr/>
        <w:t>Ces documents doivent être visés par le responsable de la structure chargée d’affrètements et transmis au SPCM par messagerie (ou tout autre moyen laissant preuve). Le SPCM se charge de soumettre le dossier de l'affrètement à la commission compétente de contrôle des achats d’affrètements.</w:t>
      </w:r>
    </w:p>
    <w:p>
      <w:pPr>
        <w:pStyle w:val="Heading2"/>
        <w:numPr>
          <w:ilvl w:val="0"/>
          <w:numId w:val="83"/>
        </w:numPr>
        <w:tabs>
          <w:tab w:pos="885" w:val="left" w:leader="none"/>
        </w:tabs>
        <w:spacing w:line="240" w:lineRule="auto" w:before="245" w:after="0"/>
        <w:ind w:left="884" w:right="0" w:hanging="452"/>
        <w:jc w:val="left"/>
      </w:pPr>
      <w:bookmarkStart w:name="_TOC_250050" w:id="93"/>
      <w:r>
        <w:rPr/>
        <w:t>Procédure de passation des Achats d’affrètement hors</w:t>
      </w:r>
      <w:r>
        <w:rPr>
          <w:spacing w:val="2"/>
        </w:rPr>
        <w:t> </w:t>
      </w:r>
      <w:bookmarkEnd w:id="93"/>
      <w:r>
        <w:rPr/>
        <w:t>marchés</w:t>
      </w:r>
    </w:p>
    <w:p>
      <w:pPr>
        <w:pStyle w:val="Heading2"/>
        <w:numPr>
          <w:ilvl w:val="1"/>
          <w:numId w:val="84"/>
        </w:numPr>
        <w:tabs>
          <w:tab w:pos="1096" w:val="left" w:leader="none"/>
        </w:tabs>
        <w:spacing w:line="319" w:lineRule="exact" w:before="121" w:after="0"/>
        <w:ind w:left="1095" w:right="0" w:hanging="663"/>
        <w:jc w:val="left"/>
      </w:pPr>
      <w:bookmarkStart w:name="_TOC_250049" w:id="94"/>
      <w:r>
        <w:rPr/>
        <w:t>Choix du mode de</w:t>
      </w:r>
      <w:r>
        <w:rPr>
          <w:spacing w:val="-2"/>
        </w:rPr>
        <w:t> </w:t>
      </w:r>
      <w:bookmarkEnd w:id="94"/>
      <w:r>
        <w:rPr/>
        <w:t>passation</w:t>
      </w:r>
    </w:p>
    <w:p>
      <w:pPr>
        <w:pStyle w:val="ListParagraph"/>
        <w:numPr>
          <w:ilvl w:val="0"/>
          <w:numId w:val="49"/>
        </w:numPr>
        <w:tabs>
          <w:tab w:pos="717" w:val="left" w:leader="none"/>
        </w:tabs>
        <w:spacing w:line="278" w:lineRule="auto" w:before="0" w:after="0"/>
        <w:ind w:left="433" w:right="749" w:firstLine="0"/>
        <w:jc w:val="left"/>
        <w:rPr>
          <w:sz w:val="28"/>
        </w:rPr>
      </w:pPr>
      <w:r>
        <w:rPr>
          <w:sz w:val="28"/>
        </w:rPr>
        <w:t>Les achats d’affrètement sont passés après mise en concurrence par voie d’Appel d’Offres mixte (via TUNEPS et hors TUNEPS à la fois).</w:t>
      </w:r>
    </w:p>
    <w:p>
      <w:pPr>
        <w:pStyle w:val="ListParagraph"/>
        <w:numPr>
          <w:ilvl w:val="0"/>
          <w:numId w:val="49"/>
        </w:numPr>
        <w:tabs>
          <w:tab w:pos="717" w:val="left" w:leader="none"/>
        </w:tabs>
        <w:spacing w:line="276" w:lineRule="auto" w:before="0" w:after="0"/>
        <w:ind w:left="433" w:right="750" w:firstLine="0"/>
        <w:jc w:val="left"/>
        <w:rPr>
          <w:sz w:val="28"/>
        </w:rPr>
      </w:pPr>
      <w:r>
        <w:rPr>
          <w:sz w:val="28"/>
        </w:rPr>
        <w:t>Toutefois, ces achats peuvent être, à titre exceptionnel, conclus via négociation directe ou consultation</w:t>
      </w:r>
      <w:r>
        <w:rPr>
          <w:spacing w:val="1"/>
          <w:sz w:val="28"/>
        </w:rPr>
        <w:t> </w:t>
      </w:r>
      <w:r>
        <w:rPr>
          <w:sz w:val="28"/>
        </w:rPr>
        <w:t>restreinte.</w:t>
      </w:r>
    </w:p>
    <w:p>
      <w:pPr>
        <w:pStyle w:val="ListParagraph"/>
        <w:numPr>
          <w:ilvl w:val="1"/>
          <w:numId w:val="49"/>
        </w:numPr>
        <w:tabs>
          <w:tab w:pos="1000" w:val="left" w:leader="none"/>
        </w:tabs>
        <w:spacing w:line="341" w:lineRule="exact" w:before="0" w:after="0"/>
        <w:ind w:left="999" w:right="0" w:hanging="284"/>
        <w:jc w:val="left"/>
        <w:rPr>
          <w:sz w:val="28"/>
        </w:rPr>
      </w:pPr>
      <w:r>
        <w:rPr>
          <w:sz w:val="28"/>
        </w:rPr>
        <w:t>Le recours à la négociation directe se fait dans les cas suivants</w:t>
      </w:r>
      <w:r>
        <w:rPr>
          <w:spacing w:val="-12"/>
          <w:sz w:val="28"/>
        </w:rPr>
        <w:t> </w:t>
      </w:r>
      <w:r>
        <w:rPr>
          <w:sz w:val="28"/>
        </w:rPr>
        <w:t>:</w:t>
      </w:r>
    </w:p>
    <w:p>
      <w:pPr>
        <w:pStyle w:val="ListParagraph"/>
        <w:numPr>
          <w:ilvl w:val="2"/>
          <w:numId w:val="84"/>
        </w:numPr>
        <w:tabs>
          <w:tab w:pos="1427" w:val="left" w:leader="none"/>
        </w:tabs>
        <w:spacing w:line="276" w:lineRule="auto" w:before="41" w:after="0"/>
        <w:ind w:left="1426" w:right="754" w:hanging="360"/>
        <w:jc w:val="both"/>
        <w:rPr>
          <w:sz w:val="28"/>
        </w:rPr>
      </w:pPr>
      <w:r>
        <w:rPr>
          <w:sz w:val="28"/>
        </w:rPr>
        <w:t>Pour les achats d'affrètement qui, suite à une procédure d’appel à la concurrence</w:t>
      </w:r>
      <w:r>
        <w:rPr>
          <w:spacing w:val="-12"/>
          <w:sz w:val="28"/>
        </w:rPr>
        <w:t> </w:t>
      </w:r>
      <w:r>
        <w:rPr>
          <w:sz w:val="28"/>
        </w:rPr>
        <w:t>pour</w:t>
      </w:r>
      <w:r>
        <w:rPr>
          <w:spacing w:val="-12"/>
          <w:sz w:val="28"/>
        </w:rPr>
        <w:t> </w:t>
      </w:r>
      <w:r>
        <w:rPr>
          <w:sz w:val="28"/>
        </w:rPr>
        <w:t>deux</w:t>
      </w:r>
      <w:r>
        <w:rPr>
          <w:spacing w:val="-10"/>
          <w:sz w:val="28"/>
        </w:rPr>
        <w:t> </w:t>
      </w:r>
      <w:r>
        <w:rPr>
          <w:sz w:val="28"/>
        </w:rPr>
        <w:t>fois</w:t>
      </w:r>
      <w:r>
        <w:rPr>
          <w:spacing w:val="-11"/>
          <w:sz w:val="28"/>
        </w:rPr>
        <w:t> </w:t>
      </w:r>
      <w:r>
        <w:rPr>
          <w:sz w:val="28"/>
        </w:rPr>
        <w:t>consécutives</w:t>
      </w:r>
      <w:r>
        <w:rPr>
          <w:spacing w:val="-11"/>
          <w:sz w:val="28"/>
        </w:rPr>
        <w:t> </w:t>
      </w:r>
      <w:r>
        <w:rPr>
          <w:sz w:val="28"/>
        </w:rPr>
        <w:t>au</w:t>
      </w:r>
      <w:r>
        <w:rPr>
          <w:spacing w:val="-10"/>
          <w:sz w:val="28"/>
        </w:rPr>
        <w:t> </w:t>
      </w:r>
      <w:r>
        <w:rPr>
          <w:sz w:val="28"/>
        </w:rPr>
        <w:t>moins,</w:t>
      </w:r>
      <w:r>
        <w:rPr>
          <w:spacing w:val="-15"/>
          <w:sz w:val="28"/>
        </w:rPr>
        <w:t> </w:t>
      </w:r>
      <w:r>
        <w:rPr>
          <w:sz w:val="28"/>
        </w:rPr>
        <w:t>n’ont</w:t>
      </w:r>
      <w:r>
        <w:rPr>
          <w:spacing w:val="-10"/>
          <w:sz w:val="28"/>
        </w:rPr>
        <w:t> </w:t>
      </w:r>
      <w:r>
        <w:rPr>
          <w:sz w:val="28"/>
        </w:rPr>
        <w:t>fait</w:t>
      </w:r>
      <w:r>
        <w:rPr>
          <w:spacing w:val="-11"/>
          <w:sz w:val="28"/>
        </w:rPr>
        <w:t> </w:t>
      </w:r>
      <w:r>
        <w:rPr>
          <w:sz w:val="28"/>
        </w:rPr>
        <w:t>l’objet</w:t>
      </w:r>
      <w:r>
        <w:rPr>
          <w:spacing w:val="-11"/>
          <w:sz w:val="28"/>
        </w:rPr>
        <w:t> </w:t>
      </w:r>
      <w:r>
        <w:rPr>
          <w:sz w:val="28"/>
        </w:rPr>
        <w:t>d’aucune offre ou à l’égard desquels, il a été proposé des offres inacceptables à condition qu’une telle situation ne soit pas la conséquence d’insuffisances relevées dans les termes de références et que le recours à cette procédure permette la passation de l'achat dans des conditions plus</w:t>
      </w:r>
      <w:r>
        <w:rPr>
          <w:spacing w:val="-21"/>
          <w:sz w:val="28"/>
        </w:rPr>
        <w:t> </w:t>
      </w:r>
      <w:r>
        <w:rPr>
          <w:sz w:val="28"/>
        </w:rPr>
        <w:t>avantageuses.</w:t>
      </w:r>
    </w:p>
    <w:p>
      <w:pPr>
        <w:pStyle w:val="ListParagraph"/>
        <w:numPr>
          <w:ilvl w:val="2"/>
          <w:numId w:val="84"/>
        </w:numPr>
        <w:tabs>
          <w:tab w:pos="1427" w:val="left" w:leader="none"/>
        </w:tabs>
        <w:spacing w:line="276" w:lineRule="auto" w:before="1" w:after="0"/>
        <w:ind w:left="1426" w:right="749" w:hanging="360"/>
        <w:jc w:val="both"/>
        <w:rPr>
          <w:sz w:val="28"/>
        </w:rPr>
      </w:pPr>
      <w:r>
        <w:rPr>
          <w:sz w:val="28"/>
        </w:rPr>
        <w:t>Lorsque</w:t>
      </w:r>
      <w:r>
        <w:rPr>
          <w:spacing w:val="-21"/>
          <w:sz w:val="28"/>
        </w:rPr>
        <w:t> </w:t>
      </w:r>
      <w:r>
        <w:rPr>
          <w:sz w:val="28"/>
        </w:rPr>
        <w:t>le</w:t>
      </w:r>
      <w:r>
        <w:rPr>
          <w:spacing w:val="-18"/>
          <w:sz w:val="28"/>
        </w:rPr>
        <w:t> </w:t>
      </w:r>
      <w:r>
        <w:rPr>
          <w:sz w:val="28"/>
        </w:rPr>
        <w:t>recours</w:t>
      </w:r>
      <w:r>
        <w:rPr>
          <w:spacing w:val="-17"/>
          <w:sz w:val="28"/>
        </w:rPr>
        <w:t> </w:t>
      </w:r>
      <w:r>
        <w:rPr>
          <w:sz w:val="28"/>
        </w:rPr>
        <w:t>à</w:t>
      </w:r>
      <w:r>
        <w:rPr>
          <w:spacing w:val="-20"/>
          <w:sz w:val="28"/>
        </w:rPr>
        <w:t> </w:t>
      </w:r>
      <w:r>
        <w:rPr>
          <w:sz w:val="28"/>
        </w:rPr>
        <w:t>ce</w:t>
      </w:r>
      <w:r>
        <w:rPr>
          <w:spacing w:val="-18"/>
          <w:sz w:val="28"/>
        </w:rPr>
        <w:t> </w:t>
      </w:r>
      <w:r>
        <w:rPr>
          <w:sz w:val="28"/>
        </w:rPr>
        <w:t>mode</w:t>
      </w:r>
      <w:r>
        <w:rPr>
          <w:spacing w:val="-18"/>
          <w:sz w:val="28"/>
        </w:rPr>
        <w:t> </w:t>
      </w:r>
      <w:r>
        <w:rPr>
          <w:sz w:val="28"/>
        </w:rPr>
        <w:t>de</w:t>
      </w:r>
      <w:r>
        <w:rPr>
          <w:spacing w:val="-19"/>
          <w:sz w:val="28"/>
        </w:rPr>
        <w:t> </w:t>
      </w:r>
      <w:r>
        <w:rPr>
          <w:sz w:val="28"/>
        </w:rPr>
        <w:t>passation</w:t>
      </w:r>
      <w:r>
        <w:rPr>
          <w:spacing w:val="-17"/>
          <w:sz w:val="28"/>
        </w:rPr>
        <w:t> </w:t>
      </w:r>
      <w:r>
        <w:rPr>
          <w:sz w:val="28"/>
        </w:rPr>
        <w:t>est</w:t>
      </w:r>
      <w:r>
        <w:rPr>
          <w:spacing w:val="-20"/>
          <w:sz w:val="28"/>
        </w:rPr>
        <w:t> </w:t>
      </w:r>
      <w:r>
        <w:rPr>
          <w:sz w:val="28"/>
        </w:rPr>
        <w:t>pleinement</w:t>
      </w:r>
      <w:r>
        <w:rPr>
          <w:spacing w:val="-17"/>
          <w:sz w:val="28"/>
        </w:rPr>
        <w:t> </w:t>
      </w:r>
      <w:r>
        <w:rPr>
          <w:sz w:val="28"/>
        </w:rPr>
        <w:t>justifié</w:t>
      </w:r>
      <w:r>
        <w:rPr>
          <w:spacing w:val="-23"/>
          <w:sz w:val="28"/>
        </w:rPr>
        <w:t> </w:t>
      </w:r>
      <w:r>
        <w:rPr>
          <w:spacing w:val="2"/>
          <w:sz w:val="28"/>
        </w:rPr>
        <w:t>par</w:t>
      </w:r>
      <w:r>
        <w:rPr>
          <w:spacing w:val="-19"/>
          <w:sz w:val="28"/>
        </w:rPr>
        <w:t> </w:t>
      </w:r>
      <w:r>
        <w:rPr>
          <w:sz w:val="28"/>
        </w:rPr>
        <w:t>l’urgence impérieuse,</w:t>
      </w:r>
    </w:p>
    <w:p>
      <w:pPr>
        <w:pStyle w:val="ListParagraph"/>
        <w:numPr>
          <w:ilvl w:val="2"/>
          <w:numId w:val="84"/>
        </w:numPr>
        <w:tabs>
          <w:tab w:pos="1427" w:val="left" w:leader="none"/>
        </w:tabs>
        <w:spacing w:line="278" w:lineRule="auto" w:before="0" w:after="0"/>
        <w:ind w:left="1426" w:right="761" w:hanging="360"/>
        <w:jc w:val="both"/>
        <w:rPr>
          <w:sz w:val="28"/>
        </w:rPr>
      </w:pPr>
      <w:r>
        <w:rPr>
          <w:sz w:val="28"/>
        </w:rPr>
        <w:t>Lorsque le recours à ce mode de passation est pleinement justifié par des considérations d’ordre technique, commercial ou</w:t>
      </w:r>
      <w:r>
        <w:rPr>
          <w:spacing w:val="-6"/>
          <w:sz w:val="28"/>
        </w:rPr>
        <w:t> </w:t>
      </w:r>
      <w:r>
        <w:rPr>
          <w:sz w:val="28"/>
        </w:rPr>
        <w:t>financier.</w:t>
      </w:r>
    </w:p>
    <w:p>
      <w:pPr>
        <w:pStyle w:val="ListParagraph"/>
        <w:numPr>
          <w:ilvl w:val="1"/>
          <w:numId w:val="49"/>
        </w:numPr>
        <w:tabs>
          <w:tab w:pos="1000" w:val="left" w:leader="none"/>
        </w:tabs>
        <w:spacing w:line="276" w:lineRule="auto" w:before="0" w:after="0"/>
        <w:ind w:left="999" w:right="749" w:hanging="284"/>
        <w:jc w:val="both"/>
        <w:rPr>
          <w:sz w:val="28"/>
        </w:rPr>
      </w:pPr>
      <w:r>
        <w:rPr>
          <w:sz w:val="28"/>
        </w:rPr>
        <w:t>Le recours à la consultation restreintese fait lorsque la nature de certains achats d’affrètement</w:t>
      </w:r>
      <w:r>
        <w:rPr>
          <w:spacing w:val="-8"/>
          <w:sz w:val="28"/>
        </w:rPr>
        <w:t> </w:t>
      </w:r>
      <w:r>
        <w:rPr>
          <w:sz w:val="28"/>
        </w:rPr>
        <w:t>requière</w:t>
      </w:r>
      <w:r>
        <w:rPr>
          <w:spacing w:val="-9"/>
          <w:sz w:val="28"/>
        </w:rPr>
        <w:t> </w:t>
      </w:r>
      <w:r>
        <w:rPr>
          <w:sz w:val="28"/>
        </w:rPr>
        <w:t>un</w:t>
      </w:r>
      <w:r>
        <w:rPr>
          <w:spacing w:val="-10"/>
          <w:sz w:val="28"/>
        </w:rPr>
        <w:t> </w:t>
      </w:r>
      <w:r>
        <w:rPr>
          <w:sz w:val="28"/>
        </w:rPr>
        <w:t>aspect</w:t>
      </w:r>
      <w:r>
        <w:rPr>
          <w:spacing w:val="-7"/>
          <w:sz w:val="28"/>
        </w:rPr>
        <w:t> </w:t>
      </w:r>
      <w:r>
        <w:rPr>
          <w:sz w:val="28"/>
        </w:rPr>
        <w:t>spécifique</w:t>
      </w:r>
      <w:r>
        <w:rPr>
          <w:spacing w:val="-10"/>
          <w:sz w:val="28"/>
        </w:rPr>
        <w:t> </w:t>
      </w:r>
      <w:r>
        <w:rPr>
          <w:sz w:val="28"/>
        </w:rPr>
        <w:t>présentant</w:t>
      </w:r>
      <w:r>
        <w:rPr>
          <w:spacing w:val="-10"/>
          <w:sz w:val="28"/>
        </w:rPr>
        <w:t> </w:t>
      </w:r>
      <w:r>
        <w:rPr>
          <w:sz w:val="28"/>
        </w:rPr>
        <w:t>un</w:t>
      </w:r>
      <w:r>
        <w:rPr>
          <w:spacing w:val="-8"/>
          <w:sz w:val="28"/>
        </w:rPr>
        <w:t> </w:t>
      </w:r>
      <w:r>
        <w:rPr>
          <w:sz w:val="28"/>
        </w:rPr>
        <w:t>caractère</w:t>
      </w:r>
      <w:r>
        <w:rPr>
          <w:spacing w:val="-8"/>
          <w:sz w:val="28"/>
        </w:rPr>
        <w:t> </w:t>
      </w:r>
      <w:r>
        <w:rPr>
          <w:sz w:val="28"/>
        </w:rPr>
        <w:t>d’efficacité</w:t>
      </w:r>
      <w:r>
        <w:rPr>
          <w:spacing w:val="-6"/>
          <w:sz w:val="28"/>
        </w:rPr>
        <w:t> </w:t>
      </w:r>
      <w:r>
        <w:rPr>
          <w:sz w:val="28"/>
        </w:rPr>
        <w:t>et lorsque le délai entre la date de l’ordre d’affrètement et la date de début de chargement est inférieur à (15) jours.</w:t>
      </w:r>
    </w:p>
    <w:p>
      <w:pPr>
        <w:pStyle w:val="Heading2"/>
        <w:numPr>
          <w:ilvl w:val="1"/>
          <w:numId w:val="85"/>
        </w:numPr>
        <w:tabs>
          <w:tab w:pos="1079" w:val="left" w:leader="none"/>
        </w:tabs>
        <w:spacing w:line="242" w:lineRule="auto" w:before="113" w:after="0"/>
        <w:ind w:left="433" w:right="749" w:firstLine="0"/>
        <w:jc w:val="both"/>
      </w:pPr>
      <w:bookmarkStart w:name="_TOC_250048" w:id="95"/>
      <w:r>
        <w:rPr/>
        <w:t>Procédure de passation des achats d’affrètement hors marchés par voie d’Appel d’Offres mixte (via TUNEPS et hors TUNEPS à la</w:t>
      </w:r>
      <w:r>
        <w:rPr>
          <w:spacing w:val="-4"/>
        </w:rPr>
        <w:t> </w:t>
      </w:r>
      <w:bookmarkEnd w:id="95"/>
      <w:r>
        <w:rPr/>
        <w:t>fois)</w:t>
      </w:r>
    </w:p>
    <w:p>
      <w:pPr>
        <w:pStyle w:val="BodyText"/>
        <w:spacing w:line="276" w:lineRule="auto"/>
        <w:ind w:right="759" w:firstLine="283"/>
      </w:pPr>
      <w:r>
        <w:rPr/>
        <w:t>Les</w:t>
      </w:r>
      <w:r>
        <w:rPr>
          <w:spacing w:val="-7"/>
        </w:rPr>
        <w:t> </w:t>
      </w:r>
      <w:r>
        <w:rPr/>
        <w:t>achats</w:t>
      </w:r>
      <w:r>
        <w:rPr>
          <w:spacing w:val="-7"/>
        </w:rPr>
        <w:t> </w:t>
      </w:r>
      <w:r>
        <w:rPr/>
        <w:t>relatifs</w:t>
      </w:r>
      <w:r>
        <w:rPr>
          <w:spacing w:val="-8"/>
        </w:rPr>
        <w:t> </w:t>
      </w:r>
      <w:r>
        <w:rPr/>
        <w:t>aux</w:t>
      </w:r>
      <w:r>
        <w:rPr>
          <w:spacing w:val="-7"/>
        </w:rPr>
        <w:t> </w:t>
      </w:r>
      <w:r>
        <w:rPr/>
        <w:t>affrètements</w:t>
      </w:r>
      <w:r>
        <w:rPr>
          <w:spacing w:val="-9"/>
        </w:rPr>
        <w:t> </w:t>
      </w:r>
      <w:r>
        <w:rPr/>
        <w:t>des</w:t>
      </w:r>
      <w:r>
        <w:rPr>
          <w:spacing w:val="-10"/>
        </w:rPr>
        <w:t> </w:t>
      </w:r>
      <w:r>
        <w:rPr/>
        <w:t>navires</w:t>
      </w:r>
      <w:r>
        <w:rPr>
          <w:spacing w:val="-6"/>
        </w:rPr>
        <w:t> </w:t>
      </w:r>
      <w:r>
        <w:rPr/>
        <w:t>sont</w:t>
      </w:r>
      <w:r>
        <w:rPr>
          <w:spacing w:val="-9"/>
        </w:rPr>
        <w:t> </w:t>
      </w:r>
      <w:r>
        <w:rPr/>
        <w:t>passés</w:t>
      </w:r>
      <w:r>
        <w:rPr>
          <w:spacing w:val="-8"/>
        </w:rPr>
        <w:t> </w:t>
      </w:r>
      <w:r>
        <w:rPr/>
        <w:t>par</w:t>
      </w:r>
      <w:r>
        <w:rPr>
          <w:spacing w:val="-8"/>
        </w:rPr>
        <w:t> </w:t>
      </w:r>
      <w:r>
        <w:rPr/>
        <w:t>une</w:t>
      </w:r>
      <w:r>
        <w:rPr>
          <w:spacing w:val="-9"/>
        </w:rPr>
        <w:t> </w:t>
      </w:r>
      <w:r>
        <w:rPr/>
        <w:t>procédure</w:t>
      </w:r>
      <w:r>
        <w:rPr>
          <w:spacing w:val="-7"/>
        </w:rPr>
        <w:t> </w:t>
      </w:r>
      <w:r>
        <w:rPr/>
        <w:t>mixte (via TUNEPS et hors TUNEPS à la</w:t>
      </w:r>
      <w:r>
        <w:rPr>
          <w:spacing w:val="-4"/>
        </w:rPr>
        <w:t> </w:t>
      </w:r>
      <w:r>
        <w:rPr/>
        <w:t>fois).</w:t>
      </w:r>
    </w:p>
    <w:p>
      <w:pPr>
        <w:pStyle w:val="Heading2"/>
        <w:numPr>
          <w:ilvl w:val="2"/>
          <w:numId w:val="85"/>
        </w:numPr>
        <w:tabs>
          <w:tab w:pos="1307" w:val="left" w:leader="none"/>
        </w:tabs>
        <w:spacing w:line="240" w:lineRule="auto" w:before="0" w:after="0"/>
        <w:ind w:left="1306" w:right="0" w:hanging="874"/>
        <w:jc w:val="both"/>
      </w:pPr>
      <w:bookmarkStart w:name="_TOC_250047" w:id="96"/>
      <w:r>
        <w:rPr/>
        <w:t>Lancement de l’appel</w:t>
      </w:r>
      <w:r>
        <w:rPr>
          <w:spacing w:val="1"/>
        </w:rPr>
        <w:t> </w:t>
      </w:r>
      <w:bookmarkEnd w:id="96"/>
      <w:r>
        <w:rPr/>
        <w:t>d’offres</w:t>
      </w:r>
    </w:p>
    <w:p>
      <w:pPr>
        <w:pStyle w:val="BodyText"/>
        <w:spacing w:line="276" w:lineRule="auto" w:before="40"/>
        <w:ind w:right="758"/>
      </w:pPr>
      <w:r>
        <w:rPr/>
        <w:t>La structure chargée d’affrètements coordonne avec le SPCM en vue d'arrêter la date de publication de l'Appel d'offres, la date et heure limites de réception des offres ainsi</w:t>
      </w:r>
      <w:r>
        <w:rPr>
          <w:spacing w:val="60"/>
        </w:rPr>
        <w:t> </w:t>
      </w:r>
      <w:r>
        <w:rPr/>
        <w:t>que</w:t>
      </w:r>
      <w:r>
        <w:rPr>
          <w:spacing w:val="58"/>
        </w:rPr>
        <w:t> </w:t>
      </w:r>
      <w:r>
        <w:rPr/>
        <w:t>la</w:t>
      </w:r>
      <w:r>
        <w:rPr>
          <w:spacing w:val="58"/>
        </w:rPr>
        <w:t> </w:t>
      </w:r>
      <w:r>
        <w:rPr/>
        <w:t>date</w:t>
      </w:r>
      <w:r>
        <w:rPr>
          <w:spacing w:val="60"/>
        </w:rPr>
        <w:t> </w:t>
      </w:r>
      <w:r>
        <w:rPr/>
        <w:t>et</w:t>
      </w:r>
      <w:r>
        <w:rPr>
          <w:spacing w:val="59"/>
        </w:rPr>
        <w:t> </w:t>
      </w:r>
      <w:r>
        <w:rPr/>
        <w:t>l'heure</w:t>
      </w:r>
      <w:r>
        <w:rPr>
          <w:spacing w:val="57"/>
        </w:rPr>
        <w:t> </w:t>
      </w:r>
      <w:r>
        <w:rPr/>
        <w:t>d'ouverture</w:t>
      </w:r>
      <w:r>
        <w:rPr>
          <w:spacing w:val="58"/>
        </w:rPr>
        <w:t> </w:t>
      </w:r>
      <w:r>
        <w:rPr/>
        <w:t>des</w:t>
      </w:r>
      <w:r>
        <w:rPr>
          <w:spacing w:val="59"/>
        </w:rPr>
        <w:t> </w:t>
      </w:r>
      <w:r>
        <w:rPr/>
        <w:t>offres.</w:t>
      </w:r>
      <w:r>
        <w:rPr>
          <w:spacing w:val="59"/>
        </w:rPr>
        <w:t> </w:t>
      </w:r>
      <w:r>
        <w:rPr/>
        <w:t>Le</w:t>
      </w:r>
      <w:r>
        <w:rPr>
          <w:spacing w:val="61"/>
        </w:rPr>
        <w:t> </w:t>
      </w:r>
      <w:r>
        <w:rPr/>
        <w:t>SPCM</w:t>
      </w:r>
      <w:r>
        <w:rPr>
          <w:spacing w:val="60"/>
        </w:rPr>
        <w:t> </w:t>
      </w:r>
      <w:r>
        <w:rPr/>
        <w:t>arrête</w:t>
      </w:r>
      <w:r>
        <w:rPr>
          <w:spacing w:val="60"/>
        </w:rPr>
        <w:t> </w:t>
      </w:r>
      <w:r>
        <w:rPr/>
        <w:t>ces</w:t>
      </w:r>
      <w:r>
        <w:rPr>
          <w:spacing w:val="61"/>
        </w:rPr>
        <w:t> </w:t>
      </w:r>
      <w:r>
        <w:rPr/>
        <w:t>dates</w:t>
      </w:r>
      <w:r>
        <w:rPr>
          <w:spacing w:val="59"/>
        </w:rPr>
        <w:t> </w:t>
      </w:r>
      <w:r>
        <w:rPr/>
        <w:t>en</w:t>
      </w:r>
    </w:p>
    <w:p>
      <w:pPr>
        <w:spacing w:after="0" w:line="276" w:lineRule="auto"/>
        <w:sectPr>
          <w:pgSz w:w="11910" w:h="16840"/>
          <w:pgMar w:header="722" w:footer="0" w:top="1860" w:bottom="280" w:left="700" w:right="380"/>
        </w:sectPr>
      </w:pPr>
    </w:p>
    <w:p>
      <w:pPr>
        <w:pStyle w:val="BodyText"/>
        <w:spacing w:before="3"/>
        <w:ind w:left="0" w:firstLine="0"/>
        <w:jc w:val="left"/>
        <w:rPr>
          <w:sz w:val="16"/>
        </w:rPr>
      </w:pPr>
    </w:p>
    <w:p>
      <w:pPr>
        <w:pStyle w:val="BodyText"/>
        <w:spacing w:line="276" w:lineRule="auto" w:before="89"/>
        <w:ind w:right="761" w:firstLine="0"/>
      </w:pPr>
      <w:r>
        <w:rPr/>
        <w:t>coordination avec le président de la Commission d'ouverture des Offres d'Affrètements.</w:t>
      </w:r>
    </w:p>
    <w:p>
      <w:pPr>
        <w:pStyle w:val="BodyText"/>
        <w:spacing w:before="1"/>
        <w:ind w:right="749"/>
      </w:pPr>
      <w:r>
        <w:rPr/>
        <w:t>Il est à noter que les soumissionnaires (armateurs et courtiers) ne figurant pas sur la dernière liste actualisée et approuvée par la Commission des Affrètements (voir Annexe n°20), seront refusés. En fait, la présence de l’armateur/courtier soumissionnaire dans la liste doit faire partie des conditions de participations aux achats d’affrètements du GCT. Pour le cabotage national, la liste des armateurs tunisiens inscrits sur le registre tenu par la Marine Marchande sera demandée par le GCT avant lancement de chaque appel d’offres.</w:t>
      </w:r>
    </w:p>
    <w:p>
      <w:pPr>
        <w:pStyle w:val="BodyText"/>
        <w:spacing w:line="276" w:lineRule="auto" w:before="120"/>
        <w:ind w:right="749"/>
      </w:pPr>
      <w:r>
        <w:rPr/>
        <w:t>L’appel d’offres doit être lancé sur TUNEPS et par messagerie électronique à la fois, comme suit :</w:t>
      </w:r>
    </w:p>
    <w:p>
      <w:pPr>
        <w:pStyle w:val="Heading2"/>
        <w:numPr>
          <w:ilvl w:val="0"/>
          <w:numId w:val="49"/>
        </w:numPr>
        <w:tabs>
          <w:tab w:pos="791" w:val="left" w:leader="none"/>
        </w:tabs>
        <w:spacing w:line="240" w:lineRule="auto" w:before="124" w:after="0"/>
        <w:ind w:left="790" w:right="0" w:hanging="358"/>
        <w:jc w:val="both"/>
      </w:pPr>
      <w:r>
        <w:rPr/>
        <w:t>Lancement de l’appel d’offres via TUNEPS</w:t>
      </w:r>
      <w:r>
        <w:rPr>
          <w:spacing w:val="2"/>
        </w:rPr>
        <w:t> </w:t>
      </w:r>
      <w:r>
        <w:rPr/>
        <w:t>:</w:t>
      </w:r>
    </w:p>
    <w:p>
      <w:pPr>
        <w:pStyle w:val="BodyText"/>
        <w:spacing w:line="276" w:lineRule="auto" w:before="45"/>
        <w:ind w:left="716" w:right="757" w:firstLine="568"/>
      </w:pPr>
      <w:r>
        <w:rPr/>
        <w:t>Un cadre de la structure chargée des affrètements et en tant que Responsable d’appel d’offres sur TUNEPS, lance un appel d’offres d’affrètement de navires, en ligne/Hors ligne.</w:t>
      </w:r>
    </w:p>
    <w:p>
      <w:pPr>
        <w:pStyle w:val="BodyText"/>
        <w:spacing w:line="276" w:lineRule="auto"/>
        <w:ind w:left="716" w:right="749" w:firstLine="568"/>
      </w:pPr>
      <w:r>
        <w:rPr/>
        <w:t>A ce stade le responsable d’appel d’offres est tenu à identifier et à mentionner le président de la Commission d’évaluation des offres d’affrètement des navires comme étant « Président de la commission d’évaluation » et le président de la commission d’Affrètement comme étant « Président de la commission de contrôle des marchés ».</w:t>
      </w:r>
    </w:p>
    <w:p>
      <w:pPr>
        <w:pStyle w:val="Heading2"/>
        <w:numPr>
          <w:ilvl w:val="0"/>
          <w:numId w:val="49"/>
        </w:numPr>
        <w:tabs>
          <w:tab w:pos="791" w:val="left" w:leader="none"/>
        </w:tabs>
        <w:spacing w:line="240" w:lineRule="auto" w:before="125" w:after="0"/>
        <w:ind w:left="790" w:right="0" w:hanging="358"/>
        <w:jc w:val="both"/>
      </w:pPr>
      <w:r>
        <w:rPr/>
        <w:t>Lancement de l’appel d’offres hors TUNEPS</w:t>
      </w:r>
      <w:r>
        <w:rPr>
          <w:spacing w:val="1"/>
        </w:rPr>
        <w:t> </w:t>
      </w:r>
      <w:r>
        <w:rPr/>
        <w:t>:</w:t>
      </w:r>
    </w:p>
    <w:p>
      <w:pPr>
        <w:pStyle w:val="BodyText"/>
        <w:spacing w:line="276" w:lineRule="auto" w:before="43"/>
        <w:ind w:left="716" w:right="749" w:firstLine="568"/>
      </w:pPr>
      <w:r>
        <w:rPr/>
        <w:t>Le premier responsable de la structure chargée des affrètements lance par messagerie électronique (compte spécifique : gct_chartering@gct.com.tn) simultanément l’appel d’offres auprès des armateurs/courtiers figurant sur la dernière liste actualisée et approuvée par la Commission des Affrètements.</w:t>
      </w:r>
    </w:p>
    <w:p>
      <w:pPr>
        <w:pStyle w:val="BodyText"/>
        <w:spacing w:line="276" w:lineRule="auto"/>
        <w:ind w:left="716" w:right="752" w:firstLine="568"/>
      </w:pPr>
      <w:r>
        <w:rPr/>
        <w:t>Le</w:t>
      </w:r>
      <w:r>
        <w:rPr>
          <w:spacing w:val="-20"/>
        </w:rPr>
        <w:t> </w:t>
      </w:r>
      <w:r>
        <w:rPr/>
        <w:t>délai</w:t>
      </w:r>
      <w:r>
        <w:rPr>
          <w:spacing w:val="-19"/>
        </w:rPr>
        <w:t> </w:t>
      </w:r>
      <w:r>
        <w:rPr/>
        <w:t>de</w:t>
      </w:r>
      <w:r>
        <w:rPr>
          <w:spacing w:val="-20"/>
        </w:rPr>
        <w:t> </w:t>
      </w:r>
      <w:r>
        <w:rPr/>
        <w:t>mise</w:t>
      </w:r>
      <w:r>
        <w:rPr>
          <w:spacing w:val="-19"/>
        </w:rPr>
        <w:t> </w:t>
      </w:r>
      <w:r>
        <w:rPr/>
        <w:t>en</w:t>
      </w:r>
      <w:r>
        <w:rPr>
          <w:spacing w:val="-19"/>
        </w:rPr>
        <w:t> </w:t>
      </w:r>
      <w:r>
        <w:rPr/>
        <w:t>concurrence</w:t>
      </w:r>
      <w:r>
        <w:rPr>
          <w:spacing w:val="-19"/>
        </w:rPr>
        <w:t> </w:t>
      </w:r>
      <w:r>
        <w:rPr/>
        <w:t>est</w:t>
      </w:r>
      <w:r>
        <w:rPr>
          <w:spacing w:val="-19"/>
        </w:rPr>
        <w:t> </w:t>
      </w:r>
      <w:r>
        <w:rPr/>
        <w:t>de</w:t>
      </w:r>
      <w:r>
        <w:rPr>
          <w:spacing w:val="-13"/>
        </w:rPr>
        <w:t> </w:t>
      </w:r>
      <w:r>
        <w:rPr/>
        <w:t>(07)</w:t>
      </w:r>
      <w:r>
        <w:rPr>
          <w:spacing w:val="-20"/>
        </w:rPr>
        <w:t> </w:t>
      </w:r>
      <w:r>
        <w:rPr/>
        <w:t>jours</w:t>
      </w:r>
      <w:r>
        <w:rPr>
          <w:spacing w:val="-19"/>
        </w:rPr>
        <w:t> </w:t>
      </w:r>
      <w:r>
        <w:rPr/>
        <w:t>calendaires</w:t>
      </w:r>
      <w:r>
        <w:rPr>
          <w:spacing w:val="-19"/>
        </w:rPr>
        <w:t> </w:t>
      </w:r>
      <w:r>
        <w:rPr/>
        <w:t>au</w:t>
      </w:r>
      <w:r>
        <w:rPr>
          <w:spacing w:val="-18"/>
        </w:rPr>
        <w:t> </w:t>
      </w:r>
      <w:r>
        <w:rPr/>
        <w:t>minimum</w:t>
      </w:r>
      <w:r>
        <w:rPr>
          <w:spacing w:val="-22"/>
        </w:rPr>
        <w:t> </w:t>
      </w:r>
      <w:r>
        <w:rPr/>
        <w:t>avant la date limite de réception des offres et peut être ramené à (04) heures en cas de "SPOT".</w:t>
      </w:r>
    </w:p>
    <w:p>
      <w:pPr>
        <w:pStyle w:val="Heading2"/>
        <w:numPr>
          <w:ilvl w:val="2"/>
          <w:numId w:val="85"/>
        </w:numPr>
        <w:tabs>
          <w:tab w:pos="1307" w:val="left" w:leader="none"/>
        </w:tabs>
        <w:spacing w:line="240" w:lineRule="auto" w:before="125" w:after="0"/>
        <w:ind w:left="1306" w:right="0" w:hanging="874"/>
        <w:jc w:val="both"/>
      </w:pPr>
      <w:bookmarkStart w:name="_TOC_250046" w:id="97"/>
      <w:bookmarkEnd w:id="97"/>
      <w:r>
        <w:rPr/>
        <w:t>Réception des offres</w:t>
      </w:r>
    </w:p>
    <w:p>
      <w:pPr>
        <w:pStyle w:val="BodyText"/>
        <w:spacing w:line="276" w:lineRule="auto" w:before="43"/>
        <w:ind w:right="758"/>
      </w:pPr>
      <w:r>
        <w:rPr/>
        <w:t>Les soumissionnaires des offres peuvent être des armateurs ou des courtiers qui représentent</w:t>
      </w:r>
      <w:r>
        <w:rPr>
          <w:spacing w:val="-15"/>
        </w:rPr>
        <w:t> </w:t>
      </w:r>
      <w:r>
        <w:rPr/>
        <w:t>des</w:t>
      </w:r>
      <w:r>
        <w:rPr>
          <w:spacing w:val="-14"/>
        </w:rPr>
        <w:t> </w:t>
      </w:r>
      <w:r>
        <w:rPr/>
        <w:t>armateurs.</w:t>
      </w:r>
      <w:r>
        <w:rPr>
          <w:spacing w:val="-14"/>
        </w:rPr>
        <w:t> </w:t>
      </w:r>
      <w:r>
        <w:rPr/>
        <w:t>La</w:t>
      </w:r>
      <w:r>
        <w:rPr>
          <w:spacing w:val="-15"/>
        </w:rPr>
        <w:t> </w:t>
      </w:r>
      <w:r>
        <w:rPr/>
        <w:t>soumission</w:t>
      </w:r>
      <w:r>
        <w:rPr>
          <w:spacing w:val="-14"/>
        </w:rPr>
        <w:t> </w:t>
      </w:r>
      <w:r>
        <w:rPr/>
        <w:t>des</w:t>
      </w:r>
      <w:r>
        <w:rPr>
          <w:spacing w:val="-14"/>
        </w:rPr>
        <w:t> </w:t>
      </w:r>
      <w:r>
        <w:rPr/>
        <w:t>offres</w:t>
      </w:r>
      <w:r>
        <w:rPr>
          <w:spacing w:val="-15"/>
        </w:rPr>
        <w:t> </w:t>
      </w:r>
      <w:r>
        <w:rPr/>
        <w:t>est</w:t>
      </w:r>
      <w:r>
        <w:rPr>
          <w:spacing w:val="-12"/>
        </w:rPr>
        <w:t> </w:t>
      </w:r>
      <w:r>
        <w:rPr/>
        <w:t>effectuée</w:t>
      </w:r>
      <w:r>
        <w:rPr>
          <w:spacing w:val="-13"/>
        </w:rPr>
        <w:t> </w:t>
      </w:r>
      <w:r>
        <w:rPr/>
        <w:t>soit</w:t>
      </w:r>
      <w:r>
        <w:rPr>
          <w:spacing w:val="-12"/>
        </w:rPr>
        <w:t> </w:t>
      </w:r>
      <w:r>
        <w:rPr/>
        <w:t>via</w:t>
      </w:r>
      <w:r>
        <w:rPr>
          <w:spacing w:val="-12"/>
        </w:rPr>
        <w:t> </w:t>
      </w:r>
      <w:r>
        <w:rPr/>
        <w:t>TUNEPS</w:t>
      </w:r>
      <w:r>
        <w:rPr>
          <w:spacing w:val="-14"/>
        </w:rPr>
        <w:t> </w:t>
      </w:r>
      <w:r>
        <w:rPr/>
        <w:t>ou par messagerie</w:t>
      </w:r>
      <w:r>
        <w:rPr>
          <w:spacing w:val="-1"/>
        </w:rPr>
        <w:t> </w:t>
      </w:r>
      <w:r>
        <w:rPr/>
        <w:t>électronique.</w:t>
      </w:r>
    </w:p>
    <w:p>
      <w:pPr>
        <w:pStyle w:val="Heading2"/>
        <w:numPr>
          <w:ilvl w:val="0"/>
          <w:numId w:val="49"/>
        </w:numPr>
        <w:tabs>
          <w:tab w:pos="791" w:val="left" w:leader="none"/>
        </w:tabs>
        <w:spacing w:line="240" w:lineRule="auto" w:before="125" w:after="0"/>
        <w:ind w:left="790" w:right="0" w:hanging="358"/>
        <w:jc w:val="both"/>
      </w:pPr>
      <w:r>
        <w:rPr/>
        <w:t>Réception des offres hors TUNEPS</w:t>
      </w:r>
      <w:r>
        <w:rPr>
          <w:spacing w:val="1"/>
        </w:rPr>
        <w:t> </w:t>
      </w:r>
      <w:r>
        <w:rPr/>
        <w:t>:</w:t>
      </w:r>
    </w:p>
    <w:p>
      <w:pPr>
        <w:pStyle w:val="BodyText"/>
        <w:spacing w:line="276" w:lineRule="auto" w:before="43"/>
        <w:ind w:right="760"/>
      </w:pPr>
      <w:r>
        <w:rPr/>
        <w:t>Les offres des soumissionnaires parviennent par mail au compte de messagerie électronique dédié à la réception des offres d'affrètement des navires (gct_offres_affret@gct.com.tn).</w:t>
      </w:r>
    </w:p>
    <w:p>
      <w:pPr>
        <w:spacing w:after="0" w:line="276" w:lineRule="auto"/>
        <w:sectPr>
          <w:pgSz w:w="11910" w:h="16840"/>
          <w:pgMar w:header="722" w:footer="0" w:top="1860" w:bottom="280" w:left="700" w:right="380"/>
        </w:sectPr>
      </w:pPr>
    </w:p>
    <w:p>
      <w:pPr>
        <w:pStyle w:val="BodyText"/>
        <w:spacing w:before="3"/>
        <w:ind w:left="0" w:firstLine="0"/>
        <w:jc w:val="left"/>
        <w:rPr>
          <w:sz w:val="16"/>
        </w:rPr>
      </w:pPr>
    </w:p>
    <w:p>
      <w:pPr>
        <w:pStyle w:val="BodyText"/>
        <w:spacing w:line="276" w:lineRule="auto" w:before="89"/>
        <w:ind w:right="749"/>
      </w:pPr>
      <w:r>
        <w:rPr/>
        <w:t>Ce compte de messagerie est constitué d'un seul login et de trois (03) </w:t>
      </w:r>
      <w:r>
        <w:rPr>
          <w:spacing w:val="2"/>
        </w:rPr>
        <w:t>mots </w:t>
      </w:r>
      <w:r>
        <w:rPr/>
        <w:t>de passe différents. Chaque mot de passe est affecté à un membre de la Commission d'Ouverture</w:t>
      </w:r>
      <w:r>
        <w:rPr>
          <w:spacing w:val="-16"/>
        </w:rPr>
        <w:t> </w:t>
      </w:r>
      <w:r>
        <w:rPr/>
        <w:t>des</w:t>
      </w:r>
      <w:r>
        <w:rPr>
          <w:spacing w:val="-15"/>
        </w:rPr>
        <w:t> </w:t>
      </w:r>
      <w:r>
        <w:rPr/>
        <w:t>Offres</w:t>
      </w:r>
      <w:r>
        <w:rPr>
          <w:spacing w:val="-14"/>
        </w:rPr>
        <w:t> </w:t>
      </w:r>
      <w:r>
        <w:rPr/>
        <w:t>d'Affrètements</w:t>
      </w:r>
      <w:r>
        <w:rPr>
          <w:spacing w:val="-12"/>
        </w:rPr>
        <w:t> </w:t>
      </w:r>
      <w:r>
        <w:rPr/>
        <w:t>des</w:t>
      </w:r>
      <w:r>
        <w:rPr>
          <w:spacing w:val="-16"/>
        </w:rPr>
        <w:t> </w:t>
      </w:r>
      <w:r>
        <w:rPr/>
        <w:t>navires</w:t>
      </w:r>
      <w:r>
        <w:rPr>
          <w:spacing w:val="-13"/>
        </w:rPr>
        <w:t> </w:t>
      </w:r>
      <w:r>
        <w:rPr/>
        <w:t>qui</w:t>
      </w:r>
      <w:r>
        <w:rPr>
          <w:spacing w:val="-15"/>
        </w:rPr>
        <w:t> </w:t>
      </w:r>
      <w:r>
        <w:rPr/>
        <w:t>peut</w:t>
      </w:r>
      <w:r>
        <w:rPr>
          <w:spacing w:val="-16"/>
        </w:rPr>
        <w:t> </w:t>
      </w:r>
      <w:r>
        <w:rPr/>
        <w:t>le</w:t>
      </w:r>
      <w:r>
        <w:rPr>
          <w:spacing w:val="-16"/>
        </w:rPr>
        <w:t> </w:t>
      </w:r>
      <w:r>
        <w:rPr/>
        <w:t>modifier</w:t>
      </w:r>
      <w:r>
        <w:rPr>
          <w:spacing w:val="-15"/>
        </w:rPr>
        <w:t> </w:t>
      </w:r>
      <w:r>
        <w:rPr/>
        <w:t>à</w:t>
      </w:r>
      <w:r>
        <w:rPr>
          <w:spacing w:val="-16"/>
        </w:rPr>
        <w:t> </w:t>
      </w:r>
      <w:r>
        <w:rPr/>
        <w:t>n'importe</w:t>
      </w:r>
      <w:r>
        <w:rPr>
          <w:spacing w:val="-15"/>
        </w:rPr>
        <w:t> </w:t>
      </w:r>
      <w:r>
        <w:rPr/>
        <w:t>quel moment.</w:t>
      </w:r>
    </w:p>
    <w:p>
      <w:pPr>
        <w:pStyle w:val="BodyText"/>
        <w:spacing w:line="276" w:lineRule="auto"/>
        <w:ind w:right="749"/>
      </w:pPr>
      <w:r>
        <w:rPr/>
        <w:t>Pour pouvoir consulter son contenu (les offres des soumissionnaires), le compte mail (gct_offres_affret@gct.com.tn) nécessite obligatoirement la saisie d'au moins deux (02) mots de passe parmi les trois (3) précités.</w:t>
      </w:r>
    </w:p>
    <w:p>
      <w:pPr>
        <w:pStyle w:val="Heading2"/>
        <w:numPr>
          <w:ilvl w:val="0"/>
          <w:numId w:val="49"/>
        </w:numPr>
        <w:tabs>
          <w:tab w:pos="791" w:val="left" w:leader="none"/>
        </w:tabs>
        <w:spacing w:line="240" w:lineRule="auto" w:before="125" w:after="0"/>
        <w:ind w:left="790" w:right="0" w:hanging="358"/>
        <w:jc w:val="both"/>
      </w:pPr>
      <w:r>
        <w:rPr/>
        <w:t>Réception des offres via TUNEPS</w:t>
      </w:r>
      <w:r>
        <w:rPr>
          <w:spacing w:val="-1"/>
        </w:rPr>
        <w:t> </w:t>
      </w:r>
      <w:r>
        <w:rPr/>
        <w:t>:</w:t>
      </w:r>
    </w:p>
    <w:p>
      <w:pPr>
        <w:pStyle w:val="BodyText"/>
        <w:spacing w:line="278" w:lineRule="auto" w:before="43"/>
        <w:ind w:right="751"/>
      </w:pPr>
      <w:r>
        <w:rPr/>
        <w:t>Jusqu’à</w:t>
      </w:r>
      <w:r>
        <w:rPr>
          <w:spacing w:val="-8"/>
        </w:rPr>
        <w:t> </w:t>
      </w:r>
      <w:r>
        <w:rPr/>
        <w:t>la</w:t>
      </w:r>
      <w:r>
        <w:rPr>
          <w:spacing w:val="-8"/>
        </w:rPr>
        <w:t> </w:t>
      </w:r>
      <w:r>
        <w:rPr/>
        <w:t>date</w:t>
      </w:r>
      <w:r>
        <w:rPr>
          <w:spacing w:val="-10"/>
        </w:rPr>
        <w:t> </w:t>
      </w:r>
      <w:r>
        <w:rPr/>
        <w:t>d’ouverture,</w:t>
      </w:r>
      <w:r>
        <w:rPr>
          <w:spacing w:val="-8"/>
        </w:rPr>
        <w:t> </w:t>
      </w:r>
      <w:r>
        <w:rPr/>
        <w:t>le</w:t>
      </w:r>
      <w:r>
        <w:rPr>
          <w:spacing w:val="-8"/>
        </w:rPr>
        <w:t> </w:t>
      </w:r>
      <w:r>
        <w:rPr/>
        <w:t>responsable</w:t>
      </w:r>
      <w:r>
        <w:rPr>
          <w:spacing w:val="-10"/>
        </w:rPr>
        <w:t> </w:t>
      </w:r>
      <w:r>
        <w:rPr/>
        <w:t>d'appels</w:t>
      </w:r>
      <w:r>
        <w:rPr>
          <w:spacing w:val="-7"/>
        </w:rPr>
        <w:t> </w:t>
      </w:r>
      <w:r>
        <w:rPr/>
        <w:t>d'offres</w:t>
      </w:r>
      <w:r>
        <w:rPr>
          <w:spacing w:val="-6"/>
        </w:rPr>
        <w:t> </w:t>
      </w:r>
      <w:r>
        <w:rPr/>
        <w:t>ne</w:t>
      </w:r>
      <w:r>
        <w:rPr>
          <w:spacing w:val="-10"/>
        </w:rPr>
        <w:t> </w:t>
      </w:r>
      <w:r>
        <w:rPr/>
        <w:t>peut</w:t>
      </w:r>
      <w:r>
        <w:rPr>
          <w:spacing w:val="-7"/>
        </w:rPr>
        <w:t> </w:t>
      </w:r>
      <w:r>
        <w:rPr/>
        <w:t>consulter</w:t>
      </w:r>
      <w:r>
        <w:rPr>
          <w:spacing w:val="-10"/>
        </w:rPr>
        <w:t> </w:t>
      </w:r>
      <w:r>
        <w:rPr/>
        <w:t>que le nombre des soumissionnaires ayant des offres parvenues sur</w:t>
      </w:r>
      <w:r>
        <w:rPr>
          <w:spacing w:val="-12"/>
        </w:rPr>
        <w:t> </w:t>
      </w:r>
      <w:r>
        <w:rPr/>
        <w:t>TUNEPS.</w:t>
      </w:r>
    </w:p>
    <w:p>
      <w:pPr>
        <w:pStyle w:val="Heading2"/>
        <w:numPr>
          <w:ilvl w:val="2"/>
          <w:numId w:val="85"/>
        </w:numPr>
        <w:tabs>
          <w:tab w:pos="1307" w:val="left" w:leader="none"/>
        </w:tabs>
        <w:spacing w:line="240" w:lineRule="auto" w:before="120" w:after="0"/>
        <w:ind w:left="1306" w:right="0" w:hanging="874"/>
        <w:jc w:val="both"/>
      </w:pPr>
      <w:bookmarkStart w:name="_TOC_250045" w:id="98"/>
      <w:bookmarkEnd w:id="98"/>
      <w:r>
        <w:rPr/>
        <w:t>Ouverture des offres</w:t>
      </w:r>
    </w:p>
    <w:p>
      <w:pPr>
        <w:pStyle w:val="BodyText"/>
        <w:spacing w:line="276" w:lineRule="auto" w:before="43"/>
        <w:ind w:right="756"/>
      </w:pPr>
      <w:r>
        <w:rPr/>
        <w:t>La</w:t>
      </w:r>
      <w:r>
        <w:rPr>
          <w:spacing w:val="-15"/>
        </w:rPr>
        <w:t> </w:t>
      </w:r>
      <w:r>
        <w:rPr/>
        <w:t>séance</w:t>
      </w:r>
      <w:r>
        <w:rPr>
          <w:spacing w:val="-15"/>
        </w:rPr>
        <w:t> </w:t>
      </w:r>
      <w:r>
        <w:rPr/>
        <w:t>d’ouverture</w:t>
      </w:r>
      <w:r>
        <w:rPr>
          <w:spacing w:val="-15"/>
        </w:rPr>
        <w:t> </w:t>
      </w:r>
      <w:r>
        <w:rPr/>
        <w:t>des</w:t>
      </w:r>
      <w:r>
        <w:rPr>
          <w:spacing w:val="-14"/>
        </w:rPr>
        <w:t> </w:t>
      </w:r>
      <w:r>
        <w:rPr/>
        <w:t>offres</w:t>
      </w:r>
      <w:r>
        <w:rPr>
          <w:spacing w:val="-14"/>
        </w:rPr>
        <w:t> </w:t>
      </w:r>
      <w:r>
        <w:rPr/>
        <w:t>est</w:t>
      </w:r>
      <w:r>
        <w:rPr>
          <w:spacing w:val="-14"/>
        </w:rPr>
        <w:t> </w:t>
      </w:r>
      <w:r>
        <w:rPr/>
        <w:t>tenue</w:t>
      </w:r>
      <w:r>
        <w:rPr>
          <w:spacing w:val="-15"/>
        </w:rPr>
        <w:t> </w:t>
      </w:r>
      <w:r>
        <w:rPr/>
        <w:t>obligatoirement</w:t>
      </w:r>
      <w:r>
        <w:rPr>
          <w:spacing w:val="-14"/>
        </w:rPr>
        <w:t> </w:t>
      </w:r>
      <w:r>
        <w:rPr/>
        <w:t>le</w:t>
      </w:r>
      <w:r>
        <w:rPr>
          <w:spacing w:val="-14"/>
        </w:rPr>
        <w:t> </w:t>
      </w:r>
      <w:r>
        <w:rPr/>
        <w:t>jour</w:t>
      </w:r>
      <w:r>
        <w:rPr>
          <w:spacing w:val="-15"/>
        </w:rPr>
        <w:t> </w:t>
      </w:r>
      <w:r>
        <w:rPr/>
        <w:t>de</w:t>
      </w:r>
      <w:r>
        <w:rPr>
          <w:spacing w:val="-15"/>
        </w:rPr>
        <w:t> </w:t>
      </w:r>
      <w:r>
        <w:rPr/>
        <w:t>la</w:t>
      </w:r>
      <w:r>
        <w:rPr>
          <w:spacing w:val="-15"/>
        </w:rPr>
        <w:t> </w:t>
      </w:r>
      <w:r>
        <w:rPr/>
        <w:t>date</w:t>
      </w:r>
      <w:r>
        <w:rPr>
          <w:spacing w:val="-15"/>
        </w:rPr>
        <w:t> </w:t>
      </w:r>
      <w:r>
        <w:rPr/>
        <w:t>limite de réception des</w:t>
      </w:r>
      <w:r>
        <w:rPr>
          <w:spacing w:val="1"/>
        </w:rPr>
        <w:t> </w:t>
      </w:r>
      <w:r>
        <w:rPr/>
        <w:t>offres.</w:t>
      </w:r>
    </w:p>
    <w:p>
      <w:pPr>
        <w:pStyle w:val="BodyText"/>
        <w:spacing w:line="276" w:lineRule="auto" w:before="1"/>
        <w:ind w:right="753"/>
      </w:pPr>
      <w:r>
        <w:rPr/>
        <w:t>A la date et heure convenus pour l’ouverture des offres, les membres de la commission</w:t>
      </w:r>
      <w:r>
        <w:rPr>
          <w:spacing w:val="-14"/>
        </w:rPr>
        <w:t> </w:t>
      </w:r>
      <w:r>
        <w:rPr/>
        <w:t>d’ouverture</w:t>
      </w:r>
      <w:r>
        <w:rPr>
          <w:spacing w:val="-13"/>
        </w:rPr>
        <w:t> </w:t>
      </w:r>
      <w:r>
        <w:rPr/>
        <w:t>des</w:t>
      </w:r>
      <w:r>
        <w:rPr>
          <w:spacing w:val="-14"/>
        </w:rPr>
        <w:t> </w:t>
      </w:r>
      <w:r>
        <w:rPr/>
        <w:t>offres</w:t>
      </w:r>
      <w:r>
        <w:rPr>
          <w:spacing w:val="-13"/>
        </w:rPr>
        <w:t> </w:t>
      </w:r>
      <w:r>
        <w:rPr/>
        <w:t>se</w:t>
      </w:r>
      <w:r>
        <w:rPr>
          <w:spacing w:val="-13"/>
        </w:rPr>
        <w:t> </w:t>
      </w:r>
      <w:r>
        <w:rPr/>
        <w:t>présentent</w:t>
      </w:r>
      <w:r>
        <w:rPr>
          <w:spacing w:val="-14"/>
        </w:rPr>
        <w:t> </w:t>
      </w:r>
      <w:r>
        <w:rPr/>
        <w:t>pour</w:t>
      </w:r>
      <w:r>
        <w:rPr>
          <w:spacing w:val="-13"/>
        </w:rPr>
        <w:t> </w:t>
      </w:r>
      <w:r>
        <w:rPr/>
        <w:t>effectuer</w:t>
      </w:r>
      <w:r>
        <w:rPr>
          <w:spacing w:val="-14"/>
        </w:rPr>
        <w:t> </w:t>
      </w:r>
      <w:r>
        <w:rPr/>
        <w:t>l'ouverture</w:t>
      </w:r>
      <w:r>
        <w:rPr>
          <w:spacing w:val="-11"/>
        </w:rPr>
        <w:t> </w:t>
      </w:r>
      <w:r>
        <w:rPr/>
        <w:t>en</w:t>
      </w:r>
      <w:r>
        <w:rPr>
          <w:spacing w:val="-13"/>
        </w:rPr>
        <w:t> </w:t>
      </w:r>
      <w:r>
        <w:rPr/>
        <w:t>présence d'un représentant du SPCM (voir annexe</w:t>
      </w:r>
      <w:r>
        <w:rPr>
          <w:spacing w:val="-4"/>
        </w:rPr>
        <w:t> </w:t>
      </w:r>
      <w:r>
        <w:rPr/>
        <w:t>n°4).</w:t>
      </w:r>
    </w:p>
    <w:p>
      <w:pPr>
        <w:pStyle w:val="BodyText"/>
        <w:spacing w:line="276" w:lineRule="auto"/>
        <w:ind w:right="757"/>
      </w:pPr>
      <w:r>
        <w:rPr/>
        <w:t>Deux ouvertures des offres sont effectuées : les offres parvenues sur TUNEPS et les offres reçues sur la messagerie électronique.</w:t>
      </w:r>
    </w:p>
    <w:p>
      <w:pPr>
        <w:pStyle w:val="BodyText"/>
        <w:spacing w:line="276" w:lineRule="auto"/>
        <w:ind w:right="750"/>
      </w:pPr>
      <w:r>
        <w:rPr/>
        <w:t>Les offres parvenant par mail doivent être insérées sur TUNEPS pour pouvoir poursuivre la procédure de passation sur TUNEPS.</w:t>
      </w:r>
    </w:p>
    <w:p>
      <w:pPr>
        <w:pStyle w:val="BodyText"/>
        <w:spacing w:line="276" w:lineRule="auto"/>
        <w:ind w:right="759"/>
      </w:pPr>
      <w:r>
        <w:rPr/>
        <w:t>L'opération d'ouverture des offres s'effectue en présence d'au moins deux membres de la commission. Les membres procèdent à la consultation du compte de messagerie (gct_offres_affret@gct.com.tn) par la saisie du login et d'au moins deux</w:t>
      </w:r>
    </w:p>
    <w:p>
      <w:pPr>
        <w:pStyle w:val="BodyText"/>
        <w:spacing w:line="276" w:lineRule="auto" w:before="1"/>
        <w:ind w:right="757" w:firstLine="0"/>
      </w:pPr>
      <w:r>
        <w:rPr/>
        <w:t>(02)</w:t>
      </w:r>
      <w:r>
        <w:rPr>
          <w:spacing w:val="-11"/>
        </w:rPr>
        <w:t> </w:t>
      </w:r>
      <w:r>
        <w:rPr/>
        <w:t>mots</w:t>
      </w:r>
      <w:r>
        <w:rPr>
          <w:spacing w:val="-9"/>
        </w:rPr>
        <w:t> </w:t>
      </w:r>
      <w:r>
        <w:rPr/>
        <w:t>de</w:t>
      </w:r>
      <w:r>
        <w:rPr>
          <w:spacing w:val="-10"/>
        </w:rPr>
        <w:t> </w:t>
      </w:r>
      <w:r>
        <w:rPr/>
        <w:t>passe</w:t>
      </w:r>
      <w:r>
        <w:rPr>
          <w:spacing w:val="-11"/>
        </w:rPr>
        <w:t> </w:t>
      </w:r>
      <w:r>
        <w:rPr/>
        <w:t>différents</w:t>
      </w:r>
      <w:r>
        <w:rPr>
          <w:spacing w:val="-9"/>
        </w:rPr>
        <w:t> </w:t>
      </w:r>
      <w:r>
        <w:rPr/>
        <w:t>relatifs</w:t>
      </w:r>
      <w:r>
        <w:rPr>
          <w:spacing w:val="-9"/>
        </w:rPr>
        <w:t> </w:t>
      </w:r>
      <w:r>
        <w:rPr/>
        <w:t>à</w:t>
      </w:r>
      <w:r>
        <w:rPr>
          <w:spacing w:val="-11"/>
        </w:rPr>
        <w:t> </w:t>
      </w:r>
      <w:r>
        <w:rPr/>
        <w:t>des</w:t>
      </w:r>
      <w:r>
        <w:rPr>
          <w:spacing w:val="-11"/>
        </w:rPr>
        <w:t> </w:t>
      </w:r>
      <w:r>
        <w:rPr/>
        <w:t>membres</w:t>
      </w:r>
      <w:r>
        <w:rPr>
          <w:spacing w:val="-9"/>
        </w:rPr>
        <w:t> </w:t>
      </w:r>
      <w:r>
        <w:rPr/>
        <w:t>de</w:t>
      </w:r>
      <w:r>
        <w:rPr>
          <w:spacing w:val="-11"/>
        </w:rPr>
        <w:t> </w:t>
      </w:r>
      <w:r>
        <w:rPr/>
        <w:t>la</w:t>
      </w:r>
      <w:r>
        <w:rPr>
          <w:spacing w:val="-10"/>
        </w:rPr>
        <w:t> </w:t>
      </w:r>
      <w:r>
        <w:rPr/>
        <w:t>Commission</w:t>
      </w:r>
      <w:r>
        <w:rPr>
          <w:spacing w:val="-9"/>
        </w:rPr>
        <w:t> </w:t>
      </w:r>
      <w:r>
        <w:rPr/>
        <w:t>d’ouverture</w:t>
      </w:r>
      <w:r>
        <w:rPr>
          <w:spacing w:val="-11"/>
        </w:rPr>
        <w:t> </w:t>
      </w:r>
      <w:r>
        <w:rPr/>
        <w:t>des offres d'Affrètements.</w:t>
      </w:r>
    </w:p>
    <w:p>
      <w:pPr>
        <w:pStyle w:val="BodyText"/>
        <w:spacing w:line="276" w:lineRule="auto"/>
        <w:ind w:right="757"/>
      </w:pPr>
      <w:r>
        <w:rPr/>
        <w:t>L’ouverture</w:t>
      </w:r>
      <w:r>
        <w:rPr>
          <w:spacing w:val="-6"/>
        </w:rPr>
        <w:t> </w:t>
      </w:r>
      <w:r>
        <w:rPr/>
        <w:t>des</w:t>
      </w:r>
      <w:r>
        <w:rPr>
          <w:spacing w:val="-7"/>
        </w:rPr>
        <w:t> </w:t>
      </w:r>
      <w:r>
        <w:rPr/>
        <w:t>offres</w:t>
      </w:r>
      <w:r>
        <w:rPr>
          <w:spacing w:val="-6"/>
        </w:rPr>
        <w:t> </w:t>
      </w:r>
      <w:r>
        <w:rPr/>
        <w:t>via</w:t>
      </w:r>
      <w:r>
        <w:rPr>
          <w:spacing w:val="-6"/>
        </w:rPr>
        <w:t> </w:t>
      </w:r>
      <w:r>
        <w:rPr/>
        <w:t>TUNEPS</w:t>
      </w:r>
      <w:r>
        <w:rPr>
          <w:spacing w:val="-7"/>
        </w:rPr>
        <w:t> </w:t>
      </w:r>
      <w:r>
        <w:rPr/>
        <w:t>nécessite</w:t>
      </w:r>
      <w:r>
        <w:rPr>
          <w:spacing w:val="-8"/>
        </w:rPr>
        <w:t> </w:t>
      </w:r>
      <w:r>
        <w:rPr/>
        <w:t>la</w:t>
      </w:r>
      <w:r>
        <w:rPr>
          <w:spacing w:val="-9"/>
        </w:rPr>
        <w:t> </w:t>
      </w:r>
      <w:r>
        <w:rPr/>
        <w:t>présence</w:t>
      </w:r>
      <w:r>
        <w:rPr>
          <w:spacing w:val="-6"/>
        </w:rPr>
        <w:t> </w:t>
      </w:r>
      <w:r>
        <w:rPr/>
        <w:t>du</w:t>
      </w:r>
      <w:r>
        <w:rPr>
          <w:spacing w:val="-6"/>
        </w:rPr>
        <w:t> </w:t>
      </w:r>
      <w:r>
        <w:rPr/>
        <w:t>responsable</w:t>
      </w:r>
      <w:r>
        <w:rPr>
          <w:spacing w:val="-8"/>
        </w:rPr>
        <w:t> </w:t>
      </w:r>
      <w:r>
        <w:rPr/>
        <w:t>d’appel d’offres pour pouvoir décrypter les</w:t>
      </w:r>
      <w:r>
        <w:rPr>
          <w:spacing w:val="-5"/>
        </w:rPr>
        <w:t> </w:t>
      </w:r>
      <w:r>
        <w:rPr/>
        <w:t>offres.</w:t>
      </w:r>
    </w:p>
    <w:p>
      <w:pPr>
        <w:pStyle w:val="BodyText"/>
        <w:spacing w:line="276" w:lineRule="auto"/>
        <w:ind w:right="757"/>
      </w:pPr>
      <w:r>
        <w:rPr/>
        <w:t>Les</w:t>
      </w:r>
      <w:r>
        <w:rPr>
          <w:spacing w:val="-13"/>
        </w:rPr>
        <w:t> </w:t>
      </w:r>
      <w:r>
        <w:rPr/>
        <w:t>armateurs/Courtiers</w:t>
      </w:r>
      <w:r>
        <w:rPr>
          <w:spacing w:val="-16"/>
        </w:rPr>
        <w:t> </w:t>
      </w:r>
      <w:r>
        <w:rPr/>
        <w:t>non</w:t>
      </w:r>
      <w:r>
        <w:rPr>
          <w:spacing w:val="-16"/>
        </w:rPr>
        <w:t> </w:t>
      </w:r>
      <w:r>
        <w:rPr/>
        <w:t>enregistrés</w:t>
      </w:r>
      <w:r>
        <w:rPr>
          <w:spacing w:val="-15"/>
        </w:rPr>
        <w:t> </w:t>
      </w:r>
      <w:r>
        <w:rPr/>
        <w:t>sur</w:t>
      </w:r>
      <w:r>
        <w:rPr>
          <w:spacing w:val="-14"/>
        </w:rPr>
        <w:t> </w:t>
      </w:r>
      <w:r>
        <w:rPr/>
        <w:t>TUNEPS</w:t>
      </w:r>
      <w:r>
        <w:rPr>
          <w:spacing w:val="-15"/>
        </w:rPr>
        <w:t> </w:t>
      </w:r>
      <w:r>
        <w:rPr/>
        <w:t>devraient</w:t>
      </w:r>
      <w:r>
        <w:rPr>
          <w:spacing w:val="-15"/>
        </w:rPr>
        <w:t> </w:t>
      </w:r>
      <w:r>
        <w:rPr/>
        <w:t>être</w:t>
      </w:r>
      <w:r>
        <w:rPr>
          <w:spacing w:val="-17"/>
        </w:rPr>
        <w:t> </w:t>
      </w:r>
      <w:r>
        <w:rPr/>
        <w:t>enregistrés</w:t>
      </w:r>
      <w:r>
        <w:rPr>
          <w:spacing w:val="-14"/>
        </w:rPr>
        <w:t> </w:t>
      </w:r>
      <w:r>
        <w:rPr/>
        <w:t>et saisis sur TUNEPS avant le décryptage des offres parvenues via</w:t>
      </w:r>
      <w:r>
        <w:rPr>
          <w:spacing w:val="-20"/>
        </w:rPr>
        <w:t> </w:t>
      </w:r>
      <w:r>
        <w:rPr/>
        <w:t>TUNEPS.</w:t>
      </w:r>
    </w:p>
    <w:p>
      <w:pPr>
        <w:pStyle w:val="BodyText"/>
        <w:spacing w:line="276" w:lineRule="auto"/>
        <w:ind w:right="749"/>
      </w:pPr>
      <w:r>
        <w:rPr/>
        <w:t>La séance d’ouverture des offres est publique. Chaque soumissionnaire peut désigner un représentant pour assister à l'ouverture des offres. Ce dernier doit être autorisé après vérification de son identité et de la procuration qui lui a été délivrée par le soumissionnaire concerné.</w:t>
      </w:r>
    </w:p>
    <w:p>
      <w:pPr>
        <w:pStyle w:val="BodyText"/>
        <w:spacing w:line="278" w:lineRule="auto"/>
        <w:ind w:right="757"/>
      </w:pPr>
      <w:r>
        <w:rPr/>
        <w:t>Le</w:t>
      </w:r>
      <w:r>
        <w:rPr>
          <w:spacing w:val="-12"/>
        </w:rPr>
        <w:t> </w:t>
      </w:r>
      <w:r>
        <w:rPr/>
        <w:t>PV</w:t>
      </w:r>
      <w:r>
        <w:rPr>
          <w:spacing w:val="-14"/>
        </w:rPr>
        <w:t> </w:t>
      </w:r>
      <w:r>
        <w:rPr/>
        <w:t>d’ouverture</w:t>
      </w:r>
      <w:r>
        <w:rPr>
          <w:spacing w:val="-12"/>
        </w:rPr>
        <w:t> </w:t>
      </w:r>
      <w:r>
        <w:rPr/>
        <w:t>des</w:t>
      </w:r>
      <w:r>
        <w:rPr>
          <w:spacing w:val="-12"/>
        </w:rPr>
        <w:t> </w:t>
      </w:r>
      <w:r>
        <w:rPr/>
        <w:t>offres</w:t>
      </w:r>
      <w:r>
        <w:rPr>
          <w:spacing w:val="-11"/>
        </w:rPr>
        <w:t> </w:t>
      </w:r>
      <w:r>
        <w:rPr/>
        <w:t>est</w:t>
      </w:r>
      <w:r>
        <w:rPr>
          <w:spacing w:val="-12"/>
        </w:rPr>
        <w:t> </w:t>
      </w:r>
      <w:r>
        <w:rPr/>
        <w:t>généré</w:t>
      </w:r>
      <w:r>
        <w:rPr>
          <w:spacing w:val="-12"/>
        </w:rPr>
        <w:t> </w:t>
      </w:r>
      <w:r>
        <w:rPr/>
        <w:t>par</w:t>
      </w:r>
      <w:r>
        <w:rPr>
          <w:spacing w:val="-15"/>
        </w:rPr>
        <w:t> </w:t>
      </w:r>
      <w:r>
        <w:rPr/>
        <w:t>TUNEPS.</w:t>
      </w:r>
      <w:r>
        <w:rPr>
          <w:spacing w:val="-11"/>
        </w:rPr>
        <w:t> </w:t>
      </w:r>
      <w:r>
        <w:rPr/>
        <w:t>Il</w:t>
      </w:r>
      <w:r>
        <w:rPr>
          <w:spacing w:val="-12"/>
        </w:rPr>
        <w:t> </w:t>
      </w:r>
      <w:r>
        <w:rPr/>
        <w:t>suffit</w:t>
      </w:r>
      <w:r>
        <w:rPr>
          <w:spacing w:val="-14"/>
        </w:rPr>
        <w:t> </w:t>
      </w:r>
      <w:r>
        <w:rPr/>
        <w:t>de</w:t>
      </w:r>
      <w:r>
        <w:rPr>
          <w:spacing w:val="-14"/>
        </w:rPr>
        <w:t> </w:t>
      </w:r>
      <w:r>
        <w:rPr/>
        <w:t>l’imprimer</w:t>
      </w:r>
      <w:r>
        <w:rPr>
          <w:spacing w:val="-12"/>
        </w:rPr>
        <w:t> </w:t>
      </w:r>
      <w:r>
        <w:rPr/>
        <w:t>pour le faire signer par les membres de la commission d’ouverture</w:t>
      </w:r>
      <w:r>
        <w:rPr>
          <w:spacing w:val="-12"/>
        </w:rPr>
        <w:t> </w:t>
      </w:r>
      <w:r>
        <w:rPr/>
        <w:t>appropriée.</w:t>
      </w:r>
    </w:p>
    <w:p>
      <w:pPr>
        <w:spacing w:after="0" w:line="278" w:lineRule="auto"/>
        <w:sectPr>
          <w:pgSz w:w="11910" w:h="16840"/>
          <w:pgMar w:header="722" w:footer="0" w:top="1860" w:bottom="280" w:left="700" w:right="380"/>
        </w:sectPr>
      </w:pPr>
    </w:p>
    <w:p>
      <w:pPr>
        <w:pStyle w:val="BodyText"/>
        <w:spacing w:before="3"/>
        <w:ind w:left="0" w:firstLine="0"/>
        <w:jc w:val="left"/>
        <w:rPr>
          <w:sz w:val="16"/>
        </w:rPr>
      </w:pPr>
    </w:p>
    <w:p>
      <w:pPr>
        <w:pStyle w:val="BodyText"/>
        <w:spacing w:line="276" w:lineRule="auto" w:before="89"/>
        <w:ind w:right="749"/>
      </w:pPr>
      <w:r>
        <w:rPr/>
        <w:t>Ce PV ainsi que les offres parvenues par mail seront transférés par la suite, à la commission d'évaluation des offres d’affrètement des navires (voir annexe n°6) par le biais du SPCM.</w:t>
      </w:r>
    </w:p>
    <w:p>
      <w:pPr>
        <w:pStyle w:val="Heading2"/>
        <w:numPr>
          <w:ilvl w:val="2"/>
          <w:numId w:val="85"/>
        </w:numPr>
        <w:tabs>
          <w:tab w:pos="1307" w:val="left" w:leader="none"/>
        </w:tabs>
        <w:spacing w:line="240" w:lineRule="auto" w:before="125" w:after="0"/>
        <w:ind w:left="1306" w:right="0" w:hanging="874"/>
        <w:jc w:val="both"/>
      </w:pPr>
      <w:bookmarkStart w:name="_TOC_250044" w:id="99"/>
      <w:bookmarkEnd w:id="99"/>
      <w:r>
        <w:rPr/>
        <w:t>Évaluation des offres</w:t>
      </w:r>
    </w:p>
    <w:p>
      <w:pPr>
        <w:pStyle w:val="BodyText"/>
        <w:spacing w:line="276" w:lineRule="auto" w:before="43"/>
        <w:ind w:right="747"/>
      </w:pPr>
      <w:r>
        <w:rPr/>
        <w:t>Les offres ouvertes doivent faire l’objet d’une évaluation conformément à la méthodologie et aux critères spécifiés dans les termes de l’appel d’offre « Tender » lancée.</w:t>
      </w:r>
    </w:p>
    <w:p>
      <w:pPr>
        <w:pStyle w:val="BodyText"/>
        <w:spacing w:line="276" w:lineRule="auto" w:before="1"/>
        <w:ind w:right="756"/>
      </w:pPr>
      <w:r>
        <w:rPr/>
        <w:t>L’évaluation des offres se fait par la commission d'évaluation des offres d'affrètement</w:t>
      </w:r>
      <w:r>
        <w:rPr>
          <w:spacing w:val="-11"/>
        </w:rPr>
        <w:t> </w:t>
      </w:r>
      <w:r>
        <w:rPr/>
        <w:t>(voir</w:t>
      </w:r>
      <w:r>
        <w:rPr>
          <w:spacing w:val="-12"/>
        </w:rPr>
        <w:t> </w:t>
      </w:r>
      <w:r>
        <w:rPr/>
        <w:t>annexe</w:t>
      </w:r>
      <w:r>
        <w:rPr>
          <w:spacing w:val="-12"/>
        </w:rPr>
        <w:t> </w:t>
      </w:r>
      <w:r>
        <w:rPr/>
        <w:t>n°6)</w:t>
      </w:r>
      <w:r>
        <w:rPr>
          <w:spacing w:val="-11"/>
        </w:rPr>
        <w:t> </w:t>
      </w:r>
      <w:r>
        <w:rPr/>
        <w:t>et</w:t>
      </w:r>
      <w:r>
        <w:rPr>
          <w:spacing w:val="-12"/>
        </w:rPr>
        <w:t> </w:t>
      </w:r>
      <w:r>
        <w:rPr/>
        <w:t>un</w:t>
      </w:r>
      <w:r>
        <w:rPr>
          <w:spacing w:val="-13"/>
        </w:rPr>
        <w:t> </w:t>
      </w:r>
      <w:r>
        <w:rPr/>
        <w:t>rapport</w:t>
      </w:r>
      <w:r>
        <w:rPr>
          <w:spacing w:val="-12"/>
        </w:rPr>
        <w:t> </w:t>
      </w:r>
      <w:r>
        <w:rPr/>
        <w:t>d'évaluation</w:t>
      </w:r>
      <w:r>
        <w:rPr>
          <w:spacing w:val="-12"/>
        </w:rPr>
        <w:t> </w:t>
      </w:r>
      <w:r>
        <w:rPr/>
        <w:t>sera</w:t>
      </w:r>
      <w:r>
        <w:rPr>
          <w:spacing w:val="-12"/>
        </w:rPr>
        <w:t> </w:t>
      </w:r>
      <w:r>
        <w:rPr/>
        <w:t>élaboré</w:t>
      </w:r>
      <w:r>
        <w:rPr>
          <w:spacing w:val="-12"/>
        </w:rPr>
        <w:t> </w:t>
      </w:r>
      <w:r>
        <w:rPr/>
        <w:t>et</w:t>
      </w:r>
      <w:r>
        <w:rPr>
          <w:spacing w:val="-12"/>
        </w:rPr>
        <w:t> </w:t>
      </w:r>
      <w:r>
        <w:rPr/>
        <w:t>signé</w:t>
      </w:r>
      <w:r>
        <w:rPr>
          <w:spacing w:val="-13"/>
        </w:rPr>
        <w:t> </w:t>
      </w:r>
      <w:r>
        <w:rPr/>
        <w:t>par</w:t>
      </w:r>
      <w:r>
        <w:rPr>
          <w:spacing w:val="-12"/>
        </w:rPr>
        <w:t> </w:t>
      </w:r>
      <w:r>
        <w:rPr/>
        <w:t>tous ses membres.</w:t>
      </w:r>
    </w:p>
    <w:p>
      <w:pPr>
        <w:pStyle w:val="BodyText"/>
        <w:ind w:left="999" w:firstLine="0"/>
      </w:pPr>
      <w:r>
        <w:rPr/>
        <w:t>Le rapport d’évaluation comporte un classement des offres conformes.</w:t>
      </w:r>
    </w:p>
    <w:p>
      <w:pPr>
        <w:pStyle w:val="BodyText"/>
        <w:spacing w:line="276" w:lineRule="auto" w:before="48"/>
        <w:ind w:right="760"/>
      </w:pPr>
      <w:r>
        <w:rPr/>
        <w:t>Ensuite, le Président de la commission d'évaluation enregistre les résultats sur TUNEPS et ajoute le rapport d’évaluation en pièce jointe.</w:t>
      </w:r>
    </w:p>
    <w:p>
      <w:pPr>
        <w:pStyle w:val="BodyText"/>
        <w:spacing w:line="276" w:lineRule="auto" w:before="1"/>
        <w:ind w:right="751"/>
      </w:pPr>
      <w:r>
        <w:rPr/>
        <w:t>Une fois enregistré sur TUNEPS, le résultat d’évaluation sera automatiquement notifié au responsable d’appel d’offres pour vérification. Le responsable d’appel d’offres demande des informations complémentaires de la commission d’évaluation</w:t>
      </w:r>
      <w:r>
        <w:rPr>
          <w:spacing w:val="-47"/>
        </w:rPr>
        <w:t> </w:t>
      </w:r>
      <w:r>
        <w:rPr/>
        <w:t>si c'est nécessaire.</w:t>
      </w:r>
    </w:p>
    <w:p>
      <w:pPr>
        <w:pStyle w:val="BodyText"/>
        <w:spacing w:line="276" w:lineRule="auto"/>
        <w:ind w:right="762"/>
      </w:pPr>
      <w:r>
        <w:rPr/>
        <w:t>Le responsable d’appel d’offres se charge de soumettre le dossier d’affrètement et le rapport d’évaluation à la commission des affrètements, pour examen et décision.</w:t>
      </w:r>
    </w:p>
    <w:p>
      <w:pPr>
        <w:pStyle w:val="Heading2"/>
        <w:numPr>
          <w:ilvl w:val="2"/>
          <w:numId w:val="85"/>
        </w:numPr>
        <w:tabs>
          <w:tab w:pos="1307" w:val="left" w:leader="none"/>
        </w:tabs>
        <w:spacing w:line="240" w:lineRule="auto" w:before="124" w:after="0"/>
        <w:ind w:left="1306" w:right="0" w:hanging="874"/>
        <w:jc w:val="both"/>
      </w:pPr>
      <w:bookmarkStart w:name="_TOC_250043" w:id="100"/>
      <w:r>
        <w:rPr/>
        <w:t>Avis de la Commission des</w:t>
      </w:r>
      <w:r>
        <w:rPr>
          <w:spacing w:val="-3"/>
        </w:rPr>
        <w:t> </w:t>
      </w:r>
      <w:bookmarkEnd w:id="100"/>
      <w:r>
        <w:rPr/>
        <w:t>affrètements</w:t>
      </w:r>
    </w:p>
    <w:p>
      <w:pPr>
        <w:pStyle w:val="BodyText"/>
        <w:spacing w:line="276" w:lineRule="auto" w:before="45"/>
        <w:ind w:right="749"/>
      </w:pPr>
      <w:r>
        <w:rPr/>
        <w:t>Le Président de la commission des affrètements consulte le dossier d’affrètement préparé par la structure chargée des affrètements et le dossier de passation via TUNEPS. Il envoie des copies aux membres de la commission des affrètements ainsi qu’au SPCM avant la date de la réunion.</w:t>
      </w:r>
    </w:p>
    <w:p>
      <w:pPr>
        <w:pStyle w:val="BodyText"/>
        <w:spacing w:line="276" w:lineRule="auto"/>
        <w:ind w:right="749"/>
      </w:pPr>
      <w:r>
        <w:rPr/>
        <w:t>Suite à la tenue de la réunion d'examen, le Président de la commission des affrètements enregistre l’avis de la commission et joint l'avis signé par les membres présents.</w:t>
      </w:r>
    </w:p>
    <w:p>
      <w:pPr>
        <w:pStyle w:val="Heading2"/>
        <w:numPr>
          <w:ilvl w:val="2"/>
          <w:numId w:val="85"/>
        </w:numPr>
        <w:tabs>
          <w:tab w:pos="1307" w:val="left" w:leader="none"/>
        </w:tabs>
        <w:spacing w:line="240" w:lineRule="auto" w:before="125" w:after="0"/>
        <w:ind w:left="1306" w:right="0" w:hanging="874"/>
        <w:jc w:val="both"/>
      </w:pPr>
      <w:bookmarkStart w:name="_TOC_250042" w:id="101"/>
      <w:r>
        <w:rPr/>
        <w:t>Confirmation de</w:t>
      </w:r>
      <w:r>
        <w:rPr>
          <w:spacing w:val="-1"/>
        </w:rPr>
        <w:t> </w:t>
      </w:r>
      <w:bookmarkEnd w:id="101"/>
      <w:r>
        <w:rPr/>
        <w:t>l’affrètement</w:t>
      </w:r>
    </w:p>
    <w:p>
      <w:pPr>
        <w:pStyle w:val="BodyText"/>
        <w:spacing w:line="276" w:lineRule="auto" w:before="43"/>
        <w:ind w:right="750"/>
      </w:pPr>
      <w:r>
        <w:rPr/>
        <w:t>Le</w:t>
      </w:r>
      <w:r>
        <w:rPr>
          <w:spacing w:val="-12"/>
        </w:rPr>
        <w:t> </w:t>
      </w:r>
      <w:r>
        <w:rPr/>
        <w:t>responsable</w:t>
      </w:r>
      <w:r>
        <w:rPr>
          <w:spacing w:val="-13"/>
        </w:rPr>
        <w:t> </w:t>
      </w:r>
      <w:r>
        <w:rPr/>
        <w:t>d’appel</w:t>
      </w:r>
      <w:r>
        <w:rPr>
          <w:spacing w:val="-10"/>
        </w:rPr>
        <w:t> </w:t>
      </w:r>
      <w:r>
        <w:rPr/>
        <w:t>d’offres</w:t>
      </w:r>
      <w:r>
        <w:rPr>
          <w:spacing w:val="-12"/>
        </w:rPr>
        <w:t> </w:t>
      </w:r>
      <w:r>
        <w:rPr/>
        <w:t>consulte</w:t>
      </w:r>
      <w:r>
        <w:rPr>
          <w:spacing w:val="-11"/>
        </w:rPr>
        <w:t> </w:t>
      </w:r>
      <w:r>
        <w:rPr/>
        <w:t>l'avis</w:t>
      </w:r>
      <w:r>
        <w:rPr>
          <w:spacing w:val="-13"/>
        </w:rPr>
        <w:t> </w:t>
      </w:r>
      <w:r>
        <w:rPr/>
        <w:t>de</w:t>
      </w:r>
      <w:r>
        <w:rPr>
          <w:spacing w:val="-11"/>
        </w:rPr>
        <w:t> </w:t>
      </w:r>
      <w:r>
        <w:rPr/>
        <w:t>la</w:t>
      </w:r>
      <w:r>
        <w:rPr>
          <w:spacing w:val="-11"/>
        </w:rPr>
        <w:t> </w:t>
      </w:r>
      <w:r>
        <w:rPr/>
        <w:t>commission</w:t>
      </w:r>
      <w:r>
        <w:rPr>
          <w:spacing w:val="-6"/>
        </w:rPr>
        <w:t> </w:t>
      </w:r>
      <w:r>
        <w:rPr/>
        <w:t>des</w:t>
      </w:r>
      <w:r>
        <w:rPr>
          <w:spacing w:val="-10"/>
        </w:rPr>
        <w:t> </w:t>
      </w:r>
      <w:r>
        <w:rPr/>
        <w:t>affrètements ayant statué sur le sort des dossiers d’affrètements et procède comme suit</w:t>
      </w:r>
      <w:r>
        <w:rPr>
          <w:spacing w:val="-10"/>
        </w:rPr>
        <w:t> </w:t>
      </w:r>
      <w:r>
        <w:rPr/>
        <w:t>:</w:t>
      </w:r>
    </w:p>
    <w:p>
      <w:pPr>
        <w:pStyle w:val="ListParagraph"/>
        <w:numPr>
          <w:ilvl w:val="0"/>
          <w:numId w:val="86"/>
        </w:numPr>
        <w:tabs>
          <w:tab w:pos="1286" w:val="left" w:leader="none"/>
        </w:tabs>
        <w:spacing w:line="344" w:lineRule="exact" w:before="0" w:after="0"/>
        <w:ind w:left="1285" w:right="0" w:hanging="287"/>
        <w:jc w:val="both"/>
        <w:rPr>
          <w:sz w:val="28"/>
        </w:rPr>
      </w:pPr>
      <w:r>
        <w:rPr>
          <w:sz w:val="28"/>
        </w:rPr>
        <w:t>Communiquer l'avis d’affrètement au</w:t>
      </w:r>
      <w:r>
        <w:rPr>
          <w:spacing w:val="-3"/>
          <w:sz w:val="28"/>
        </w:rPr>
        <w:t> </w:t>
      </w:r>
      <w:r>
        <w:rPr>
          <w:sz w:val="28"/>
        </w:rPr>
        <w:t>demandeur,</w:t>
      </w:r>
    </w:p>
    <w:p>
      <w:pPr>
        <w:pStyle w:val="ListParagraph"/>
        <w:numPr>
          <w:ilvl w:val="0"/>
          <w:numId w:val="86"/>
        </w:numPr>
        <w:tabs>
          <w:tab w:pos="1286" w:val="left" w:leader="none"/>
        </w:tabs>
        <w:spacing w:line="266" w:lineRule="auto" w:before="27" w:after="0"/>
        <w:ind w:left="999" w:right="750" w:firstLine="0"/>
        <w:jc w:val="both"/>
        <w:rPr>
          <w:sz w:val="28"/>
        </w:rPr>
      </w:pPr>
      <w:r>
        <w:rPr>
          <w:sz w:val="28"/>
        </w:rPr>
        <w:t>Confirmer la fixation définitive du navire à l’armateur /le courtier retenu par l’enregistrement</w:t>
      </w:r>
      <w:r>
        <w:rPr>
          <w:spacing w:val="-16"/>
          <w:sz w:val="28"/>
        </w:rPr>
        <w:t> </w:t>
      </w:r>
      <w:r>
        <w:rPr>
          <w:sz w:val="28"/>
        </w:rPr>
        <w:t>du</w:t>
      </w:r>
      <w:r>
        <w:rPr>
          <w:spacing w:val="-16"/>
          <w:sz w:val="28"/>
        </w:rPr>
        <w:t> </w:t>
      </w:r>
      <w:r>
        <w:rPr>
          <w:sz w:val="28"/>
        </w:rPr>
        <w:t>soumissionnaire</w:t>
      </w:r>
      <w:r>
        <w:rPr>
          <w:spacing w:val="-16"/>
          <w:sz w:val="28"/>
        </w:rPr>
        <w:t> </w:t>
      </w:r>
      <w:r>
        <w:rPr>
          <w:sz w:val="28"/>
        </w:rPr>
        <w:t>retenu</w:t>
      </w:r>
      <w:r>
        <w:rPr>
          <w:spacing w:val="-16"/>
          <w:sz w:val="28"/>
        </w:rPr>
        <w:t> </w:t>
      </w:r>
      <w:r>
        <w:rPr>
          <w:sz w:val="28"/>
        </w:rPr>
        <w:t>comme</w:t>
      </w:r>
      <w:r>
        <w:rPr>
          <w:spacing w:val="-15"/>
          <w:sz w:val="28"/>
        </w:rPr>
        <w:t> </w:t>
      </w:r>
      <w:r>
        <w:rPr>
          <w:sz w:val="28"/>
        </w:rPr>
        <w:t>étant</w:t>
      </w:r>
      <w:r>
        <w:rPr>
          <w:spacing w:val="-15"/>
          <w:sz w:val="28"/>
        </w:rPr>
        <w:t> </w:t>
      </w:r>
      <w:r>
        <w:rPr>
          <w:sz w:val="28"/>
        </w:rPr>
        <w:t>titulaire</w:t>
      </w:r>
      <w:r>
        <w:rPr>
          <w:spacing w:val="-9"/>
          <w:sz w:val="28"/>
        </w:rPr>
        <w:t> </w:t>
      </w:r>
      <w:r>
        <w:rPr>
          <w:sz w:val="28"/>
        </w:rPr>
        <w:t>de</w:t>
      </w:r>
      <w:r>
        <w:rPr>
          <w:spacing w:val="-16"/>
          <w:sz w:val="28"/>
        </w:rPr>
        <w:t> </w:t>
      </w:r>
      <w:r>
        <w:rPr>
          <w:sz w:val="28"/>
        </w:rPr>
        <w:t>l’affrètement et la publication des résultats d’attribution de l’affrètement sur</w:t>
      </w:r>
      <w:r>
        <w:rPr>
          <w:spacing w:val="-14"/>
          <w:sz w:val="28"/>
        </w:rPr>
        <w:t> </w:t>
      </w:r>
      <w:r>
        <w:rPr>
          <w:sz w:val="28"/>
        </w:rPr>
        <w:t>TUNEPS.</w:t>
      </w:r>
    </w:p>
    <w:p>
      <w:pPr>
        <w:spacing w:after="0" w:line="266"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w:pStyle w:val="ListParagraph"/>
        <w:numPr>
          <w:ilvl w:val="0"/>
          <w:numId w:val="86"/>
        </w:numPr>
        <w:tabs>
          <w:tab w:pos="1286" w:val="left" w:leader="none"/>
        </w:tabs>
        <w:spacing w:line="256" w:lineRule="auto" w:before="89" w:after="0"/>
        <w:ind w:left="999" w:right="757" w:firstLine="0"/>
        <w:jc w:val="left"/>
        <w:rPr>
          <w:sz w:val="28"/>
        </w:rPr>
      </w:pPr>
      <w:r>
        <w:rPr>
          <w:sz w:val="28"/>
        </w:rPr>
        <w:t>Etablir un contrat entre le GCT et l’armateur et le faire signer par les deux parties.</w:t>
      </w:r>
    </w:p>
    <w:p>
      <w:pPr>
        <w:pStyle w:val="BodyText"/>
        <w:spacing w:line="276" w:lineRule="auto" w:before="269"/>
        <w:ind w:right="750"/>
      </w:pPr>
      <w:r>
        <w:rPr/>
        <w:t>En</w:t>
      </w:r>
      <w:r>
        <w:rPr>
          <w:spacing w:val="-13"/>
        </w:rPr>
        <w:t> </w:t>
      </w:r>
      <w:r>
        <w:rPr/>
        <w:t>cas</w:t>
      </w:r>
      <w:r>
        <w:rPr>
          <w:spacing w:val="-13"/>
        </w:rPr>
        <w:t> </w:t>
      </w:r>
      <w:r>
        <w:rPr/>
        <w:t>de</w:t>
      </w:r>
      <w:r>
        <w:rPr>
          <w:spacing w:val="-14"/>
        </w:rPr>
        <w:t> </w:t>
      </w:r>
      <w:r>
        <w:rPr/>
        <w:t>désistement</w:t>
      </w:r>
      <w:r>
        <w:rPr>
          <w:spacing w:val="-13"/>
        </w:rPr>
        <w:t> </w:t>
      </w:r>
      <w:r>
        <w:rPr/>
        <w:t>du</w:t>
      </w:r>
      <w:r>
        <w:rPr>
          <w:spacing w:val="-14"/>
        </w:rPr>
        <w:t> </w:t>
      </w:r>
      <w:r>
        <w:rPr/>
        <w:t>titulaire</w:t>
      </w:r>
      <w:r>
        <w:rPr>
          <w:spacing w:val="-12"/>
        </w:rPr>
        <w:t> </w:t>
      </w:r>
      <w:r>
        <w:rPr/>
        <w:t>du</w:t>
      </w:r>
      <w:r>
        <w:rPr>
          <w:spacing w:val="-12"/>
        </w:rPr>
        <w:t> </w:t>
      </w:r>
      <w:r>
        <w:rPr/>
        <w:t>marché</w:t>
      </w:r>
      <w:r>
        <w:rPr>
          <w:spacing w:val="-12"/>
        </w:rPr>
        <w:t> </w:t>
      </w:r>
      <w:r>
        <w:rPr/>
        <w:t>avant</w:t>
      </w:r>
      <w:r>
        <w:rPr>
          <w:spacing w:val="-13"/>
        </w:rPr>
        <w:t> </w:t>
      </w:r>
      <w:r>
        <w:rPr/>
        <w:t>la</w:t>
      </w:r>
      <w:r>
        <w:rPr>
          <w:spacing w:val="-14"/>
        </w:rPr>
        <w:t> </w:t>
      </w:r>
      <w:r>
        <w:rPr/>
        <w:t>signature</w:t>
      </w:r>
      <w:r>
        <w:rPr>
          <w:spacing w:val="-15"/>
        </w:rPr>
        <w:t> </w:t>
      </w:r>
      <w:r>
        <w:rPr/>
        <w:t>du</w:t>
      </w:r>
      <w:r>
        <w:rPr>
          <w:spacing w:val="-12"/>
        </w:rPr>
        <w:t> </w:t>
      </w:r>
      <w:r>
        <w:rPr/>
        <w:t>contrat,</w:t>
      </w:r>
      <w:r>
        <w:rPr>
          <w:spacing w:val="-13"/>
        </w:rPr>
        <w:t> </w:t>
      </w:r>
      <w:r>
        <w:rPr/>
        <w:t>le</w:t>
      </w:r>
      <w:r>
        <w:rPr>
          <w:spacing w:val="-12"/>
        </w:rPr>
        <w:t> </w:t>
      </w:r>
      <w:r>
        <w:rPr/>
        <w:t>GCT peut attribuer le marché au second soumissionnaire dans le classement de la commission d’évaluation à condition que son offre financière soit acceptable. Et si l’offre financière de ce dernier est excessive, la commission d’évaluation peut la négocier à la baisse. Le même dossier de passation devra être soumis à l’avis de la Commission d’Affrètement accompagnée d’une note explicative des circonstances de non</w:t>
      </w:r>
      <w:r>
        <w:rPr>
          <w:spacing w:val="-6"/>
        </w:rPr>
        <w:t> </w:t>
      </w:r>
      <w:r>
        <w:rPr/>
        <w:t>confirmation</w:t>
      </w:r>
      <w:r>
        <w:rPr>
          <w:spacing w:val="-8"/>
        </w:rPr>
        <w:t> </w:t>
      </w:r>
      <w:r>
        <w:rPr/>
        <w:t>ou</w:t>
      </w:r>
      <w:r>
        <w:rPr>
          <w:spacing w:val="-8"/>
        </w:rPr>
        <w:t> </w:t>
      </w:r>
      <w:r>
        <w:rPr/>
        <w:t>de</w:t>
      </w:r>
      <w:r>
        <w:rPr>
          <w:spacing w:val="-8"/>
        </w:rPr>
        <w:t> </w:t>
      </w:r>
      <w:r>
        <w:rPr/>
        <w:t>désistement</w:t>
      </w:r>
      <w:r>
        <w:rPr>
          <w:spacing w:val="-8"/>
        </w:rPr>
        <w:t> </w:t>
      </w:r>
      <w:r>
        <w:rPr/>
        <w:t>du</w:t>
      </w:r>
      <w:r>
        <w:rPr>
          <w:spacing w:val="-2"/>
        </w:rPr>
        <w:t> </w:t>
      </w:r>
      <w:r>
        <w:rPr/>
        <w:t>l’armateur</w:t>
      </w:r>
      <w:r>
        <w:rPr>
          <w:spacing w:val="-9"/>
        </w:rPr>
        <w:t> </w:t>
      </w:r>
      <w:r>
        <w:rPr/>
        <w:t>/le</w:t>
      </w:r>
      <w:r>
        <w:rPr>
          <w:spacing w:val="-6"/>
        </w:rPr>
        <w:t> </w:t>
      </w:r>
      <w:r>
        <w:rPr/>
        <w:t>courtier</w:t>
      </w:r>
      <w:r>
        <w:rPr>
          <w:spacing w:val="-6"/>
        </w:rPr>
        <w:t> </w:t>
      </w:r>
      <w:r>
        <w:rPr/>
        <w:t>retenu</w:t>
      </w:r>
      <w:r>
        <w:rPr>
          <w:spacing w:val="-3"/>
        </w:rPr>
        <w:t> </w:t>
      </w:r>
      <w:r>
        <w:rPr/>
        <w:t>et</w:t>
      </w:r>
      <w:r>
        <w:rPr>
          <w:spacing w:val="-5"/>
        </w:rPr>
        <w:t> </w:t>
      </w:r>
      <w:r>
        <w:rPr/>
        <w:t>mentionnant</w:t>
      </w:r>
      <w:r>
        <w:rPr>
          <w:spacing w:val="-6"/>
        </w:rPr>
        <w:t> </w:t>
      </w:r>
      <w:r>
        <w:rPr/>
        <w:t>la proposition d’attribution au second soumissionnaire dans le classement de la commission</w:t>
      </w:r>
      <w:r>
        <w:rPr>
          <w:spacing w:val="-4"/>
        </w:rPr>
        <w:t> </w:t>
      </w:r>
      <w:r>
        <w:rPr/>
        <w:t>d’évaluation.</w:t>
      </w:r>
    </w:p>
    <w:p>
      <w:pPr>
        <w:pStyle w:val="Heading2"/>
        <w:numPr>
          <w:ilvl w:val="1"/>
          <w:numId w:val="85"/>
        </w:numPr>
        <w:tabs>
          <w:tab w:pos="1060" w:val="left" w:leader="none"/>
        </w:tabs>
        <w:spacing w:line="240" w:lineRule="auto" w:before="124" w:after="0"/>
        <w:ind w:left="433" w:right="755" w:firstLine="0"/>
        <w:jc w:val="both"/>
      </w:pPr>
      <w:bookmarkStart w:name="_TOC_250041" w:id="102"/>
      <w:bookmarkEnd w:id="102"/>
      <w:r>
        <w:rPr/>
        <w:t>Procédure de passation des achats d’affrètement par voie de consultation restreinte</w:t>
      </w:r>
    </w:p>
    <w:p>
      <w:pPr>
        <w:pStyle w:val="BodyText"/>
        <w:spacing w:line="278" w:lineRule="auto"/>
        <w:ind w:right="759"/>
      </w:pPr>
      <w:r>
        <w:rPr/>
        <w:t>Le recours à ce mode doit être appuyé par une note explicative établie par la Direction Générale commerciale et approuvée par la Direction Générale.</w:t>
      </w:r>
    </w:p>
    <w:p>
      <w:pPr>
        <w:pStyle w:val="BodyText"/>
        <w:spacing w:line="317" w:lineRule="exact"/>
        <w:ind w:left="999" w:firstLine="0"/>
      </w:pPr>
      <w:r>
        <w:rPr/>
        <w:t>La consultation restreinte obéit à la procédure suivante :</w:t>
      </w:r>
    </w:p>
    <w:p>
      <w:pPr>
        <w:pStyle w:val="ListParagraph"/>
        <w:numPr>
          <w:ilvl w:val="0"/>
          <w:numId w:val="87"/>
        </w:numPr>
        <w:tabs>
          <w:tab w:pos="1715" w:val="left" w:leader="none"/>
        </w:tabs>
        <w:spacing w:line="276" w:lineRule="auto" w:before="42" w:after="0"/>
        <w:ind w:left="1714" w:right="751" w:hanging="358"/>
        <w:jc w:val="both"/>
        <w:rPr>
          <w:sz w:val="28"/>
        </w:rPr>
      </w:pPr>
      <w:r>
        <w:rPr>
          <w:sz w:val="28"/>
        </w:rPr>
        <w:t>Lancement de la consultation via e-mail spécifique dédié (gct_chartering@gct.com.tn) ou par tout moyen matériel ou immatériel laissant trace,</w:t>
      </w:r>
    </w:p>
    <w:p>
      <w:pPr>
        <w:pStyle w:val="ListParagraph"/>
        <w:numPr>
          <w:ilvl w:val="0"/>
          <w:numId w:val="87"/>
        </w:numPr>
        <w:tabs>
          <w:tab w:pos="1720" w:val="left" w:leader="none"/>
        </w:tabs>
        <w:spacing w:line="240" w:lineRule="auto" w:before="1" w:after="0"/>
        <w:ind w:left="1719" w:right="0" w:hanging="361"/>
        <w:jc w:val="both"/>
        <w:rPr>
          <w:sz w:val="28"/>
        </w:rPr>
      </w:pPr>
      <w:r>
        <w:rPr>
          <w:sz w:val="28"/>
        </w:rPr>
        <w:t>Le</w:t>
      </w:r>
      <w:r>
        <w:rPr>
          <w:spacing w:val="-17"/>
          <w:sz w:val="28"/>
        </w:rPr>
        <w:t> </w:t>
      </w:r>
      <w:r>
        <w:rPr>
          <w:sz w:val="28"/>
        </w:rPr>
        <w:t>délai</w:t>
      </w:r>
      <w:r>
        <w:rPr>
          <w:spacing w:val="-18"/>
          <w:sz w:val="28"/>
        </w:rPr>
        <w:t> </w:t>
      </w:r>
      <w:r>
        <w:rPr>
          <w:sz w:val="28"/>
        </w:rPr>
        <w:t>de</w:t>
      </w:r>
      <w:r>
        <w:rPr>
          <w:spacing w:val="-16"/>
          <w:sz w:val="28"/>
        </w:rPr>
        <w:t> </w:t>
      </w:r>
      <w:r>
        <w:rPr>
          <w:sz w:val="28"/>
        </w:rPr>
        <w:t>mise</w:t>
      </w:r>
      <w:r>
        <w:rPr>
          <w:spacing w:val="-16"/>
          <w:sz w:val="28"/>
        </w:rPr>
        <w:t> </w:t>
      </w:r>
      <w:r>
        <w:rPr>
          <w:sz w:val="28"/>
        </w:rPr>
        <w:t>en</w:t>
      </w:r>
      <w:r>
        <w:rPr>
          <w:spacing w:val="-15"/>
          <w:sz w:val="28"/>
        </w:rPr>
        <w:t> </w:t>
      </w:r>
      <w:r>
        <w:rPr>
          <w:sz w:val="28"/>
        </w:rPr>
        <w:t>concurrence</w:t>
      </w:r>
      <w:r>
        <w:rPr>
          <w:spacing w:val="-16"/>
          <w:sz w:val="28"/>
        </w:rPr>
        <w:t> </w:t>
      </w:r>
      <w:r>
        <w:rPr>
          <w:sz w:val="28"/>
        </w:rPr>
        <w:t>est</w:t>
      </w:r>
      <w:r>
        <w:rPr>
          <w:spacing w:val="-15"/>
          <w:sz w:val="28"/>
        </w:rPr>
        <w:t> </w:t>
      </w:r>
      <w:r>
        <w:rPr>
          <w:sz w:val="28"/>
        </w:rPr>
        <w:t>compris</w:t>
      </w:r>
      <w:r>
        <w:rPr>
          <w:spacing w:val="-17"/>
          <w:sz w:val="28"/>
        </w:rPr>
        <w:t> </w:t>
      </w:r>
      <w:r>
        <w:rPr>
          <w:sz w:val="28"/>
        </w:rPr>
        <w:t>entre</w:t>
      </w:r>
      <w:r>
        <w:rPr>
          <w:spacing w:val="-16"/>
          <w:sz w:val="28"/>
        </w:rPr>
        <w:t> </w:t>
      </w:r>
      <w:r>
        <w:rPr>
          <w:sz w:val="28"/>
        </w:rPr>
        <w:t>(04)</w:t>
      </w:r>
      <w:r>
        <w:rPr>
          <w:spacing w:val="-20"/>
          <w:sz w:val="28"/>
        </w:rPr>
        <w:t> </w:t>
      </w:r>
      <w:r>
        <w:rPr>
          <w:sz w:val="28"/>
        </w:rPr>
        <w:t>heures</w:t>
      </w:r>
      <w:r>
        <w:rPr>
          <w:spacing w:val="-15"/>
          <w:sz w:val="28"/>
        </w:rPr>
        <w:t> </w:t>
      </w:r>
      <w:r>
        <w:rPr>
          <w:sz w:val="28"/>
        </w:rPr>
        <w:t>et</w:t>
      </w:r>
      <w:r>
        <w:rPr>
          <w:spacing w:val="-15"/>
          <w:sz w:val="28"/>
        </w:rPr>
        <w:t> </w:t>
      </w:r>
      <w:r>
        <w:rPr>
          <w:sz w:val="28"/>
        </w:rPr>
        <w:t>(24)</w:t>
      </w:r>
      <w:r>
        <w:rPr>
          <w:spacing w:val="-19"/>
          <w:sz w:val="28"/>
        </w:rPr>
        <w:t> </w:t>
      </w:r>
      <w:r>
        <w:rPr>
          <w:sz w:val="28"/>
        </w:rPr>
        <w:t>heures</w:t>
      </w:r>
    </w:p>
    <w:p>
      <w:pPr>
        <w:pStyle w:val="ListParagraph"/>
        <w:numPr>
          <w:ilvl w:val="0"/>
          <w:numId w:val="87"/>
        </w:numPr>
        <w:tabs>
          <w:tab w:pos="1720" w:val="left" w:leader="none"/>
        </w:tabs>
        <w:spacing w:line="278" w:lineRule="auto" w:before="47" w:after="0"/>
        <w:ind w:left="1719" w:right="752" w:hanging="360"/>
        <w:jc w:val="both"/>
        <w:rPr>
          <w:sz w:val="28"/>
        </w:rPr>
      </w:pPr>
      <w:r>
        <w:rPr>
          <w:sz w:val="28"/>
        </w:rPr>
        <w:t>La réception des offres se fait via e-mail spécifique dont les procédures d’utilisation sont arrêtées par une note émise par la Direction</w:t>
      </w:r>
      <w:r>
        <w:rPr>
          <w:spacing w:val="-22"/>
          <w:sz w:val="28"/>
        </w:rPr>
        <w:t> </w:t>
      </w:r>
      <w:r>
        <w:rPr>
          <w:sz w:val="28"/>
        </w:rPr>
        <w:t>Générale.</w:t>
      </w:r>
    </w:p>
    <w:p>
      <w:pPr>
        <w:pStyle w:val="ListParagraph"/>
        <w:numPr>
          <w:ilvl w:val="0"/>
          <w:numId w:val="87"/>
        </w:numPr>
        <w:tabs>
          <w:tab w:pos="1720" w:val="left" w:leader="none"/>
        </w:tabs>
        <w:spacing w:line="276" w:lineRule="auto" w:before="0" w:after="0"/>
        <w:ind w:left="1719" w:right="760" w:hanging="360"/>
        <w:jc w:val="both"/>
        <w:rPr>
          <w:sz w:val="28"/>
        </w:rPr>
      </w:pPr>
      <w:r>
        <w:rPr>
          <w:sz w:val="28"/>
        </w:rPr>
        <w:t>L’ouverture, le dépouillement, et la proposition d’attribution sont effectué la Commission des</w:t>
      </w:r>
      <w:r>
        <w:rPr>
          <w:spacing w:val="1"/>
          <w:sz w:val="28"/>
        </w:rPr>
        <w:t> </w:t>
      </w:r>
      <w:r>
        <w:rPr>
          <w:sz w:val="28"/>
        </w:rPr>
        <w:t>affrètements.</w:t>
      </w:r>
    </w:p>
    <w:p>
      <w:pPr>
        <w:pStyle w:val="BodyText"/>
        <w:spacing w:line="276" w:lineRule="auto"/>
        <w:ind w:right="749"/>
      </w:pPr>
      <w:r>
        <w:rPr/>
        <w:t>Les réunions de la Commission des affrètements sont effectuées en présence du responsable commercial de la zone concernée (à défaut un représentant de la DGC) et un représentant de la Structure chargée des affrètements. La délibération de la réunion est matérialisée par un PV qui doit être signé par tous les membres présents de la Commission d’Affrètement et par les représentants de la DGC et de la Structure chargée d’affrètement.</w:t>
      </w:r>
    </w:p>
    <w:p>
      <w:pPr>
        <w:pStyle w:val="BodyText"/>
        <w:spacing w:line="276" w:lineRule="auto"/>
        <w:ind w:right="759"/>
      </w:pPr>
      <w:r>
        <w:rPr/>
        <w:t>La Commission des affrètements examine les offres et propose d’attribuer la commande au soumissionnaire ayant présenté l’offre la plus avantageuse de point de vue coût, délai et conditions d’exécution.</w:t>
      </w:r>
    </w:p>
    <w:p>
      <w:pPr>
        <w:pStyle w:val="BodyText"/>
        <w:spacing w:line="276" w:lineRule="auto"/>
        <w:ind w:right="751"/>
      </w:pPr>
      <w:r>
        <w:rPr/>
        <w:t>Dans</w:t>
      </w:r>
      <w:r>
        <w:rPr>
          <w:spacing w:val="-16"/>
        </w:rPr>
        <w:t> </w:t>
      </w:r>
      <w:r>
        <w:rPr/>
        <w:t>le</w:t>
      </w:r>
      <w:r>
        <w:rPr>
          <w:spacing w:val="-17"/>
        </w:rPr>
        <w:t> </w:t>
      </w:r>
      <w:r>
        <w:rPr/>
        <w:t>but</w:t>
      </w:r>
      <w:r>
        <w:rPr>
          <w:spacing w:val="-16"/>
        </w:rPr>
        <w:t> </w:t>
      </w:r>
      <w:r>
        <w:rPr/>
        <w:t>d’obtenir</w:t>
      </w:r>
      <w:r>
        <w:rPr>
          <w:spacing w:val="-17"/>
        </w:rPr>
        <w:t> </w:t>
      </w:r>
      <w:r>
        <w:rPr/>
        <w:t>les</w:t>
      </w:r>
      <w:r>
        <w:rPr>
          <w:spacing w:val="-14"/>
        </w:rPr>
        <w:t> </w:t>
      </w:r>
      <w:r>
        <w:rPr/>
        <w:t>meilleures</w:t>
      </w:r>
      <w:r>
        <w:rPr>
          <w:spacing w:val="-16"/>
        </w:rPr>
        <w:t> </w:t>
      </w:r>
      <w:r>
        <w:rPr/>
        <w:t>offres</w:t>
      </w:r>
      <w:r>
        <w:rPr>
          <w:spacing w:val="-16"/>
        </w:rPr>
        <w:t> </w:t>
      </w:r>
      <w:r>
        <w:rPr/>
        <w:t>de</w:t>
      </w:r>
      <w:r>
        <w:rPr>
          <w:spacing w:val="-15"/>
        </w:rPr>
        <w:t> </w:t>
      </w:r>
      <w:r>
        <w:rPr/>
        <w:t>point</w:t>
      </w:r>
      <w:r>
        <w:rPr>
          <w:spacing w:val="-16"/>
        </w:rPr>
        <w:t> </w:t>
      </w:r>
      <w:r>
        <w:rPr/>
        <w:t>de</w:t>
      </w:r>
      <w:r>
        <w:rPr>
          <w:spacing w:val="-16"/>
        </w:rPr>
        <w:t> </w:t>
      </w:r>
      <w:r>
        <w:rPr/>
        <w:t>vue</w:t>
      </w:r>
      <w:r>
        <w:rPr>
          <w:spacing w:val="-9"/>
        </w:rPr>
        <w:t> </w:t>
      </w:r>
      <w:r>
        <w:rPr/>
        <w:t>coût,</w:t>
      </w:r>
      <w:r>
        <w:rPr>
          <w:spacing w:val="-14"/>
        </w:rPr>
        <w:t> </w:t>
      </w:r>
      <w:r>
        <w:rPr/>
        <w:t>délai</w:t>
      </w:r>
      <w:r>
        <w:rPr>
          <w:spacing w:val="-14"/>
        </w:rPr>
        <w:t> </w:t>
      </w:r>
      <w:r>
        <w:rPr/>
        <w:t>et</w:t>
      </w:r>
      <w:r>
        <w:rPr>
          <w:spacing w:val="-16"/>
        </w:rPr>
        <w:t> </w:t>
      </w:r>
      <w:r>
        <w:rPr/>
        <w:t>conditions d’exécution,</w:t>
      </w:r>
      <w:r>
        <w:rPr>
          <w:spacing w:val="25"/>
        </w:rPr>
        <w:t> </w:t>
      </w:r>
      <w:r>
        <w:rPr/>
        <w:t>la</w:t>
      </w:r>
      <w:r>
        <w:rPr>
          <w:spacing w:val="32"/>
        </w:rPr>
        <w:t> </w:t>
      </w:r>
      <w:r>
        <w:rPr/>
        <w:t>Commission</w:t>
      </w:r>
      <w:r>
        <w:rPr>
          <w:spacing w:val="27"/>
        </w:rPr>
        <w:t> </w:t>
      </w:r>
      <w:r>
        <w:rPr/>
        <w:t>des</w:t>
      </w:r>
      <w:r>
        <w:rPr>
          <w:spacing w:val="28"/>
        </w:rPr>
        <w:t> </w:t>
      </w:r>
      <w:r>
        <w:rPr/>
        <w:t>affrètements</w:t>
      </w:r>
      <w:r>
        <w:rPr>
          <w:spacing w:val="29"/>
        </w:rPr>
        <w:t> </w:t>
      </w:r>
      <w:r>
        <w:rPr/>
        <w:t>est</w:t>
      </w:r>
      <w:r>
        <w:rPr>
          <w:spacing w:val="28"/>
        </w:rPr>
        <w:t> </w:t>
      </w:r>
      <w:r>
        <w:rPr/>
        <w:t>habilitée</w:t>
      </w:r>
      <w:r>
        <w:rPr>
          <w:spacing w:val="29"/>
        </w:rPr>
        <w:t> </w:t>
      </w:r>
      <w:r>
        <w:rPr/>
        <w:t>à</w:t>
      </w:r>
      <w:r>
        <w:rPr>
          <w:spacing w:val="30"/>
        </w:rPr>
        <w:t> </w:t>
      </w:r>
      <w:r>
        <w:rPr/>
        <w:t>négocier</w:t>
      </w:r>
      <w:r>
        <w:rPr>
          <w:spacing w:val="29"/>
        </w:rPr>
        <w:t> </w:t>
      </w:r>
      <w:r>
        <w:rPr/>
        <w:t>l’offre</w:t>
      </w:r>
      <w:r>
        <w:rPr>
          <w:spacing w:val="30"/>
        </w:rPr>
        <w:t> </w:t>
      </w:r>
      <w:r>
        <w:rPr/>
        <w:t>séance</w:t>
      </w:r>
    </w:p>
    <w:p>
      <w:pPr>
        <w:spacing w:after="0" w:line="276" w:lineRule="auto"/>
        <w:sectPr>
          <w:pgSz w:w="11910" w:h="16840"/>
          <w:pgMar w:header="722" w:footer="0" w:top="1860" w:bottom="280" w:left="700" w:right="380"/>
        </w:sectPr>
      </w:pPr>
    </w:p>
    <w:p>
      <w:pPr>
        <w:pStyle w:val="BodyText"/>
        <w:spacing w:before="3"/>
        <w:ind w:left="0" w:firstLine="0"/>
        <w:jc w:val="left"/>
        <w:rPr>
          <w:sz w:val="16"/>
        </w:rPr>
      </w:pPr>
    </w:p>
    <w:p>
      <w:pPr>
        <w:pStyle w:val="BodyText"/>
        <w:spacing w:line="276" w:lineRule="auto" w:before="89"/>
        <w:ind w:right="748" w:firstLine="0"/>
        <w:jc w:val="left"/>
      </w:pPr>
      <w:r>
        <w:rPr/>
        <w:t>tenante avec l’armateur/courtier retenu et à effectuer les débriefings nécessaires avec le client en vue de confirmer l’armateur/courtier retenu.</w:t>
      </w:r>
    </w:p>
    <w:p>
      <w:pPr>
        <w:pStyle w:val="BodyText"/>
        <w:spacing w:line="276" w:lineRule="auto" w:before="1"/>
        <w:ind w:right="748"/>
        <w:jc w:val="left"/>
      </w:pPr>
      <w:r>
        <w:rPr/>
        <w:t>La proposition d’attribution est soumise à l’approbation du Directeur Général du GCT.</w:t>
      </w:r>
    </w:p>
    <w:p>
      <w:pPr>
        <w:pStyle w:val="Heading2"/>
        <w:numPr>
          <w:ilvl w:val="1"/>
          <w:numId w:val="85"/>
        </w:numPr>
        <w:tabs>
          <w:tab w:pos="1012" w:val="left" w:leader="none"/>
        </w:tabs>
        <w:spacing w:line="240" w:lineRule="auto" w:before="123" w:after="0"/>
        <w:ind w:left="433" w:right="750" w:firstLine="0"/>
        <w:jc w:val="both"/>
      </w:pPr>
      <w:bookmarkStart w:name="_TOC_250040" w:id="103"/>
      <w:r>
        <w:rPr/>
        <w:t>Procédure</w:t>
      </w:r>
      <w:r>
        <w:rPr>
          <w:spacing w:val="-18"/>
        </w:rPr>
        <w:t> </w:t>
      </w:r>
      <w:r>
        <w:rPr/>
        <w:t>de</w:t>
      </w:r>
      <w:r>
        <w:rPr>
          <w:spacing w:val="-21"/>
        </w:rPr>
        <w:t> </w:t>
      </w:r>
      <w:r>
        <w:rPr/>
        <w:t>passation</w:t>
      </w:r>
      <w:r>
        <w:rPr>
          <w:spacing w:val="-18"/>
        </w:rPr>
        <w:t> </w:t>
      </w:r>
      <w:r>
        <w:rPr/>
        <w:t>des</w:t>
      </w:r>
      <w:r>
        <w:rPr>
          <w:spacing w:val="-18"/>
        </w:rPr>
        <w:t> </w:t>
      </w:r>
      <w:r>
        <w:rPr/>
        <w:t>achats</w:t>
      </w:r>
      <w:r>
        <w:rPr>
          <w:spacing w:val="-17"/>
        </w:rPr>
        <w:t> </w:t>
      </w:r>
      <w:r>
        <w:rPr/>
        <w:t>d’affrètement</w:t>
      </w:r>
      <w:r>
        <w:rPr>
          <w:spacing w:val="-17"/>
        </w:rPr>
        <w:t> </w:t>
      </w:r>
      <w:r>
        <w:rPr/>
        <w:t>hors</w:t>
      </w:r>
      <w:r>
        <w:rPr>
          <w:spacing w:val="-17"/>
        </w:rPr>
        <w:t> </w:t>
      </w:r>
      <w:r>
        <w:rPr/>
        <w:t>marchés</w:t>
      </w:r>
      <w:r>
        <w:rPr>
          <w:spacing w:val="-16"/>
        </w:rPr>
        <w:t> </w:t>
      </w:r>
      <w:r>
        <w:rPr/>
        <w:t>en</w:t>
      </w:r>
      <w:r>
        <w:rPr>
          <w:spacing w:val="-18"/>
        </w:rPr>
        <w:t> </w:t>
      </w:r>
      <w:r>
        <w:rPr/>
        <w:t>cas</w:t>
      </w:r>
      <w:r>
        <w:rPr>
          <w:spacing w:val="-17"/>
        </w:rPr>
        <w:t> </w:t>
      </w:r>
      <w:r>
        <w:rPr/>
        <w:t>de</w:t>
      </w:r>
      <w:r>
        <w:rPr>
          <w:spacing w:val="-18"/>
        </w:rPr>
        <w:t> </w:t>
      </w:r>
      <w:r>
        <w:rPr/>
        <w:t>non- utilisation de</w:t>
      </w:r>
      <w:r>
        <w:rPr>
          <w:spacing w:val="-1"/>
        </w:rPr>
        <w:t> </w:t>
      </w:r>
      <w:bookmarkEnd w:id="103"/>
      <w:r>
        <w:rPr/>
        <w:t>TUNEPS</w:t>
      </w:r>
    </w:p>
    <w:p>
      <w:pPr>
        <w:pStyle w:val="BodyText"/>
        <w:ind w:right="748"/>
        <w:jc w:val="left"/>
      </w:pPr>
      <w:r>
        <w:rPr/>
        <w:t>L'exemption de l'utilisation du système TUNEPS peut avoir lieu dans les cas suivants :</w:t>
      </w:r>
    </w:p>
    <w:p>
      <w:pPr>
        <w:pStyle w:val="ListParagraph"/>
        <w:numPr>
          <w:ilvl w:val="0"/>
          <w:numId w:val="88"/>
        </w:numPr>
        <w:tabs>
          <w:tab w:pos="1000" w:val="left" w:leader="none"/>
        </w:tabs>
        <w:spacing w:line="240" w:lineRule="auto" w:before="116" w:after="0"/>
        <w:ind w:left="999" w:right="756" w:hanging="284"/>
        <w:jc w:val="left"/>
        <w:rPr>
          <w:sz w:val="28"/>
        </w:rPr>
      </w:pPr>
      <w:r>
        <w:rPr>
          <w:sz w:val="28"/>
        </w:rPr>
        <w:t>Dans les cas d’indisponibilité technique non prévue annoncés par l’unité TUNEPS sur la plateforme ou par tout autre moyen matériel et immatériel</w:t>
      </w:r>
      <w:r>
        <w:rPr>
          <w:spacing w:val="-7"/>
          <w:sz w:val="28"/>
        </w:rPr>
        <w:t> </w:t>
      </w:r>
      <w:r>
        <w:rPr>
          <w:sz w:val="28"/>
        </w:rPr>
        <w:t>;</w:t>
      </w:r>
    </w:p>
    <w:p>
      <w:pPr>
        <w:pStyle w:val="ListParagraph"/>
        <w:numPr>
          <w:ilvl w:val="0"/>
          <w:numId w:val="88"/>
        </w:numPr>
        <w:tabs>
          <w:tab w:pos="1000" w:val="left" w:leader="none"/>
        </w:tabs>
        <w:spacing w:line="240" w:lineRule="auto" w:before="0" w:after="0"/>
        <w:ind w:left="999" w:right="750" w:hanging="284"/>
        <w:jc w:val="left"/>
        <w:rPr>
          <w:sz w:val="28"/>
        </w:rPr>
      </w:pPr>
      <w:r>
        <w:rPr>
          <w:sz w:val="28"/>
        </w:rPr>
        <w:t>Les achats justifiés par l’urgence impérieuse via une note d'urgence préparée par l’affréteur et signée par le Directeur Général ;</w:t>
      </w:r>
    </w:p>
    <w:p>
      <w:pPr>
        <w:pStyle w:val="BodyText"/>
        <w:spacing w:before="238"/>
        <w:ind w:right="749"/>
      </w:pPr>
      <w:r>
        <w:rPr/>
        <w:t>Pour les motifs d’exemption de l’utilisation de TUNEPS, l’affréteur fera recours à un appel d’offres par messagerie électronique et via les mails spécifiques précités (voir paragraphe IV.2) pour les phases de lancement de l'Appel d’Offres, de réception des offres et d’ouverture des offres.</w:t>
      </w:r>
    </w:p>
    <w:p>
      <w:pPr>
        <w:pStyle w:val="Heading2"/>
        <w:numPr>
          <w:ilvl w:val="1"/>
          <w:numId w:val="85"/>
        </w:numPr>
        <w:tabs>
          <w:tab w:pos="1043" w:val="left" w:leader="none"/>
        </w:tabs>
        <w:spacing w:line="240" w:lineRule="auto" w:before="126" w:after="0"/>
        <w:ind w:left="433" w:right="750" w:firstLine="0"/>
        <w:jc w:val="both"/>
      </w:pPr>
      <w:bookmarkStart w:name="_TOC_250039" w:id="104"/>
      <w:r>
        <w:rPr/>
        <w:t>Procédure de passation des achats d’affrètement hors marchés par voie de négociation</w:t>
      </w:r>
      <w:r>
        <w:rPr>
          <w:spacing w:val="-1"/>
        </w:rPr>
        <w:t> </w:t>
      </w:r>
      <w:bookmarkEnd w:id="104"/>
      <w:r>
        <w:rPr/>
        <w:t>directe</w:t>
      </w:r>
    </w:p>
    <w:p>
      <w:pPr>
        <w:pStyle w:val="BodyText"/>
        <w:spacing w:before="235"/>
        <w:ind w:right="752"/>
      </w:pPr>
      <w:r>
        <w:rPr/>
        <w:t>La structure demandeuse concernée doit justifier par écrit le caractère spécifique de</w:t>
      </w:r>
      <w:r>
        <w:rPr>
          <w:spacing w:val="-6"/>
        </w:rPr>
        <w:t> </w:t>
      </w:r>
      <w:r>
        <w:rPr/>
        <w:t>la</w:t>
      </w:r>
      <w:r>
        <w:rPr>
          <w:spacing w:val="-6"/>
        </w:rPr>
        <w:t> </w:t>
      </w:r>
      <w:r>
        <w:rPr/>
        <w:t>commande</w:t>
      </w:r>
      <w:r>
        <w:rPr>
          <w:spacing w:val="-6"/>
        </w:rPr>
        <w:t> </w:t>
      </w:r>
      <w:r>
        <w:rPr/>
        <w:t>nécessitant</w:t>
      </w:r>
      <w:r>
        <w:rPr>
          <w:spacing w:val="-6"/>
        </w:rPr>
        <w:t> </w:t>
      </w:r>
      <w:r>
        <w:rPr/>
        <w:t>le</w:t>
      </w:r>
      <w:r>
        <w:rPr>
          <w:spacing w:val="-6"/>
        </w:rPr>
        <w:t> </w:t>
      </w:r>
      <w:r>
        <w:rPr/>
        <w:t>recours</w:t>
      </w:r>
      <w:r>
        <w:rPr>
          <w:spacing w:val="-6"/>
        </w:rPr>
        <w:t> </w:t>
      </w:r>
      <w:r>
        <w:rPr/>
        <w:t>à</w:t>
      </w:r>
      <w:r>
        <w:rPr>
          <w:spacing w:val="-9"/>
        </w:rPr>
        <w:t> </w:t>
      </w:r>
      <w:r>
        <w:rPr/>
        <w:t>la</w:t>
      </w:r>
      <w:r>
        <w:rPr>
          <w:spacing w:val="-8"/>
        </w:rPr>
        <w:t> </w:t>
      </w:r>
      <w:r>
        <w:rPr/>
        <w:t>négociation</w:t>
      </w:r>
      <w:r>
        <w:rPr>
          <w:spacing w:val="-6"/>
        </w:rPr>
        <w:t> </w:t>
      </w:r>
      <w:r>
        <w:rPr/>
        <w:t>directe</w:t>
      </w:r>
      <w:r>
        <w:rPr>
          <w:spacing w:val="-9"/>
        </w:rPr>
        <w:t> </w:t>
      </w:r>
      <w:r>
        <w:rPr/>
        <w:t>pour</w:t>
      </w:r>
      <w:r>
        <w:rPr>
          <w:spacing w:val="-9"/>
        </w:rPr>
        <w:t> </w:t>
      </w:r>
      <w:r>
        <w:rPr/>
        <w:t>conclure</w:t>
      </w:r>
      <w:r>
        <w:rPr>
          <w:spacing w:val="-6"/>
        </w:rPr>
        <w:t> </w:t>
      </w:r>
      <w:r>
        <w:rPr/>
        <w:t>un</w:t>
      </w:r>
      <w:r>
        <w:rPr>
          <w:spacing w:val="5"/>
        </w:rPr>
        <w:t> </w:t>
      </w:r>
      <w:r>
        <w:rPr/>
        <w:t>achat.</w:t>
      </w:r>
    </w:p>
    <w:p>
      <w:pPr>
        <w:pStyle w:val="BodyText"/>
        <w:spacing w:before="119"/>
        <w:ind w:right="754"/>
      </w:pPr>
      <w:r>
        <w:rPr/>
        <w:t>La structure demandeuse envoie à la structure chargée d’affrètements un ordre d'affrètement</w:t>
      </w:r>
      <w:r>
        <w:rPr>
          <w:spacing w:val="-19"/>
        </w:rPr>
        <w:t> </w:t>
      </w:r>
      <w:r>
        <w:rPr/>
        <w:t>accompagné</w:t>
      </w:r>
      <w:r>
        <w:rPr>
          <w:spacing w:val="-22"/>
        </w:rPr>
        <w:t> </w:t>
      </w:r>
      <w:r>
        <w:rPr/>
        <w:t>d'une</w:t>
      </w:r>
      <w:r>
        <w:rPr>
          <w:spacing w:val="-18"/>
        </w:rPr>
        <w:t> </w:t>
      </w:r>
      <w:r>
        <w:rPr/>
        <w:t>note</w:t>
      </w:r>
      <w:r>
        <w:rPr>
          <w:spacing w:val="-21"/>
        </w:rPr>
        <w:t> </w:t>
      </w:r>
      <w:r>
        <w:rPr/>
        <w:t>d'opportunité</w:t>
      </w:r>
      <w:r>
        <w:rPr>
          <w:spacing w:val="-19"/>
        </w:rPr>
        <w:t> </w:t>
      </w:r>
      <w:r>
        <w:rPr/>
        <w:t>justifiant</w:t>
      </w:r>
      <w:r>
        <w:rPr>
          <w:spacing w:val="-18"/>
        </w:rPr>
        <w:t> </w:t>
      </w:r>
      <w:r>
        <w:rPr/>
        <w:t>le</w:t>
      </w:r>
      <w:r>
        <w:rPr>
          <w:spacing w:val="-20"/>
        </w:rPr>
        <w:t> </w:t>
      </w:r>
      <w:r>
        <w:rPr/>
        <w:t>recours</w:t>
      </w:r>
      <w:r>
        <w:rPr>
          <w:spacing w:val="-21"/>
        </w:rPr>
        <w:t> </w:t>
      </w:r>
      <w:r>
        <w:rPr/>
        <w:t>à</w:t>
      </w:r>
      <w:r>
        <w:rPr>
          <w:spacing w:val="-19"/>
        </w:rPr>
        <w:t> </w:t>
      </w:r>
      <w:r>
        <w:rPr/>
        <w:t>la</w:t>
      </w:r>
      <w:r>
        <w:rPr>
          <w:spacing w:val="-22"/>
        </w:rPr>
        <w:t> </w:t>
      </w:r>
      <w:r>
        <w:rPr/>
        <w:t>négociation directe et son caractère spécifique décrit ci-dessus. Ladite note d’opportunité doit être signée par le premier responsable de la structure</w:t>
      </w:r>
      <w:r>
        <w:rPr>
          <w:spacing w:val="-9"/>
        </w:rPr>
        <w:t> </w:t>
      </w:r>
      <w:r>
        <w:rPr/>
        <w:t>demandeuse.</w:t>
      </w:r>
    </w:p>
    <w:p>
      <w:pPr>
        <w:pStyle w:val="BodyText"/>
        <w:spacing w:before="122"/>
        <w:ind w:right="752"/>
      </w:pPr>
      <w:r>
        <w:rPr/>
        <w:t>La structure chargée d’affrètements doit examiner la demande et propose, en fonction des différentes contraintes et conditions liées au besoin d'affrètement en question,</w:t>
      </w:r>
      <w:r>
        <w:rPr>
          <w:spacing w:val="-20"/>
        </w:rPr>
        <w:t> </w:t>
      </w:r>
      <w:r>
        <w:rPr/>
        <w:t>de</w:t>
      </w:r>
      <w:r>
        <w:rPr>
          <w:spacing w:val="-22"/>
        </w:rPr>
        <w:t> </w:t>
      </w:r>
      <w:r>
        <w:rPr/>
        <w:t>procéder</w:t>
      </w:r>
      <w:r>
        <w:rPr>
          <w:spacing w:val="-22"/>
        </w:rPr>
        <w:t> </w:t>
      </w:r>
      <w:r>
        <w:rPr/>
        <w:t>soit</w:t>
      </w:r>
      <w:r>
        <w:rPr>
          <w:spacing w:val="-20"/>
        </w:rPr>
        <w:t> </w:t>
      </w:r>
      <w:r>
        <w:rPr/>
        <w:t>par</w:t>
      </w:r>
      <w:r>
        <w:rPr>
          <w:spacing w:val="-22"/>
        </w:rPr>
        <w:t> </w:t>
      </w:r>
      <w:r>
        <w:rPr/>
        <w:t>voie</w:t>
      </w:r>
      <w:r>
        <w:rPr>
          <w:spacing w:val="-22"/>
        </w:rPr>
        <w:t> </w:t>
      </w:r>
      <w:r>
        <w:rPr/>
        <w:t>d’appel</w:t>
      </w:r>
      <w:r>
        <w:rPr>
          <w:spacing w:val="-21"/>
        </w:rPr>
        <w:t> </w:t>
      </w:r>
      <w:r>
        <w:rPr/>
        <w:t>d’offres,</w:t>
      </w:r>
      <w:r>
        <w:rPr>
          <w:spacing w:val="-19"/>
        </w:rPr>
        <w:t> </w:t>
      </w:r>
      <w:r>
        <w:rPr/>
        <w:t>soit</w:t>
      </w:r>
      <w:r>
        <w:rPr>
          <w:spacing w:val="-21"/>
        </w:rPr>
        <w:t> </w:t>
      </w:r>
      <w:r>
        <w:rPr>
          <w:spacing w:val="2"/>
        </w:rPr>
        <w:t>par</w:t>
      </w:r>
      <w:r>
        <w:rPr>
          <w:spacing w:val="-22"/>
        </w:rPr>
        <w:t> </w:t>
      </w:r>
      <w:r>
        <w:rPr/>
        <w:t>voie</w:t>
      </w:r>
      <w:r>
        <w:rPr>
          <w:spacing w:val="-22"/>
        </w:rPr>
        <w:t> </w:t>
      </w:r>
      <w:r>
        <w:rPr/>
        <w:t>de</w:t>
      </w:r>
      <w:r>
        <w:rPr>
          <w:spacing w:val="-19"/>
        </w:rPr>
        <w:t> </w:t>
      </w:r>
      <w:r>
        <w:rPr/>
        <w:t>négociation</w:t>
      </w:r>
      <w:r>
        <w:rPr>
          <w:spacing w:val="-19"/>
        </w:rPr>
        <w:t> </w:t>
      </w:r>
      <w:r>
        <w:rPr/>
        <w:t>directe.</w:t>
      </w:r>
    </w:p>
    <w:p>
      <w:pPr>
        <w:pStyle w:val="BodyText"/>
        <w:spacing w:before="121"/>
        <w:ind w:right="751"/>
      </w:pPr>
      <w:r>
        <w:rPr/>
        <w:t>En cas de procéder par voie de négociation directe, ladite note d’opportunité doit être ainsi explicitement approuvée par la direction générale.</w:t>
      </w:r>
    </w:p>
    <w:p>
      <w:pPr>
        <w:pStyle w:val="BodyText"/>
        <w:spacing w:before="119"/>
        <w:ind w:right="749"/>
      </w:pPr>
      <w:r>
        <w:rPr/>
        <w:t>En</w:t>
      </w:r>
      <w:r>
        <w:rPr>
          <w:spacing w:val="-7"/>
        </w:rPr>
        <w:t> </w:t>
      </w:r>
      <w:r>
        <w:rPr/>
        <w:t>cas</w:t>
      </w:r>
      <w:r>
        <w:rPr>
          <w:spacing w:val="-9"/>
        </w:rPr>
        <w:t> </w:t>
      </w:r>
      <w:r>
        <w:rPr/>
        <w:t>d’obtention</w:t>
      </w:r>
      <w:r>
        <w:rPr>
          <w:spacing w:val="-9"/>
        </w:rPr>
        <w:t> </w:t>
      </w:r>
      <w:r>
        <w:rPr/>
        <w:t>de</w:t>
      </w:r>
      <w:r>
        <w:rPr>
          <w:spacing w:val="-9"/>
        </w:rPr>
        <w:t> </w:t>
      </w:r>
      <w:r>
        <w:rPr/>
        <w:t>l'autorisation</w:t>
      </w:r>
      <w:r>
        <w:rPr>
          <w:spacing w:val="-9"/>
        </w:rPr>
        <w:t> </w:t>
      </w:r>
      <w:r>
        <w:rPr/>
        <w:t>de</w:t>
      </w:r>
      <w:r>
        <w:rPr>
          <w:spacing w:val="-10"/>
        </w:rPr>
        <w:t> </w:t>
      </w:r>
      <w:r>
        <w:rPr/>
        <w:t>procéder</w:t>
      </w:r>
      <w:r>
        <w:rPr>
          <w:spacing w:val="-9"/>
        </w:rPr>
        <w:t> </w:t>
      </w:r>
      <w:r>
        <w:rPr/>
        <w:t>par</w:t>
      </w:r>
      <w:r>
        <w:rPr>
          <w:spacing w:val="-10"/>
        </w:rPr>
        <w:t> </w:t>
      </w:r>
      <w:r>
        <w:rPr/>
        <w:t>négociation</w:t>
      </w:r>
      <w:r>
        <w:rPr>
          <w:spacing w:val="-9"/>
        </w:rPr>
        <w:t> </w:t>
      </w:r>
      <w:r>
        <w:rPr/>
        <w:t>directe,</w:t>
      </w:r>
      <w:r>
        <w:rPr>
          <w:spacing w:val="-8"/>
        </w:rPr>
        <w:t> </w:t>
      </w:r>
      <w:r>
        <w:rPr/>
        <w:t>accordée par</w:t>
      </w:r>
      <w:r>
        <w:rPr>
          <w:spacing w:val="-11"/>
        </w:rPr>
        <w:t> </w:t>
      </w:r>
      <w:r>
        <w:rPr/>
        <w:t>le</w:t>
      </w:r>
      <w:r>
        <w:rPr>
          <w:spacing w:val="-10"/>
        </w:rPr>
        <w:t> </w:t>
      </w:r>
      <w:r>
        <w:rPr/>
        <w:t>Président</w:t>
      </w:r>
      <w:r>
        <w:rPr>
          <w:spacing w:val="-12"/>
        </w:rPr>
        <w:t> </w:t>
      </w:r>
      <w:r>
        <w:rPr/>
        <w:t>de</w:t>
      </w:r>
      <w:r>
        <w:rPr>
          <w:spacing w:val="-10"/>
        </w:rPr>
        <w:t> </w:t>
      </w:r>
      <w:r>
        <w:rPr/>
        <w:t>la</w:t>
      </w:r>
      <w:r>
        <w:rPr>
          <w:spacing w:val="-8"/>
        </w:rPr>
        <w:t> </w:t>
      </w:r>
      <w:r>
        <w:rPr/>
        <w:t>commission</w:t>
      </w:r>
      <w:r>
        <w:rPr>
          <w:spacing w:val="-12"/>
        </w:rPr>
        <w:t> </w:t>
      </w:r>
      <w:r>
        <w:rPr/>
        <w:t>des</w:t>
      </w:r>
      <w:r>
        <w:rPr>
          <w:spacing w:val="-9"/>
        </w:rPr>
        <w:t> </w:t>
      </w:r>
      <w:r>
        <w:rPr/>
        <w:t>affrètements,</w:t>
      </w:r>
      <w:r>
        <w:rPr>
          <w:spacing w:val="-11"/>
        </w:rPr>
        <w:t> </w:t>
      </w:r>
      <w:r>
        <w:rPr/>
        <w:t>la</w:t>
      </w:r>
      <w:r>
        <w:rPr>
          <w:spacing w:val="-10"/>
        </w:rPr>
        <w:t> </w:t>
      </w:r>
      <w:r>
        <w:rPr/>
        <w:t>structure</w:t>
      </w:r>
      <w:r>
        <w:rPr>
          <w:spacing w:val="-10"/>
        </w:rPr>
        <w:t> </w:t>
      </w:r>
      <w:r>
        <w:rPr/>
        <w:t>chargée</w:t>
      </w:r>
      <w:r>
        <w:rPr>
          <w:spacing w:val="-12"/>
        </w:rPr>
        <w:t> </w:t>
      </w:r>
      <w:r>
        <w:rPr/>
        <w:t>d’affrètements procède aux négociations</w:t>
      </w:r>
      <w:r>
        <w:rPr>
          <w:spacing w:val="-3"/>
        </w:rPr>
        <w:t> </w:t>
      </w:r>
      <w:r>
        <w:rPr/>
        <w:t>directes.</w:t>
      </w:r>
    </w:p>
    <w:p>
      <w:pPr>
        <w:pStyle w:val="BodyText"/>
        <w:spacing w:before="119"/>
        <w:ind w:right="752"/>
      </w:pPr>
      <w:r>
        <w:rPr/>
        <w:t>Toutefois Lorsque la commission des affrètements estime utile de procéder à des négociations avec les fournisseurs elle y procède par elle-même ou donne à cet effet délégation à deux de ses membres, qui doivent lui rendre compte de façon continu au sujet des étapes, du détail et des résultats de ces négociations.</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0"/>
      </w:pPr>
      <w:r>
        <w:rPr/>
        <w:t>Les phases de négociation sont matérialisées par des écrits, et le cas échéant par des Procès-verbaux.</w:t>
      </w:r>
    </w:p>
    <w:p>
      <w:pPr>
        <w:pStyle w:val="BodyText"/>
        <w:spacing w:before="119"/>
        <w:ind w:right="753"/>
      </w:pPr>
      <w:r>
        <w:rPr/>
        <w:t>Suite à la réception de l’offre définitive de l’armateur/courtier sélectionné, la structure chargée d’affrètements prépare le dossier du projet de l'achat d'affrètement à conclure par négociation directe. Ledit dossier comporte notamment :</w:t>
      </w:r>
    </w:p>
    <w:p>
      <w:pPr>
        <w:pStyle w:val="ListParagraph"/>
        <w:numPr>
          <w:ilvl w:val="0"/>
          <w:numId w:val="89"/>
        </w:numPr>
        <w:tabs>
          <w:tab w:pos="717" w:val="left" w:leader="none"/>
        </w:tabs>
        <w:spacing w:line="334" w:lineRule="exact" w:before="121" w:after="0"/>
        <w:ind w:left="716" w:right="0" w:hanging="284"/>
        <w:jc w:val="both"/>
        <w:rPr>
          <w:sz w:val="28"/>
        </w:rPr>
      </w:pPr>
      <w:r>
        <w:rPr>
          <w:sz w:val="28"/>
        </w:rPr>
        <w:t>Une Copie de l'ordre d'affrètement et de la note d'opportunité</w:t>
      </w:r>
      <w:r>
        <w:rPr>
          <w:spacing w:val="-11"/>
          <w:sz w:val="28"/>
        </w:rPr>
        <w:t> </w:t>
      </w:r>
      <w:r>
        <w:rPr>
          <w:sz w:val="28"/>
        </w:rPr>
        <w:t>;</w:t>
      </w:r>
    </w:p>
    <w:p>
      <w:pPr>
        <w:pStyle w:val="ListParagraph"/>
        <w:numPr>
          <w:ilvl w:val="0"/>
          <w:numId w:val="89"/>
        </w:numPr>
        <w:tabs>
          <w:tab w:pos="717" w:val="left" w:leader="none"/>
        </w:tabs>
        <w:spacing w:line="223" w:lineRule="auto" w:before="5" w:after="0"/>
        <w:ind w:left="716" w:right="759" w:hanging="284"/>
        <w:jc w:val="both"/>
        <w:rPr>
          <w:sz w:val="28"/>
        </w:rPr>
      </w:pPr>
      <w:r>
        <w:rPr>
          <w:sz w:val="28"/>
        </w:rPr>
        <w:t>L'autorisation d'entrée en négociation directe délivrée par le président de la Commission des affrètements</w:t>
      </w:r>
      <w:r>
        <w:rPr>
          <w:spacing w:val="-4"/>
          <w:sz w:val="28"/>
        </w:rPr>
        <w:t> </w:t>
      </w:r>
      <w:r>
        <w:rPr>
          <w:sz w:val="28"/>
        </w:rPr>
        <w:t>;</w:t>
      </w:r>
    </w:p>
    <w:p>
      <w:pPr>
        <w:pStyle w:val="ListParagraph"/>
        <w:numPr>
          <w:ilvl w:val="0"/>
          <w:numId w:val="89"/>
        </w:numPr>
        <w:tabs>
          <w:tab w:pos="717" w:val="left" w:leader="none"/>
        </w:tabs>
        <w:spacing w:line="225" w:lineRule="auto" w:before="19" w:after="0"/>
        <w:ind w:left="716" w:right="764" w:hanging="284"/>
        <w:jc w:val="both"/>
        <w:rPr>
          <w:sz w:val="28"/>
        </w:rPr>
      </w:pPr>
      <w:r>
        <w:rPr>
          <w:sz w:val="28"/>
        </w:rPr>
        <w:t>Une note décrivant la démarche suivie de la négociation directe et aboutissant au choix de l’armateur/ courtier sélectionné</w:t>
      </w:r>
      <w:r>
        <w:rPr>
          <w:spacing w:val="-8"/>
          <w:sz w:val="28"/>
        </w:rPr>
        <w:t> </w:t>
      </w:r>
      <w:r>
        <w:rPr>
          <w:sz w:val="28"/>
        </w:rPr>
        <w:t>;</w:t>
      </w:r>
    </w:p>
    <w:p>
      <w:pPr>
        <w:pStyle w:val="ListParagraph"/>
        <w:numPr>
          <w:ilvl w:val="0"/>
          <w:numId w:val="89"/>
        </w:numPr>
        <w:tabs>
          <w:tab w:pos="717" w:val="left" w:leader="none"/>
        </w:tabs>
        <w:spacing w:line="240" w:lineRule="auto" w:before="3" w:after="0"/>
        <w:ind w:left="716" w:right="0" w:hanging="284"/>
        <w:jc w:val="both"/>
        <w:rPr>
          <w:sz w:val="28"/>
        </w:rPr>
      </w:pPr>
      <w:r>
        <w:rPr>
          <w:sz w:val="28"/>
        </w:rPr>
        <w:t>L'offre du courtier/armateur</w:t>
      </w:r>
      <w:r>
        <w:rPr>
          <w:spacing w:val="-3"/>
          <w:sz w:val="28"/>
        </w:rPr>
        <w:t> </w:t>
      </w:r>
      <w:r>
        <w:rPr>
          <w:sz w:val="28"/>
        </w:rPr>
        <w:t>sélectionné.</w:t>
      </w:r>
    </w:p>
    <w:p>
      <w:pPr>
        <w:pStyle w:val="BodyText"/>
        <w:spacing w:before="216"/>
        <w:ind w:right="751"/>
      </w:pPr>
      <w:r>
        <w:rPr/>
        <w:t>Ce dossier doit être visé par le responsable de la structure chargée</w:t>
      </w:r>
      <w:r>
        <w:rPr>
          <w:spacing w:val="-48"/>
        </w:rPr>
        <w:t> </w:t>
      </w:r>
      <w:r>
        <w:rPr/>
        <w:t>d’affrètements et transmis ensuite à travers le SPCM à la commission des affrètements pour approbation.</w:t>
      </w:r>
    </w:p>
    <w:p>
      <w:pPr>
        <w:pStyle w:val="BodyText"/>
        <w:spacing w:before="239"/>
        <w:ind w:right="750"/>
      </w:pPr>
      <w:r>
        <w:rPr/>
        <w:t>Suite à la réception de l’offre définitive de l’armateur/courtier sélectionné, la structure chargée d’affrètements prépare le dossier du projet d’achat d'affrètement à conclure par négociation directe. Ledit dossier comporte notamment :</w:t>
      </w:r>
    </w:p>
    <w:p>
      <w:pPr>
        <w:pStyle w:val="ListParagraph"/>
        <w:numPr>
          <w:ilvl w:val="1"/>
          <w:numId w:val="89"/>
        </w:numPr>
        <w:tabs>
          <w:tab w:pos="1154" w:val="left" w:leader="none"/>
        </w:tabs>
        <w:spacing w:line="334" w:lineRule="exact" w:before="121" w:after="0"/>
        <w:ind w:left="1153" w:right="0" w:hanging="361"/>
        <w:jc w:val="both"/>
        <w:rPr>
          <w:sz w:val="28"/>
        </w:rPr>
      </w:pPr>
      <w:r>
        <w:rPr>
          <w:sz w:val="28"/>
        </w:rPr>
        <w:t>Une Copie de l'ordre d'affrètement et de la note d'opportunité</w:t>
      </w:r>
      <w:r>
        <w:rPr>
          <w:spacing w:val="-17"/>
          <w:sz w:val="28"/>
        </w:rPr>
        <w:t> </w:t>
      </w:r>
      <w:r>
        <w:rPr>
          <w:sz w:val="28"/>
        </w:rPr>
        <w:t>;</w:t>
      </w:r>
    </w:p>
    <w:p>
      <w:pPr>
        <w:pStyle w:val="ListParagraph"/>
        <w:numPr>
          <w:ilvl w:val="1"/>
          <w:numId w:val="89"/>
        </w:numPr>
        <w:tabs>
          <w:tab w:pos="1154" w:val="left" w:leader="none"/>
        </w:tabs>
        <w:spacing w:line="230" w:lineRule="auto" w:before="3" w:after="0"/>
        <w:ind w:left="1153" w:right="760" w:hanging="360"/>
        <w:jc w:val="both"/>
        <w:rPr>
          <w:sz w:val="28"/>
        </w:rPr>
      </w:pPr>
      <w:r>
        <w:rPr>
          <w:sz w:val="28"/>
        </w:rPr>
        <w:t>L'autorisation d'entrée en négociation directe délivré par le président de la commission des affrètements</w:t>
      </w:r>
      <w:r>
        <w:rPr>
          <w:spacing w:val="-4"/>
          <w:sz w:val="28"/>
        </w:rPr>
        <w:t> </w:t>
      </w:r>
      <w:r>
        <w:rPr>
          <w:sz w:val="28"/>
        </w:rPr>
        <w:t>;</w:t>
      </w:r>
    </w:p>
    <w:p>
      <w:pPr>
        <w:pStyle w:val="ListParagraph"/>
        <w:numPr>
          <w:ilvl w:val="1"/>
          <w:numId w:val="89"/>
        </w:numPr>
        <w:tabs>
          <w:tab w:pos="1154" w:val="left" w:leader="none"/>
        </w:tabs>
        <w:spacing w:line="230" w:lineRule="auto" w:before="13" w:after="0"/>
        <w:ind w:left="1153" w:right="761" w:hanging="360"/>
        <w:jc w:val="both"/>
        <w:rPr>
          <w:sz w:val="28"/>
        </w:rPr>
      </w:pPr>
      <w:r>
        <w:rPr>
          <w:sz w:val="28"/>
        </w:rPr>
        <w:t>Une note décrivant la démarche suivie de la négociation directe et aboutissant au choix de l’armateur/ courtier sélectionné</w:t>
      </w:r>
      <w:r>
        <w:rPr>
          <w:spacing w:val="-8"/>
          <w:sz w:val="28"/>
        </w:rPr>
        <w:t> </w:t>
      </w:r>
      <w:r>
        <w:rPr>
          <w:sz w:val="28"/>
        </w:rPr>
        <w:t>;</w:t>
      </w:r>
    </w:p>
    <w:p>
      <w:pPr>
        <w:pStyle w:val="ListParagraph"/>
        <w:numPr>
          <w:ilvl w:val="1"/>
          <w:numId w:val="89"/>
        </w:numPr>
        <w:tabs>
          <w:tab w:pos="1154" w:val="left" w:leader="none"/>
        </w:tabs>
        <w:spacing w:line="240" w:lineRule="auto" w:before="0" w:after="0"/>
        <w:ind w:left="1153" w:right="0" w:hanging="361"/>
        <w:jc w:val="both"/>
        <w:rPr>
          <w:sz w:val="28"/>
        </w:rPr>
      </w:pPr>
      <w:r>
        <w:rPr>
          <w:sz w:val="28"/>
        </w:rPr>
        <w:t>L'offre du courtier/armateur</w:t>
      </w:r>
      <w:r>
        <w:rPr>
          <w:spacing w:val="-3"/>
          <w:sz w:val="28"/>
        </w:rPr>
        <w:t> </w:t>
      </w:r>
      <w:r>
        <w:rPr>
          <w:sz w:val="28"/>
        </w:rPr>
        <w:t>sélectionné.</w:t>
      </w:r>
    </w:p>
    <w:p>
      <w:pPr>
        <w:pStyle w:val="Heading2"/>
        <w:numPr>
          <w:ilvl w:val="0"/>
          <w:numId w:val="83"/>
        </w:numPr>
        <w:tabs>
          <w:tab w:pos="775" w:val="left" w:leader="none"/>
        </w:tabs>
        <w:spacing w:line="240" w:lineRule="auto" w:before="230" w:after="0"/>
        <w:ind w:left="774" w:right="0" w:hanging="342"/>
        <w:jc w:val="both"/>
      </w:pPr>
      <w:bookmarkStart w:name="_TOC_250038" w:id="105"/>
      <w:r>
        <w:rPr/>
        <w:t>Procédure de passation des marchés</w:t>
      </w:r>
      <w:r>
        <w:rPr>
          <w:spacing w:val="-1"/>
        </w:rPr>
        <w:t> </w:t>
      </w:r>
      <w:bookmarkEnd w:id="105"/>
      <w:r>
        <w:rPr/>
        <w:t>d’affrètement</w:t>
      </w:r>
    </w:p>
    <w:p>
      <w:pPr>
        <w:pStyle w:val="BodyText"/>
        <w:spacing w:before="46"/>
        <w:ind w:right="753"/>
      </w:pPr>
      <w:r>
        <w:rPr/>
        <w:t>Les procédures de passation des achats d’affrètement hors marchés sont applicables aux marchés d’affrètement des navires, à l’exception de la procédure de consultation restreinte, à savoir :</w:t>
      </w:r>
    </w:p>
    <w:p>
      <w:pPr>
        <w:pStyle w:val="ListParagraph"/>
        <w:numPr>
          <w:ilvl w:val="0"/>
          <w:numId w:val="90"/>
        </w:numPr>
        <w:tabs>
          <w:tab w:pos="1504" w:val="left" w:leader="none"/>
        </w:tabs>
        <w:spacing w:line="240" w:lineRule="auto" w:before="119" w:after="0"/>
        <w:ind w:left="1503" w:right="758" w:hanging="360"/>
        <w:jc w:val="both"/>
        <w:rPr>
          <w:sz w:val="28"/>
        </w:rPr>
      </w:pPr>
      <w:r>
        <w:rPr>
          <w:sz w:val="28"/>
        </w:rPr>
        <w:t>Procédure de passation des marchés d’affrètement par voie d’Appel d’Offres mixte (via TUNEPS et hors TUNEPS à la</w:t>
      </w:r>
      <w:r>
        <w:rPr>
          <w:spacing w:val="-5"/>
          <w:sz w:val="28"/>
        </w:rPr>
        <w:t> </w:t>
      </w:r>
      <w:r>
        <w:rPr>
          <w:sz w:val="28"/>
        </w:rPr>
        <w:t>fois)</w:t>
      </w:r>
    </w:p>
    <w:p>
      <w:pPr>
        <w:pStyle w:val="ListParagraph"/>
        <w:numPr>
          <w:ilvl w:val="0"/>
          <w:numId w:val="90"/>
        </w:numPr>
        <w:tabs>
          <w:tab w:pos="1503" w:val="left" w:leader="none"/>
          <w:tab w:pos="1504" w:val="left" w:leader="none"/>
        </w:tabs>
        <w:spacing w:line="321" w:lineRule="exact" w:before="0" w:after="0"/>
        <w:ind w:left="1503" w:right="0" w:hanging="361"/>
        <w:jc w:val="left"/>
        <w:rPr>
          <w:sz w:val="28"/>
        </w:rPr>
      </w:pPr>
      <w:r>
        <w:rPr>
          <w:sz w:val="28"/>
        </w:rPr>
        <w:t>Procédure de passation des marchés en cas de non-utilisation de</w:t>
      </w:r>
      <w:r>
        <w:rPr>
          <w:spacing w:val="-14"/>
          <w:sz w:val="28"/>
        </w:rPr>
        <w:t> </w:t>
      </w:r>
      <w:r>
        <w:rPr>
          <w:sz w:val="28"/>
        </w:rPr>
        <w:t>TUNEPS</w:t>
      </w:r>
    </w:p>
    <w:p>
      <w:pPr>
        <w:pStyle w:val="ListParagraph"/>
        <w:numPr>
          <w:ilvl w:val="0"/>
          <w:numId w:val="90"/>
        </w:numPr>
        <w:tabs>
          <w:tab w:pos="1503" w:val="left" w:leader="none"/>
          <w:tab w:pos="1504" w:val="left" w:leader="none"/>
        </w:tabs>
        <w:spacing w:line="240" w:lineRule="auto" w:before="2" w:after="0"/>
        <w:ind w:left="1503" w:right="753" w:hanging="360"/>
        <w:jc w:val="left"/>
        <w:rPr>
          <w:sz w:val="28"/>
        </w:rPr>
      </w:pPr>
      <w:r>
        <w:rPr>
          <w:sz w:val="28"/>
        </w:rPr>
        <w:t>Procédure de passation des marchés d’affrètement par voie de négociation directe</w:t>
      </w:r>
    </w:p>
    <w:p>
      <w:pPr>
        <w:pStyle w:val="BodyText"/>
        <w:spacing w:before="119"/>
        <w:ind w:right="748"/>
        <w:jc w:val="left"/>
      </w:pPr>
      <w:r>
        <w:rPr/>
        <w:t>Les</w:t>
      </w:r>
      <w:r>
        <w:rPr>
          <w:spacing w:val="-12"/>
        </w:rPr>
        <w:t> </w:t>
      </w:r>
      <w:r>
        <w:rPr/>
        <w:t>dossiers</w:t>
      </w:r>
      <w:r>
        <w:rPr>
          <w:spacing w:val="-12"/>
        </w:rPr>
        <w:t> </w:t>
      </w:r>
      <w:r>
        <w:rPr/>
        <w:t>de</w:t>
      </w:r>
      <w:r>
        <w:rPr>
          <w:spacing w:val="-15"/>
        </w:rPr>
        <w:t> </w:t>
      </w:r>
      <w:r>
        <w:rPr/>
        <w:t>passation</w:t>
      </w:r>
      <w:r>
        <w:rPr>
          <w:spacing w:val="-14"/>
        </w:rPr>
        <w:t> </w:t>
      </w:r>
      <w:r>
        <w:rPr/>
        <w:t>des</w:t>
      </w:r>
      <w:r>
        <w:rPr>
          <w:spacing w:val="-12"/>
        </w:rPr>
        <w:t> </w:t>
      </w:r>
      <w:r>
        <w:rPr/>
        <w:t>marchés</w:t>
      </w:r>
      <w:r>
        <w:rPr>
          <w:spacing w:val="-11"/>
        </w:rPr>
        <w:t> </w:t>
      </w:r>
      <w:r>
        <w:rPr/>
        <w:t>d’affrètement</w:t>
      </w:r>
      <w:r>
        <w:rPr>
          <w:spacing w:val="-10"/>
        </w:rPr>
        <w:t> </w:t>
      </w:r>
      <w:r>
        <w:rPr/>
        <w:t>relèvent</w:t>
      </w:r>
      <w:r>
        <w:rPr>
          <w:spacing w:val="-15"/>
        </w:rPr>
        <w:t> </w:t>
      </w:r>
      <w:r>
        <w:rPr/>
        <w:t>de</w:t>
      </w:r>
      <w:r>
        <w:rPr>
          <w:spacing w:val="-15"/>
        </w:rPr>
        <w:t> </w:t>
      </w:r>
      <w:r>
        <w:rPr/>
        <w:t>la</w:t>
      </w:r>
      <w:r>
        <w:rPr>
          <w:spacing w:val="-12"/>
        </w:rPr>
        <w:t> </w:t>
      </w:r>
      <w:r>
        <w:rPr/>
        <w:t>compétence</w:t>
      </w:r>
      <w:r>
        <w:rPr>
          <w:spacing w:val="-15"/>
        </w:rPr>
        <w:t> </w:t>
      </w:r>
      <w:r>
        <w:rPr/>
        <w:t>de la CME et sont soumis à l’approbation du Conseil</w:t>
      </w:r>
      <w:r>
        <w:rPr>
          <w:spacing w:val="-14"/>
        </w:rPr>
        <w:t> </w:t>
      </w:r>
      <w:r>
        <w:rPr/>
        <w:t>d’Administration.</w:t>
      </w:r>
    </w:p>
    <w:p>
      <w:pPr>
        <w:spacing w:after="0"/>
        <w:jc w:val="left"/>
        <w:sectPr>
          <w:pgSz w:w="11910" w:h="16840"/>
          <w:pgMar w:header="722" w:footer="0" w:top="1860" w:bottom="280" w:left="700" w:right="380"/>
        </w:sectPr>
      </w:pPr>
    </w:p>
    <w:p>
      <w:pPr>
        <w:pStyle w:val="BodyText"/>
        <w:ind w:left="0" w:firstLine="0"/>
        <w:jc w:val="left"/>
        <w:rPr>
          <w:sz w:val="17"/>
        </w:rPr>
      </w:pPr>
    </w:p>
    <w:p>
      <w:pPr>
        <w:pStyle w:val="Heading1"/>
        <w:ind w:left="631" w:right="959"/>
        <w:jc w:val="center"/>
      </w:pPr>
      <w:bookmarkStart w:name="_TOC_250037" w:id="106"/>
      <w:bookmarkEnd w:id="106"/>
      <w:r>
        <w:rPr/>
        <w:t>Chapitre 5. GOUVERNANCE DES ACHATS DU GCT</w:t>
      </w:r>
    </w:p>
    <w:p>
      <w:pPr>
        <w:pStyle w:val="Heading2"/>
        <w:numPr>
          <w:ilvl w:val="0"/>
          <w:numId w:val="91"/>
        </w:numPr>
        <w:tabs>
          <w:tab w:pos="683" w:val="left" w:leader="none"/>
        </w:tabs>
        <w:spacing w:line="321" w:lineRule="exact" w:before="238" w:after="0"/>
        <w:ind w:left="682" w:right="0" w:hanging="250"/>
        <w:jc w:val="left"/>
      </w:pPr>
      <w:bookmarkStart w:name="_TOC_250036" w:id="107"/>
      <w:r>
        <w:rPr/>
        <w:t>Système de contrôle des achats du</w:t>
      </w:r>
      <w:r>
        <w:rPr>
          <w:spacing w:val="-1"/>
        </w:rPr>
        <w:t> </w:t>
      </w:r>
      <w:bookmarkEnd w:id="107"/>
      <w:r>
        <w:rPr/>
        <w:t>GCT</w:t>
      </w:r>
    </w:p>
    <w:p>
      <w:pPr>
        <w:pStyle w:val="BodyText"/>
        <w:spacing w:line="320" w:lineRule="exact"/>
        <w:ind w:left="716" w:firstLine="0"/>
        <w:jc w:val="left"/>
      </w:pPr>
      <w:r>
        <w:rPr/>
        <w:t>Le contrôle des achats du GCT est assuré par :</w:t>
      </w:r>
    </w:p>
    <w:p>
      <w:pPr>
        <w:pStyle w:val="ListParagraph"/>
        <w:numPr>
          <w:ilvl w:val="1"/>
          <w:numId w:val="91"/>
        </w:numPr>
        <w:tabs>
          <w:tab w:pos="1436" w:val="left" w:leader="none"/>
          <w:tab w:pos="1437" w:val="left" w:leader="none"/>
        </w:tabs>
        <w:spacing w:line="341" w:lineRule="exact" w:before="0" w:after="0"/>
        <w:ind w:left="1436" w:right="0" w:hanging="361"/>
        <w:jc w:val="left"/>
        <w:rPr>
          <w:sz w:val="28"/>
        </w:rPr>
      </w:pPr>
      <w:r>
        <w:rPr>
          <w:sz w:val="28"/>
        </w:rPr>
        <w:t>Les commissions de contrôle des achats hors marchés et des</w:t>
      </w:r>
      <w:r>
        <w:rPr>
          <w:spacing w:val="-24"/>
          <w:sz w:val="28"/>
        </w:rPr>
        <w:t> </w:t>
      </w:r>
      <w:r>
        <w:rPr>
          <w:sz w:val="28"/>
        </w:rPr>
        <w:t>marchés,</w:t>
      </w:r>
    </w:p>
    <w:p>
      <w:pPr>
        <w:pStyle w:val="ListParagraph"/>
        <w:numPr>
          <w:ilvl w:val="1"/>
          <w:numId w:val="91"/>
        </w:numPr>
        <w:tabs>
          <w:tab w:pos="1436" w:val="left" w:leader="none"/>
          <w:tab w:pos="1437" w:val="left" w:leader="none"/>
        </w:tabs>
        <w:spacing w:line="342" w:lineRule="exact" w:before="0" w:after="0"/>
        <w:ind w:left="1436" w:right="0" w:hanging="361"/>
        <w:jc w:val="left"/>
        <w:rPr>
          <w:sz w:val="28"/>
        </w:rPr>
      </w:pPr>
      <w:r>
        <w:rPr>
          <w:sz w:val="28"/>
        </w:rPr>
        <w:t>La Commission de Recours et</w:t>
      </w:r>
      <w:r>
        <w:rPr>
          <w:spacing w:val="-8"/>
          <w:sz w:val="28"/>
        </w:rPr>
        <w:t> </w:t>
      </w:r>
      <w:r>
        <w:rPr>
          <w:sz w:val="28"/>
        </w:rPr>
        <w:t>d’Intégrité</w:t>
      </w:r>
    </w:p>
    <w:p>
      <w:pPr>
        <w:pStyle w:val="ListParagraph"/>
        <w:numPr>
          <w:ilvl w:val="1"/>
          <w:numId w:val="91"/>
        </w:numPr>
        <w:tabs>
          <w:tab w:pos="1436" w:val="left" w:leader="none"/>
          <w:tab w:pos="1437" w:val="left" w:leader="none"/>
        </w:tabs>
        <w:spacing w:line="342" w:lineRule="exact" w:before="1" w:after="0"/>
        <w:ind w:left="1436" w:right="0" w:hanging="361"/>
        <w:jc w:val="left"/>
        <w:rPr>
          <w:sz w:val="28"/>
        </w:rPr>
      </w:pPr>
      <w:r>
        <w:rPr>
          <w:sz w:val="28"/>
        </w:rPr>
        <w:t>La Structure</w:t>
      </w:r>
      <w:r>
        <w:rPr>
          <w:spacing w:val="-4"/>
          <w:sz w:val="28"/>
        </w:rPr>
        <w:t> </w:t>
      </w:r>
      <w:r>
        <w:rPr>
          <w:sz w:val="28"/>
        </w:rPr>
        <w:t>d’audit,</w:t>
      </w:r>
    </w:p>
    <w:p>
      <w:pPr>
        <w:pStyle w:val="ListParagraph"/>
        <w:numPr>
          <w:ilvl w:val="1"/>
          <w:numId w:val="91"/>
        </w:numPr>
        <w:tabs>
          <w:tab w:pos="1436" w:val="left" w:leader="none"/>
          <w:tab w:pos="1437" w:val="left" w:leader="none"/>
        </w:tabs>
        <w:spacing w:line="342" w:lineRule="exact" w:before="0" w:after="0"/>
        <w:ind w:left="1436" w:right="0" w:hanging="361"/>
        <w:jc w:val="left"/>
        <w:rPr>
          <w:sz w:val="28"/>
        </w:rPr>
      </w:pPr>
      <w:r>
        <w:rPr>
          <w:sz w:val="28"/>
        </w:rPr>
        <w:t>La Structure</w:t>
      </w:r>
      <w:r>
        <w:rPr>
          <w:spacing w:val="-4"/>
          <w:sz w:val="28"/>
        </w:rPr>
        <w:t> </w:t>
      </w:r>
      <w:r>
        <w:rPr>
          <w:sz w:val="28"/>
        </w:rPr>
        <w:t>d’inspection,</w:t>
      </w:r>
    </w:p>
    <w:p>
      <w:pPr>
        <w:pStyle w:val="ListParagraph"/>
        <w:numPr>
          <w:ilvl w:val="1"/>
          <w:numId w:val="91"/>
        </w:numPr>
        <w:tabs>
          <w:tab w:pos="1436" w:val="left" w:leader="none"/>
          <w:tab w:pos="1437" w:val="left" w:leader="none"/>
        </w:tabs>
        <w:spacing w:line="240" w:lineRule="auto" w:before="0" w:after="0"/>
        <w:ind w:left="1436" w:right="0" w:hanging="361"/>
        <w:jc w:val="left"/>
        <w:rPr>
          <w:sz w:val="28"/>
        </w:rPr>
      </w:pPr>
      <w:r>
        <w:rPr>
          <w:sz w:val="28"/>
        </w:rPr>
        <w:t>Le Contrôleur</w:t>
      </w:r>
      <w:r>
        <w:rPr>
          <w:spacing w:val="-4"/>
          <w:sz w:val="28"/>
        </w:rPr>
        <w:t> </w:t>
      </w:r>
      <w:r>
        <w:rPr>
          <w:sz w:val="28"/>
        </w:rPr>
        <w:t>d’état.</w:t>
      </w:r>
    </w:p>
    <w:p>
      <w:pPr>
        <w:pStyle w:val="Heading2"/>
        <w:numPr>
          <w:ilvl w:val="1"/>
          <w:numId w:val="92"/>
        </w:numPr>
        <w:tabs>
          <w:tab w:pos="895" w:val="left" w:leader="none"/>
        </w:tabs>
        <w:spacing w:line="321" w:lineRule="exact" w:before="123" w:after="0"/>
        <w:ind w:left="894" w:right="0" w:hanging="462"/>
        <w:jc w:val="left"/>
      </w:pPr>
      <w:bookmarkStart w:name="_TOC_250035" w:id="108"/>
      <w:bookmarkEnd w:id="108"/>
      <w:r>
        <w:rPr/>
        <w:t>Les commissions de contrôles des achats hors marchés et des marchés</w:t>
      </w:r>
    </w:p>
    <w:p>
      <w:pPr>
        <w:pStyle w:val="BodyText"/>
        <w:ind w:right="748"/>
        <w:jc w:val="left"/>
      </w:pPr>
      <w:r>
        <w:rPr/>
        <w:t>Les commissions citées ci-dessous contrôlent la régularité des procédures de passation des achats relevant de leurs seuils de compétence</w:t>
      </w:r>
    </w:p>
    <w:p>
      <w:pPr>
        <w:pStyle w:val="Heading2"/>
        <w:numPr>
          <w:ilvl w:val="0"/>
          <w:numId w:val="93"/>
        </w:numPr>
        <w:tabs>
          <w:tab w:pos="717" w:val="left" w:leader="none"/>
        </w:tabs>
        <w:spacing w:line="322" w:lineRule="exact" w:before="2" w:after="0"/>
        <w:ind w:left="716" w:right="0" w:hanging="284"/>
        <w:jc w:val="left"/>
      </w:pPr>
      <w:r>
        <w:rPr/>
        <w:t>Pour les achats hors marchés du GCT</w:t>
      </w:r>
      <w:r>
        <w:rPr>
          <w:spacing w:val="2"/>
        </w:rPr>
        <w:t> </w:t>
      </w:r>
      <w:r>
        <w:rPr/>
        <w:t>:</w:t>
      </w:r>
    </w:p>
    <w:p>
      <w:pPr>
        <w:pStyle w:val="ListParagraph"/>
        <w:numPr>
          <w:ilvl w:val="1"/>
          <w:numId w:val="93"/>
        </w:numPr>
        <w:tabs>
          <w:tab w:pos="1000" w:val="left" w:leader="none"/>
        </w:tabs>
        <w:spacing w:line="240" w:lineRule="auto" w:before="0" w:after="0"/>
        <w:ind w:left="999" w:right="754" w:hanging="284"/>
        <w:jc w:val="both"/>
        <w:rPr>
          <w:sz w:val="28"/>
        </w:rPr>
      </w:pPr>
      <w:r>
        <w:rPr>
          <w:sz w:val="28"/>
        </w:rPr>
        <w:t>La Commission des Achats de l'Entreprise (CAE), les Commissions Régionales des Achats (CRA) de Tunis, de Sfax, de Gabes et de Gafsa, le Directeur des Moyens Généraux de Tunis et les Directeurs d'Approvisionnement de Sfax, de Gabes et de Gafsa, contrôlent les achats hors Matières Premières relevant</w:t>
      </w:r>
      <w:r>
        <w:rPr>
          <w:spacing w:val="-37"/>
          <w:sz w:val="28"/>
        </w:rPr>
        <w:t> </w:t>
      </w:r>
      <w:r>
        <w:rPr>
          <w:sz w:val="28"/>
        </w:rPr>
        <w:t>chacun de ses seuils de</w:t>
      </w:r>
      <w:r>
        <w:rPr>
          <w:spacing w:val="-6"/>
          <w:sz w:val="28"/>
        </w:rPr>
        <w:t> </w:t>
      </w:r>
      <w:r>
        <w:rPr>
          <w:sz w:val="28"/>
        </w:rPr>
        <w:t>compétence.</w:t>
      </w:r>
    </w:p>
    <w:p>
      <w:pPr>
        <w:pStyle w:val="ListParagraph"/>
        <w:numPr>
          <w:ilvl w:val="1"/>
          <w:numId w:val="93"/>
        </w:numPr>
        <w:tabs>
          <w:tab w:pos="1000" w:val="left" w:leader="none"/>
        </w:tabs>
        <w:spacing w:line="240" w:lineRule="auto" w:before="0" w:after="0"/>
        <w:ind w:left="999" w:right="751" w:hanging="284"/>
        <w:jc w:val="both"/>
        <w:rPr>
          <w:sz w:val="28"/>
        </w:rPr>
      </w:pPr>
      <w:r>
        <w:rPr>
          <w:sz w:val="28"/>
        </w:rPr>
        <w:t>La Commission des Affrètements contrôle les achats hors marchés des services d'affrètement des navires relevant de son seuil de</w:t>
      </w:r>
      <w:r>
        <w:rPr>
          <w:spacing w:val="-16"/>
          <w:sz w:val="28"/>
        </w:rPr>
        <w:t> </w:t>
      </w:r>
      <w:r>
        <w:rPr>
          <w:sz w:val="28"/>
        </w:rPr>
        <w:t>compétence.</w:t>
      </w:r>
    </w:p>
    <w:p>
      <w:pPr>
        <w:pStyle w:val="Heading2"/>
        <w:numPr>
          <w:ilvl w:val="0"/>
          <w:numId w:val="93"/>
        </w:numPr>
        <w:tabs>
          <w:tab w:pos="717" w:val="left" w:leader="none"/>
        </w:tabs>
        <w:spacing w:line="321" w:lineRule="exact" w:before="2" w:after="0"/>
        <w:ind w:left="716" w:right="0" w:hanging="284"/>
        <w:jc w:val="both"/>
      </w:pPr>
      <w:r>
        <w:rPr/>
        <w:t>Pour les marchés du GCT</w:t>
      </w:r>
      <w:r>
        <w:rPr>
          <w:spacing w:val="-2"/>
        </w:rPr>
        <w:t> </w:t>
      </w:r>
      <w:r>
        <w:rPr/>
        <w:t>:</w:t>
      </w:r>
    </w:p>
    <w:p>
      <w:pPr>
        <w:pStyle w:val="ListParagraph"/>
        <w:numPr>
          <w:ilvl w:val="1"/>
          <w:numId w:val="93"/>
        </w:numPr>
        <w:tabs>
          <w:tab w:pos="1003" w:val="left" w:leader="none"/>
        </w:tabs>
        <w:spacing w:line="240" w:lineRule="auto" w:before="0" w:after="0"/>
        <w:ind w:left="1002" w:right="756" w:hanging="286"/>
        <w:jc w:val="both"/>
        <w:rPr>
          <w:sz w:val="28"/>
        </w:rPr>
      </w:pPr>
      <w:r>
        <w:rPr>
          <w:sz w:val="28"/>
        </w:rPr>
        <w:t>La Commission des Marchés de l'Entreprise (CME) contrôle tous les marchés du GCT.</w:t>
      </w:r>
    </w:p>
    <w:p>
      <w:pPr>
        <w:pStyle w:val="BodyText"/>
        <w:spacing w:before="119"/>
        <w:ind w:right="748"/>
        <w:jc w:val="left"/>
      </w:pPr>
      <w:r>
        <w:rPr/>
        <w:t>La</w:t>
      </w:r>
      <w:r>
        <w:rPr>
          <w:spacing w:val="-22"/>
        </w:rPr>
        <w:t> </w:t>
      </w:r>
      <w:r>
        <w:rPr/>
        <w:t>composition,</w:t>
      </w:r>
      <w:r>
        <w:rPr>
          <w:spacing w:val="-24"/>
        </w:rPr>
        <w:t> </w:t>
      </w:r>
      <w:r>
        <w:rPr/>
        <w:t>le</w:t>
      </w:r>
      <w:r>
        <w:rPr>
          <w:spacing w:val="-21"/>
        </w:rPr>
        <w:t> </w:t>
      </w:r>
      <w:r>
        <w:rPr/>
        <w:t>quorum</w:t>
      </w:r>
      <w:r>
        <w:rPr>
          <w:spacing w:val="-26"/>
        </w:rPr>
        <w:t> </w:t>
      </w:r>
      <w:r>
        <w:rPr/>
        <w:t>et</w:t>
      </w:r>
      <w:r>
        <w:rPr>
          <w:spacing w:val="-20"/>
        </w:rPr>
        <w:t> </w:t>
      </w:r>
      <w:r>
        <w:rPr/>
        <w:t>les</w:t>
      </w:r>
      <w:r>
        <w:rPr>
          <w:spacing w:val="-20"/>
        </w:rPr>
        <w:t> </w:t>
      </w:r>
      <w:r>
        <w:rPr/>
        <w:t>attributions,</w:t>
      </w:r>
      <w:r>
        <w:rPr>
          <w:spacing w:val="-22"/>
        </w:rPr>
        <w:t> </w:t>
      </w:r>
      <w:r>
        <w:rPr/>
        <w:t>de</w:t>
      </w:r>
      <w:r>
        <w:rPr>
          <w:spacing w:val="-23"/>
        </w:rPr>
        <w:t> </w:t>
      </w:r>
      <w:r>
        <w:rPr/>
        <w:t>chaque</w:t>
      </w:r>
      <w:r>
        <w:rPr>
          <w:spacing w:val="-21"/>
        </w:rPr>
        <w:t> </w:t>
      </w:r>
      <w:r>
        <w:rPr/>
        <w:t>commission</w:t>
      </w:r>
      <w:r>
        <w:rPr>
          <w:spacing w:val="-23"/>
        </w:rPr>
        <w:t> </w:t>
      </w:r>
      <w:r>
        <w:rPr/>
        <w:t>sont</w:t>
      </w:r>
      <w:r>
        <w:rPr>
          <w:spacing w:val="-22"/>
        </w:rPr>
        <w:t> </w:t>
      </w:r>
      <w:r>
        <w:rPr/>
        <w:t>détaillés dans les annexes n°7, 8, 9 et</w:t>
      </w:r>
      <w:r>
        <w:rPr>
          <w:spacing w:val="-9"/>
        </w:rPr>
        <w:t> </w:t>
      </w:r>
      <w:r>
        <w:rPr/>
        <w:t>10.</w:t>
      </w:r>
    </w:p>
    <w:p>
      <w:pPr>
        <w:pStyle w:val="BodyText"/>
        <w:ind w:right="748"/>
        <w:jc w:val="left"/>
      </w:pPr>
      <w:r>
        <w:rPr/>
        <w:t>L’annexe n°11 récapitule les seuils de compétences des différentes commissions de contrôle.</w:t>
      </w:r>
    </w:p>
    <w:p>
      <w:pPr>
        <w:pStyle w:val="BodyText"/>
        <w:ind w:right="748"/>
        <w:jc w:val="left"/>
      </w:pPr>
      <w:r>
        <w:rPr/>
        <w:t>Les seuils de compétence des différentes entités de contrôle peuvent être révisés par décision du conseil d’administration.</w:t>
      </w:r>
    </w:p>
    <w:p>
      <w:pPr>
        <w:pStyle w:val="Heading2"/>
        <w:numPr>
          <w:ilvl w:val="1"/>
          <w:numId w:val="92"/>
        </w:numPr>
        <w:tabs>
          <w:tab w:pos="895" w:val="left" w:leader="none"/>
        </w:tabs>
        <w:spacing w:line="319" w:lineRule="exact" w:before="126" w:after="0"/>
        <w:ind w:left="894" w:right="0" w:hanging="462"/>
        <w:jc w:val="left"/>
      </w:pPr>
      <w:bookmarkStart w:name="_TOC_250034" w:id="109"/>
      <w:r>
        <w:rPr/>
        <w:t>L’audit</w:t>
      </w:r>
      <w:r>
        <w:rPr>
          <w:spacing w:val="-1"/>
        </w:rPr>
        <w:t> </w:t>
      </w:r>
      <w:bookmarkEnd w:id="109"/>
      <w:r>
        <w:rPr/>
        <w:t>interne</w:t>
      </w:r>
    </w:p>
    <w:p>
      <w:pPr>
        <w:pStyle w:val="BodyText"/>
        <w:ind w:right="757"/>
      </w:pPr>
      <w:r>
        <w:rPr/>
        <w:t>La structure chargée de l'Audit interne effectue un audit interne périodique des achats</w:t>
      </w:r>
      <w:r>
        <w:rPr>
          <w:spacing w:val="-7"/>
        </w:rPr>
        <w:t> </w:t>
      </w:r>
      <w:r>
        <w:rPr/>
        <w:t>du</w:t>
      </w:r>
      <w:r>
        <w:rPr>
          <w:spacing w:val="-5"/>
        </w:rPr>
        <w:t> </w:t>
      </w:r>
      <w:r>
        <w:rPr/>
        <w:t>GCT</w:t>
      </w:r>
      <w:r>
        <w:rPr>
          <w:spacing w:val="-5"/>
        </w:rPr>
        <w:t> </w:t>
      </w:r>
      <w:r>
        <w:rPr/>
        <w:t>dans</w:t>
      </w:r>
      <w:r>
        <w:rPr>
          <w:spacing w:val="-5"/>
        </w:rPr>
        <w:t> </w:t>
      </w:r>
      <w:r>
        <w:rPr/>
        <w:t>le</w:t>
      </w:r>
      <w:r>
        <w:rPr>
          <w:spacing w:val="-5"/>
        </w:rPr>
        <w:t> </w:t>
      </w:r>
      <w:r>
        <w:rPr/>
        <w:t>cadre</w:t>
      </w:r>
      <w:r>
        <w:rPr>
          <w:spacing w:val="-4"/>
        </w:rPr>
        <w:t> </w:t>
      </w:r>
      <w:r>
        <w:rPr/>
        <w:t>du</w:t>
      </w:r>
      <w:r>
        <w:rPr>
          <w:spacing w:val="-5"/>
        </w:rPr>
        <w:t> </w:t>
      </w:r>
      <w:r>
        <w:rPr/>
        <w:t>plan</w:t>
      </w:r>
      <w:r>
        <w:rPr>
          <w:spacing w:val="-5"/>
        </w:rPr>
        <w:t> </w:t>
      </w:r>
      <w:r>
        <w:rPr/>
        <w:t>annuel</w:t>
      </w:r>
      <w:r>
        <w:rPr>
          <w:spacing w:val="-4"/>
        </w:rPr>
        <w:t> </w:t>
      </w:r>
      <w:r>
        <w:rPr/>
        <w:t>d’audit</w:t>
      </w:r>
      <w:r>
        <w:rPr>
          <w:spacing w:val="-3"/>
        </w:rPr>
        <w:t> </w:t>
      </w:r>
      <w:r>
        <w:rPr/>
        <w:t>interne</w:t>
      </w:r>
      <w:r>
        <w:rPr>
          <w:spacing w:val="-5"/>
        </w:rPr>
        <w:t> </w:t>
      </w:r>
      <w:r>
        <w:rPr/>
        <w:t>qui</w:t>
      </w:r>
      <w:r>
        <w:rPr>
          <w:spacing w:val="-4"/>
        </w:rPr>
        <w:t> </w:t>
      </w:r>
      <w:r>
        <w:rPr/>
        <w:t>sera</w:t>
      </w:r>
      <w:r>
        <w:rPr>
          <w:spacing w:val="-4"/>
        </w:rPr>
        <w:t> </w:t>
      </w:r>
      <w:r>
        <w:rPr/>
        <w:t>exposé</w:t>
      </w:r>
      <w:r>
        <w:rPr>
          <w:spacing w:val="-5"/>
        </w:rPr>
        <w:t> </w:t>
      </w:r>
      <w:r>
        <w:rPr/>
        <w:t>au</w:t>
      </w:r>
      <w:r>
        <w:rPr>
          <w:spacing w:val="-5"/>
        </w:rPr>
        <w:t> </w:t>
      </w:r>
      <w:r>
        <w:rPr/>
        <w:t>Comité Permanent d'Audit et au Conseil</w:t>
      </w:r>
      <w:r>
        <w:rPr>
          <w:spacing w:val="-8"/>
        </w:rPr>
        <w:t> </w:t>
      </w:r>
      <w:r>
        <w:rPr/>
        <w:t>d'Administration.</w:t>
      </w:r>
    </w:p>
    <w:p>
      <w:pPr>
        <w:pStyle w:val="Heading2"/>
        <w:numPr>
          <w:ilvl w:val="1"/>
          <w:numId w:val="92"/>
        </w:numPr>
        <w:tabs>
          <w:tab w:pos="895" w:val="left" w:leader="none"/>
        </w:tabs>
        <w:spacing w:line="319" w:lineRule="exact" w:before="121" w:after="0"/>
        <w:ind w:left="894" w:right="0" w:hanging="462"/>
        <w:jc w:val="both"/>
      </w:pPr>
      <w:bookmarkStart w:name="_TOC_250033" w:id="110"/>
      <w:bookmarkEnd w:id="110"/>
      <w:r>
        <w:rPr/>
        <w:t>L’inspection</w:t>
      </w:r>
    </w:p>
    <w:p>
      <w:pPr>
        <w:pStyle w:val="BodyText"/>
        <w:ind w:right="762"/>
      </w:pPr>
      <w:r>
        <w:rPr/>
        <w:t>La structure chargée de l'inspection intervient par mission ponctuellement sur un dossier d’achat douteux et ce, sur demande écrite du Directeur Général</w:t>
      </w:r>
    </w:p>
    <w:p>
      <w:pPr>
        <w:pStyle w:val="Heading2"/>
        <w:numPr>
          <w:ilvl w:val="1"/>
          <w:numId w:val="92"/>
        </w:numPr>
        <w:tabs>
          <w:tab w:pos="895" w:val="left" w:leader="none"/>
        </w:tabs>
        <w:spacing w:line="319" w:lineRule="exact" w:before="124" w:after="0"/>
        <w:ind w:left="894" w:right="0" w:hanging="462"/>
        <w:jc w:val="both"/>
      </w:pPr>
      <w:bookmarkStart w:name="_TOC_250032" w:id="111"/>
      <w:r>
        <w:rPr/>
        <w:t>Le contrôleur</w:t>
      </w:r>
      <w:r>
        <w:rPr>
          <w:spacing w:val="-1"/>
        </w:rPr>
        <w:t> </w:t>
      </w:r>
      <w:bookmarkEnd w:id="111"/>
      <w:r>
        <w:rPr/>
        <w:t>d'état</w:t>
      </w:r>
    </w:p>
    <w:p>
      <w:pPr>
        <w:pStyle w:val="BodyText"/>
        <w:ind w:right="761" w:firstLine="0"/>
      </w:pPr>
      <w:r>
        <w:rPr/>
        <w:t>Le contrôleur d’état est chargé d'exercer une mission générale de contrôle. En ce qui concerne les achats du GCT, il assure notamment :</w:t>
      </w:r>
    </w:p>
    <w:p>
      <w:pPr>
        <w:spacing w:after="0"/>
        <w:sectPr>
          <w:pgSz w:w="11910" w:h="16840"/>
          <w:pgMar w:header="722" w:footer="0" w:top="1860" w:bottom="280" w:left="700" w:right="380"/>
        </w:sectPr>
      </w:pPr>
    </w:p>
    <w:p>
      <w:pPr>
        <w:pStyle w:val="BodyText"/>
        <w:spacing w:before="10"/>
        <w:ind w:left="0" w:firstLine="0"/>
        <w:jc w:val="left"/>
        <w:rPr>
          <w:sz w:val="15"/>
        </w:rPr>
      </w:pPr>
    </w:p>
    <w:p>
      <w:pPr>
        <w:pStyle w:val="ListParagraph"/>
        <w:numPr>
          <w:ilvl w:val="2"/>
          <w:numId w:val="92"/>
        </w:numPr>
        <w:tabs>
          <w:tab w:pos="1154" w:val="left" w:leader="none"/>
        </w:tabs>
        <w:spacing w:line="242" w:lineRule="auto" w:before="92" w:after="0"/>
        <w:ind w:left="1153" w:right="750" w:hanging="360"/>
        <w:jc w:val="both"/>
        <w:rPr>
          <w:sz w:val="28"/>
        </w:rPr>
      </w:pPr>
      <w:r>
        <w:rPr>
          <w:sz w:val="28"/>
        </w:rPr>
        <w:t>La vérification du respect du GCT des procédures régissant les marchés. Il est convoqué obligatoirement aux réunions de la</w:t>
      </w:r>
      <w:r>
        <w:rPr>
          <w:spacing w:val="-8"/>
          <w:sz w:val="28"/>
        </w:rPr>
        <w:t> </w:t>
      </w:r>
      <w:r>
        <w:rPr>
          <w:sz w:val="28"/>
        </w:rPr>
        <w:t>CME.</w:t>
      </w:r>
    </w:p>
    <w:p>
      <w:pPr>
        <w:pStyle w:val="ListParagraph"/>
        <w:numPr>
          <w:ilvl w:val="2"/>
          <w:numId w:val="92"/>
        </w:numPr>
        <w:tabs>
          <w:tab w:pos="1154" w:val="left" w:leader="none"/>
        </w:tabs>
        <w:spacing w:line="240" w:lineRule="auto" w:before="0" w:after="0"/>
        <w:ind w:left="1153" w:right="750" w:hanging="360"/>
        <w:jc w:val="both"/>
        <w:rPr>
          <w:sz w:val="28"/>
        </w:rPr>
      </w:pPr>
      <w:r>
        <w:rPr>
          <w:sz w:val="28"/>
        </w:rPr>
        <w:t>Il émet ses avis et remarques sur toutes les questions applicables au domaine de l’exception dans l’entreprise ainsi que celles relatives à l’application de la législation et règlementations régissant les achats du</w:t>
      </w:r>
      <w:r>
        <w:rPr>
          <w:spacing w:val="-2"/>
          <w:sz w:val="28"/>
        </w:rPr>
        <w:t> </w:t>
      </w:r>
      <w:r>
        <w:rPr>
          <w:sz w:val="28"/>
        </w:rPr>
        <w:t>GCT.</w:t>
      </w:r>
    </w:p>
    <w:p>
      <w:pPr>
        <w:pStyle w:val="ListParagraph"/>
        <w:numPr>
          <w:ilvl w:val="2"/>
          <w:numId w:val="92"/>
        </w:numPr>
        <w:tabs>
          <w:tab w:pos="1154" w:val="left" w:leader="none"/>
        </w:tabs>
        <w:spacing w:line="240" w:lineRule="auto" w:before="0" w:after="0"/>
        <w:ind w:left="1153" w:right="749" w:hanging="360"/>
        <w:jc w:val="both"/>
        <w:rPr>
          <w:sz w:val="28"/>
        </w:rPr>
      </w:pPr>
      <w:r>
        <w:rPr>
          <w:sz w:val="28"/>
        </w:rPr>
        <w:t>Il</w:t>
      </w:r>
      <w:r>
        <w:rPr>
          <w:spacing w:val="-6"/>
          <w:sz w:val="28"/>
        </w:rPr>
        <w:t> </w:t>
      </w:r>
      <w:r>
        <w:rPr>
          <w:sz w:val="28"/>
        </w:rPr>
        <w:t>exprime,</w:t>
      </w:r>
      <w:r>
        <w:rPr>
          <w:spacing w:val="-5"/>
          <w:sz w:val="28"/>
        </w:rPr>
        <w:t> </w:t>
      </w:r>
      <w:r>
        <w:rPr>
          <w:sz w:val="28"/>
        </w:rPr>
        <w:t>le</w:t>
      </w:r>
      <w:r>
        <w:rPr>
          <w:spacing w:val="-5"/>
          <w:sz w:val="28"/>
        </w:rPr>
        <w:t> </w:t>
      </w:r>
      <w:r>
        <w:rPr>
          <w:sz w:val="28"/>
        </w:rPr>
        <w:t>cas</w:t>
      </w:r>
      <w:r>
        <w:rPr>
          <w:spacing w:val="-5"/>
          <w:sz w:val="28"/>
        </w:rPr>
        <w:t> </w:t>
      </w:r>
      <w:r>
        <w:rPr>
          <w:sz w:val="28"/>
        </w:rPr>
        <w:t>échéant,</w:t>
      </w:r>
      <w:r>
        <w:rPr>
          <w:spacing w:val="-4"/>
          <w:sz w:val="28"/>
        </w:rPr>
        <w:t> </w:t>
      </w:r>
      <w:r>
        <w:rPr>
          <w:sz w:val="28"/>
        </w:rPr>
        <w:t>ses</w:t>
      </w:r>
      <w:r>
        <w:rPr>
          <w:spacing w:val="-6"/>
          <w:sz w:val="28"/>
        </w:rPr>
        <w:t> </w:t>
      </w:r>
      <w:r>
        <w:rPr>
          <w:sz w:val="28"/>
        </w:rPr>
        <w:t>réserves</w:t>
      </w:r>
      <w:r>
        <w:rPr>
          <w:spacing w:val="-5"/>
          <w:sz w:val="28"/>
        </w:rPr>
        <w:t> </w:t>
      </w:r>
      <w:r>
        <w:rPr>
          <w:sz w:val="28"/>
        </w:rPr>
        <w:t>et</w:t>
      </w:r>
      <w:r>
        <w:rPr>
          <w:spacing w:val="-8"/>
          <w:sz w:val="28"/>
        </w:rPr>
        <w:t> </w:t>
      </w:r>
      <w:r>
        <w:rPr>
          <w:sz w:val="28"/>
        </w:rPr>
        <w:t>oppositions</w:t>
      </w:r>
      <w:r>
        <w:rPr>
          <w:spacing w:val="-6"/>
          <w:sz w:val="28"/>
        </w:rPr>
        <w:t> </w:t>
      </w:r>
      <w:r>
        <w:rPr>
          <w:sz w:val="28"/>
        </w:rPr>
        <w:t>motivées</w:t>
      </w:r>
      <w:r>
        <w:rPr>
          <w:spacing w:val="-7"/>
          <w:sz w:val="28"/>
        </w:rPr>
        <w:t> </w:t>
      </w:r>
      <w:r>
        <w:rPr>
          <w:sz w:val="28"/>
        </w:rPr>
        <w:t>sur</w:t>
      </w:r>
      <w:r>
        <w:rPr>
          <w:spacing w:val="-6"/>
          <w:sz w:val="28"/>
        </w:rPr>
        <w:t> </w:t>
      </w:r>
      <w:r>
        <w:rPr>
          <w:sz w:val="28"/>
        </w:rPr>
        <w:t>les</w:t>
      </w:r>
      <w:r>
        <w:rPr>
          <w:spacing w:val="2"/>
          <w:sz w:val="28"/>
        </w:rPr>
        <w:t> </w:t>
      </w:r>
      <w:r>
        <w:rPr>
          <w:sz w:val="28"/>
        </w:rPr>
        <w:t>avis</w:t>
      </w:r>
      <w:r>
        <w:rPr>
          <w:spacing w:val="-8"/>
          <w:sz w:val="28"/>
        </w:rPr>
        <w:t> </w:t>
      </w:r>
      <w:r>
        <w:rPr>
          <w:sz w:val="28"/>
        </w:rPr>
        <w:t>de</w:t>
      </w:r>
      <w:r>
        <w:rPr>
          <w:spacing w:val="-8"/>
          <w:sz w:val="28"/>
        </w:rPr>
        <w:t> </w:t>
      </w:r>
      <w:r>
        <w:rPr>
          <w:sz w:val="28"/>
        </w:rPr>
        <w:t>la CME. A cet égard, il est obligatoire d’énoncer ces réserves et oppositions explicitement</w:t>
      </w:r>
      <w:r>
        <w:rPr>
          <w:spacing w:val="-21"/>
          <w:sz w:val="28"/>
        </w:rPr>
        <w:t> </w:t>
      </w:r>
      <w:r>
        <w:rPr>
          <w:sz w:val="28"/>
        </w:rPr>
        <w:t>au</w:t>
      </w:r>
      <w:r>
        <w:rPr>
          <w:spacing w:val="-21"/>
          <w:sz w:val="28"/>
        </w:rPr>
        <w:t> </w:t>
      </w:r>
      <w:r>
        <w:rPr>
          <w:sz w:val="28"/>
        </w:rPr>
        <w:t>procès-verbal</w:t>
      </w:r>
      <w:r>
        <w:rPr>
          <w:spacing w:val="-23"/>
          <w:sz w:val="28"/>
        </w:rPr>
        <w:t> </w:t>
      </w:r>
      <w:r>
        <w:rPr>
          <w:sz w:val="28"/>
        </w:rPr>
        <w:t>du</w:t>
      </w:r>
      <w:r>
        <w:rPr>
          <w:spacing w:val="-21"/>
          <w:sz w:val="28"/>
        </w:rPr>
        <w:t> </w:t>
      </w:r>
      <w:r>
        <w:rPr>
          <w:sz w:val="28"/>
        </w:rPr>
        <w:t>conseil</w:t>
      </w:r>
      <w:r>
        <w:rPr>
          <w:spacing w:val="-21"/>
          <w:sz w:val="28"/>
        </w:rPr>
        <w:t> </w:t>
      </w:r>
      <w:r>
        <w:rPr>
          <w:sz w:val="28"/>
        </w:rPr>
        <w:t>d’administration.</w:t>
      </w:r>
      <w:r>
        <w:rPr>
          <w:spacing w:val="-22"/>
          <w:sz w:val="28"/>
        </w:rPr>
        <w:t> </w:t>
      </w:r>
      <w:r>
        <w:rPr>
          <w:sz w:val="28"/>
        </w:rPr>
        <w:t>La</w:t>
      </w:r>
      <w:r>
        <w:rPr>
          <w:spacing w:val="-22"/>
          <w:sz w:val="28"/>
        </w:rPr>
        <w:t> </w:t>
      </w:r>
      <w:r>
        <w:rPr>
          <w:sz w:val="28"/>
        </w:rPr>
        <w:t>décision</w:t>
      </w:r>
      <w:r>
        <w:rPr>
          <w:spacing w:val="-23"/>
          <w:sz w:val="28"/>
        </w:rPr>
        <w:t> </w:t>
      </w:r>
      <w:r>
        <w:rPr>
          <w:sz w:val="28"/>
        </w:rPr>
        <w:t>sujet</w:t>
      </w:r>
      <w:r>
        <w:rPr>
          <w:spacing w:val="-21"/>
          <w:sz w:val="28"/>
        </w:rPr>
        <w:t> </w:t>
      </w:r>
      <w:r>
        <w:rPr>
          <w:sz w:val="28"/>
        </w:rPr>
        <w:t>des réserves et oppositions doit être présentée au conseil</w:t>
      </w:r>
      <w:r>
        <w:rPr>
          <w:spacing w:val="-11"/>
          <w:sz w:val="28"/>
        </w:rPr>
        <w:t> </w:t>
      </w:r>
      <w:r>
        <w:rPr>
          <w:sz w:val="28"/>
        </w:rPr>
        <w:t>d’administration.</w:t>
      </w:r>
    </w:p>
    <w:p>
      <w:pPr>
        <w:pStyle w:val="ListParagraph"/>
        <w:numPr>
          <w:ilvl w:val="2"/>
          <w:numId w:val="92"/>
        </w:numPr>
        <w:tabs>
          <w:tab w:pos="1154" w:val="left" w:leader="none"/>
        </w:tabs>
        <w:spacing w:line="240" w:lineRule="auto" w:before="0" w:after="0"/>
        <w:ind w:left="1153" w:right="754" w:hanging="360"/>
        <w:jc w:val="both"/>
        <w:rPr>
          <w:sz w:val="28"/>
        </w:rPr>
      </w:pPr>
      <w:r>
        <w:rPr>
          <w:sz w:val="28"/>
        </w:rPr>
        <w:t>Il peut exercer également un contrôle sur les achats hors marchés relevant des compétences</w:t>
      </w:r>
      <w:r>
        <w:rPr>
          <w:spacing w:val="-11"/>
          <w:sz w:val="28"/>
        </w:rPr>
        <w:t> </w:t>
      </w:r>
      <w:r>
        <w:rPr>
          <w:sz w:val="28"/>
        </w:rPr>
        <w:t>de</w:t>
      </w:r>
      <w:r>
        <w:rPr>
          <w:spacing w:val="-10"/>
          <w:sz w:val="28"/>
        </w:rPr>
        <w:t> </w:t>
      </w:r>
      <w:r>
        <w:rPr>
          <w:sz w:val="28"/>
        </w:rPr>
        <w:t>la</w:t>
      </w:r>
      <w:r>
        <w:rPr>
          <w:spacing w:val="-10"/>
          <w:sz w:val="28"/>
        </w:rPr>
        <w:t> </w:t>
      </w:r>
      <w:r>
        <w:rPr>
          <w:sz w:val="28"/>
        </w:rPr>
        <w:t>Commission</w:t>
      </w:r>
      <w:r>
        <w:rPr>
          <w:spacing w:val="-9"/>
          <w:sz w:val="28"/>
        </w:rPr>
        <w:t> </w:t>
      </w:r>
      <w:r>
        <w:rPr>
          <w:sz w:val="28"/>
        </w:rPr>
        <w:t>des</w:t>
      </w:r>
      <w:r>
        <w:rPr>
          <w:spacing w:val="-9"/>
          <w:sz w:val="28"/>
        </w:rPr>
        <w:t> </w:t>
      </w:r>
      <w:r>
        <w:rPr>
          <w:sz w:val="28"/>
        </w:rPr>
        <w:t>Affrètements,</w:t>
      </w:r>
      <w:r>
        <w:rPr>
          <w:spacing w:val="-11"/>
          <w:sz w:val="28"/>
        </w:rPr>
        <w:t> </w:t>
      </w:r>
      <w:r>
        <w:rPr>
          <w:sz w:val="28"/>
        </w:rPr>
        <w:t>de</w:t>
      </w:r>
      <w:r>
        <w:rPr>
          <w:spacing w:val="-10"/>
          <w:sz w:val="28"/>
        </w:rPr>
        <w:t> </w:t>
      </w:r>
      <w:r>
        <w:rPr>
          <w:sz w:val="28"/>
        </w:rPr>
        <w:t>la</w:t>
      </w:r>
      <w:r>
        <w:rPr>
          <w:spacing w:val="-10"/>
          <w:sz w:val="28"/>
        </w:rPr>
        <w:t> </w:t>
      </w:r>
      <w:r>
        <w:rPr>
          <w:sz w:val="28"/>
        </w:rPr>
        <w:t>Commission</w:t>
      </w:r>
      <w:r>
        <w:rPr>
          <w:spacing w:val="-9"/>
          <w:sz w:val="28"/>
        </w:rPr>
        <w:t> </w:t>
      </w:r>
      <w:r>
        <w:rPr>
          <w:sz w:val="28"/>
        </w:rPr>
        <w:t>des</w:t>
      </w:r>
      <w:r>
        <w:rPr>
          <w:spacing w:val="-9"/>
          <w:sz w:val="28"/>
        </w:rPr>
        <w:t> </w:t>
      </w:r>
      <w:r>
        <w:rPr>
          <w:sz w:val="28"/>
        </w:rPr>
        <w:t>Achats de</w:t>
      </w:r>
      <w:r>
        <w:rPr>
          <w:spacing w:val="-22"/>
          <w:sz w:val="28"/>
        </w:rPr>
        <w:t> </w:t>
      </w:r>
      <w:r>
        <w:rPr>
          <w:sz w:val="28"/>
        </w:rPr>
        <w:t>l'Entreprise</w:t>
      </w:r>
      <w:r>
        <w:rPr>
          <w:spacing w:val="-21"/>
          <w:sz w:val="28"/>
        </w:rPr>
        <w:t> </w:t>
      </w:r>
      <w:r>
        <w:rPr>
          <w:sz w:val="28"/>
        </w:rPr>
        <w:t>(CAE),</w:t>
      </w:r>
      <w:r>
        <w:rPr>
          <w:spacing w:val="-22"/>
          <w:sz w:val="28"/>
        </w:rPr>
        <w:t> </w:t>
      </w:r>
      <w:r>
        <w:rPr>
          <w:sz w:val="28"/>
        </w:rPr>
        <w:t>des</w:t>
      </w:r>
      <w:r>
        <w:rPr>
          <w:spacing w:val="-20"/>
          <w:sz w:val="28"/>
        </w:rPr>
        <w:t> </w:t>
      </w:r>
      <w:r>
        <w:rPr>
          <w:sz w:val="28"/>
        </w:rPr>
        <w:t>Commissions</w:t>
      </w:r>
      <w:r>
        <w:rPr>
          <w:spacing w:val="-21"/>
          <w:sz w:val="28"/>
        </w:rPr>
        <w:t> </w:t>
      </w:r>
      <w:r>
        <w:rPr>
          <w:sz w:val="28"/>
        </w:rPr>
        <w:t>Régionales</w:t>
      </w:r>
      <w:r>
        <w:rPr>
          <w:spacing w:val="-22"/>
          <w:sz w:val="28"/>
        </w:rPr>
        <w:t> </w:t>
      </w:r>
      <w:r>
        <w:rPr>
          <w:sz w:val="28"/>
        </w:rPr>
        <w:t>des</w:t>
      </w:r>
      <w:r>
        <w:rPr>
          <w:spacing w:val="-20"/>
          <w:sz w:val="28"/>
        </w:rPr>
        <w:t> </w:t>
      </w:r>
      <w:r>
        <w:rPr>
          <w:sz w:val="28"/>
        </w:rPr>
        <w:t>Achats</w:t>
      </w:r>
      <w:r>
        <w:rPr>
          <w:spacing w:val="-21"/>
          <w:sz w:val="28"/>
        </w:rPr>
        <w:t> </w:t>
      </w:r>
      <w:r>
        <w:rPr>
          <w:sz w:val="28"/>
        </w:rPr>
        <w:t>(CRA)</w:t>
      </w:r>
      <w:r>
        <w:rPr>
          <w:spacing w:val="-21"/>
          <w:sz w:val="28"/>
        </w:rPr>
        <w:t> </w:t>
      </w:r>
      <w:r>
        <w:rPr>
          <w:sz w:val="28"/>
        </w:rPr>
        <w:t>de</w:t>
      </w:r>
      <w:r>
        <w:rPr>
          <w:spacing w:val="-22"/>
          <w:sz w:val="28"/>
        </w:rPr>
        <w:t> </w:t>
      </w:r>
      <w:r>
        <w:rPr>
          <w:sz w:val="28"/>
        </w:rPr>
        <w:t>Tunis, de Sfax, de Gabes et de Gafsa, du Directeur des Moyens Généraux de Tunis et des Directeurs d'Approvisionnement de Sfax, de Gabes et de</w:t>
      </w:r>
      <w:r>
        <w:rPr>
          <w:spacing w:val="-15"/>
          <w:sz w:val="28"/>
        </w:rPr>
        <w:t> </w:t>
      </w:r>
      <w:r>
        <w:rPr>
          <w:sz w:val="28"/>
        </w:rPr>
        <w:t>Gafsa.</w:t>
      </w:r>
    </w:p>
    <w:p>
      <w:pPr>
        <w:pStyle w:val="Heading2"/>
        <w:numPr>
          <w:ilvl w:val="0"/>
          <w:numId w:val="91"/>
        </w:numPr>
        <w:tabs>
          <w:tab w:pos="794" w:val="left" w:leader="none"/>
        </w:tabs>
        <w:spacing w:line="319" w:lineRule="exact" w:before="240" w:after="0"/>
        <w:ind w:left="793" w:right="0" w:hanging="361"/>
        <w:jc w:val="both"/>
      </w:pPr>
      <w:bookmarkStart w:name="_TOC_250031" w:id="112"/>
      <w:bookmarkEnd w:id="112"/>
      <w:r>
        <w:rPr/>
        <w:t>Intégrité</w:t>
      </w:r>
    </w:p>
    <w:p>
      <w:pPr>
        <w:pStyle w:val="BodyText"/>
        <w:ind w:right="752"/>
      </w:pPr>
      <w:r>
        <w:rPr/>
        <w:t>Toute personne intervenante, à quelque titre que ce soit, dans la passation et l’exécution des achats hors marchés et les marchés du GCT sont soumis aux dispositions législatives et règlementaires relatives à la lutte contre la corruption et les conflits d’intérêts.</w:t>
      </w:r>
    </w:p>
    <w:p>
      <w:pPr>
        <w:pStyle w:val="BodyText"/>
        <w:spacing w:before="119"/>
        <w:ind w:right="750"/>
      </w:pPr>
      <w:r>
        <w:rPr/>
        <w:t>Toute personne qui, en raison de ses fonctions ou des missions qui lui ont été confiées,</w:t>
      </w:r>
      <w:r>
        <w:rPr>
          <w:spacing w:val="-9"/>
        </w:rPr>
        <w:t> </w:t>
      </w:r>
      <w:r>
        <w:rPr/>
        <w:t>a</w:t>
      </w:r>
      <w:r>
        <w:rPr>
          <w:spacing w:val="-9"/>
        </w:rPr>
        <w:t> </w:t>
      </w:r>
      <w:r>
        <w:rPr/>
        <w:t>eu</w:t>
      </w:r>
      <w:r>
        <w:rPr>
          <w:spacing w:val="-6"/>
        </w:rPr>
        <w:t> </w:t>
      </w:r>
      <w:r>
        <w:rPr/>
        <w:t>connaissance</w:t>
      </w:r>
      <w:r>
        <w:rPr>
          <w:spacing w:val="-8"/>
        </w:rPr>
        <w:t> </w:t>
      </w:r>
      <w:r>
        <w:rPr/>
        <w:t>d’informations</w:t>
      </w:r>
      <w:r>
        <w:rPr>
          <w:spacing w:val="-7"/>
        </w:rPr>
        <w:t> </w:t>
      </w:r>
      <w:r>
        <w:rPr/>
        <w:t>ou</w:t>
      </w:r>
      <w:r>
        <w:rPr>
          <w:spacing w:val="-8"/>
        </w:rPr>
        <w:t> </w:t>
      </w:r>
      <w:r>
        <w:rPr/>
        <w:t>de</w:t>
      </w:r>
      <w:r>
        <w:rPr>
          <w:spacing w:val="-9"/>
        </w:rPr>
        <w:t> </w:t>
      </w:r>
      <w:r>
        <w:rPr/>
        <w:t>renseignements</w:t>
      </w:r>
      <w:r>
        <w:rPr>
          <w:spacing w:val="-9"/>
        </w:rPr>
        <w:t> </w:t>
      </w:r>
      <w:r>
        <w:rPr/>
        <w:t>confidentiels</w:t>
      </w:r>
      <w:r>
        <w:rPr>
          <w:spacing w:val="-8"/>
        </w:rPr>
        <w:t> </w:t>
      </w:r>
      <w:r>
        <w:rPr/>
        <w:t>relatifs à un achat ou qui ont trait à la passation et à l’exécution, communiqués par les candidats,</w:t>
      </w:r>
      <w:r>
        <w:rPr>
          <w:spacing w:val="-21"/>
        </w:rPr>
        <w:t> </w:t>
      </w:r>
      <w:r>
        <w:rPr/>
        <w:t>soumissionnaires,</w:t>
      </w:r>
      <w:r>
        <w:rPr>
          <w:spacing w:val="-20"/>
        </w:rPr>
        <w:t> </w:t>
      </w:r>
      <w:r>
        <w:rPr/>
        <w:t>entrepreneurs,</w:t>
      </w:r>
      <w:r>
        <w:rPr>
          <w:spacing w:val="-21"/>
        </w:rPr>
        <w:t> </w:t>
      </w:r>
      <w:r>
        <w:rPr/>
        <w:t>fournisseurs</w:t>
      </w:r>
      <w:r>
        <w:rPr>
          <w:spacing w:val="-18"/>
        </w:rPr>
        <w:t> </w:t>
      </w:r>
      <w:r>
        <w:rPr/>
        <w:t>ou</w:t>
      </w:r>
      <w:r>
        <w:rPr>
          <w:spacing w:val="-19"/>
        </w:rPr>
        <w:t> </w:t>
      </w:r>
      <w:r>
        <w:rPr/>
        <w:t>prestataires</w:t>
      </w:r>
      <w:r>
        <w:rPr>
          <w:spacing w:val="-21"/>
        </w:rPr>
        <w:t> </w:t>
      </w:r>
      <w:r>
        <w:rPr/>
        <w:t>de</w:t>
      </w:r>
      <w:r>
        <w:rPr>
          <w:spacing w:val="-20"/>
        </w:rPr>
        <w:t> </w:t>
      </w:r>
      <w:r>
        <w:rPr/>
        <w:t>services,</w:t>
      </w:r>
      <w:r>
        <w:rPr>
          <w:spacing w:val="-20"/>
        </w:rPr>
        <w:t> </w:t>
      </w:r>
      <w:r>
        <w:rPr/>
        <w:t>est tenu</w:t>
      </w:r>
      <w:r>
        <w:rPr>
          <w:spacing w:val="-16"/>
        </w:rPr>
        <w:t> </w:t>
      </w:r>
      <w:r>
        <w:rPr/>
        <w:t>de</w:t>
      </w:r>
      <w:r>
        <w:rPr>
          <w:spacing w:val="-15"/>
        </w:rPr>
        <w:t> </w:t>
      </w:r>
      <w:r>
        <w:rPr/>
        <w:t>ne</w:t>
      </w:r>
      <w:r>
        <w:rPr>
          <w:spacing w:val="-16"/>
        </w:rPr>
        <w:t> </w:t>
      </w:r>
      <w:r>
        <w:rPr/>
        <w:t>divulguer</w:t>
      </w:r>
      <w:r>
        <w:rPr>
          <w:spacing w:val="-14"/>
        </w:rPr>
        <w:t> </w:t>
      </w:r>
      <w:r>
        <w:rPr/>
        <w:t>aucun</w:t>
      </w:r>
      <w:r>
        <w:rPr>
          <w:spacing w:val="-15"/>
        </w:rPr>
        <w:t> </w:t>
      </w:r>
      <w:r>
        <w:rPr/>
        <w:t>de</w:t>
      </w:r>
      <w:r>
        <w:rPr>
          <w:spacing w:val="-13"/>
        </w:rPr>
        <w:t> </w:t>
      </w:r>
      <w:r>
        <w:rPr/>
        <w:t>ces</w:t>
      </w:r>
      <w:r>
        <w:rPr>
          <w:spacing w:val="-15"/>
        </w:rPr>
        <w:t> </w:t>
      </w:r>
      <w:r>
        <w:rPr/>
        <w:t>informations</w:t>
      </w:r>
      <w:r>
        <w:rPr>
          <w:spacing w:val="-13"/>
        </w:rPr>
        <w:t> </w:t>
      </w:r>
      <w:r>
        <w:rPr/>
        <w:t>et</w:t>
      </w:r>
      <w:r>
        <w:rPr>
          <w:spacing w:val="-13"/>
        </w:rPr>
        <w:t> </w:t>
      </w:r>
      <w:r>
        <w:rPr/>
        <w:t>renseignements.</w:t>
      </w:r>
      <w:r>
        <w:rPr>
          <w:spacing w:val="-14"/>
        </w:rPr>
        <w:t> </w:t>
      </w:r>
      <w:r>
        <w:rPr/>
        <w:t>Ces</w:t>
      </w:r>
      <w:r>
        <w:rPr>
          <w:spacing w:val="-13"/>
        </w:rPr>
        <w:t> </w:t>
      </w:r>
      <w:r>
        <w:rPr/>
        <w:t>renseignements concernent notamment les secrets techniques ou commerciaux et les aspects confidentiels des</w:t>
      </w:r>
      <w:r>
        <w:rPr>
          <w:spacing w:val="-3"/>
        </w:rPr>
        <w:t> </w:t>
      </w:r>
      <w:r>
        <w:rPr/>
        <w:t>offres.</w:t>
      </w:r>
    </w:p>
    <w:p>
      <w:pPr>
        <w:pStyle w:val="BodyText"/>
        <w:spacing w:before="120"/>
        <w:ind w:right="751"/>
      </w:pPr>
      <w:r>
        <w:rPr/>
        <w:t>En toute hypothèse, les candidats, les soumissionnaires et les tiers n’ont aucun accès aux documents relatifs à la procédure de passation des achats qui pourraient porter atteinte à l’intégrité des procédures d’attribution de l’achat.</w:t>
      </w:r>
    </w:p>
    <w:p>
      <w:pPr>
        <w:pStyle w:val="BodyText"/>
        <w:spacing w:before="121"/>
        <w:ind w:right="749"/>
      </w:pPr>
      <w:r>
        <w:rPr/>
        <w:t>Sans</w:t>
      </w:r>
      <w:r>
        <w:rPr>
          <w:spacing w:val="-7"/>
        </w:rPr>
        <w:t> </w:t>
      </w:r>
      <w:r>
        <w:rPr/>
        <w:t>préjudice</w:t>
      </w:r>
      <w:r>
        <w:rPr>
          <w:spacing w:val="-7"/>
        </w:rPr>
        <w:t> </w:t>
      </w:r>
      <w:r>
        <w:rPr/>
        <w:t>des</w:t>
      </w:r>
      <w:r>
        <w:rPr>
          <w:spacing w:val="-6"/>
        </w:rPr>
        <w:t> </w:t>
      </w:r>
      <w:r>
        <w:rPr/>
        <w:t>sanctions</w:t>
      </w:r>
      <w:r>
        <w:rPr>
          <w:spacing w:val="-7"/>
        </w:rPr>
        <w:t> </w:t>
      </w:r>
      <w:r>
        <w:rPr/>
        <w:t>pénales</w:t>
      </w:r>
      <w:r>
        <w:rPr>
          <w:spacing w:val="-7"/>
        </w:rPr>
        <w:t> </w:t>
      </w:r>
      <w:r>
        <w:rPr/>
        <w:t>et</w:t>
      </w:r>
      <w:r>
        <w:rPr>
          <w:spacing w:val="-6"/>
        </w:rPr>
        <w:t> </w:t>
      </w:r>
      <w:r>
        <w:rPr/>
        <w:t>disciplinaires</w:t>
      </w:r>
      <w:r>
        <w:rPr>
          <w:spacing w:val="-7"/>
        </w:rPr>
        <w:t> </w:t>
      </w:r>
      <w:r>
        <w:rPr/>
        <w:t>prévues</w:t>
      </w:r>
      <w:r>
        <w:rPr>
          <w:spacing w:val="-7"/>
        </w:rPr>
        <w:t> </w:t>
      </w:r>
      <w:r>
        <w:rPr/>
        <w:t>par</w:t>
      </w:r>
      <w:r>
        <w:rPr>
          <w:spacing w:val="-6"/>
        </w:rPr>
        <w:t> </w:t>
      </w:r>
      <w:r>
        <w:rPr/>
        <w:t>la</w:t>
      </w:r>
      <w:r>
        <w:rPr>
          <w:spacing w:val="-7"/>
        </w:rPr>
        <w:t> </w:t>
      </w:r>
      <w:r>
        <w:rPr/>
        <w:t>législation</w:t>
      </w:r>
      <w:r>
        <w:rPr>
          <w:spacing w:val="-6"/>
        </w:rPr>
        <w:t> </w:t>
      </w:r>
      <w:r>
        <w:rPr/>
        <w:t>et la règlementation en vigueur, tout agent du GCT responsable de la passation, du contrôle</w:t>
      </w:r>
      <w:r>
        <w:rPr>
          <w:spacing w:val="-9"/>
        </w:rPr>
        <w:t> </w:t>
      </w:r>
      <w:r>
        <w:rPr/>
        <w:t>ou</w:t>
      </w:r>
      <w:r>
        <w:rPr>
          <w:spacing w:val="-7"/>
        </w:rPr>
        <w:t> </w:t>
      </w:r>
      <w:r>
        <w:rPr/>
        <w:t>du</w:t>
      </w:r>
      <w:r>
        <w:rPr>
          <w:spacing w:val="-7"/>
        </w:rPr>
        <w:t> </w:t>
      </w:r>
      <w:r>
        <w:rPr/>
        <w:t>paiement</w:t>
      </w:r>
      <w:r>
        <w:rPr>
          <w:spacing w:val="-9"/>
        </w:rPr>
        <w:t> </w:t>
      </w:r>
      <w:r>
        <w:rPr/>
        <w:t>d’un</w:t>
      </w:r>
      <w:r>
        <w:rPr>
          <w:spacing w:val="-4"/>
        </w:rPr>
        <w:t> </w:t>
      </w:r>
      <w:r>
        <w:rPr/>
        <w:t>achat,</w:t>
      </w:r>
      <w:r>
        <w:rPr>
          <w:spacing w:val="-8"/>
        </w:rPr>
        <w:t> </w:t>
      </w:r>
      <w:r>
        <w:rPr/>
        <w:t>ayant</w:t>
      </w:r>
      <w:r>
        <w:rPr>
          <w:spacing w:val="-7"/>
        </w:rPr>
        <w:t> </w:t>
      </w:r>
      <w:r>
        <w:rPr/>
        <w:t>violé</w:t>
      </w:r>
      <w:r>
        <w:rPr>
          <w:spacing w:val="-9"/>
        </w:rPr>
        <w:t> </w:t>
      </w:r>
      <w:r>
        <w:rPr/>
        <w:t>les</w:t>
      </w:r>
      <w:r>
        <w:rPr>
          <w:spacing w:val="-7"/>
        </w:rPr>
        <w:t> </w:t>
      </w:r>
      <w:r>
        <w:rPr/>
        <w:t>dispositions</w:t>
      </w:r>
      <w:r>
        <w:rPr>
          <w:spacing w:val="-9"/>
        </w:rPr>
        <w:t> </w:t>
      </w:r>
      <w:r>
        <w:rPr/>
        <w:t>du</w:t>
      </w:r>
      <w:r>
        <w:rPr>
          <w:spacing w:val="-9"/>
        </w:rPr>
        <w:t> </w:t>
      </w:r>
      <w:r>
        <w:rPr/>
        <w:t>présent</w:t>
      </w:r>
      <w:r>
        <w:rPr>
          <w:spacing w:val="-8"/>
        </w:rPr>
        <w:t> </w:t>
      </w:r>
      <w:r>
        <w:rPr/>
        <w:t>manuel,</w:t>
      </w:r>
      <w:r>
        <w:rPr>
          <w:spacing w:val="-8"/>
        </w:rPr>
        <w:t> </w:t>
      </w:r>
      <w:r>
        <w:rPr/>
        <w:t>est exclu de la participation aux procédures des achats du GCT.</w:t>
      </w:r>
    </w:p>
    <w:p>
      <w:pPr>
        <w:pStyle w:val="BodyText"/>
        <w:spacing w:before="119"/>
        <w:ind w:right="757"/>
      </w:pPr>
      <w:r>
        <w:rPr/>
        <w:t>Les fonctionnaires ou agents du GCT, auteurs de délits dans le cadre des procédures de passation des achats sont soumis aux sanctions pénales prévues par la législation en vigueur.</w:t>
      </w:r>
    </w:p>
    <w:p>
      <w:pPr>
        <w:pStyle w:val="BodyText"/>
        <w:spacing w:before="121"/>
        <w:ind w:right="749"/>
      </w:pPr>
      <w:r>
        <w:rPr/>
        <w:t>Le</w:t>
      </w:r>
      <w:r>
        <w:rPr>
          <w:spacing w:val="-6"/>
        </w:rPr>
        <w:t> </w:t>
      </w:r>
      <w:r>
        <w:rPr/>
        <w:t>GCT</w:t>
      </w:r>
      <w:r>
        <w:rPr>
          <w:spacing w:val="-8"/>
        </w:rPr>
        <w:t> </w:t>
      </w:r>
      <w:r>
        <w:rPr/>
        <w:t>procèdera</w:t>
      </w:r>
      <w:r>
        <w:rPr>
          <w:spacing w:val="-8"/>
        </w:rPr>
        <w:t> </w:t>
      </w:r>
      <w:r>
        <w:rPr/>
        <w:t>à</w:t>
      </w:r>
      <w:r>
        <w:rPr>
          <w:spacing w:val="-6"/>
        </w:rPr>
        <w:t> </w:t>
      </w:r>
      <w:r>
        <w:rPr/>
        <w:t>l’annulation</w:t>
      </w:r>
      <w:r>
        <w:rPr>
          <w:spacing w:val="-8"/>
        </w:rPr>
        <w:t> </w:t>
      </w:r>
      <w:r>
        <w:rPr/>
        <w:t>de</w:t>
      </w:r>
      <w:r>
        <w:rPr>
          <w:spacing w:val="-6"/>
        </w:rPr>
        <w:t> </w:t>
      </w:r>
      <w:r>
        <w:rPr/>
        <w:t>la</w:t>
      </w:r>
      <w:r>
        <w:rPr>
          <w:spacing w:val="-9"/>
        </w:rPr>
        <w:t> </w:t>
      </w:r>
      <w:r>
        <w:rPr/>
        <w:t>proposition</w:t>
      </w:r>
      <w:r>
        <w:rPr>
          <w:spacing w:val="-8"/>
        </w:rPr>
        <w:t> </w:t>
      </w:r>
      <w:r>
        <w:rPr/>
        <w:t>d’attribution</w:t>
      </w:r>
      <w:r>
        <w:rPr>
          <w:spacing w:val="-8"/>
        </w:rPr>
        <w:t> </w:t>
      </w:r>
      <w:r>
        <w:rPr/>
        <w:t>de</w:t>
      </w:r>
      <w:r>
        <w:rPr>
          <w:spacing w:val="-5"/>
        </w:rPr>
        <w:t> </w:t>
      </w:r>
      <w:r>
        <w:rPr/>
        <w:t>l’achat</w:t>
      </w:r>
      <w:r>
        <w:rPr>
          <w:spacing w:val="-5"/>
        </w:rPr>
        <w:t> </w:t>
      </w:r>
      <w:r>
        <w:rPr/>
        <w:t>s’il</w:t>
      </w:r>
      <w:r>
        <w:rPr>
          <w:spacing w:val="-7"/>
        </w:rPr>
        <w:t> </w:t>
      </w:r>
      <w:r>
        <w:rPr/>
        <w:t>est établi que le soumissionnaire auquel il est proposé d’attribuer l’achat est</w:t>
      </w:r>
      <w:r>
        <w:rPr>
          <w:spacing w:val="-9"/>
        </w:rPr>
        <w:t> </w:t>
      </w:r>
      <w:r>
        <w:rPr/>
        <w:t>coupable,</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61" w:firstLine="0"/>
      </w:pPr>
      <w:r>
        <w:rPr/>
        <w:t>directement ou indirectement, de corruption ou s’est livré à des manœuvres frauduleuses, collusoires ou coercitives en vue d’obtenir cet achat.</w:t>
      </w:r>
    </w:p>
    <w:p>
      <w:pPr>
        <w:pStyle w:val="BodyText"/>
        <w:spacing w:before="119"/>
        <w:ind w:right="754"/>
      </w:pPr>
      <w:r>
        <w:rPr/>
        <w:t>La Commission d’exclusion des opérateurs économiques de la participation aux marchés publics arrête la liste des participants pour lesquels une décision d’exclusion temporaire ou définitive de la participation aux achats, a été</w:t>
      </w:r>
      <w:r>
        <w:rPr>
          <w:spacing w:val="-8"/>
        </w:rPr>
        <w:t> </w:t>
      </w:r>
      <w:r>
        <w:rPr/>
        <w:t>prise.</w:t>
      </w:r>
    </w:p>
    <w:p>
      <w:pPr>
        <w:pStyle w:val="BodyText"/>
        <w:spacing w:before="121"/>
        <w:ind w:right="757"/>
      </w:pPr>
      <w:r>
        <w:rPr/>
        <w:t>Est considéré nul tout achat obtenu ou renouvelé au moyen de pratiques frauduleuses ou d’actes de malversation ou à l’occasion de l’exécution duquel des pratiques frauduleuses et des actes de corruption ont été</w:t>
      </w:r>
      <w:r>
        <w:rPr>
          <w:spacing w:val="-10"/>
        </w:rPr>
        <w:t> </w:t>
      </w:r>
      <w:r>
        <w:rPr/>
        <w:t>perpétrés.</w:t>
      </w:r>
    </w:p>
    <w:p>
      <w:pPr>
        <w:pStyle w:val="Heading2"/>
        <w:numPr>
          <w:ilvl w:val="0"/>
          <w:numId w:val="91"/>
        </w:numPr>
        <w:tabs>
          <w:tab w:pos="902" w:val="left" w:leader="none"/>
        </w:tabs>
        <w:spacing w:line="240" w:lineRule="auto" w:before="245" w:after="0"/>
        <w:ind w:left="901" w:right="0" w:hanging="469"/>
        <w:jc w:val="both"/>
      </w:pPr>
      <w:bookmarkStart w:name="_TOC_250030" w:id="113"/>
      <w:r>
        <w:rPr/>
        <w:t>Règlement des différends et examen des</w:t>
      </w:r>
      <w:r>
        <w:rPr>
          <w:spacing w:val="-1"/>
        </w:rPr>
        <w:t> </w:t>
      </w:r>
      <w:bookmarkEnd w:id="113"/>
      <w:r>
        <w:rPr/>
        <w:t>plaintes</w:t>
      </w:r>
    </w:p>
    <w:p>
      <w:pPr>
        <w:pStyle w:val="Heading2"/>
        <w:numPr>
          <w:ilvl w:val="1"/>
          <w:numId w:val="94"/>
        </w:numPr>
        <w:tabs>
          <w:tab w:pos="1113" w:val="left" w:leader="none"/>
        </w:tabs>
        <w:spacing w:line="319" w:lineRule="exact" w:before="122" w:after="0"/>
        <w:ind w:left="1112" w:right="0" w:hanging="680"/>
        <w:jc w:val="both"/>
      </w:pPr>
      <w:bookmarkStart w:name="_TOC_250029" w:id="114"/>
      <w:r>
        <w:rPr/>
        <w:t>Le</w:t>
      </w:r>
      <w:r>
        <w:rPr>
          <w:spacing w:val="-1"/>
        </w:rPr>
        <w:t> </w:t>
      </w:r>
      <w:bookmarkEnd w:id="114"/>
      <w:r>
        <w:rPr/>
        <w:t>recours</w:t>
      </w:r>
    </w:p>
    <w:p>
      <w:pPr>
        <w:pStyle w:val="BodyText"/>
        <w:spacing w:line="319" w:lineRule="exact"/>
        <w:ind w:left="999" w:firstLine="0"/>
      </w:pPr>
      <w:r>
        <w:rPr/>
        <w:t>Le recours pour les achats du GCT se fait comme suit :</w:t>
      </w:r>
    </w:p>
    <w:p>
      <w:pPr>
        <w:pStyle w:val="Heading2"/>
        <w:numPr>
          <w:ilvl w:val="2"/>
          <w:numId w:val="94"/>
        </w:numPr>
        <w:tabs>
          <w:tab w:pos="1322" w:val="left" w:leader="none"/>
        </w:tabs>
        <w:spacing w:line="240" w:lineRule="auto" w:before="124" w:after="0"/>
        <w:ind w:left="1321" w:right="0" w:hanging="889"/>
        <w:jc w:val="both"/>
      </w:pPr>
      <w:bookmarkStart w:name="_TOC_250028" w:id="115"/>
      <w:r>
        <w:rPr/>
        <w:t>Le recours gracieux pour les achats du</w:t>
      </w:r>
      <w:r>
        <w:rPr>
          <w:spacing w:val="-1"/>
        </w:rPr>
        <w:t> </w:t>
      </w:r>
      <w:bookmarkEnd w:id="115"/>
      <w:r>
        <w:rPr/>
        <w:t>GCT</w:t>
      </w:r>
    </w:p>
    <w:p>
      <w:pPr>
        <w:pStyle w:val="BodyText"/>
        <w:spacing w:before="43"/>
        <w:ind w:right="748"/>
      </w:pPr>
      <w:r>
        <w:rPr/>
        <w:t>Toute personne ayant intérêt dans la procédure de passation des achats du GCT, peut</w:t>
      </w:r>
      <w:r>
        <w:rPr>
          <w:spacing w:val="-13"/>
        </w:rPr>
        <w:t> </w:t>
      </w:r>
      <w:r>
        <w:rPr/>
        <w:t>introduire</w:t>
      </w:r>
      <w:r>
        <w:rPr>
          <w:spacing w:val="-12"/>
        </w:rPr>
        <w:t> </w:t>
      </w:r>
      <w:r>
        <w:rPr/>
        <w:t>un</w:t>
      </w:r>
      <w:r>
        <w:rPr>
          <w:spacing w:val="-12"/>
        </w:rPr>
        <w:t> </w:t>
      </w:r>
      <w:r>
        <w:rPr/>
        <w:t>recours</w:t>
      </w:r>
      <w:r>
        <w:rPr>
          <w:spacing w:val="-13"/>
        </w:rPr>
        <w:t> </w:t>
      </w:r>
      <w:r>
        <w:rPr/>
        <w:t>gracieux</w:t>
      </w:r>
      <w:r>
        <w:rPr>
          <w:spacing w:val="-8"/>
        </w:rPr>
        <w:t> </w:t>
      </w:r>
      <w:r>
        <w:rPr/>
        <w:t>devant</w:t>
      </w:r>
      <w:r>
        <w:rPr>
          <w:spacing w:val="-12"/>
        </w:rPr>
        <w:t> </w:t>
      </w:r>
      <w:r>
        <w:rPr/>
        <w:t>le</w:t>
      </w:r>
      <w:r>
        <w:rPr>
          <w:spacing w:val="-13"/>
        </w:rPr>
        <w:t> </w:t>
      </w:r>
      <w:r>
        <w:rPr/>
        <w:t>GCT</w:t>
      </w:r>
      <w:r>
        <w:rPr>
          <w:spacing w:val="-13"/>
        </w:rPr>
        <w:t> </w:t>
      </w:r>
      <w:r>
        <w:rPr/>
        <w:t>à</w:t>
      </w:r>
      <w:r>
        <w:rPr>
          <w:spacing w:val="-12"/>
        </w:rPr>
        <w:t> </w:t>
      </w:r>
      <w:r>
        <w:rPr/>
        <w:t>l’</w:t>
      </w:r>
      <w:r>
        <w:rPr>
          <w:spacing w:val="-12"/>
        </w:rPr>
        <w:t> </w:t>
      </w:r>
      <w:r>
        <w:rPr/>
        <w:t>encontre</w:t>
      </w:r>
      <w:r>
        <w:rPr>
          <w:spacing w:val="-13"/>
        </w:rPr>
        <w:t> </w:t>
      </w:r>
      <w:r>
        <w:rPr/>
        <w:t>des</w:t>
      </w:r>
      <w:r>
        <w:rPr>
          <w:spacing w:val="-11"/>
        </w:rPr>
        <w:t> </w:t>
      </w:r>
      <w:r>
        <w:rPr/>
        <w:t>clauses</w:t>
      </w:r>
      <w:r>
        <w:rPr>
          <w:spacing w:val="-11"/>
        </w:rPr>
        <w:t> </w:t>
      </w:r>
      <w:r>
        <w:rPr/>
        <w:t>fixées</w:t>
      </w:r>
      <w:r>
        <w:rPr>
          <w:spacing w:val="-14"/>
        </w:rPr>
        <w:t> </w:t>
      </w:r>
      <w:r>
        <w:rPr/>
        <w:t>dans les documents de mise en concurrence, ou à l’encontre des décisions rendues leur causant</w:t>
      </w:r>
      <w:r>
        <w:rPr>
          <w:spacing w:val="-4"/>
        </w:rPr>
        <w:t> </w:t>
      </w:r>
      <w:r>
        <w:rPr/>
        <w:t>préjudice.</w:t>
      </w:r>
    </w:p>
    <w:p>
      <w:pPr>
        <w:pStyle w:val="BodyText"/>
        <w:spacing w:before="1"/>
        <w:ind w:right="750"/>
      </w:pPr>
      <w:r>
        <w:rPr/>
        <w:t>Tout recours à l’encontre des clauses fixées dans les documents de mise en concurrence doit être exercé dans les (05) jours ouvrables suivants la date de publication</w:t>
      </w:r>
      <w:r>
        <w:rPr>
          <w:spacing w:val="-5"/>
        </w:rPr>
        <w:t> </w:t>
      </w:r>
      <w:r>
        <w:rPr/>
        <w:t>de</w:t>
      </w:r>
      <w:r>
        <w:rPr>
          <w:spacing w:val="-5"/>
        </w:rPr>
        <w:t> </w:t>
      </w:r>
      <w:r>
        <w:rPr/>
        <w:t>mise</w:t>
      </w:r>
      <w:r>
        <w:rPr>
          <w:spacing w:val="-5"/>
        </w:rPr>
        <w:t> </w:t>
      </w:r>
      <w:r>
        <w:rPr/>
        <w:t>en</w:t>
      </w:r>
      <w:r>
        <w:rPr>
          <w:spacing w:val="-4"/>
        </w:rPr>
        <w:t> </w:t>
      </w:r>
      <w:r>
        <w:rPr/>
        <w:t>concurrence</w:t>
      </w:r>
      <w:r>
        <w:rPr>
          <w:spacing w:val="-5"/>
        </w:rPr>
        <w:t> </w:t>
      </w:r>
      <w:r>
        <w:rPr/>
        <w:t>pour</w:t>
      </w:r>
      <w:r>
        <w:rPr>
          <w:spacing w:val="-5"/>
        </w:rPr>
        <w:t> </w:t>
      </w:r>
      <w:r>
        <w:rPr/>
        <w:t>les</w:t>
      </w:r>
      <w:r>
        <w:rPr>
          <w:spacing w:val="-5"/>
        </w:rPr>
        <w:t> </w:t>
      </w:r>
      <w:r>
        <w:rPr/>
        <w:t>achats</w:t>
      </w:r>
      <w:r>
        <w:rPr>
          <w:spacing w:val="-5"/>
        </w:rPr>
        <w:t> </w:t>
      </w:r>
      <w:r>
        <w:rPr/>
        <w:t>hors</w:t>
      </w:r>
      <w:r>
        <w:rPr>
          <w:spacing w:val="-1"/>
        </w:rPr>
        <w:t> </w:t>
      </w:r>
      <w:r>
        <w:rPr/>
        <w:t>marchés</w:t>
      </w:r>
      <w:r>
        <w:rPr>
          <w:spacing w:val="-7"/>
        </w:rPr>
        <w:t> </w:t>
      </w:r>
      <w:r>
        <w:rPr/>
        <w:t>et</w:t>
      </w:r>
      <w:r>
        <w:rPr>
          <w:spacing w:val="-5"/>
        </w:rPr>
        <w:t> </w:t>
      </w:r>
      <w:r>
        <w:rPr/>
        <w:t>dans</w:t>
      </w:r>
      <w:r>
        <w:rPr>
          <w:spacing w:val="-5"/>
        </w:rPr>
        <w:t> </w:t>
      </w:r>
      <w:r>
        <w:rPr/>
        <w:t>les</w:t>
      </w:r>
      <w:r>
        <w:rPr>
          <w:spacing w:val="-4"/>
        </w:rPr>
        <w:t> </w:t>
      </w:r>
      <w:r>
        <w:rPr/>
        <w:t>(10)</w:t>
      </w:r>
      <w:r>
        <w:rPr>
          <w:spacing w:val="-4"/>
        </w:rPr>
        <w:t> </w:t>
      </w:r>
      <w:r>
        <w:rPr/>
        <w:t>jours ouvrables suivants la date de publication de mise en concurrence pour les</w:t>
      </w:r>
      <w:r>
        <w:rPr>
          <w:spacing w:val="-26"/>
        </w:rPr>
        <w:t> </w:t>
      </w:r>
      <w:r>
        <w:rPr/>
        <w:t>marchés.</w:t>
      </w:r>
    </w:p>
    <w:p>
      <w:pPr>
        <w:pStyle w:val="BodyText"/>
        <w:ind w:right="748"/>
        <w:jc w:val="right"/>
      </w:pPr>
      <w:r>
        <w:rPr/>
        <w:t>Tout</w:t>
      </w:r>
      <w:r>
        <w:rPr>
          <w:spacing w:val="-13"/>
        </w:rPr>
        <w:t> </w:t>
      </w:r>
      <w:r>
        <w:rPr/>
        <w:t>recours</w:t>
      </w:r>
      <w:r>
        <w:rPr>
          <w:spacing w:val="-24"/>
        </w:rPr>
        <w:t> </w:t>
      </w:r>
      <w:r>
        <w:rPr/>
        <w:t>à</w:t>
      </w:r>
      <w:r>
        <w:rPr>
          <w:spacing w:val="-14"/>
        </w:rPr>
        <w:t> </w:t>
      </w:r>
      <w:r>
        <w:rPr/>
        <w:t>l’</w:t>
      </w:r>
      <w:r>
        <w:rPr>
          <w:spacing w:val="-15"/>
        </w:rPr>
        <w:t> </w:t>
      </w:r>
      <w:r>
        <w:rPr/>
        <w:t>encontre</w:t>
      </w:r>
      <w:r>
        <w:rPr>
          <w:spacing w:val="-14"/>
        </w:rPr>
        <w:t> </w:t>
      </w:r>
      <w:r>
        <w:rPr/>
        <w:t>des</w:t>
      </w:r>
      <w:r>
        <w:rPr>
          <w:spacing w:val="-13"/>
        </w:rPr>
        <w:t> </w:t>
      </w:r>
      <w:r>
        <w:rPr/>
        <w:t>décisions</w:t>
      </w:r>
      <w:r>
        <w:rPr>
          <w:spacing w:val="-13"/>
        </w:rPr>
        <w:t> </w:t>
      </w:r>
      <w:r>
        <w:rPr/>
        <w:t>rendues</w:t>
      </w:r>
      <w:r>
        <w:rPr>
          <w:spacing w:val="-12"/>
        </w:rPr>
        <w:t> </w:t>
      </w:r>
      <w:r>
        <w:rPr/>
        <w:t>doit</w:t>
      </w:r>
      <w:r>
        <w:rPr>
          <w:spacing w:val="-13"/>
        </w:rPr>
        <w:t> </w:t>
      </w:r>
      <w:r>
        <w:rPr/>
        <w:t>être</w:t>
      </w:r>
      <w:r>
        <w:rPr>
          <w:spacing w:val="-14"/>
        </w:rPr>
        <w:t> </w:t>
      </w:r>
      <w:r>
        <w:rPr/>
        <w:t>exercé</w:t>
      </w:r>
      <w:r>
        <w:rPr>
          <w:spacing w:val="-16"/>
        </w:rPr>
        <w:t> </w:t>
      </w:r>
      <w:r>
        <w:rPr/>
        <w:t>dans</w:t>
      </w:r>
      <w:r>
        <w:rPr>
          <w:spacing w:val="-12"/>
        </w:rPr>
        <w:t> </w:t>
      </w:r>
      <w:r>
        <w:rPr/>
        <w:t>les</w:t>
      </w:r>
      <w:r>
        <w:rPr>
          <w:spacing w:val="-13"/>
        </w:rPr>
        <w:t> </w:t>
      </w:r>
      <w:r>
        <w:rPr/>
        <w:t>cinq</w:t>
      </w:r>
      <w:r>
        <w:rPr>
          <w:spacing w:val="-13"/>
        </w:rPr>
        <w:t> </w:t>
      </w:r>
      <w:r>
        <w:rPr/>
        <w:t>(05)</w:t>
      </w:r>
      <w:r>
        <w:rPr>
          <w:w w:val="100"/>
        </w:rPr>
        <w:t> </w:t>
      </w:r>
      <w:r>
        <w:rPr/>
        <w:t>jours</w:t>
      </w:r>
      <w:r>
        <w:rPr>
          <w:spacing w:val="-14"/>
        </w:rPr>
        <w:t> </w:t>
      </w:r>
      <w:r>
        <w:rPr/>
        <w:t>ouvrables</w:t>
      </w:r>
      <w:r>
        <w:rPr>
          <w:spacing w:val="-13"/>
        </w:rPr>
        <w:t> </w:t>
      </w:r>
      <w:r>
        <w:rPr/>
        <w:t>suivants</w:t>
      </w:r>
      <w:r>
        <w:rPr>
          <w:spacing w:val="-13"/>
        </w:rPr>
        <w:t> </w:t>
      </w:r>
      <w:r>
        <w:rPr/>
        <w:t>la</w:t>
      </w:r>
      <w:r>
        <w:rPr>
          <w:spacing w:val="-14"/>
        </w:rPr>
        <w:t> </w:t>
      </w:r>
      <w:r>
        <w:rPr/>
        <w:t>publication</w:t>
      </w:r>
      <w:r>
        <w:rPr>
          <w:spacing w:val="-14"/>
        </w:rPr>
        <w:t> </w:t>
      </w:r>
      <w:r>
        <w:rPr/>
        <w:t>ou</w:t>
      </w:r>
      <w:r>
        <w:rPr>
          <w:spacing w:val="-13"/>
        </w:rPr>
        <w:t> </w:t>
      </w:r>
      <w:r>
        <w:rPr/>
        <w:t>la</w:t>
      </w:r>
      <w:r>
        <w:rPr>
          <w:spacing w:val="-14"/>
        </w:rPr>
        <w:t> </w:t>
      </w:r>
      <w:r>
        <w:rPr/>
        <w:t>notification</w:t>
      </w:r>
      <w:r>
        <w:rPr>
          <w:spacing w:val="-13"/>
        </w:rPr>
        <w:t> </w:t>
      </w:r>
      <w:r>
        <w:rPr/>
        <w:t>de</w:t>
      </w:r>
      <w:r>
        <w:rPr>
          <w:spacing w:val="-14"/>
        </w:rPr>
        <w:t> </w:t>
      </w:r>
      <w:r>
        <w:rPr/>
        <w:t>la</w:t>
      </w:r>
      <w:r>
        <w:rPr>
          <w:spacing w:val="-14"/>
        </w:rPr>
        <w:t> </w:t>
      </w:r>
      <w:r>
        <w:rPr/>
        <w:t>décision</w:t>
      </w:r>
      <w:r>
        <w:rPr>
          <w:spacing w:val="-13"/>
        </w:rPr>
        <w:t> </w:t>
      </w:r>
      <w:r>
        <w:rPr/>
        <w:t>du</w:t>
      </w:r>
      <w:r>
        <w:rPr>
          <w:spacing w:val="-14"/>
        </w:rPr>
        <w:t> </w:t>
      </w:r>
      <w:r>
        <w:rPr/>
        <w:t>fait</w:t>
      </w:r>
      <w:r>
        <w:rPr>
          <w:spacing w:val="-13"/>
        </w:rPr>
        <w:t> </w:t>
      </w:r>
      <w:r>
        <w:rPr/>
        <w:t>contesté.</w:t>
      </w:r>
      <w:r>
        <w:rPr>
          <w:w w:val="100"/>
        </w:rPr>
        <w:t> </w:t>
      </w:r>
      <w:r>
        <w:rPr/>
        <w:t>Ce</w:t>
      </w:r>
      <w:r>
        <w:rPr>
          <w:spacing w:val="41"/>
        </w:rPr>
        <w:t> </w:t>
      </w:r>
      <w:r>
        <w:rPr/>
        <w:t>recours</w:t>
      </w:r>
      <w:r>
        <w:rPr>
          <w:spacing w:val="41"/>
        </w:rPr>
        <w:t> </w:t>
      </w:r>
      <w:r>
        <w:rPr/>
        <w:t>peut</w:t>
      </w:r>
      <w:r>
        <w:rPr>
          <w:spacing w:val="42"/>
        </w:rPr>
        <w:t> </w:t>
      </w:r>
      <w:r>
        <w:rPr/>
        <w:t>être</w:t>
      </w:r>
      <w:r>
        <w:rPr>
          <w:spacing w:val="40"/>
        </w:rPr>
        <w:t> </w:t>
      </w:r>
      <w:r>
        <w:rPr/>
        <w:t>exercé</w:t>
      </w:r>
      <w:r>
        <w:rPr>
          <w:spacing w:val="43"/>
        </w:rPr>
        <w:t> </w:t>
      </w:r>
      <w:r>
        <w:rPr/>
        <w:t>par</w:t>
      </w:r>
      <w:r>
        <w:rPr>
          <w:spacing w:val="42"/>
        </w:rPr>
        <w:t> </w:t>
      </w:r>
      <w:r>
        <w:rPr/>
        <w:t>tout</w:t>
      </w:r>
      <w:r>
        <w:rPr>
          <w:spacing w:val="43"/>
        </w:rPr>
        <w:t> </w:t>
      </w:r>
      <w:r>
        <w:rPr/>
        <w:t>moyen</w:t>
      </w:r>
      <w:r>
        <w:rPr>
          <w:spacing w:val="44"/>
        </w:rPr>
        <w:t> </w:t>
      </w:r>
      <w:r>
        <w:rPr/>
        <w:t>approprié</w:t>
      </w:r>
      <w:r>
        <w:rPr>
          <w:spacing w:val="39"/>
        </w:rPr>
        <w:t> </w:t>
      </w:r>
      <w:r>
        <w:rPr/>
        <w:t>matériel</w:t>
      </w:r>
      <w:r>
        <w:rPr>
          <w:spacing w:val="43"/>
        </w:rPr>
        <w:t> </w:t>
      </w:r>
      <w:r>
        <w:rPr/>
        <w:t>ou</w:t>
      </w:r>
      <w:r>
        <w:rPr>
          <w:spacing w:val="41"/>
        </w:rPr>
        <w:t> </w:t>
      </w:r>
      <w:r>
        <w:rPr/>
        <w:t>immatériel</w:t>
      </w:r>
      <w:r>
        <w:rPr>
          <w:w w:val="100"/>
        </w:rPr>
        <w:t> </w:t>
      </w:r>
      <w:r>
        <w:rPr/>
        <w:t>contre décharge remise à l’intéressé si la demande a été remise directement</w:t>
      </w:r>
      <w:r>
        <w:rPr>
          <w:spacing w:val="-28"/>
        </w:rPr>
        <w:t> </w:t>
      </w:r>
      <w:r>
        <w:rPr/>
        <w:t>au</w:t>
      </w:r>
      <w:r>
        <w:rPr>
          <w:spacing w:val="-2"/>
        </w:rPr>
        <w:t> </w:t>
      </w:r>
      <w:r>
        <w:rPr/>
        <w:t>Bureau</w:t>
      </w:r>
      <w:r>
        <w:rPr>
          <w:w w:val="100"/>
        </w:rPr>
        <w:t> </w:t>
      </w:r>
      <w:r>
        <w:rPr/>
        <w:t>d’Ordre</w:t>
      </w:r>
      <w:r>
        <w:rPr>
          <w:spacing w:val="8"/>
        </w:rPr>
        <w:t> </w:t>
      </w:r>
      <w:r>
        <w:rPr/>
        <w:t>du</w:t>
      </w:r>
      <w:r>
        <w:rPr>
          <w:spacing w:val="9"/>
        </w:rPr>
        <w:t> </w:t>
      </w:r>
      <w:r>
        <w:rPr/>
        <w:t>GCT</w:t>
      </w:r>
      <w:r>
        <w:rPr>
          <w:spacing w:val="6"/>
        </w:rPr>
        <w:t> </w:t>
      </w:r>
      <w:r>
        <w:rPr/>
        <w:t>ou</w:t>
      </w:r>
      <w:r>
        <w:rPr>
          <w:spacing w:val="9"/>
        </w:rPr>
        <w:t> </w:t>
      </w:r>
      <w:r>
        <w:rPr/>
        <w:t>en</w:t>
      </w:r>
      <w:r>
        <w:rPr>
          <w:spacing w:val="8"/>
        </w:rPr>
        <w:t> </w:t>
      </w:r>
      <w:r>
        <w:rPr/>
        <w:t>ligne.</w:t>
      </w:r>
      <w:r>
        <w:rPr>
          <w:spacing w:val="12"/>
        </w:rPr>
        <w:t> </w:t>
      </w:r>
      <w:r>
        <w:rPr/>
        <w:t>Il</w:t>
      </w:r>
      <w:r>
        <w:rPr>
          <w:spacing w:val="8"/>
        </w:rPr>
        <w:t> </w:t>
      </w:r>
      <w:r>
        <w:rPr/>
        <w:t>doit</w:t>
      </w:r>
      <w:r>
        <w:rPr>
          <w:spacing w:val="7"/>
        </w:rPr>
        <w:t> </w:t>
      </w:r>
      <w:r>
        <w:rPr/>
        <w:t>être</w:t>
      </w:r>
      <w:r>
        <w:rPr>
          <w:spacing w:val="8"/>
        </w:rPr>
        <w:t> </w:t>
      </w:r>
      <w:r>
        <w:rPr/>
        <w:t>accompagné</w:t>
      </w:r>
      <w:r>
        <w:rPr>
          <w:spacing w:val="6"/>
        </w:rPr>
        <w:t> </w:t>
      </w:r>
      <w:r>
        <w:rPr/>
        <w:t>d’un</w:t>
      </w:r>
      <w:r>
        <w:rPr>
          <w:spacing w:val="8"/>
        </w:rPr>
        <w:t> </w:t>
      </w:r>
      <w:r>
        <w:rPr/>
        <w:t>rapport</w:t>
      </w:r>
      <w:r>
        <w:rPr>
          <w:spacing w:val="7"/>
        </w:rPr>
        <w:t> </w:t>
      </w:r>
      <w:r>
        <w:rPr/>
        <w:t>détaillé</w:t>
      </w:r>
      <w:r>
        <w:rPr>
          <w:spacing w:val="5"/>
        </w:rPr>
        <w:t> </w:t>
      </w:r>
      <w:r>
        <w:rPr/>
        <w:t>et</w:t>
      </w:r>
      <w:r>
        <w:rPr>
          <w:w w:val="100"/>
        </w:rPr>
        <w:t> </w:t>
      </w:r>
      <w:r>
        <w:rPr/>
        <w:t>circonstancié appuyé par les justificatifs nécessaires et précisant les</w:t>
      </w:r>
      <w:r>
        <w:rPr>
          <w:spacing w:val="43"/>
        </w:rPr>
        <w:t> </w:t>
      </w:r>
      <w:r>
        <w:rPr/>
        <w:t>irrégularités</w:t>
      </w:r>
    </w:p>
    <w:p>
      <w:pPr>
        <w:pStyle w:val="BodyText"/>
        <w:spacing w:line="322" w:lineRule="exact"/>
        <w:ind w:firstLine="0"/>
        <w:jc w:val="left"/>
      </w:pPr>
      <w:r>
        <w:rPr/>
        <w:t>contestées.</w:t>
      </w:r>
    </w:p>
    <w:p>
      <w:pPr>
        <w:pStyle w:val="BodyText"/>
        <w:spacing w:line="242" w:lineRule="auto"/>
        <w:ind w:right="751"/>
      </w:pPr>
      <w:r>
        <w:rPr/>
        <w:t>Le</w:t>
      </w:r>
      <w:r>
        <w:rPr>
          <w:spacing w:val="-8"/>
        </w:rPr>
        <w:t> </w:t>
      </w:r>
      <w:r>
        <w:rPr/>
        <w:t>GCT</w:t>
      </w:r>
      <w:r>
        <w:rPr>
          <w:spacing w:val="-7"/>
        </w:rPr>
        <w:t> </w:t>
      </w:r>
      <w:r>
        <w:rPr/>
        <w:t>peut</w:t>
      </w:r>
      <w:r>
        <w:rPr>
          <w:spacing w:val="-7"/>
        </w:rPr>
        <w:t> </w:t>
      </w:r>
      <w:r>
        <w:rPr/>
        <w:t>attribuer</w:t>
      </w:r>
      <w:r>
        <w:rPr>
          <w:spacing w:val="-8"/>
        </w:rPr>
        <w:t> </w:t>
      </w:r>
      <w:r>
        <w:rPr/>
        <w:t>à</w:t>
      </w:r>
      <w:r>
        <w:rPr>
          <w:spacing w:val="-8"/>
        </w:rPr>
        <w:t> </w:t>
      </w:r>
      <w:r>
        <w:rPr/>
        <w:t>cet</w:t>
      </w:r>
      <w:r>
        <w:rPr>
          <w:spacing w:val="-7"/>
        </w:rPr>
        <w:t> </w:t>
      </w:r>
      <w:r>
        <w:rPr/>
        <w:t>effet</w:t>
      </w:r>
      <w:r>
        <w:rPr>
          <w:spacing w:val="-6"/>
        </w:rPr>
        <w:t> </w:t>
      </w:r>
      <w:r>
        <w:rPr/>
        <w:t>le</w:t>
      </w:r>
      <w:r>
        <w:rPr>
          <w:spacing w:val="-8"/>
        </w:rPr>
        <w:t> </w:t>
      </w:r>
      <w:r>
        <w:rPr/>
        <w:t>traitement</w:t>
      </w:r>
      <w:r>
        <w:rPr>
          <w:spacing w:val="-7"/>
        </w:rPr>
        <w:t> </w:t>
      </w:r>
      <w:r>
        <w:rPr/>
        <w:t>des</w:t>
      </w:r>
      <w:r>
        <w:rPr>
          <w:spacing w:val="-6"/>
        </w:rPr>
        <w:t> </w:t>
      </w:r>
      <w:r>
        <w:rPr/>
        <w:t>contestations</w:t>
      </w:r>
      <w:r>
        <w:rPr>
          <w:spacing w:val="-1"/>
        </w:rPr>
        <w:t> </w:t>
      </w:r>
      <w:r>
        <w:rPr/>
        <w:t>et</w:t>
      </w:r>
      <w:r>
        <w:rPr>
          <w:spacing w:val="-7"/>
        </w:rPr>
        <w:t> </w:t>
      </w:r>
      <w:r>
        <w:rPr/>
        <w:t>des</w:t>
      </w:r>
      <w:r>
        <w:rPr>
          <w:spacing w:val="-7"/>
        </w:rPr>
        <w:t> </w:t>
      </w:r>
      <w:r>
        <w:rPr/>
        <w:t>allégations à une ou plusieurs commissions désignées par la Direction</w:t>
      </w:r>
      <w:r>
        <w:rPr>
          <w:spacing w:val="-8"/>
        </w:rPr>
        <w:t> </w:t>
      </w:r>
      <w:r>
        <w:rPr/>
        <w:t>Générale.</w:t>
      </w:r>
    </w:p>
    <w:p>
      <w:pPr>
        <w:pStyle w:val="BodyText"/>
        <w:ind w:right="756"/>
      </w:pPr>
      <w:r>
        <w:rPr/>
        <w:t>En</w:t>
      </w:r>
      <w:r>
        <w:rPr>
          <w:spacing w:val="-2"/>
        </w:rPr>
        <w:t> </w:t>
      </w:r>
      <w:r>
        <w:rPr/>
        <w:t>l’absence</w:t>
      </w:r>
      <w:r>
        <w:rPr>
          <w:spacing w:val="-6"/>
        </w:rPr>
        <w:t> </w:t>
      </w:r>
      <w:r>
        <w:rPr/>
        <w:t>de</w:t>
      </w:r>
      <w:r>
        <w:rPr>
          <w:spacing w:val="-6"/>
        </w:rPr>
        <w:t> </w:t>
      </w:r>
      <w:r>
        <w:rPr/>
        <w:t>décision</w:t>
      </w:r>
      <w:r>
        <w:rPr>
          <w:spacing w:val="-2"/>
        </w:rPr>
        <w:t> </w:t>
      </w:r>
      <w:r>
        <w:rPr/>
        <w:t>rendue</w:t>
      </w:r>
      <w:r>
        <w:rPr>
          <w:spacing w:val="-3"/>
        </w:rPr>
        <w:t> </w:t>
      </w:r>
      <w:r>
        <w:rPr/>
        <w:t>par</w:t>
      </w:r>
      <w:r>
        <w:rPr>
          <w:spacing w:val="-3"/>
        </w:rPr>
        <w:t> </w:t>
      </w:r>
      <w:r>
        <w:rPr/>
        <w:t>l’autorité</w:t>
      </w:r>
      <w:r>
        <w:rPr>
          <w:spacing w:val="-5"/>
        </w:rPr>
        <w:t> </w:t>
      </w:r>
      <w:r>
        <w:rPr/>
        <w:t>à</w:t>
      </w:r>
      <w:r>
        <w:rPr>
          <w:spacing w:val="-4"/>
        </w:rPr>
        <w:t> </w:t>
      </w:r>
      <w:r>
        <w:rPr/>
        <w:t>l’origine</w:t>
      </w:r>
      <w:r>
        <w:rPr>
          <w:spacing w:val="-5"/>
        </w:rPr>
        <w:t> </w:t>
      </w:r>
      <w:r>
        <w:rPr/>
        <w:t>de</w:t>
      </w:r>
      <w:r>
        <w:rPr>
          <w:spacing w:val="-6"/>
        </w:rPr>
        <w:t> </w:t>
      </w:r>
      <w:r>
        <w:rPr/>
        <w:t>la</w:t>
      </w:r>
      <w:r>
        <w:rPr>
          <w:spacing w:val="-6"/>
        </w:rPr>
        <w:t> </w:t>
      </w:r>
      <w:r>
        <w:rPr/>
        <w:t>décision</w:t>
      </w:r>
      <w:r>
        <w:rPr>
          <w:spacing w:val="-6"/>
        </w:rPr>
        <w:t> </w:t>
      </w:r>
      <w:r>
        <w:rPr/>
        <w:t>contestée dans les cinq (05) jours ouvrables à compter de sa saisine, la requête est considérée comme</w:t>
      </w:r>
      <w:r>
        <w:rPr>
          <w:spacing w:val="1"/>
        </w:rPr>
        <w:t> </w:t>
      </w:r>
      <w:r>
        <w:rPr/>
        <w:t>rejetée.</w:t>
      </w:r>
    </w:p>
    <w:p>
      <w:pPr>
        <w:pStyle w:val="Heading2"/>
        <w:numPr>
          <w:ilvl w:val="2"/>
          <w:numId w:val="94"/>
        </w:numPr>
        <w:tabs>
          <w:tab w:pos="1365" w:val="left" w:leader="none"/>
        </w:tabs>
        <w:spacing w:line="276" w:lineRule="auto" w:before="118" w:after="0"/>
        <w:ind w:left="433" w:right="750" w:firstLine="0"/>
        <w:jc w:val="both"/>
      </w:pPr>
      <w:bookmarkStart w:name="_TOC_250027" w:id="116"/>
      <w:r>
        <w:rPr/>
        <w:t>Le recours auprès de la commission de recours et d’intégrité pour les marchés du</w:t>
      </w:r>
      <w:r>
        <w:rPr>
          <w:spacing w:val="-1"/>
        </w:rPr>
        <w:t> </w:t>
      </w:r>
      <w:bookmarkEnd w:id="116"/>
      <w:r>
        <w:rPr/>
        <w:t>GCT</w:t>
      </w:r>
    </w:p>
    <w:p>
      <w:pPr>
        <w:pStyle w:val="BodyText"/>
        <w:ind w:right="749"/>
      </w:pPr>
      <w:r>
        <w:rPr/>
        <w:t>Peut,</w:t>
      </w:r>
      <w:r>
        <w:rPr>
          <w:spacing w:val="-6"/>
        </w:rPr>
        <w:t> </w:t>
      </w:r>
      <w:r>
        <w:rPr/>
        <w:t>dans</w:t>
      </w:r>
      <w:r>
        <w:rPr>
          <w:spacing w:val="-7"/>
        </w:rPr>
        <w:t> </w:t>
      </w:r>
      <w:r>
        <w:rPr/>
        <w:t>un</w:t>
      </w:r>
      <w:r>
        <w:rPr>
          <w:spacing w:val="-7"/>
        </w:rPr>
        <w:t> </w:t>
      </w:r>
      <w:r>
        <w:rPr/>
        <w:t>délai</w:t>
      </w:r>
      <w:r>
        <w:rPr>
          <w:spacing w:val="-4"/>
        </w:rPr>
        <w:t> </w:t>
      </w:r>
      <w:r>
        <w:rPr/>
        <w:t>défini</w:t>
      </w:r>
      <w:r>
        <w:rPr>
          <w:spacing w:val="-5"/>
        </w:rPr>
        <w:t> </w:t>
      </w:r>
      <w:r>
        <w:rPr/>
        <w:t>dans</w:t>
      </w:r>
      <w:r>
        <w:rPr>
          <w:spacing w:val="-5"/>
        </w:rPr>
        <w:t> </w:t>
      </w:r>
      <w:r>
        <w:rPr/>
        <w:t>les</w:t>
      </w:r>
      <w:r>
        <w:rPr>
          <w:spacing w:val="-6"/>
        </w:rPr>
        <w:t> </w:t>
      </w:r>
      <w:r>
        <w:rPr/>
        <w:t>documents</w:t>
      </w:r>
      <w:r>
        <w:rPr>
          <w:spacing w:val="-7"/>
        </w:rPr>
        <w:t> </w:t>
      </w:r>
      <w:r>
        <w:rPr/>
        <w:t>de</w:t>
      </w:r>
      <w:r>
        <w:rPr>
          <w:spacing w:val="-4"/>
        </w:rPr>
        <w:t> </w:t>
      </w:r>
      <w:r>
        <w:rPr/>
        <w:t>mise</w:t>
      </w:r>
      <w:r>
        <w:rPr>
          <w:spacing w:val="-5"/>
        </w:rPr>
        <w:t> </w:t>
      </w:r>
      <w:r>
        <w:rPr/>
        <w:t>en</w:t>
      </w:r>
      <w:r>
        <w:rPr>
          <w:spacing w:val="-4"/>
        </w:rPr>
        <w:t> </w:t>
      </w:r>
      <w:r>
        <w:rPr/>
        <w:t>concurrence</w:t>
      </w:r>
      <w:r>
        <w:rPr>
          <w:spacing w:val="-7"/>
        </w:rPr>
        <w:t> </w:t>
      </w:r>
      <w:r>
        <w:rPr/>
        <w:t>ou</w:t>
      </w:r>
      <w:r>
        <w:rPr>
          <w:spacing w:val="4"/>
        </w:rPr>
        <w:t> </w:t>
      </w:r>
      <w:r>
        <w:rPr/>
        <w:t>dans</w:t>
      </w:r>
      <w:r>
        <w:rPr>
          <w:spacing w:val="-6"/>
        </w:rPr>
        <w:t> </w:t>
      </w:r>
      <w:r>
        <w:rPr/>
        <w:t>les documents contractuels, présenter une plainte devant la Commission de Recours et d’intégrité (voir annexe n°12) et prouvant les griefs</w:t>
      </w:r>
      <w:r>
        <w:rPr>
          <w:spacing w:val="-1"/>
        </w:rPr>
        <w:t> </w:t>
      </w:r>
      <w:r>
        <w:rPr/>
        <w:t>invoqués:</w:t>
      </w:r>
    </w:p>
    <w:p>
      <w:pPr>
        <w:spacing w:after="0"/>
        <w:sectPr>
          <w:pgSz w:w="11910" w:h="16840"/>
          <w:pgMar w:header="722" w:footer="0" w:top="1860" w:bottom="280" w:left="700" w:right="380"/>
        </w:sectPr>
      </w:pPr>
    </w:p>
    <w:p>
      <w:pPr>
        <w:pStyle w:val="BodyText"/>
        <w:spacing w:before="2"/>
        <w:ind w:left="0" w:firstLine="0"/>
        <w:jc w:val="left"/>
        <w:rPr>
          <w:sz w:val="15"/>
        </w:rPr>
      </w:pPr>
    </w:p>
    <w:p>
      <w:pPr>
        <w:pStyle w:val="ListParagraph"/>
        <w:numPr>
          <w:ilvl w:val="3"/>
          <w:numId w:val="94"/>
        </w:numPr>
        <w:tabs>
          <w:tab w:pos="1000" w:val="left" w:leader="none"/>
        </w:tabs>
        <w:spacing w:line="240" w:lineRule="auto" w:before="101" w:after="0"/>
        <w:ind w:left="999" w:right="758" w:hanging="284"/>
        <w:jc w:val="both"/>
        <w:rPr>
          <w:sz w:val="28"/>
        </w:rPr>
      </w:pPr>
      <w:r>
        <w:rPr>
          <w:sz w:val="28"/>
        </w:rPr>
        <w:t>Tout candidat qui s’estime lésé par l’insertion d'une condition ou d’une clause technique ou d'une clause non réglementaire dans les documents de mise en concurrence ou contrat ;</w:t>
      </w:r>
    </w:p>
    <w:p>
      <w:pPr>
        <w:pStyle w:val="ListParagraph"/>
        <w:numPr>
          <w:ilvl w:val="3"/>
          <w:numId w:val="94"/>
        </w:numPr>
        <w:tabs>
          <w:tab w:pos="1000" w:val="left" w:leader="none"/>
        </w:tabs>
        <w:spacing w:line="240" w:lineRule="auto" w:before="0" w:after="0"/>
        <w:ind w:left="999" w:right="756" w:hanging="284"/>
        <w:jc w:val="both"/>
        <w:rPr>
          <w:sz w:val="28"/>
        </w:rPr>
      </w:pPr>
      <w:r>
        <w:rPr>
          <w:sz w:val="28"/>
        </w:rPr>
        <w:t>Tout soumissionnaire ayant des allégations relatives au déroulement des procédures et à l’attribution de l’achat.</w:t>
      </w:r>
    </w:p>
    <w:p>
      <w:pPr>
        <w:pStyle w:val="ListParagraph"/>
        <w:numPr>
          <w:ilvl w:val="3"/>
          <w:numId w:val="94"/>
        </w:numPr>
        <w:tabs>
          <w:tab w:pos="1000" w:val="left" w:leader="none"/>
        </w:tabs>
        <w:spacing w:line="343" w:lineRule="exact" w:before="0" w:after="0"/>
        <w:ind w:left="999" w:right="0" w:hanging="284"/>
        <w:jc w:val="both"/>
        <w:rPr>
          <w:sz w:val="28"/>
        </w:rPr>
      </w:pPr>
      <w:r>
        <w:rPr>
          <w:sz w:val="28"/>
        </w:rPr>
        <w:t>Tout contractant ayant des allégations relatives à l’exécution </w:t>
      </w:r>
      <w:r>
        <w:rPr>
          <w:spacing w:val="2"/>
          <w:sz w:val="28"/>
        </w:rPr>
        <w:t>du </w:t>
      </w:r>
      <w:r>
        <w:rPr>
          <w:sz w:val="28"/>
        </w:rPr>
        <w:t>contrat</w:t>
      </w:r>
      <w:r>
        <w:rPr>
          <w:spacing w:val="-8"/>
          <w:sz w:val="28"/>
        </w:rPr>
        <w:t> </w:t>
      </w:r>
      <w:r>
        <w:rPr>
          <w:sz w:val="28"/>
        </w:rPr>
        <w:t>;</w:t>
      </w:r>
    </w:p>
    <w:p>
      <w:pPr>
        <w:pStyle w:val="BodyText"/>
        <w:spacing w:before="118"/>
        <w:ind w:right="759"/>
      </w:pPr>
      <w:r>
        <w:rPr/>
        <w:t>La</w:t>
      </w:r>
      <w:r>
        <w:rPr>
          <w:spacing w:val="-9"/>
        </w:rPr>
        <w:t> </w:t>
      </w:r>
      <w:r>
        <w:rPr/>
        <w:t>Commission</w:t>
      </w:r>
      <w:r>
        <w:rPr>
          <w:spacing w:val="-7"/>
        </w:rPr>
        <w:t> </w:t>
      </w:r>
      <w:r>
        <w:rPr/>
        <w:t>de</w:t>
      </w:r>
      <w:r>
        <w:rPr>
          <w:spacing w:val="-8"/>
        </w:rPr>
        <w:t> </w:t>
      </w:r>
      <w:r>
        <w:rPr/>
        <w:t>Recours</w:t>
      </w:r>
      <w:r>
        <w:rPr>
          <w:spacing w:val="-7"/>
        </w:rPr>
        <w:t> </w:t>
      </w:r>
      <w:r>
        <w:rPr/>
        <w:t>et</w:t>
      </w:r>
      <w:r>
        <w:rPr>
          <w:spacing w:val="-7"/>
        </w:rPr>
        <w:t> </w:t>
      </w:r>
      <w:r>
        <w:rPr/>
        <w:t>d'Intégrité</w:t>
      </w:r>
      <w:r>
        <w:rPr>
          <w:spacing w:val="-8"/>
        </w:rPr>
        <w:t> </w:t>
      </w:r>
      <w:r>
        <w:rPr/>
        <w:t>est</w:t>
      </w:r>
      <w:r>
        <w:rPr>
          <w:spacing w:val="-8"/>
        </w:rPr>
        <w:t> </w:t>
      </w:r>
      <w:r>
        <w:rPr/>
        <w:t>chargée</w:t>
      </w:r>
      <w:r>
        <w:rPr>
          <w:spacing w:val="-7"/>
        </w:rPr>
        <w:t> </w:t>
      </w:r>
      <w:r>
        <w:rPr/>
        <w:t>du</w:t>
      </w:r>
      <w:r>
        <w:rPr>
          <w:spacing w:val="-7"/>
        </w:rPr>
        <w:t> </w:t>
      </w:r>
      <w:r>
        <w:rPr/>
        <w:t>traitement</w:t>
      </w:r>
      <w:r>
        <w:rPr>
          <w:spacing w:val="-7"/>
        </w:rPr>
        <w:t> </w:t>
      </w:r>
      <w:r>
        <w:rPr/>
        <w:t>des</w:t>
      </w:r>
      <w:r>
        <w:rPr>
          <w:spacing w:val="-7"/>
        </w:rPr>
        <w:t> </w:t>
      </w:r>
      <w:r>
        <w:rPr/>
        <w:t>plaintes</w:t>
      </w:r>
      <w:r>
        <w:rPr>
          <w:spacing w:val="-8"/>
        </w:rPr>
        <w:t> </w:t>
      </w:r>
      <w:r>
        <w:rPr/>
        <w:t>et des différends liés aux procédures engagées en matière de marchés du</w:t>
      </w:r>
      <w:r>
        <w:rPr>
          <w:spacing w:val="-9"/>
        </w:rPr>
        <w:t> </w:t>
      </w:r>
      <w:r>
        <w:rPr/>
        <w:t>GCT.</w:t>
      </w:r>
    </w:p>
    <w:p>
      <w:pPr>
        <w:pStyle w:val="BodyText"/>
        <w:spacing w:line="242" w:lineRule="auto"/>
        <w:ind w:right="761"/>
      </w:pPr>
      <w:r>
        <w:rPr/>
        <w:t>Les Plaintes et les différends sont déposés au Bureau d’Ordre Central du GCT et transférées à la Cellule de la bonne gouvernance.</w:t>
      </w:r>
    </w:p>
    <w:p>
      <w:pPr>
        <w:pStyle w:val="BodyText"/>
        <w:ind w:right="754"/>
      </w:pPr>
      <w:r>
        <w:rPr/>
        <w:t>La</w:t>
      </w:r>
      <w:r>
        <w:rPr>
          <w:spacing w:val="-11"/>
        </w:rPr>
        <w:t> </w:t>
      </w:r>
      <w:r>
        <w:rPr/>
        <w:t>commission</w:t>
      </w:r>
      <w:r>
        <w:rPr>
          <w:spacing w:val="-9"/>
        </w:rPr>
        <w:t> </w:t>
      </w:r>
      <w:r>
        <w:rPr/>
        <w:t>suscitée</w:t>
      </w:r>
      <w:r>
        <w:rPr>
          <w:spacing w:val="-10"/>
        </w:rPr>
        <w:t> </w:t>
      </w:r>
      <w:r>
        <w:rPr/>
        <w:t>doit</w:t>
      </w:r>
      <w:r>
        <w:rPr>
          <w:spacing w:val="-9"/>
        </w:rPr>
        <w:t> </w:t>
      </w:r>
      <w:r>
        <w:rPr/>
        <w:t>statuer</w:t>
      </w:r>
      <w:r>
        <w:rPr>
          <w:spacing w:val="-12"/>
        </w:rPr>
        <w:t> </w:t>
      </w:r>
      <w:r>
        <w:rPr/>
        <w:t>sur</w:t>
      </w:r>
      <w:r>
        <w:rPr>
          <w:spacing w:val="-12"/>
        </w:rPr>
        <w:t> </w:t>
      </w:r>
      <w:r>
        <w:rPr/>
        <w:t>l’objet</w:t>
      </w:r>
      <w:r>
        <w:rPr>
          <w:spacing w:val="-9"/>
        </w:rPr>
        <w:t> </w:t>
      </w:r>
      <w:r>
        <w:rPr/>
        <w:t>de</w:t>
      </w:r>
      <w:r>
        <w:rPr>
          <w:spacing w:val="-10"/>
        </w:rPr>
        <w:t> </w:t>
      </w:r>
      <w:r>
        <w:rPr/>
        <w:t>la</w:t>
      </w:r>
      <w:r>
        <w:rPr>
          <w:spacing w:val="-10"/>
        </w:rPr>
        <w:t> </w:t>
      </w:r>
      <w:r>
        <w:rPr/>
        <w:t>plainte.</w:t>
      </w:r>
      <w:r>
        <w:rPr>
          <w:spacing w:val="-10"/>
        </w:rPr>
        <w:t> </w:t>
      </w:r>
      <w:r>
        <w:rPr/>
        <w:t>Elle</w:t>
      </w:r>
      <w:r>
        <w:rPr>
          <w:spacing w:val="-12"/>
        </w:rPr>
        <w:t> </w:t>
      </w:r>
      <w:r>
        <w:rPr/>
        <w:t>ne</w:t>
      </w:r>
      <w:r>
        <w:rPr>
          <w:spacing w:val="-10"/>
        </w:rPr>
        <w:t> </w:t>
      </w:r>
      <w:r>
        <w:rPr/>
        <w:t>peut</w:t>
      </w:r>
      <w:r>
        <w:rPr>
          <w:spacing w:val="-12"/>
        </w:rPr>
        <w:t> </w:t>
      </w:r>
      <w:r>
        <w:rPr/>
        <w:t>se</w:t>
      </w:r>
      <w:r>
        <w:rPr>
          <w:spacing w:val="-10"/>
        </w:rPr>
        <w:t> </w:t>
      </w:r>
      <w:r>
        <w:rPr/>
        <w:t>réunir qu’en présence de tous ses membres et les avis sont pris à la majorité des voix. Le Président</w:t>
      </w:r>
      <w:r>
        <w:rPr>
          <w:spacing w:val="-6"/>
        </w:rPr>
        <w:t> </w:t>
      </w:r>
      <w:r>
        <w:rPr/>
        <w:t>de</w:t>
      </w:r>
      <w:r>
        <w:rPr>
          <w:spacing w:val="-5"/>
        </w:rPr>
        <w:t> </w:t>
      </w:r>
      <w:r>
        <w:rPr/>
        <w:t>la</w:t>
      </w:r>
      <w:r>
        <w:rPr>
          <w:spacing w:val="-2"/>
        </w:rPr>
        <w:t> </w:t>
      </w:r>
      <w:r>
        <w:rPr/>
        <w:t>Commission</w:t>
      </w:r>
      <w:r>
        <w:rPr>
          <w:spacing w:val="-6"/>
        </w:rPr>
        <w:t> </w:t>
      </w:r>
      <w:r>
        <w:rPr/>
        <w:t>de</w:t>
      </w:r>
      <w:r>
        <w:rPr>
          <w:spacing w:val="-5"/>
        </w:rPr>
        <w:t> </w:t>
      </w:r>
      <w:r>
        <w:rPr/>
        <w:t>Recours</w:t>
      </w:r>
      <w:r>
        <w:rPr>
          <w:spacing w:val="-5"/>
        </w:rPr>
        <w:t> </w:t>
      </w:r>
      <w:r>
        <w:rPr/>
        <w:t>et</w:t>
      </w:r>
      <w:r>
        <w:rPr>
          <w:spacing w:val="-5"/>
        </w:rPr>
        <w:t> </w:t>
      </w:r>
      <w:r>
        <w:rPr/>
        <w:t>d'Intégrité</w:t>
      </w:r>
      <w:r>
        <w:rPr>
          <w:spacing w:val="-6"/>
        </w:rPr>
        <w:t> </w:t>
      </w:r>
      <w:r>
        <w:rPr/>
        <w:t>peut</w:t>
      </w:r>
      <w:r>
        <w:rPr>
          <w:spacing w:val="-1"/>
        </w:rPr>
        <w:t> </w:t>
      </w:r>
      <w:r>
        <w:rPr/>
        <w:t>faire</w:t>
      </w:r>
      <w:r>
        <w:rPr>
          <w:spacing w:val="-5"/>
        </w:rPr>
        <w:t> </w:t>
      </w:r>
      <w:r>
        <w:rPr/>
        <w:t>appel</w:t>
      </w:r>
      <w:r>
        <w:rPr>
          <w:spacing w:val="-2"/>
        </w:rPr>
        <w:t> </w:t>
      </w:r>
      <w:r>
        <w:rPr/>
        <w:t>à</w:t>
      </w:r>
      <w:r>
        <w:rPr>
          <w:spacing w:val="-6"/>
        </w:rPr>
        <w:t> </w:t>
      </w:r>
      <w:r>
        <w:rPr/>
        <w:t>toute</w:t>
      </w:r>
      <w:r>
        <w:rPr>
          <w:spacing w:val="-5"/>
        </w:rPr>
        <w:t> </w:t>
      </w:r>
      <w:r>
        <w:rPr/>
        <w:t>personne compétente.</w:t>
      </w:r>
    </w:p>
    <w:p>
      <w:pPr>
        <w:pStyle w:val="BodyText"/>
        <w:spacing w:line="242" w:lineRule="auto"/>
        <w:ind w:right="758"/>
      </w:pPr>
      <w:r>
        <w:rPr/>
        <w:t>Le</w:t>
      </w:r>
      <w:r>
        <w:rPr>
          <w:spacing w:val="-9"/>
        </w:rPr>
        <w:t> </w:t>
      </w:r>
      <w:r>
        <w:rPr/>
        <w:t>secrétariat</w:t>
      </w:r>
      <w:r>
        <w:rPr>
          <w:spacing w:val="-8"/>
        </w:rPr>
        <w:t> </w:t>
      </w:r>
      <w:r>
        <w:rPr/>
        <w:t>de</w:t>
      </w:r>
      <w:r>
        <w:rPr>
          <w:spacing w:val="-9"/>
        </w:rPr>
        <w:t> </w:t>
      </w:r>
      <w:r>
        <w:rPr/>
        <w:t>la</w:t>
      </w:r>
      <w:r>
        <w:rPr>
          <w:spacing w:val="-9"/>
        </w:rPr>
        <w:t> </w:t>
      </w:r>
      <w:r>
        <w:rPr/>
        <w:t>Commission</w:t>
      </w:r>
      <w:r>
        <w:rPr>
          <w:spacing w:val="-7"/>
        </w:rPr>
        <w:t> </w:t>
      </w:r>
      <w:r>
        <w:rPr/>
        <w:t>de</w:t>
      </w:r>
      <w:r>
        <w:rPr>
          <w:spacing w:val="-9"/>
        </w:rPr>
        <w:t> </w:t>
      </w:r>
      <w:r>
        <w:rPr/>
        <w:t>Recours</w:t>
      </w:r>
      <w:r>
        <w:rPr>
          <w:spacing w:val="-8"/>
        </w:rPr>
        <w:t> </w:t>
      </w:r>
      <w:r>
        <w:rPr/>
        <w:t>et</w:t>
      </w:r>
      <w:r>
        <w:rPr>
          <w:spacing w:val="-10"/>
        </w:rPr>
        <w:t> </w:t>
      </w:r>
      <w:r>
        <w:rPr/>
        <w:t>d'Intégrité</w:t>
      </w:r>
      <w:r>
        <w:rPr>
          <w:spacing w:val="-8"/>
        </w:rPr>
        <w:t> </w:t>
      </w:r>
      <w:r>
        <w:rPr/>
        <w:t>est</w:t>
      </w:r>
      <w:r>
        <w:rPr>
          <w:spacing w:val="-8"/>
        </w:rPr>
        <w:t> </w:t>
      </w:r>
      <w:r>
        <w:rPr/>
        <w:t>assuré</w:t>
      </w:r>
      <w:r>
        <w:rPr>
          <w:spacing w:val="-11"/>
        </w:rPr>
        <w:t> </w:t>
      </w:r>
      <w:r>
        <w:rPr/>
        <w:t>par</w:t>
      </w:r>
      <w:r>
        <w:rPr>
          <w:spacing w:val="-10"/>
        </w:rPr>
        <w:t> </w:t>
      </w:r>
      <w:r>
        <w:rPr/>
        <w:t>la</w:t>
      </w:r>
      <w:r>
        <w:rPr>
          <w:spacing w:val="-9"/>
        </w:rPr>
        <w:t> </w:t>
      </w:r>
      <w:r>
        <w:rPr/>
        <w:t>Cellule de la bonne</w:t>
      </w:r>
      <w:r>
        <w:rPr>
          <w:spacing w:val="-4"/>
        </w:rPr>
        <w:t> </w:t>
      </w:r>
      <w:r>
        <w:rPr/>
        <w:t>gouvernance.</w:t>
      </w:r>
    </w:p>
    <w:p>
      <w:pPr>
        <w:pStyle w:val="BodyText"/>
        <w:ind w:right="749"/>
      </w:pPr>
      <w:r>
        <w:rPr/>
        <w:t>Le recours contre les procédures de passation a un effet suspensif, le marché en question ne peut être signé que suite à l’examen du recours et après l’avis de la commission sus</w:t>
      </w:r>
      <w:r>
        <w:rPr>
          <w:spacing w:val="1"/>
        </w:rPr>
        <w:t> </w:t>
      </w:r>
      <w:r>
        <w:rPr/>
        <w:t>indiquée.</w:t>
      </w:r>
    </w:p>
    <w:p>
      <w:pPr>
        <w:pStyle w:val="BodyText"/>
        <w:ind w:right="751"/>
      </w:pPr>
      <w:r>
        <w:rPr/>
        <w:t>L'avis de la Commission de Recours et d’Intégrité est consultatif et ne lit pas le Conseil</w:t>
      </w:r>
      <w:r>
        <w:rPr>
          <w:spacing w:val="-10"/>
        </w:rPr>
        <w:t> </w:t>
      </w:r>
      <w:r>
        <w:rPr/>
        <w:t>d’administration</w:t>
      </w:r>
      <w:r>
        <w:rPr>
          <w:spacing w:val="-8"/>
        </w:rPr>
        <w:t> </w:t>
      </w:r>
      <w:r>
        <w:rPr/>
        <w:t>et</w:t>
      </w:r>
      <w:r>
        <w:rPr>
          <w:spacing w:val="-8"/>
        </w:rPr>
        <w:t> </w:t>
      </w:r>
      <w:r>
        <w:rPr/>
        <w:t>confidentiel.</w:t>
      </w:r>
      <w:r>
        <w:rPr>
          <w:spacing w:val="-9"/>
        </w:rPr>
        <w:t> </w:t>
      </w:r>
      <w:r>
        <w:rPr/>
        <w:t>Il</w:t>
      </w:r>
      <w:r>
        <w:rPr>
          <w:spacing w:val="-9"/>
        </w:rPr>
        <w:t> </w:t>
      </w:r>
      <w:r>
        <w:rPr/>
        <w:t>ne</w:t>
      </w:r>
      <w:r>
        <w:rPr>
          <w:spacing w:val="-9"/>
        </w:rPr>
        <w:t> </w:t>
      </w:r>
      <w:r>
        <w:rPr/>
        <w:t>peut</w:t>
      </w:r>
      <w:r>
        <w:rPr>
          <w:spacing w:val="-8"/>
        </w:rPr>
        <w:t> </w:t>
      </w:r>
      <w:r>
        <w:rPr/>
        <w:t>être</w:t>
      </w:r>
      <w:r>
        <w:rPr>
          <w:spacing w:val="-8"/>
        </w:rPr>
        <w:t> </w:t>
      </w:r>
      <w:r>
        <w:rPr/>
        <w:t>produit</w:t>
      </w:r>
      <w:r>
        <w:rPr>
          <w:spacing w:val="2"/>
        </w:rPr>
        <w:t> </w:t>
      </w:r>
      <w:r>
        <w:rPr/>
        <w:t>ni</w:t>
      </w:r>
      <w:r>
        <w:rPr>
          <w:spacing w:val="-8"/>
        </w:rPr>
        <w:t> </w:t>
      </w:r>
      <w:r>
        <w:rPr/>
        <w:t>utilisé</w:t>
      </w:r>
      <w:r>
        <w:rPr>
          <w:spacing w:val="-8"/>
        </w:rPr>
        <w:t> </w:t>
      </w:r>
      <w:r>
        <w:rPr/>
        <w:t>par</w:t>
      </w:r>
      <w:r>
        <w:rPr>
          <w:spacing w:val="-8"/>
        </w:rPr>
        <w:t> </w:t>
      </w:r>
      <w:r>
        <w:rPr/>
        <w:t>les</w:t>
      </w:r>
      <w:r>
        <w:rPr>
          <w:spacing w:val="-8"/>
        </w:rPr>
        <w:t> </w:t>
      </w:r>
      <w:r>
        <w:rPr/>
        <w:t>parties devant les</w:t>
      </w:r>
      <w:r>
        <w:rPr>
          <w:spacing w:val="-2"/>
        </w:rPr>
        <w:t> </w:t>
      </w:r>
      <w:r>
        <w:rPr/>
        <w:t>tribunaux.</w:t>
      </w:r>
    </w:p>
    <w:p>
      <w:pPr>
        <w:pStyle w:val="Heading2"/>
        <w:numPr>
          <w:ilvl w:val="1"/>
          <w:numId w:val="94"/>
        </w:numPr>
        <w:tabs>
          <w:tab w:pos="1113" w:val="left" w:leader="none"/>
        </w:tabs>
        <w:spacing w:line="319" w:lineRule="exact" w:before="114" w:after="0"/>
        <w:ind w:left="1112" w:right="0" w:hanging="680"/>
        <w:jc w:val="both"/>
      </w:pPr>
      <w:bookmarkStart w:name="_TOC_250026" w:id="117"/>
      <w:r>
        <w:rPr/>
        <w:t>Le règlement</w:t>
      </w:r>
      <w:r>
        <w:rPr>
          <w:spacing w:val="-2"/>
        </w:rPr>
        <w:t> </w:t>
      </w:r>
      <w:bookmarkEnd w:id="117"/>
      <w:r>
        <w:rPr/>
        <w:t>amiable</w:t>
      </w:r>
    </w:p>
    <w:p>
      <w:pPr>
        <w:pStyle w:val="BodyText"/>
        <w:ind w:right="751"/>
      </w:pPr>
      <w:r>
        <w:rPr/>
        <w:t>Les</w:t>
      </w:r>
      <w:r>
        <w:rPr>
          <w:spacing w:val="-12"/>
        </w:rPr>
        <w:t> </w:t>
      </w:r>
      <w:r>
        <w:rPr/>
        <w:t>procédures</w:t>
      </w:r>
      <w:r>
        <w:rPr>
          <w:spacing w:val="-11"/>
        </w:rPr>
        <w:t> </w:t>
      </w:r>
      <w:r>
        <w:rPr/>
        <w:t>de</w:t>
      </w:r>
      <w:r>
        <w:rPr>
          <w:spacing w:val="-13"/>
        </w:rPr>
        <w:t> </w:t>
      </w:r>
      <w:r>
        <w:rPr/>
        <w:t>règlement</w:t>
      </w:r>
      <w:r>
        <w:rPr>
          <w:spacing w:val="-12"/>
        </w:rPr>
        <w:t> </w:t>
      </w:r>
      <w:r>
        <w:rPr/>
        <w:t>amiable</w:t>
      </w:r>
      <w:r>
        <w:rPr>
          <w:spacing w:val="-11"/>
        </w:rPr>
        <w:t> </w:t>
      </w:r>
      <w:r>
        <w:rPr/>
        <w:t>des</w:t>
      </w:r>
      <w:r>
        <w:rPr>
          <w:spacing w:val="-12"/>
        </w:rPr>
        <w:t> </w:t>
      </w:r>
      <w:r>
        <w:rPr/>
        <w:t>litiges</w:t>
      </w:r>
      <w:r>
        <w:rPr>
          <w:spacing w:val="-10"/>
        </w:rPr>
        <w:t> </w:t>
      </w:r>
      <w:r>
        <w:rPr/>
        <w:t>fixées</w:t>
      </w:r>
      <w:r>
        <w:rPr>
          <w:spacing w:val="-13"/>
        </w:rPr>
        <w:t> </w:t>
      </w:r>
      <w:r>
        <w:rPr/>
        <w:t>dans</w:t>
      </w:r>
      <w:r>
        <w:rPr>
          <w:spacing w:val="-12"/>
        </w:rPr>
        <w:t> </w:t>
      </w:r>
      <w:r>
        <w:rPr/>
        <w:t>la</w:t>
      </w:r>
      <w:r>
        <w:rPr>
          <w:spacing w:val="-13"/>
        </w:rPr>
        <w:t> </w:t>
      </w:r>
      <w:r>
        <w:rPr/>
        <w:t>réglementation</w:t>
      </w:r>
      <w:r>
        <w:rPr>
          <w:spacing w:val="-12"/>
        </w:rPr>
        <w:t> </w:t>
      </w:r>
      <w:r>
        <w:rPr/>
        <w:t>des marchés publics en vigueur sont applicables pour le règlement amiable des litiges relatif aux achats hors marchés et aux marchés du</w:t>
      </w:r>
      <w:r>
        <w:rPr>
          <w:spacing w:val="-15"/>
        </w:rPr>
        <w:t> </w:t>
      </w:r>
      <w:r>
        <w:rPr/>
        <w:t>GCT.</w:t>
      </w:r>
    </w:p>
    <w:p>
      <w:pPr>
        <w:pStyle w:val="BodyText"/>
        <w:ind w:right="756"/>
      </w:pPr>
      <w:r>
        <w:rPr/>
        <w:t>Le GCT peut, éventuellement, prévoir dans le contrat la possibilité de recours à un conciliateur. Et ce après accord préalable matérialisé par une note approuvée et signée par Direction Générale.</w:t>
      </w:r>
    </w:p>
    <w:p>
      <w:pPr>
        <w:pStyle w:val="BodyText"/>
        <w:ind w:right="748"/>
      </w:pPr>
      <w:r>
        <w:rPr/>
        <w:t>Dans les cas prévus par le Contrat, un conciliateur Indépendant est désigné en commun</w:t>
      </w:r>
      <w:r>
        <w:rPr>
          <w:spacing w:val="-7"/>
        </w:rPr>
        <w:t> </w:t>
      </w:r>
      <w:r>
        <w:rPr/>
        <w:t>accord</w:t>
      </w:r>
      <w:r>
        <w:rPr>
          <w:spacing w:val="-6"/>
        </w:rPr>
        <w:t> </w:t>
      </w:r>
      <w:r>
        <w:rPr/>
        <w:t>afin</w:t>
      </w:r>
      <w:r>
        <w:rPr>
          <w:spacing w:val="-9"/>
        </w:rPr>
        <w:t> </w:t>
      </w:r>
      <w:r>
        <w:rPr/>
        <w:t>de</w:t>
      </w:r>
      <w:r>
        <w:rPr>
          <w:spacing w:val="-7"/>
        </w:rPr>
        <w:t> </w:t>
      </w:r>
      <w:r>
        <w:rPr/>
        <w:t>remettre</w:t>
      </w:r>
      <w:r>
        <w:rPr>
          <w:spacing w:val="-10"/>
        </w:rPr>
        <w:t> </w:t>
      </w:r>
      <w:r>
        <w:rPr/>
        <w:t>un</w:t>
      </w:r>
      <w:r>
        <w:rPr>
          <w:spacing w:val="-6"/>
        </w:rPr>
        <w:t> </w:t>
      </w:r>
      <w:r>
        <w:rPr/>
        <w:t>avis</w:t>
      </w:r>
      <w:r>
        <w:rPr>
          <w:spacing w:val="-8"/>
        </w:rPr>
        <w:t> </w:t>
      </w:r>
      <w:r>
        <w:rPr/>
        <w:t>sur</w:t>
      </w:r>
      <w:r>
        <w:rPr>
          <w:spacing w:val="-8"/>
        </w:rPr>
        <w:t> </w:t>
      </w:r>
      <w:r>
        <w:rPr/>
        <w:t>le</w:t>
      </w:r>
      <w:r>
        <w:rPr>
          <w:spacing w:val="-7"/>
        </w:rPr>
        <w:t> </w:t>
      </w:r>
      <w:r>
        <w:rPr/>
        <w:t>différend</w:t>
      </w:r>
      <w:r>
        <w:rPr>
          <w:spacing w:val="-9"/>
        </w:rPr>
        <w:t> </w:t>
      </w:r>
      <w:r>
        <w:rPr/>
        <w:t>dans</w:t>
      </w:r>
      <w:r>
        <w:rPr>
          <w:spacing w:val="-6"/>
        </w:rPr>
        <w:t> </w:t>
      </w:r>
      <w:r>
        <w:rPr/>
        <w:t>un</w:t>
      </w:r>
      <w:r>
        <w:rPr>
          <w:spacing w:val="-8"/>
        </w:rPr>
        <w:t> </w:t>
      </w:r>
      <w:r>
        <w:rPr/>
        <w:t>délai</w:t>
      </w:r>
      <w:r>
        <w:rPr>
          <w:spacing w:val="-9"/>
        </w:rPr>
        <w:t> </w:t>
      </w:r>
      <w:r>
        <w:rPr/>
        <w:t>de</w:t>
      </w:r>
      <w:r>
        <w:rPr>
          <w:spacing w:val="2"/>
        </w:rPr>
        <w:t> </w:t>
      </w:r>
      <w:r>
        <w:rPr/>
        <w:t>soixante</w:t>
      </w:r>
      <w:r>
        <w:rPr>
          <w:spacing w:val="-6"/>
        </w:rPr>
        <w:t> </w:t>
      </w:r>
      <w:r>
        <w:rPr/>
        <w:t>(60) Jours à compter de sa date de désignation sauf stipulation</w:t>
      </w:r>
      <w:r>
        <w:rPr>
          <w:spacing w:val="-19"/>
        </w:rPr>
        <w:t> </w:t>
      </w:r>
      <w:r>
        <w:rPr/>
        <w:t>contraire.</w:t>
      </w:r>
    </w:p>
    <w:p>
      <w:pPr>
        <w:pStyle w:val="BodyText"/>
        <w:ind w:right="750"/>
      </w:pPr>
      <w:r>
        <w:rPr/>
        <w:t>Il</w:t>
      </w:r>
      <w:r>
        <w:rPr>
          <w:spacing w:val="-16"/>
        </w:rPr>
        <w:t> </w:t>
      </w:r>
      <w:r>
        <w:rPr/>
        <w:t>a</w:t>
      </w:r>
      <w:r>
        <w:rPr>
          <w:spacing w:val="-17"/>
        </w:rPr>
        <w:t> </w:t>
      </w:r>
      <w:r>
        <w:rPr/>
        <w:t>pour</w:t>
      </w:r>
      <w:r>
        <w:rPr>
          <w:spacing w:val="-16"/>
        </w:rPr>
        <w:t> </w:t>
      </w:r>
      <w:r>
        <w:rPr/>
        <w:t>mission</w:t>
      </w:r>
      <w:r>
        <w:rPr>
          <w:spacing w:val="-16"/>
        </w:rPr>
        <w:t> </w:t>
      </w:r>
      <w:r>
        <w:rPr/>
        <w:t>de</w:t>
      </w:r>
      <w:r>
        <w:rPr>
          <w:spacing w:val="-16"/>
        </w:rPr>
        <w:t> </w:t>
      </w:r>
      <w:r>
        <w:rPr/>
        <w:t>rechercher</w:t>
      </w:r>
      <w:r>
        <w:rPr>
          <w:spacing w:val="-19"/>
        </w:rPr>
        <w:t> </w:t>
      </w:r>
      <w:r>
        <w:rPr/>
        <w:t>des</w:t>
      </w:r>
      <w:r>
        <w:rPr>
          <w:spacing w:val="-15"/>
        </w:rPr>
        <w:t> </w:t>
      </w:r>
      <w:r>
        <w:rPr/>
        <w:t>éléments</w:t>
      </w:r>
      <w:r>
        <w:rPr>
          <w:spacing w:val="-18"/>
        </w:rPr>
        <w:t> </w:t>
      </w:r>
      <w:r>
        <w:rPr/>
        <w:t>de</w:t>
      </w:r>
      <w:r>
        <w:rPr>
          <w:spacing w:val="-16"/>
        </w:rPr>
        <w:t> </w:t>
      </w:r>
      <w:r>
        <w:rPr/>
        <w:t>droit</w:t>
      </w:r>
      <w:r>
        <w:rPr>
          <w:spacing w:val="-19"/>
        </w:rPr>
        <w:t> </w:t>
      </w:r>
      <w:r>
        <w:rPr/>
        <w:t>ou</w:t>
      </w:r>
      <w:r>
        <w:rPr>
          <w:spacing w:val="-15"/>
        </w:rPr>
        <w:t> </w:t>
      </w:r>
      <w:r>
        <w:rPr/>
        <w:t>de</w:t>
      </w:r>
      <w:r>
        <w:rPr>
          <w:spacing w:val="-20"/>
        </w:rPr>
        <w:t> </w:t>
      </w:r>
      <w:r>
        <w:rPr/>
        <w:t>fait,</w:t>
      </w:r>
      <w:r>
        <w:rPr>
          <w:spacing w:val="-17"/>
        </w:rPr>
        <w:t> </w:t>
      </w:r>
      <w:r>
        <w:rPr/>
        <w:t>en</w:t>
      </w:r>
      <w:r>
        <w:rPr>
          <w:spacing w:val="-19"/>
        </w:rPr>
        <w:t> </w:t>
      </w:r>
      <w:r>
        <w:rPr/>
        <w:t>vue</w:t>
      </w:r>
      <w:r>
        <w:rPr>
          <w:spacing w:val="-16"/>
        </w:rPr>
        <w:t> </w:t>
      </w:r>
      <w:r>
        <w:rPr/>
        <w:t>de</w:t>
      </w:r>
      <w:r>
        <w:rPr>
          <w:spacing w:val="-20"/>
        </w:rPr>
        <w:t> </w:t>
      </w:r>
      <w:r>
        <w:rPr/>
        <w:t>proposer une solution amiable et équitable aux différends qui lui sont soumis. Le conciliateur entend les parties au litige et peut leur demander de produire des mémoires écrits ou tout autre</w:t>
      </w:r>
      <w:r>
        <w:rPr>
          <w:spacing w:val="-7"/>
        </w:rPr>
        <w:t> </w:t>
      </w:r>
      <w:r>
        <w:rPr/>
        <w:t>document.</w:t>
      </w:r>
    </w:p>
    <w:p>
      <w:pPr>
        <w:pStyle w:val="BodyText"/>
        <w:ind w:right="758"/>
      </w:pPr>
      <w:r>
        <w:rPr/>
        <w:t>Les Parties s’engagent à prendre en charge, à parts égales, les frais et honoraires occasionnés.</w:t>
      </w:r>
      <w:r>
        <w:rPr>
          <w:spacing w:val="-9"/>
        </w:rPr>
        <w:t> </w:t>
      </w:r>
      <w:r>
        <w:rPr/>
        <w:t>L’avance</w:t>
      </w:r>
      <w:r>
        <w:rPr>
          <w:spacing w:val="-9"/>
        </w:rPr>
        <w:t> </w:t>
      </w:r>
      <w:r>
        <w:rPr/>
        <w:t>des</w:t>
      </w:r>
      <w:r>
        <w:rPr>
          <w:spacing w:val="-8"/>
        </w:rPr>
        <w:t> </w:t>
      </w:r>
      <w:r>
        <w:rPr/>
        <w:t>frais</w:t>
      </w:r>
      <w:r>
        <w:rPr>
          <w:spacing w:val="-7"/>
        </w:rPr>
        <w:t> </w:t>
      </w:r>
      <w:r>
        <w:rPr/>
        <w:t>et</w:t>
      </w:r>
      <w:r>
        <w:rPr>
          <w:spacing w:val="-10"/>
        </w:rPr>
        <w:t> </w:t>
      </w:r>
      <w:r>
        <w:rPr/>
        <w:t>honoraires</w:t>
      </w:r>
      <w:r>
        <w:rPr>
          <w:spacing w:val="-7"/>
        </w:rPr>
        <w:t> </w:t>
      </w:r>
      <w:r>
        <w:rPr/>
        <w:t>est,</w:t>
      </w:r>
      <w:r>
        <w:rPr>
          <w:spacing w:val="-11"/>
        </w:rPr>
        <w:t> </w:t>
      </w:r>
      <w:r>
        <w:rPr/>
        <w:t>dans</w:t>
      </w:r>
      <w:r>
        <w:rPr>
          <w:spacing w:val="-10"/>
        </w:rPr>
        <w:t> </w:t>
      </w:r>
      <w:r>
        <w:rPr/>
        <w:t>tous</w:t>
      </w:r>
      <w:r>
        <w:rPr>
          <w:spacing w:val="-8"/>
        </w:rPr>
        <w:t> </w:t>
      </w:r>
      <w:r>
        <w:rPr/>
        <w:t>les</w:t>
      </w:r>
      <w:r>
        <w:rPr>
          <w:spacing w:val="-8"/>
        </w:rPr>
        <w:t> </w:t>
      </w:r>
      <w:r>
        <w:rPr/>
        <w:t>cas,</w:t>
      </w:r>
      <w:r>
        <w:rPr>
          <w:spacing w:val="-8"/>
        </w:rPr>
        <w:t> </w:t>
      </w:r>
      <w:r>
        <w:rPr/>
        <w:t>prise</w:t>
      </w:r>
      <w:r>
        <w:rPr>
          <w:spacing w:val="-9"/>
        </w:rPr>
        <w:t> </w:t>
      </w:r>
      <w:r>
        <w:rPr/>
        <w:t>en</w:t>
      </w:r>
      <w:r>
        <w:rPr>
          <w:spacing w:val="-8"/>
        </w:rPr>
        <w:t> </w:t>
      </w:r>
      <w:r>
        <w:rPr/>
        <w:t>charge</w:t>
      </w:r>
      <w:r>
        <w:rPr>
          <w:spacing w:val="-8"/>
        </w:rPr>
        <w:t> </w:t>
      </w:r>
      <w:r>
        <w:rPr/>
        <w:t>par le titulaire du marché.</w:t>
      </w:r>
    </w:p>
    <w:p>
      <w:pPr>
        <w:pStyle w:val="BodyText"/>
        <w:ind w:right="753"/>
      </w:pPr>
      <w:r>
        <w:rPr/>
        <w:t>Lors</w:t>
      </w:r>
      <w:r>
        <w:rPr>
          <w:spacing w:val="-11"/>
        </w:rPr>
        <w:t> </w:t>
      </w:r>
      <w:r>
        <w:rPr/>
        <w:t>de</w:t>
      </w:r>
      <w:r>
        <w:rPr>
          <w:spacing w:val="-9"/>
        </w:rPr>
        <w:t> </w:t>
      </w:r>
      <w:r>
        <w:rPr/>
        <w:t>la</w:t>
      </w:r>
      <w:r>
        <w:rPr>
          <w:spacing w:val="-9"/>
        </w:rPr>
        <w:t> </w:t>
      </w:r>
      <w:r>
        <w:rPr/>
        <w:t>conduite</w:t>
      </w:r>
      <w:r>
        <w:rPr>
          <w:spacing w:val="-9"/>
        </w:rPr>
        <w:t> </w:t>
      </w:r>
      <w:r>
        <w:rPr/>
        <w:t>des</w:t>
      </w:r>
      <w:r>
        <w:rPr>
          <w:spacing w:val="-8"/>
        </w:rPr>
        <w:t> </w:t>
      </w:r>
      <w:r>
        <w:rPr/>
        <w:t>opérations</w:t>
      </w:r>
      <w:r>
        <w:rPr>
          <w:spacing w:val="-8"/>
        </w:rPr>
        <w:t> </w:t>
      </w:r>
      <w:r>
        <w:rPr/>
        <w:t>d’expertise,</w:t>
      </w:r>
      <w:r>
        <w:rPr>
          <w:spacing w:val="-8"/>
        </w:rPr>
        <w:t> </w:t>
      </w:r>
      <w:r>
        <w:rPr/>
        <w:t>le</w:t>
      </w:r>
      <w:r>
        <w:rPr>
          <w:spacing w:val="-9"/>
        </w:rPr>
        <w:t> </w:t>
      </w:r>
      <w:r>
        <w:rPr/>
        <w:t>conciliateur</w:t>
      </w:r>
      <w:r>
        <w:rPr>
          <w:spacing w:val="-10"/>
        </w:rPr>
        <w:t> </w:t>
      </w:r>
      <w:r>
        <w:rPr/>
        <w:t>respecte</w:t>
      </w:r>
      <w:r>
        <w:rPr>
          <w:spacing w:val="-11"/>
        </w:rPr>
        <w:t> </w:t>
      </w:r>
      <w:r>
        <w:rPr/>
        <w:t>le</w:t>
      </w:r>
      <w:r>
        <w:rPr>
          <w:spacing w:val="-11"/>
        </w:rPr>
        <w:t> </w:t>
      </w:r>
      <w:r>
        <w:rPr/>
        <w:t>principe du</w:t>
      </w:r>
      <w:r>
        <w:rPr>
          <w:spacing w:val="12"/>
        </w:rPr>
        <w:t> </w:t>
      </w:r>
      <w:r>
        <w:rPr/>
        <w:t>contradictoire.</w:t>
      </w:r>
      <w:r>
        <w:rPr>
          <w:spacing w:val="12"/>
        </w:rPr>
        <w:t> </w:t>
      </w:r>
      <w:r>
        <w:rPr/>
        <w:t>Il</w:t>
      </w:r>
      <w:r>
        <w:rPr>
          <w:spacing w:val="10"/>
        </w:rPr>
        <w:t> </w:t>
      </w:r>
      <w:r>
        <w:rPr/>
        <w:t>peut</w:t>
      </w:r>
      <w:r>
        <w:rPr>
          <w:spacing w:val="11"/>
        </w:rPr>
        <w:t> </w:t>
      </w:r>
      <w:r>
        <w:rPr/>
        <w:t>se</w:t>
      </w:r>
      <w:r>
        <w:rPr>
          <w:spacing w:val="11"/>
        </w:rPr>
        <w:t> </w:t>
      </w:r>
      <w:r>
        <w:rPr/>
        <w:t>voir</w:t>
      </w:r>
      <w:r>
        <w:rPr>
          <w:spacing w:val="11"/>
        </w:rPr>
        <w:t> </w:t>
      </w:r>
      <w:r>
        <w:rPr/>
        <w:t>communiquer</w:t>
      </w:r>
      <w:r>
        <w:rPr>
          <w:spacing w:val="11"/>
        </w:rPr>
        <w:t> </w:t>
      </w:r>
      <w:r>
        <w:rPr/>
        <w:t>toutes</w:t>
      </w:r>
      <w:r>
        <w:rPr>
          <w:spacing w:val="12"/>
        </w:rPr>
        <w:t> </w:t>
      </w:r>
      <w:r>
        <w:rPr/>
        <w:t>pièces</w:t>
      </w:r>
      <w:r>
        <w:rPr>
          <w:spacing w:val="12"/>
        </w:rPr>
        <w:t> </w:t>
      </w:r>
      <w:r>
        <w:rPr/>
        <w:t>utiles</w:t>
      </w:r>
      <w:r>
        <w:rPr>
          <w:spacing w:val="14"/>
        </w:rPr>
        <w:t> </w:t>
      </w:r>
      <w:r>
        <w:rPr/>
        <w:t>à</w:t>
      </w:r>
      <w:r>
        <w:rPr>
          <w:spacing w:val="11"/>
        </w:rPr>
        <w:t> </w:t>
      </w:r>
      <w:r>
        <w:rPr/>
        <w:t>son</w:t>
      </w:r>
      <w:r>
        <w:rPr>
          <w:spacing w:val="12"/>
        </w:rPr>
        <w:t> </w:t>
      </w:r>
      <w:r>
        <w:rPr/>
        <w:t>expertise,</w:t>
      </w:r>
      <w:r>
        <w:rPr>
          <w:spacing w:val="13"/>
        </w:rPr>
        <w:t> </w:t>
      </w:r>
      <w:r>
        <w:rPr/>
        <w:t>il</w:t>
      </w:r>
    </w:p>
    <w:p>
      <w:pPr>
        <w:spacing w:after="0"/>
        <w:sectPr>
          <w:pgSz w:w="11910" w:h="16840"/>
          <w:pgMar w:header="722" w:footer="0" w:top="1860" w:bottom="280" w:left="700" w:right="380"/>
        </w:sectPr>
      </w:pPr>
    </w:p>
    <w:p>
      <w:pPr>
        <w:pStyle w:val="BodyText"/>
        <w:spacing w:before="3"/>
        <w:ind w:left="0" w:firstLine="0"/>
        <w:jc w:val="left"/>
        <w:rPr>
          <w:sz w:val="16"/>
        </w:rPr>
      </w:pPr>
    </w:p>
    <w:p>
      <w:pPr>
        <w:pStyle w:val="BodyText"/>
        <w:spacing w:before="89"/>
        <w:ind w:right="759" w:firstLine="0"/>
      </w:pPr>
      <w:r>
        <w:rPr/>
        <w:t>peut</w:t>
      </w:r>
      <w:r>
        <w:rPr>
          <w:spacing w:val="-9"/>
        </w:rPr>
        <w:t> </w:t>
      </w:r>
      <w:r>
        <w:rPr/>
        <w:t>réaliser</w:t>
      </w:r>
      <w:r>
        <w:rPr>
          <w:spacing w:val="-10"/>
        </w:rPr>
        <w:t> </w:t>
      </w:r>
      <w:r>
        <w:rPr/>
        <w:t>des</w:t>
      </w:r>
      <w:r>
        <w:rPr>
          <w:spacing w:val="-8"/>
        </w:rPr>
        <w:t> </w:t>
      </w:r>
      <w:r>
        <w:rPr/>
        <w:t>audits</w:t>
      </w:r>
      <w:r>
        <w:rPr>
          <w:spacing w:val="-9"/>
        </w:rPr>
        <w:t> </w:t>
      </w:r>
      <w:r>
        <w:rPr/>
        <w:t>sur</w:t>
      </w:r>
      <w:r>
        <w:rPr>
          <w:spacing w:val="-11"/>
        </w:rPr>
        <w:t> </w:t>
      </w:r>
      <w:r>
        <w:rPr/>
        <w:t>place</w:t>
      </w:r>
      <w:r>
        <w:rPr>
          <w:spacing w:val="-10"/>
        </w:rPr>
        <w:t> </w:t>
      </w:r>
      <w:r>
        <w:rPr/>
        <w:t>si</w:t>
      </w:r>
      <w:r>
        <w:rPr>
          <w:spacing w:val="-8"/>
        </w:rPr>
        <w:t> </w:t>
      </w:r>
      <w:r>
        <w:rPr/>
        <w:t>cela</w:t>
      </w:r>
      <w:r>
        <w:rPr>
          <w:spacing w:val="-10"/>
        </w:rPr>
        <w:t> </w:t>
      </w:r>
      <w:r>
        <w:rPr/>
        <w:t>lui</w:t>
      </w:r>
      <w:r>
        <w:rPr>
          <w:spacing w:val="-11"/>
        </w:rPr>
        <w:t> </w:t>
      </w:r>
      <w:r>
        <w:rPr/>
        <w:t>parait</w:t>
      </w:r>
      <w:r>
        <w:rPr>
          <w:spacing w:val="-11"/>
        </w:rPr>
        <w:t> </w:t>
      </w:r>
      <w:r>
        <w:rPr/>
        <w:t>nécessaire.</w:t>
      </w:r>
      <w:r>
        <w:rPr>
          <w:spacing w:val="-10"/>
        </w:rPr>
        <w:t> </w:t>
      </w:r>
      <w:r>
        <w:rPr/>
        <w:t>Les</w:t>
      </w:r>
      <w:r>
        <w:rPr>
          <w:spacing w:val="-9"/>
        </w:rPr>
        <w:t> </w:t>
      </w:r>
      <w:r>
        <w:rPr/>
        <w:t>Parties</w:t>
      </w:r>
      <w:r>
        <w:rPr>
          <w:spacing w:val="-10"/>
        </w:rPr>
        <w:t> </w:t>
      </w:r>
      <w:r>
        <w:rPr/>
        <w:t>sont</w:t>
      </w:r>
      <w:r>
        <w:rPr>
          <w:spacing w:val="-9"/>
        </w:rPr>
        <w:t> </w:t>
      </w:r>
      <w:r>
        <w:rPr/>
        <w:t>tenues</w:t>
      </w:r>
      <w:r>
        <w:rPr>
          <w:spacing w:val="-8"/>
        </w:rPr>
        <w:t> </w:t>
      </w:r>
      <w:r>
        <w:rPr/>
        <w:t>de déférer aux demandes du conciliateur Indépendant en lien avec sa</w:t>
      </w:r>
      <w:r>
        <w:rPr>
          <w:spacing w:val="-13"/>
        </w:rPr>
        <w:t> </w:t>
      </w:r>
      <w:r>
        <w:rPr/>
        <w:t>mission.</w:t>
      </w:r>
    </w:p>
    <w:p>
      <w:pPr>
        <w:pStyle w:val="BodyText"/>
        <w:ind w:right="761"/>
      </w:pPr>
      <w:r>
        <w:rPr/>
        <w:t>L’avis émis par l’Expert Indépendant n’a pas de caractère contraignant pour les Parties et doit être soumis à l’avis de la Direction Générale et à l’approbation du Conseil d’administration.</w:t>
      </w:r>
    </w:p>
    <w:p>
      <w:pPr>
        <w:pStyle w:val="Heading2"/>
        <w:numPr>
          <w:ilvl w:val="1"/>
          <w:numId w:val="94"/>
        </w:numPr>
        <w:tabs>
          <w:tab w:pos="1113" w:val="left" w:leader="none"/>
        </w:tabs>
        <w:spacing w:line="319" w:lineRule="exact" w:before="125" w:after="0"/>
        <w:ind w:left="1112" w:right="0" w:hanging="680"/>
        <w:jc w:val="both"/>
      </w:pPr>
      <w:bookmarkStart w:name="_TOC_250025" w:id="118"/>
      <w:r>
        <w:rPr/>
        <w:t>Le recours</w:t>
      </w:r>
      <w:r>
        <w:rPr>
          <w:spacing w:val="-1"/>
        </w:rPr>
        <w:t> </w:t>
      </w:r>
      <w:bookmarkEnd w:id="118"/>
      <w:r>
        <w:rPr/>
        <w:t>juridictionnel</w:t>
      </w:r>
    </w:p>
    <w:p>
      <w:pPr>
        <w:pStyle w:val="BodyText"/>
        <w:ind w:right="752"/>
      </w:pPr>
      <w:r>
        <w:rPr/>
        <w:t>Après l’épuisement des voies de recours non juridictionnels, et sauf disposition contraire</w:t>
      </w:r>
      <w:r>
        <w:rPr>
          <w:spacing w:val="-11"/>
        </w:rPr>
        <w:t> </w:t>
      </w:r>
      <w:r>
        <w:rPr/>
        <w:t>des</w:t>
      </w:r>
      <w:r>
        <w:rPr>
          <w:spacing w:val="-10"/>
        </w:rPr>
        <w:t> </w:t>
      </w:r>
      <w:r>
        <w:rPr/>
        <w:t>cahiers</w:t>
      </w:r>
      <w:r>
        <w:rPr>
          <w:spacing w:val="-11"/>
        </w:rPr>
        <w:t> </w:t>
      </w:r>
      <w:r>
        <w:rPr/>
        <w:t>des</w:t>
      </w:r>
      <w:r>
        <w:rPr>
          <w:spacing w:val="-10"/>
        </w:rPr>
        <w:t> </w:t>
      </w:r>
      <w:r>
        <w:rPr/>
        <w:t>charges,</w:t>
      </w:r>
      <w:r>
        <w:rPr>
          <w:spacing w:val="-11"/>
        </w:rPr>
        <w:t> </w:t>
      </w:r>
      <w:r>
        <w:rPr/>
        <w:t>les</w:t>
      </w:r>
      <w:r>
        <w:rPr>
          <w:spacing w:val="-10"/>
        </w:rPr>
        <w:t> </w:t>
      </w:r>
      <w:r>
        <w:rPr/>
        <w:t>litiges</w:t>
      </w:r>
      <w:r>
        <w:rPr>
          <w:spacing w:val="-9"/>
        </w:rPr>
        <w:t> </w:t>
      </w:r>
      <w:r>
        <w:rPr/>
        <w:t>relatifs</w:t>
      </w:r>
      <w:r>
        <w:rPr>
          <w:spacing w:val="-10"/>
        </w:rPr>
        <w:t> </w:t>
      </w:r>
      <w:r>
        <w:rPr/>
        <w:t>aux</w:t>
      </w:r>
      <w:r>
        <w:rPr>
          <w:spacing w:val="-3"/>
        </w:rPr>
        <w:t> </w:t>
      </w:r>
      <w:r>
        <w:rPr/>
        <w:t>achats</w:t>
      </w:r>
      <w:r>
        <w:rPr>
          <w:spacing w:val="-8"/>
        </w:rPr>
        <w:t> </w:t>
      </w:r>
      <w:r>
        <w:rPr/>
        <w:t>publics</w:t>
      </w:r>
      <w:r>
        <w:rPr>
          <w:spacing w:val="-10"/>
        </w:rPr>
        <w:t> </w:t>
      </w:r>
      <w:r>
        <w:rPr/>
        <w:t>sont</w:t>
      </w:r>
      <w:r>
        <w:rPr>
          <w:spacing w:val="-9"/>
        </w:rPr>
        <w:t> </w:t>
      </w:r>
      <w:r>
        <w:rPr/>
        <w:t>soumis</w:t>
      </w:r>
      <w:r>
        <w:rPr>
          <w:spacing w:val="-10"/>
        </w:rPr>
        <w:t> </w:t>
      </w:r>
      <w:r>
        <w:rPr/>
        <w:t>aux juridictions compétentes.</w:t>
      </w:r>
    </w:p>
    <w:p>
      <w:pPr>
        <w:pStyle w:val="BodyText"/>
        <w:ind w:right="755" w:firstLine="0"/>
      </w:pPr>
      <w:r>
        <w:rPr/>
        <w:t>Les parties en conflit peuvent choisir de recourir à l’arbitrage interne ou international conformément aux dispositions de l’article 7 du code tunisien de l’arbitrage.</w:t>
      </w:r>
    </w:p>
    <w:p>
      <w:pPr>
        <w:pStyle w:val="Heading2"/>
        <w:numPr>
          <w:ilvl w:val="0"/>
          <w:numId w:val="91"/>
        </w:numPr>
        <w:tabs>
          <w:tab w:pos="885" w:val="left" w:leader="none"/>
        </w:tabs>
        <w:spacing w:line="240" w:lineRule="auto" w:before="244" w:after="0"/>
        <w:ind w:left="884" w:right="0" w:hanging="452"/>
        <w:jc w:val="both"/>
      </w:pPr>
      <w:bookmarkStart w:name="_TOC_250024" w:id="119"/>
      <w:r>
        <w:rPr/>
        <w:t>Exclusion des opérateurs</w:t>
      </w:r>
      <w:r>
        <w:rPr>
          <w:spacing w:val="-2"/>
        </w:rPr>
        <w:t> </w:t>
      </w:r>
      <w:bookmarkEnd w:id="119"/>
      <w:r>
        <w:rPr/>
        <w:t>économiques</w:t>
      </w:r>
    </w:p>
    <w:p>
      <w:pPr>
        <w:pStyle w:val="BodyText"/>
        <w:spacing w:before="42"/>
        <w:ind w:right="749"/>
      </w:pPr>
      <w:r>
        <w:rPr/>
        <w:t>Les procédures du décret n° 2016-498 du 8 avril 2016, fixant les conditions et procédures d’exclusion de la participation aux marchés publics, sont applicables pour l’exclusion des opérateurs économiques de la participation aux achats hors marchés et aux marchés du GCT.</w:t>
      </w:r>
    </w:p>
    <w:p>
      <w:pPr>
        <w:pStyle w:val="Heading2"/>
        <w:numPr>
          <w:ilvl w:val="0"/>
          <w:numId w:val="91"/>
        </w:numPr>
        <w:tabs>
          <w:tab w:pos="775" w:val="left" w:leader="none"/>
        </w:tabs>
        <w:spacing w:line="319" w:lineRule="exact" w:before="247" w:after="0"/>
        <w:ind w:left="774" w:right="0" w:hanging="342"/>
        <w:jc w:val="both"/>
      </w:pPr>
      <w:bookmarkStart w:name="_TOC_250023" w:id="120"/>
      <w:r>
        <w:rPr/>
        <w:t>Sanctions et</w:t>
      </w:r>
      <w:r>
        <w:rPr>
          <w:spacing w:val="-1"/>
        </w:rPr>
        <w:t> </w:t>
      </w:r>
      <w:bookmarkEnd w:id="120"/>
      <w:r>
        <w:rPr/>
        <w:t>primes</w:t>
      </w:r>
    </w:p>
    <w:p>
      <w:pPr>
        <w:pStyle w:val="BodyText"/>
        <w:ind w:right="753"/>
      </w:pPr>
      <w:r>
        <w:rPr/>
        <w:t>Les documents contractuels prévoient </w:t>
      </w:r>
      <w:r>
        <w:rPr>
          <w:spacing w:val="2"/>
        </w:rPr>
        <w:t>les </w:t>
      </w:r>
      <w:r>
        <w:rPr/>
        <w:t>pénalités pour retard et le cas échéant les</w:t>
      </w:r>
      <w:r>
        <w:rPr>
          <w:spacing w:val="-8"/>
        </w:rPr>
        <w:t> </w:t>
      </w:r>
      <w:r>
        <w:rPr/>
        <w:t>sanctions</w:t>
      </w:r>
      <w:r>
        <w:rPr>
          <w:spacing w:val="-8"/>
        </w:rPr>
        <w:t> </w:t>
      </w:r>
      <w:r>
        <w:rPr/>
        <w:t>financières</w:t>
      </w:r>
      <w:r>
        <w:rPr>
          <w:spacing w:val="-8"/>
        </w:rPr>
        <w:t> </w:t>
      </w:r>
      <w:r>
        <w:rPr/>
        <w:t>imputables</w:t>
      </w:r>
      <w:r>
        <w:rPr>
          <w:spacing w:val="-7"/>
        </w:rPr>
        <w:t> </w:t>
      </w:r>
      <w:r>
        <w:rPr/>
        <w:t>au</w:t>
      </w:r>
      <w:r>
        <w:rPr>
          <w:spacing w:val="-8"/>
        </w:rPr>
        <w:t> </w:t>
      </w:r>
      <w:r>
        <w:rPr/>
        <w:t>titulaire</w:t>
      </w:r>
      <w:r>
        <w:rPr>
          <w:spacing w:val="-8"/>
        </w:rPr>
        <w:t> </w:t>
      </w:r>
      <w:r>
        <w:rPr/>
        <w:t>de</w:t>
      </w:r>
      <w:r>
        <w:rPr>
          <w:spacing w:val="-9"/>
        </w:rPr>
        <w:t> </w:t>
      </w:r>
      <w:r>
        <w:rPr/>
        <w:t>l’achat</w:t>
      </w:r>
      <w:r>
        <w:rPr>
          <w:spacing w:val="-5"/>
        </w:rPr>
        <w:t> </w:t>
      </w:r>
      <w:r>
        <w:rPr/>
        <w:t>et</w:t>
      </w:r>
      <w:r>
        <w:rPr>
          <w:spacing w:val="-8"/>
        </w:rPr>
        <w:t> </w:t>
      </w:r>
      <w:r>
        <w:rPr/>
        <w:t>déterminent</w:t>
      </w:r>
      <w:r>
        <w:rPr>
          <w:spacing w:val="-8"/>
        </w:rPr>
        <w:t> </w:t>
      </w:r>
      <w:r>
        <w:rPr/>
        <w:t>les</w:t>
      </w:r>
      <w:r>
        <w:rPr>
          <w:spacing w:val="-8"/>
        </w:rPr>
        <w:t> </w:t>
      </w:r>
      <w:r>
        <w:rPr/>
        <w:t>modalités de</w:t>
      </w:r>
      <w:r>
        <w:rPr>
          <w:spacing w:val="-18"/>
        </w:rPr>
        <w:t> </w:t>
      </w:r>
      <w:r>
        <w:rPr/>
        <w:t>leur</w:t>
      </w:r>
      <w:r>
        <w:rPr>
          <w:spacing w:val="-15"/>
        </w:rPr>
        <w:t> </w:t>
      </w:r>
      <w:r>
        <w:rPr/>
        <w:t>application.</w:t>
      </w:r>
      <w:r>
        <w:rPr>
          <w:spacing w:val="-16"/>
        </w:rPr>
        <w:t> </w:t>
      </w:r>
      <w:r>
        <w:rPr/>
        <w:t>Le</w:t>
      </w:r>
      <w:r>
        <w:rPr>
          <w:spacing w:val="-15"/>
        </w:rPr>
        <w:t> </w:t>
      </w:r>
      <w:r>
        <w:rPr/>
        <w:t>montant</w:t>
      </w:r>
      <w:r>
        <w:rPr>
          <w:spacing w:val="-16"/>
        </w:rPr>
        <w:t> </w:t>
      </w:r>
      <w:r>
        <w:rPr/>
        <w:t>des</w:t>
      </w:r>
      <w:r>
        <w:rPr>
          <w:spacing w:val="-17"/>
        </w:rPr>
        <w:t> </w:t>
      </w:r>
      <w:r>
        <w:rPr/>
        <w:t>pénalités</w:t>
      </w:r>
      <w:r>
        <w:rPr>
          <w:spacing w:val="-16"/>
        </w:rPr>
        <w:t> </w:t>
      </w:r>
      <w:r>
        <w:rPr/>
        <w:t>pour</w:t>
      </w:r>
      <w:r>
        <w:rPr>
          <w:spacing w:val="-17"/>
        </w:rPr>
        <w:t> </w:t>
      </w:r>
      <w:r>
        <w:rPr/>
        <w:t>retard</w:t>
      </w:r>
      <w:r>
        <w:rPr>
          <w:spacing w:val="-17"/>
        </w:rPr>
        <w:t> </w:t>
      </w:r>
      <w:r>
        <w:rPr/>
        <w:t>ne</w:t>
      </w:r>
      <w:r>
        <w:rPr>
          <w:spacing w:val="-17"/>
        </w:rPr>
        <w:t> </w:t>
      </w:r>
      <w:r>
        <w:rPr/>
        <w:t>peut</w:t>
      </w:r>
      <w:r>
        <w:rPr>
          <w:spacing w:val="-16"/>
        </w:rPr>
        <w:t> </w:t>
      </w:r>
      <w:r>
        <w:rPr/>
        <w:t>pas</w:t>
      </w:r>
      <w:r>
        <w:rPr>
          <w:spacing w:val="-16"/>
        </w:rPr>
        <w:t> </w:t>
      </w:r>
      <w:r>
        <w:rPr/>
        <w:t>dépasser</w:t>
      </w:r>
      <w:r>
        <w:rPr>
          <w:spacing w:val="-16"/>
        </w:rPr>
        <w:t> </w:t>
      </w:r>
      <w:r>
        <w:rPr/>
        <w:t>cinq</w:t>
      </w:r>
      <w:r>
        <w:rPr>
          <w:spacing w:val="-16"/>
        </w:rPr>
        <w:t> </w:t>
      </w:r>
      <w:r>
        <w:rPr/>
        <w:t>pour cent (5%) du montant définitif du contrat tant qu’il n’y est pas dérogé par les cahiers des</w:t>
      </w:r>
      <w:r>
        <w:rPr>
          <w:spacing w:val="-2"/>
        </w:rPr>
        <w:t> </w:t>
      </w:r>
      <w:r>
        <w:rPr/>
        <w:t>charges.</w:t>
      </w:r>
    </w:p>
    <w:p>
      <w:pPr>
        <w:pStyle w:val="BodyText"/>
        <w:spacing w:before="117"/>
        <w:ind w:right="753"/>
      </w:pPr>
      <w:r>
        <w:rPr/>
        <w:t>Ces pénalités et sanctions s’appliquent sans mise en demeure préalable ou engagement de toute autre procédure et sans préjudice pour le GCT de toute autre demande</w:t>
      </w:r>
      <w:r>
        <w:rPr>
          <w:spacing w:val="-6"/>
        </w:rPr>
        <w:t> </w:t>
      </w:r>
      <w:r>
        <w:rPr/>
        <w:t>en</w:t>
      </w:r>
      <w:r>
        <w:rPr>
          <w:spacing w:val="-8"/>
        </w:rPr>
        <w:t> </w:t>
      </w:r>
      <w:r>
        <w:rPr/>
        <w:t>dédommagement</w:t>
      </w:r>
      <w:r>
        <w:rPr>
          <w:spacing w:val="-7"/>
        </w:rPr>
        <w:t> </w:t>
      </w:r>
      <w:r>
        <w:rPr/>
        <w:t>pour</w:t>
      </w:r>
      <w:r>
        <w:rPr>
          <w:spacing w:val="-9"/>
        </w:rPr>
        <w:t> </w:t>
      </w:r>
      <w:r>
        <w:rPr/>
        <w:t>retard</w:t>
      </w:r>
      <w:r>
        <w:rPr>
          <w:spacing w:val="-7"/>
        </w:rPr>
        <w:t> </w:t>
      </w:r>
      <w:r>
        <w:rPr/>
        <w:t>ou</w:t>
      </w:r>
      <w:r>
        <w:rPr>
          <w:spacing w:val="-8"/>
        </w:rPr>
        <w:t> </w:t>
      </w:r>
      <w:r>
        <w:rPr/>
        <w:t>pour</w:t>
      </w:r>
      <w:r>
        <w:rPr>
          <w:spacing w:val="-8"/>
        </w:rPr>
        <w:t> </w:t>
      </w:r>
      <w:r>
        <w:rPr/>
        <w:t>inobservation</w:t>
      </w:r>
      <w:r>
        <w:rPr>
          <w:spacing w:val="-8"/>
        </w:rPr>
        <w:t> </w:t>
      </w:r>
      <w:r>
        <w:rPr/>
        <w:t>des</w:t>
      </w:r>
      <w:r>
        <w:rPr>
          <w:spacing w:val="-7"/>
        </w:rPr>
        <w:t> </w:t>
      </w:r>
      <w:r>
        <w:rPr/>
        <w:t>autres</w:t>
      </w:r>
      <w:r>
        <w:rPr>
          <w:spacing w:val="-6"/>
        </w:rPr>
        <w:t> </w:t>
      </w:r>
      <w:r>
        <w:rPr/>
        <w:t>obligations contractuelles. Ces pénalités et sanctions financières sont applicables en cas de retard d’exécution ou de non-respect des obligations contractuelles relatives à l’affectation des moyens humains et Matériels nécessaires à l’exécution du</w:t>
      </w:r>
      <w:r>
        <w:rPr>
          <w:spacing w:val="-2"/>
        </w:rPr>
        <w:t> </w:t>
      </w:r>
      <w:r>
        <w:rPr/>
        <w:t>contrat.</w:t>
      </w:r>
    </w:p>
    <w:p>
      <w:pPr>
        <w:pStyle w:val="BodyText"/>
        <w:spacing w:before="121"/>
        <w:ind w:right="762"/>
      </w:pPr>
      <w:r>
        <w:rPr/>
        <w:t>Les documents contractuels peuvent prévoir l'octroi de prime pour avance sur le ou les délais d'exécution contractuel.</w:t>
      </w:r>
    </w:p>
    <w:p>
      <w:pPr>
        <w:pStyle w:val="Heading2"/>
        <w:numPr>
          <w:ilvl w:val="0"/>
          <w:numId w:val="91"/>
        </w:numPr>
        <w:tabs>
          <w:tab w:pos="885" w:val="left" w:leader="none"/>
        </w:tabs>
        <w:spacing w:line="319" w:lineRule="exact" w:before="124" w:after="0"/>
        <w:ind w:left="884" w:right="0" w:hanging="452"/>
        <w:jc w:val="both"/>
      </w:pPr>
      <w:bookmarkStart w:name="_TOC_250022" w:id="121"/>
      <w:bookmarkEnd w:id="121"/>
      <w:r>
        <w:rPr/>
        <w:t>Annulation des procédures</w:t>
      </w:r>
    </w:p>
    <w:p>
      <w:pPr>
        <w:pStyle w:val="BodyText"/>
        <w:ind w:right="748"/>
      </w:pPr>
      <w:r>
        <w:rPr/>
        <w:t>Toute procédure de mise en concurrence lancée par le GCT doit être achevée. Cependant, le GCT peut ne pas donner suite à une procédure de mise en concurrence déjà engagée. Cette alternative doit être motivée par des raisons exceptionnelles d’ordre économiques ou d’intérêt général. Dans ce cas, le GCT doit informer tous les participants. La possibilité d'annulation doit être mentionnée dans l’avis de mise en concurrence et la décision d'annulation doit obligatoirement être approuvée par le Directeur Général.</w:t>
      </w:r>
    </w:p>
    <w:p>
      <w:pPr>
        <w:spacing w:after="0"/>
        <w:sectPr>
          <w:pgSz w:w="11910" w:h="16840"/>
          <w:pgMar w:header="722" w:footer="0" w:top="186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rPr>
                <w:sz w:val="25"/>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94/94</w:t>
            </w:r>
          </w:p>
        </w:tc>
      </w:tr>
    </w:tbl>
    <w:p>
      <w:pPr>
        <w:pStyle w:val="BodyText"/>
        <w:spacing w:before="2"/>
        <w:ind w:left="0" w:firstLine="0"/>
        <w:jc w:val="left"/>
        <w:rPr>
          <w:sz w:val="14"/>
        </w:rPr>
      </w:pPr>
    </w:p>
    <w:p>
      <w:pPr>
        <w:pStyle w:val="Heading2"/>
        <w:numPr>
          <w:ilvl w:val="0"/>
          <w:numId w:val="91"/>
        </w:numPr>
        <w:tabs>
          <w:tab w:pos="995" w:val="left" w:leader="none"/>
        </w:tabs>
        <w:spacing w:line="319" w:lineRule="exact" w:before="89" w:after="0"/>
        <w:ind w:left="994" w:right="0" w:hanging="562"/>
        <w:jc w:val="both"/>
      </w:pPr>
      <w:bookmarkStart w:name="_TOC_250021" w:id="122"/>
      <w:bookmarkEnd w:id="122"/>
      <w:r>
        <w:rPr/>
        <w:t>Résiliation</w:t>
      </w:r>
    </w:p>
    <w:p>
      <w:pPr>
        <w:pStyle w:val="BodyText"/>
        <w:ind w:right="749"/>
      </w:pPr>
      <w:r>
        <w:rPr/>
        <w:t>Les documents contractuels doivent indiquer les évènements ouvrant droits à la résiliation du contrat au profit de l’une ou l’autre des parties.</w:t>
      </w:r>
    </w:p>
    <w:p>
      <w:pPr>
        <w:pStyle w:val="BodyText"/>
        <w:spacing w:before="119"/>
        <w:ind w:right="748"/>
      </w:pPr>
      <w:r>
        <w:rPr/>
        <w:t>La décision de résiliation du contrat doit être notifiée par lettre recommandée ou remise par porteur contre récépissé d’accusé de réception au titulaire de l’achat ou par voie immatérielle sécurisée.</w:t>
      </w:r>
    </w:p>
    <w:p>
      <w:pPr>
        <w:pStyle w:val="BodyText"/>
        <w:spacing w:before="119"/>
        <w:ind w:right="749"/>
      </w:pPr>
      <w:r>
        <w:rPr/>
        <w:t>Dans</w:t>
      </w:r>
      <w:r>
        <w:rPr>
          <w:spacing w:val="-22"/>
        </w:rPr>
        <w:t> </w:t>
      </w:r>
      <w:r>
        <w:rPr/>
        <w:t>les</w:t>
      </w:r>
      <w:r>
        <w:rPr>
          <w:spacing w:val="-19"/>
        </w:rPr>
        <w:t> </w:t>
      </w:r>
      <w:r>
        <w:rPr/>
        <w:t>cas</w:t>
      </w:r>
      <w:r>
        <w:rPr>
          <w:spacing w:val="-19"/>
        </w:rPr>
        <w:t> </w:t>
      </w:r>
      <w:r>
        <w:rPr/>
        <w:t>donnant</w:t>
      </w:r>
      <w:r>
        <w:rPr>
          <w:spacing w:val="-21"/>
        </w:rPr>
        <w:t> </w:t>
      </w:r>
      <w:r>
        <w:rPr/>
        <w:t>droit</w:t>
      </w:r>
      <w:r>
        <w:rPr>
          <w:spacing w:val="-20"/>
        </w:rPr>
        <w:t> </w:t>
      </w:r>
      <w:r>
        <w:rPr/>
        <w:t>à</w:t>
      </w:r>
      <w:r>
        <w:rPr>
          <w:spacing w:val="-20"/>
        </w:rPr>
        <w:t> </w:t>
      </w:r>
      <w:r>
        <w:rPr/>
        <w:t>la</w:t>
      </w:r>
      <w:r>
        <w:rPr>
          <w:spacing w:val="-20"/>
        </w:rPr>
        <w:t> </w:t>
      </w:r>
      <w:r>
        <w:rPr/>
        <w:t>résiliation</w:t>
      </w:r>
      <w:r>
        <w:rPr>
          <w:spacing w:val="-19"/>
        </w:rPr>
        <w:t> </w:t>
      </w:r>
      <w:r>
        <w:rPr/>
        <w:t>au</w:t>
      </w:r>
      <w:r>
        <w:rPr>
          <w:spacing w:val="-16"/>
        </w:rPr>
        <w:t> </w:t>
      </w:r>
      <w:r>
        <w:rPr/>
        <w:t>profit</w:t>
      </w:r>
      <w:r>
        <w:rPr>
          <w:spacing w:val="-19"/>
        </w:rPr>
        <w:t> </w:t>
      </w:r>
      <w:r>
        <w:rPr/>
        <w:t>de</w:t>
      </w:r>
      <w:r>
        <w:rPr>
          <w:spacing w:val="-20"/>
        </w:rPr>
        <w:t> </w:t>
      </w:r>
      <w:r>
        <w:rPr/>
        <w:t>titulaire</w:t>
      </w:r>
      <w:r>
        <w:rPr>
          <w:spacing w:val="-19"/>
        </w:rPr>
        <w:t> </w:t>
      </w:r>
      <w:r>
        <w:rPr/>
        <w:t>de</w:t>
      </w:r>
      <w:r>
        <w:rPr>
          <w:spacing w:val="-21"/>
        </w:rPr>
        <w:t> </w:t>
      </w:r>
      <w:r>
        <w:rPr/>
        <w:t>l’achat,</w:t>
      </w:r>
      <w:r>
        <w:rPr>
          <w:spacing w:val="-20"/>
        </w:rPr>
        <w:t> </w:t>
      </w:r>
      <w:r>
        <w:rPr/>
        <w:t>ce</w:t>
      </w:r>
      <w:r>
        <w:rPr>
          <w:spacing w:val="-22"/>
        </w:rPr>
        <w:t> </w:t>
      </w:r>
      <w:r>
        <w:rPr/>
        <w:t>dernier envoie une demande de résiliation dans laquelle il indique les justificatifs nécessaires et le montant de l’indemnisation demandé s’il y a lieu, les bases et les indices adoptés dans son estimation accompagnée de tous les documents et justificatifs y afférant. La Structure</w:t>
      </w:r>
      <w:r>
        <w:rPr>
          <w:spacing w:val="-11"/>
        </w:rPr>
        <w:t> </w:t>
      </w:r>
      <w:r>
        <w:rPr/>
        <w:t>d’achat</w:t>
      </w:r>
      <w:r>
        <w:rPr>
          <w:spacing w:val="-9"/>
        </w:rPr>
        <w:t> </w:t>
      </w:r>
      <w:r>
        <w:rPr/>
        <w:t>concernée</w:t>
      </w:r>
      <w:r>
        <w:rPr>
          <w:spacing w:val="-9"/>
        </w:rPr>
        <w:t> </w:t>
      </w:r>
      <w:r>
        <w:rPr/>
        <w:t>examine</w:t>
      </w:r>
      <w:r>
        <w:rPr>
          <w:spacing w:val="-8"/>
        </w:rPr>
        <w:t> </w:t>
      </w:r>
      <w:r>
        <w:rPr/>
        <w:t>la</w:t>
      </w:r>
      <w:r>
        <w:rPr>
          <w:spacing w:val="-11"/>
        </w:rPr>
        <w:t> </w:t>
      </w:r>
      <w:r>
        <w:rPr/>
        <w:t>demande,</w:t>
      </w:r>
      <w:r>
        <w:rPr>
          <w:spacing w:val="-8"/>
        </w:rPr>
        <w:t> </w:t>
      </w:r>
      <w:r>
        <w:rPr/>
        <w:t>et</w:t>
      </w:r>
      <w:r>
        <w:rPr>
          <w:spacing w:val="-10"/>
        </w:rPr>
        <w:t> </w:t>
      </w:r>
      <w:r>
        <w:rPr/>
        <w:t>prépare</w:t>
      </w:r>
      <w:r>
        <w:rPr>
          <w:spacing w:val="-10"/>
        </w:rPr>
        <w:t> </w:t>
      </w:r>
      <w:r>
        <w:rPr/>
        <w:t>un</w:t>
      </w:r>
      <w:r>
        <w:rPr>
          <w:spacing w:val="-10"/>
        </w:rPr>
        <w:t> </w:t>
      </w:r>
      <w:r>
        <w:rPr/>
        <w:t>rapport</w:t>
      </w:r>
      <w:r>
        <w:rPr>
          <w:spacing w:val="-9"/>
        </w:rPr>
        <w:t> </w:t>
      </w:r>
      <w:r>
        <w:rPr/>
        <w:t>qu’elle</w:t>
      </w:r>
      <w:r>
        <w:rPr>
          <w:spacing w:val="-11"/>
        </w:rPr>
        <w:t> </w:t>
      </w:r>
      <w:r>
        <w:rPr/>
        <w:t>soumet à la Commission de Contrôle Compétente comprenant son avis et sa proposition à propos de la</w:t>
      </w:r>
      <w:r>
        <w:rPr>
          <w:spacing w:val="-7"/>
        </w:rPr>
        <w:t> </w:t>
      </w:r>
      <w:r>
        <w:rPr/>
        <w:t>demande.</w:t>
      </w:r>
    </w:p>
    <w:p>
      <w:pPr>
        <w:pStyle w:val="BodyText"/>
        <w:spacing w:before="120"/>
        <w:ind w:right="750"/>
      </w:pPr>
      <w:r>
        <w:rPr/>
        <w:t>Dans tous les cas, le GCT doit constater les prestations exécutées ou en cours d’exécution et aux biens approvisionnés en vue de l’exécution du contrat et doit prendre les mesures conservatoires. Ces constats doivent être consignés dans un décompte</w:t>
      </w:r>
      <w:r>
        <w:rPr>
          <w:spacing w:val="-10"/>
        </w:rPr>
        <w:t> </w:t>
      </w:r>
      <w:r>
        <w:rPr/>
        <w:t>arrêté</w:t>
      </w:r>
      <w:r>
        <w:rPr>
          <w:spacing w:val="-9"/>
        </w:rPr>
        <w:t> </w:t>
      </w:r>
      <w:r>
        <w:rPr/>
        <w:t>par</w:t>
      </w:r>
      <w:r>
        <w:rPr>
          <w:spacing w:val="-9"/>
        </w:rPr>
        <w:t> </w:t>
      </w:r>
      <w:r>
        <w:rPr/>
        <w:t>la</w:t>
      </w:r>
      <w:r>
        <w:rPr>
          <w:spacing w:val="-9"/>
        </w:rPr>
        <w:t> </w:t>
      </w:r>
      <w:r>
        <w:rPr/>
        <w:t>structure</w:t>
      </w:r>
      <w:r>
        <w:rPr>
          <w:spacing w:val="-11"/>
        </w:rPr>
        <w:t> </w:t>
      </w:r>
      <w:r>
        <w:rPr/>
        <w:t>d’achat</w:t>
      </w:r>
      <w:r>
        <w:rPr>
          <w:spacing w:val="-9"/>
        </w:rPr>
        <w:t> </w:t>
      </w:r>
      <w:r>
        <w:rPr/>
        <w:t>concernée</w:t>
      </w:r>
      <w:r>
        <w:rPr>
          <w:spacing w:val="-8"/>
        </w:rPr>
        <w:t> </w:t>
      </w:r>
      <w:r>
        <w:rPr/>
        <w:t>et</w:t>
      </w:r>
      <w:r>
        <w:rPr>
          <w:spacing w:val="-11"/>
        </w:rPr>
        <w:t> </w:t>
      </w:r>
      <w:r>
        <w:rPr/>
        <w:t>notifié</w:t>
      </w:r>
      <w:r>
        <w:rPr>
          <w:spacing w:val="-11"/>
        </w:rPr>
        <w:t> </w:t>
      </w:r>
      <w:r>
        <w:rPr/>
        <w:t>au</w:t>
      </w:r>
      <w:r>
        <w:rPr>
          <w:spacing w:val="-2"/>
        </w:rPr>
        <w:t> </w:t>
      </w:r>
      <w:r>
        <w:rPr/>
        <w:t>fournisseur</w:t>
      </w:r>
      <w:r>
        <w:rPr>
          <w:spacing w:val="-9"/>
        </w:rPr>
        <w:t> </w:t>
      </w:r>
      <w:r>
        <w:rPr/>
        <w:t>contractant par la poste et recommandé ou remis directement contre</w:t>
      </w:r>
      <w:r>
        <w:rPr>
          <w:spacing w:val="-2"/>
        </w:rPr>
        <w:t> </w:t>
      </w:r>
      <w:r>
        <w:rPr/>
        <w:t>décharge.</w:t>
      </w:r>
    </w:p>
    <w:p>
      <w:pPr>
        <w:spacing w:after="0"/>
        <w:sectPr>
          <w:headerReference w:type="default" r:id="rId12"/>
          <w:pgSz w:w="11910" w:h="16840"/>
          <w:pgMar w:header="522" w:footer="0" w:top="72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rPr>
                <w:sz w:val="25"/>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i</w:t>
            </w:r>
          </w:p>
        </w:tc>
      </w:tr>
    </w:tbl>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7"/>
        <w:ind w:left="0" w:firstLine="0"/>
        <w:jc w:val="left"/>
        <w:rPr>
          <w:sz w:val="18"/>
        </w:rPr>
      </w:pPr>
    </w:p>
    <w:p>
      <w:pPr>
        <w:spacing w:before="69"/>
        <w:ind w:left="634" w:right="954" w:firstLine="0"/>
        <w:jc w:val="center"/>
        <w:rPr>
          <w:b/>
          <w:sz w:val="72"/>
        </w:rPr>
      </w:pPr>
      <w:bookmarkStart w:name="_TOC_250020" w:id="123"/>
      <w:bookmarkEnd w:id="123"/>
      <w:r>
        <w:rPr>
          <w:b/>
          <w:sz w:val="72"/>
        </w:rPr>
        <w:t>ANNEXES</w:t>
      </w:r>
    </w:p>
    <w:p>
      <w:pPr>
        <w:spacing w:after="0"/>
        <w:jc w:val="center"/>
        <w:rPr>
          <w:sz w:val="72"/>
        </w:rPr>
        <w:sectPr>
          <w:pgSz w:w="11910" w:h="16840"/>
          <w:pgMar w:header="522" w:footer="0" w:top="720" w:bottom="280" w:left="700" w:right="380"/>
        </w:sectPr>
      </w:pPr>
    </w:p>
    <w:p>
      <w:pPr>
        <w:pStyle w:val="BodyText"/>
        <w:spacing w:before="8"/>
        <w:ind w:left="0" w:firstLine="0"/>
        <w:jc w:val="left"/>
        <w:rPr>
          <w:b/>
          <w:sz w:val="16"/>
        </w:rPr>
      </w:pPr>
    </w:p>
    <w:p>
      <w:pPr>
        <w:pStyle w:val="Heading2"/>
        <w:spacing w:line="276" w:lineRule="auto"/>
        <w:ind w:left="4221" w:right="942" w:hanging="3589"/>
        <w:jc w:val="left"/>
      </w:pPr>
      <w:bookmarkStart w:name="_TOC_250019" w:id="124"/>
      <w:bookmarkEnd w:id="124"/>
      <w:r>
        <w:rPr/>
        <w:t>Annexe n°1 : Fiche identification Commission d'Approbation des Cahiers des Charges (CACC)</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68"/>
        <w:gridCol w:w="7948"/>
      </w:tblGrid>
      <w:tr>
        <w:trPr>
          <w:trHeight w:val="550" w:hRule="atLeast"/>
        </w:trPr>
        <w:tc>
          <w:tcPr>
            <w:tcW w:w="1668" w:type="dxa"/>
          </w:tcPr>
          <w:p>
            <w:pPr>
              <w:pStyle w:val="TableParagraph"/>
              <w:spacing w:line="272" w:lineRule="exact"/>
              <w:ind w:left="107"/>
              <w:rPr>
                <w:b/>
                <w:sz w:val="24"/>
              </w:rPr>
            </w:pPr>
            <w:r>
              <w:rPr>
                <w:b/>
                <w:sz w:val="24"/>
              </w:rPr>
              <w:t>Dénomination</w:t>
            </w:r>
          </w:p>
          <w:p>
            <w:pPr>
              <w:pStyle w:val="TableParagraph"/>
              <w:spacing w:line="258" w:lineRule="exact"/>
              <w:ind w:left="107"/>
              <w:rPr>
                <w:b/>
                <w:sz w:val="24"/>
              </w:rPr>
            </w:pPr>
            <w:r>
              <w:rPr>
                <w:b/>
                <w:sz w:val="24"/>
              </w:rPr>
              <w:t>de l’organe</w:t>
            </w:r>
          </w:p>
        </w:tc>
        <w:tc>
          <w:tcPr>
            <w:tcW w:w="7948" w:type="dxa"/>
          </w:tcPr>
          <w:p>
            <w:pPr>
              <w:pStyle w:val="TableParagraph"/>
              <w:spacing w:before="135"/>
              <w:ind w:left="109"/>
              <w:rPr>
                <w:b/>
                <w:sz w:val="24"/>
              </w:rPr>
            </w:pPr>
            <w:r>
              <w:rPr>
                <w:b/>
                <w:sz w:val="24"/>
              </w:rPr>
              <w:t>Commission d'Approbation des Cahiers des Charges (CACC)</w:t>
            </w:r>
          </w:p>
        </w:tc>
      </w:tr>
      <w:tr>
        <w:trPr>
          <w:trHeight w:val="359" w:hRule="atLeast"/>
        </w:trPr>
        <w:tc>
          <w:tcPr>
            <w:tcW w:w="1668" w:type="dxa"/>
            <w:tcBorders>
              <w:bottom w:val="single" w:sz="2" w:space="0" w:color="000000"/>
            </w:tcBorders>
          </w:tcPr>
          <w:p>
            <w:pPr>
              <w:pStyle w:val="TableParagraph"/>
              <w:spacing w:before="39"/>
              <w:ind w:left="107"/>
              <w:rPr>
                <w:b/>
                <w:sz w:val="24"/>
              </w:rPr>
            </w:pPr>
            <w:r>
              <w:rPr>
                <w:b/>
                <w:sz w:val="24"/>
              </w:rPr>
              <w:t>Type</w:t>
            </w:r>
          </w:p>
        </w:tc>
        <w:tc>
          <w:tcPr>
            <w:tcW w:w="7948" w:type="dxa"/>
            <w:tcBorders>
              <w:bottom w:val="single" w:sz="2" w:space="0" w:color="000000"/>
            </w:tcBorders>
          </w:tcPr>
          <w:p>
            <w:pPr>
              <w:pStyle w:val="TableParagraph"/>
              <w:spacing w:before="34"/>
              <w:ind w:left="109"/>
              <w:rPr>
                <w:sz w:val="24"/>
              </w:rPr>
            </w:pPr>
            <w:r>
              <w:rPr>
                <w:sz w:val="24"/>
              </w:rPr>
              <w:t>Commission interne permanente</w:t>
            </w:r>
          </w:p>
        </w:tc>
      </w:tr>
      <w:tr>
        <w:trPr>
          <w:trHeight w:val="417" w:hRule="atLeast"/>
        </w:trPr>
        <w:tc>
          <w:tcPr>
            <w:tcW w:w="1668" w:type="dxa"/>
            <w:tcBorders>
              <w:top w:val="single" w:sz="2" w:space="0" w:color="000000"/>
              <w:bottom w:val="single" w:sz="2" w:space="0" w:color="000000"/>
            </w:tcBorders>
          </w:tcPr>
          <w:p>
            <w:pPr>
              <w:pStyle w:val="TableParagraph"/>
              <w:spacing w:before="68"/>
              <w:ind w:left="107"/>
              <w:rPr>
                <w:b/>
                <w:sz w:val="24"/>
              </w:rPr>
            </w:pPr>
            <w:r>
              <w:rPr>
                <w:b/>
                <w:sz w:val="24"/>
              </w:rPr>
              <w:t>Désignation</w:t>
            </w:r>
          </w:p>
        </w:tc>
        <w:tc>
          <w:tcPr>
            <w:tcW w:w="7948" w:type="dxa"/>
            <w:tcBorders>
              <w:top w:val="single" w:sz="2" w:space="0" w:color="000000"/>
              <w:bottom w:val="single" w:sz="2" w:space="0" w:color="000000"/>
            </w:tcBorders>
          </w:tcPr>
          <w:p>
            <w:pPr>
              <w:pStyle w:val="TableParagraph"/>
              <w:spacing w:line="274" w:lineRule="exact" w:before="124"/>
              <w:ind w:left="109"/>
              <w:rPr>
                <w:sz w:val="24"/>
              </w:rPr>
            </w:pPr>
            <w:r>
              <w:rPr>
                <w:sz w:val="24"/>
              </w:rPr>
              <w:t>Désignée</w:t>
            </w:r>
            <w:r>
              <w:rPr>
                <w:spacing w:val="-10"/>
                <w:sz w:val="24"/>
              </w:rPr>
              <w:t> </w:t>
            </w:r>
            <w:r>
              <w:rPr>
                <w:sz w:val="24"/>
              </w:rPr>
              <w:t>par</w:t>
            </w:r>
            <w:r>
              <w:rPr>
                <w:spacing w:val="-8"/>
                <w:sz w:val="24"/>
              </w:rPr>
              <w:t> </w:t>
            </w:r>
            <w:r>
              <w:rPr>
                <w:sz w:val="24"/>
              </w:rPr>
              <w:t>une</w:t>
            </w:r>
            <w:r>
              <w:rPr>
                <w:spacing w:val="-10"/>
                <w:sz w:val="24"/>
              </w:rPr>
              <w:t> </w:t>
            </w:r>
            <w:r>
              <w:rPr>
                <w:sz w:val="24"/>
              </w:rPr>
              <w:t>note</w:t>
            </w:r>
            <w:r>
              <w:rPr>
                <w:spacing w:val="-8"/>
                <w:sz w:val="24"/>
              </w:rPr>
              <w:t> </w:t>
            </w:r>
            <w:r>
              <w:rPr>
                <w:sz w:val="24"/>
              </w:rPr>
              <w:t>organisationnelle</w:t>
            </w:r>
            <w:r>
              <w:rPr>
                <w:spacing w:val="-7"/>
                <w:sz w:val="24"/>
              </w:rPr>
              <w:t> </w:t>
            </w:r>
            <w:r>
              <w:rPr>
                <w:sz w:val="24"/>
              </w:rPr>
              <w:t>émise</w:t>
            </w:r>
            <w:r>
              <w:rPr>
                <w:spacing w:val="-8"/>
                <w:sz w:val="24"/>
              </w:rPr>
              <w:t> </w:t>
            </w:r>
            <w:r>
              <w:rPr>
                <w:sz w:val="24"/>
              </w:rPr>
              <w:t>par</w:t>
            </w:r>
            <w:r>
              <w:rPr>
                <w:spacing w:val="-2"/>
                <w:sz w:val="24"/>
              </w:rPr>
              <w:t> </w:t>
            </w:r>
            <w:r>
              <w:rPr>
                <w:sz w:val="24"/>
              </w:rPr>
              <w:t>la</w:t>
            </w:r>
            <w:r>
              <w:rPr>
                <w:spacing w:val="-9"/>
                <w:sz w:val="24"/>
              </w:rPr>
              <w:t> </w:t>
            </w:r>
            <w:r>
              <w:rPr>
                <w:sz w:val="24"/>
              </w:rPr>
              <w:t>Direction</w:t>
            </w:r>
            <w:r>
              <w:rPr>
                <w:spacing w:val="-8"/>
                <w:sz w:val="24"/>
              </w:rPr>
              <w:t> </w:t>
            </w:r>
            <w:r>
              <w:rPr>
                <w:sz w:val="24"/>
              </w:rPr>
              <w:t>Générale</w:t>
            </w:r>
            <w:r>
              <w:rPr>
                <w:spacing w:val="-7"/>
                <w:sz w:val="24"/>
              </w:rPr>
              <w:t> </w:t>
            </w:r>
            <w:r>
              <w:rPr>
                <w:sz w:val="24"/>
              </w:rPr>
              <w:t>du</w:t>
            </w:r>
            <w:r>
              <w:rPr>
                <w:spacing w:val="-5"/>
                <w:sz w:val="24"/>
              </w:rPr>
              <w:t> </w:t>
            </w:r>
            <w:r>
              <w:rPr>
                <w:sz w:val="24"/>
              </w:rPr>
              <w:t>GCT</w:t>
            </w:r>
          </w:p>
        </w:tc>
      </w:tr>
      <w:tr>
        <w:trPr>
          <w:trHeight w:val="1272" w:hRule="atLeast"/>
        </w:trPr>
        <w:tc>
          <w:tcPr>
            <w:tcW w:w="1668" w:type="dxa"/>
            <w:tcBorders>
              <w:top w:val="single" w:sz="2" w:space="0" w:color="000000"/>
              <w:bottom w:val="single" w:sz="4" w:space="0" w:color="000000"/>
            </w:tcBorders>
          </w:tcPr>
          <w:p>
            <w:pPr>
              <w:pStyle w:val="TableParagraph"/>
              <w:spacing w:before="3"/>
              <w:rPr>
                <w:b/>
                <w:sz w:val="31"/>
              </w:rPr>
            </w:pPr>
          </w:p>
          <w:p>
            <w:pPr>
              <w:pStyle w:val="TableParagraph"/>
              <w:ind w:left="107" w:right="229"/>
              <w:rPr>
                <w:b/>
                <w:sz w:val="24"/>
              </w:rPr>
            </w:pPr>
            <w:r>
              <w:rPr>
                <w:b/>
                <w:sz w:val="24"/>
              </w:rPr>
              <w:t>Compétence (mDT)</w:t>
            </w:r>
          </w:p>
        </w:tc>
        <w:tc>
          <w:tcPr>
            <w:tcW w:w="7948" w:type="dxa"/>
            <w:tcBorders>
              <w:top w:val="single" w:sz="2" w:space="0" w:color="000000"/>
              <w:bottom w:val="single" w:sz="2" w:space="0" w:color="000000"/>
            </w:tcBorders>
          </w:tcPr>
          <w:p>
            <w:pPr>
              <w:pStyle w:val="TableParagraph"/>
              <w:spacing w:before="52"/>
              <w:ind w:left="109"/>
              <w:rPr>
                <w:sz w:val="24"/>
              </w:rPr>
            </w:pPr>
            <w:r>
              <w:rPr>
                <w:sz w:val="24"/>
              </w:rPr>
              <w:t>Achat hors matières premières :</w:t>
            </w:r>
          </w:p>
          <w:p>
            <w:pPr>
              <w:pStyle w:val="TableParagraph"/>
              <w:numPr>
                <w:ilvl w:val="0"/>
                <w:numId w:val="95"/>
              </w:numPr>
              <w:tabs>
                <w:tab w:pos="839" w:val="left" w:leader="none"/>
                <w:tab w:pos="840" w:val="left" w:leader="none"/>
              </w:tabs>
              <w:spacing w:line="293" w:lineRule="exact" w:before="2" w:after="0"/>
              <w:ind w:left="839" w:right="0" w:hanging="361"/>
              <w:jc w:val="left"/>
              <w:rPr>
                <w:sz w:val="24"/>
              </w:rPr>
            </w:pPr>
            <w:r>
              <w:rPr>
                <w:sz w:val="24"/>
              </w:rPr>
              <w:t>Travaux (≥ 2000)</w:t>
            </w:r>
          </w:p>
          <w:p>
            <w:pPr>
              <w:pStyle w:val="TableParagraph"/>
              <w:numPr>
                <w:ilvl w:val="0"/>
                <w:numId w:val="95"/>
              </w:numPr>
              <w:tabs>
                <w:tab w:pos="839" w:val="left" w:leader="none"/>
                <w:tab w:pos="840" w:val="left" w:leader="none"/>
              </w:tabs>
              <w:spacing w:line="293" w:lineRule="exact" w:before="0" w:after="0"/>
              <w:ind w:left="839" w:right="0" w:hanging="361"/>
              <w:jc w:val="left"/>
              <w:rPr>
                <w:sz w:val="24"/>
              </w:rPr>
            </w:pPr>
            <w:r>
              <w:rPr>
                <w:sz w:val="24"/>
              </w:rPr>
              <w:t>Fourniture de biens, d’équipements et services (≥</w:t>
            </w:r>
            <w:r>
              <w:rPr>
                <w:spacing w:val="1"/>
                <w:sz w:val="24"/>
              </w:rPr>
              <w:t> </w:t>
            </w:r>
            <w:r>
              <w:rPr>
                <w:sz w:val="24"/>
              </w:rPr>
              <w:t>2000)</w:t>
            </w:r>
          </w:p>
          <w:p>
            <w:pPr>
              <w:pStyle w:val="TableParagraph"/>
              <w:numPr>
                <w:ilvl w:val="0"/>
                <w:numId w:val="95"/>
              </w:numPr>
              <w:tabs>
                <w:tab w:pos="839" w:val="left" w:leader="none"/>
                <w:tab w:pos="840" w:val="left" w:leader="none"/>
              </w:tabs>
              <w:spacing w:line="293" w:lineRule="exact" w:before="0" w:after="0"/>
              <w:ind w:left="839" w:right="0" w:hanging="361"/>
              <w:jc w:val="left"/>
              <w:rPr>
                <w:sz w:val="24"/>
              </w:rPr>
            </w:pPr>
            <w:r>
              <w:rPr>
                <w:sz w:val="24"/>
              </w:rPr>
              <w:t>Etudes (≥</w:t>
            </w:r>
            <w:r>
              <w:rPr>
                <w:spacing w:val="-3"/>
                <w:sz w:val="24"/>
              </w:rPr>
              <w:t> </w:t>
            </w:r>
            <w:r>
              <w:rPr>
                <w:sz w:val="24"/>
              </w:rPr>
              <w:t>200)</w:t>
            </w:r>
          </w:p>
        </w:tc>
      </w:tr>
      <w:tr>
        <w:trPr>
          <w:trHeight w:val="1775" w:hRule="atLeast"/>
        </w:trPr>
        <w:tc>
          <w:tcPr>
            <w:tcW w:w="1668" w:type="dxa"/>
            <w:tcBorders>
              <w:top w:val="single" w:sz="4" w:space="0" w:color="000000"/>
              <w:bottom w:val="single" w:sz="4" w:space="0" w:color="000000"/>
            </w:tcBorders>
          </w:tcPr>
          <w:p>
            <w:pPr>
              <w:pStyle w:val="TableParagraph"/>
              <w:rPr>
                <w:b/>
                <w:sz w:val="26"/>
              </w:rPr>
            </w:pPr>
          </w:p>
          <w:p>
            <w:pPr>
              <w:pStyle w:val="TableParagraph"/>
              <w:rPr>
                <w:b/>
                <w:sz w:val="26"/>
              </w:rPr>
            </w:pPr>
          </w:p>
          <w:p>
            <w:pPr>
              <w:pStyle w:val="TableParagraph"/>
              <w:spacing w:before="152"/>
              <w:ind w:left="107"/>
              <w:rPr>
                <w:b/>
                <w:sz w:val="24"/>
              </w:rPr>
            </w:pPr>
            <w:r>
              <w:rPr>
                <w:b/>
                <w:sz w:val="24"/>
              </w:rPr>
              <w:t>Composition</w:t>
            </w:r>
          </w:p>
        </w:tc>
        <w:tc>
          <w:tcPr>
            <w:tcW w:w="7948" w:type="dxa"/>
            <w:tcBorders>
              <w:top w:val="single" w:sz="2" w:space="0" w:color="000000"/>
              <w:bottom w:val="single" w:sz="2" w:space="0" w:color="000000"/>
            </w:tcBorders>
          </w:tcPr>
          <w:p>
            <w:pPr>
              <w:pStyle w:val="TableParagraph"/>
              <w:spacing w:line="270" w:lineRule="exact"/>
              <w:ind w:left="119"/>
              <w:rPr>
                <w:sz w:val="24"/>
              </w:rPr>
            </w:pPr>
            <w:r>
              <w:rPr>
                <w:sz w:val="24"/>
              </w:rPr>
              <w:t>La Commission d'Approbation des Cahiers des Charges se compose de :</w:t>
            </w:r>
          </w:p>
          <w:p>
            <w:pPr>
              <w:pStyle w:val="TableParagraph"/>
              <w:ind w:left="109"/>
              <w:rPr>
                <w:sz w:val="24"/>
              </w:rPr>
            </w:pPr>
            <w:r>
              <w:rPr>
                <w:i/>
                <w:sz w:val="24"/>
              </w:rPr>
              <w:t>Président : </w:t>
            </w:r>
            <w:r>
              <w:rPr>
                <w:sz w:val="24"/>
              </w:rPr>
              <w:t>Un président désigné par la Direction Générale</w:t>
            </w:r>
          </w:p>
          <w:p>
            <w:pPr>
              <w:pStyle w:val="TableParagraph"/>
              <w:ind w:left="109"/>
              <w:rPr>
                <w:sz w:val="24"/>
              </w:rPr>
            </w:pPr>
            <w:r>
              <w:rPr>
                <w:i/>
                <w:sz w:val="24"/>
              </w:rPr>
              <w:t>Membres </w:t>
            </w:r>
            <w:r>
              <w:rPr>
                <w:sz w:val="24"/>
              </w:rPr>
              <w:t>: 5 membres pluridisciplinaires</w:t>
            </w:r>
          </w:p>
          <w:p>
            <w:pPr>
              <w:pStyle w:val="TableParagraph"/>
              <w:spacing w:line="270" w:lineRule="atLeast" w:before="120"/>
              <w:ind w:left="109" w:right="61"/>
              <w:jc w:val="both"/>
              <w:rPr>
                <w:sz w:val="24"/>
              </w:rPr>
            </w:pPr>
            <w:r>
              <w:rPr>
                <w:sz w:val="24"/>
              </w:rPr>
              <w:t>La CACC peut consulter, sur demande de son président ou de l'un des membres, sur convocation spéciale, toute personne compétente dans le domaine de l’achat concerné.</w:t>
            </w:r>
          </w:p>
        </w:tc>
      </w:tr>
      <w:tr>
        <w:trPr>
          <w:trHeight w:val="2004" w:hRule="atLeast"/>
        </w:trPr>
        <w:tc>
          <w:tcPr>
            <w:tcW w:w="1668" w:type="dxa"/>
            <w:tcBorders>
              <w:top w:val="single" w:sz="4" w:space="0" w:color="000000"/>
              <w:bottom w:val="single" w:sz="2" w:space="0" w:color="000000"/>
            </w:tcBorders>
          </w:tcPr>
          <w:p>
            <w:pPr>
              <w:pStyle w:val="TableParagraph"/>
              <w:rPr>
                <w:b/>
                <w:sz w:val="26"/>
              </w:rPr>
            </w:pPr>
          </w:p>
          <w:p>
            <w:pPr>
              <w:pStyle w:val="TableParagraph"/>
              <w:rPr>
                <w:b/>
                <w:sz w:val="26"/>
              </w:rPr>
            </w:pPr>
          </w:p>
          <w:p>
            <w:pPr>
              <w:pStyle w:val="TableParagraph"/>
              <w:rPr>
                <w:b/>
                <w:sz w:val="23"/>
              </w:rPr>
            </w:pPr>
          </w:p>
          <w:p>
            <w:pPr>
              <w:pStyle w:val="TableParagraph"/>
              <w:spacing w:before="1"/>
              <w:ind w:left="107"/>
              <w:rPr>
                <w:b/>
                <w:sz w:val="24"/>
              </w:rPr>
            </w:pPr>
            <w:r>
              <w:rPr>
                <w:b/>
                <w:sz w:val="24"/>
              </w:rPr>
              <w:t>Attributions</w:t>
            </w:r>
          </w:p>
        </w:tc>
        <w:tc>
          <w:tcPr>
            <w:tcW w:w="7948" w:type="dxa"/>
            <w:tcBorders>
              <w:top w:val="single" w:sz="2" w:space="0" w:color="000000"/>
              <w:bottom w:val="single" w:sz="2" w:space="0" w:color="000000"/>
            </w:tcBorders>
          </w:tcPr>
          <w:p>
            <w:pPr>
              <w:pStyle w:val="TableParagraph"/>
              <w:numPr>
                <w:ilvl w:val="0"/>
                <w:numId w:val="96"/>
              </w:numPr>
              <w:tabs>
                <w:tab w:pos="427" w:val="left" w:leader="none"/>
              </w:tabs>
              <w:spacing w:line="291" w:lineRule="exact" w:before="0" w:after="0"/>
              <w:ind w:left="426" w:right="0" w:hanging="284"/>
              <w:jc w:val="left"/>
              <w:rPr>
                <w:sz w:val="24"/>
              </w:rPr>
            </w:pPr>
            <w:r>
              <w:rPr>
                <w:sz w:val="24"/>
              </w:rPr>
              <w:t>Vérifier le contenu technique et administratif des Cahiers des Charges</w:t>
            </w:r>
            <w:r>
              <w:rPr>
                <w:spacing w:val="-3"/>
                <w:sz w:val="24"/>
              </w:rPr>
              <w:t> </w:t>
            </w:r>
            <w:r>
              <w:rPr>
                <w:sz w:val="24"/>
              </w:rPr>
              <w:t>;</w:t>
            </w:r>
          </w:p>
          <w:p>
            <w:pPr>
              <w:pStyle w:val="TableParagraph"/>
              <w:numPr>
                <w:ilvl w:val="0"/>
                <w:numId w:val="96"/>
              </w:numPr>
              <w:tabs>
                <w:tab w:pos="427" w:val="left" w:leader="none"/>
              </w:tabs>
              <w:spacing w:line="293" w:lineRule="exact" w:before="1" w:after="0"/>
              <w:ind w:left="426" w:right="0" w:hanging="284"/>
              <w:jc w:val="left"/>
              <w:rPr>
                <w:sz w:val="24"/>
              </w:rPr>
            </w:pPr>
            <w:r>
              <w:rPr>
                <w:sz w:val="24"/>
              </w:rPr>
              <w:t>Proposer les rectifications nécessaires des cahiers des Charges</w:t>
            </w:r>
            <w:r>
              <w:rPr>
                <w:spacing w:val="1"/>
                <w:sz w:val="24"/>
              </w:rPr>
              <w:t> </w:t>
            </w:r>
            <w:r>
              <w:rPr>
                <w:sz w:val="24"/>
              </w:rPr>
              <w:t>;</w:t>
            </w:r>
          </w:p>
          <w:p>
            <w:pPr>
              <w:pStyle w:val="TableParagraph"/>
              <w:numPr>
                <w:ilvl w:val="0"/>
                <w:numId w:val="96"/>
              </w:numPr>
              <w:tabs>
                <w:tab w:pos="427" w:val="left" w:leader="none"/>
              </w:tabs>
              <w:spacing w:line="293" w:lineRule="exact" w:before="0" w:after="0"/>
              <w:ind w:left="426" w:right="0" w:hanging="284"/>
              <w:jc w:val="left"/>
              <w:rPr>
                <w:sz w:val="24"/>
              </w:rPr>
            </w:pPr>
            <w:r>
              <w:rPr>
                <w:sz w:val="24"/>
              </w:rPr>
              <w:t>Approuver les cahiers des charges</w:t>
            </w:r>
            <w:r>
              <w:rPr>
                <w:spacing w:val="2"/>
                <w:sz w:val="24"/>
              </w:rPr>
              <w:t> </w:t>
            </w:r>
            <w:r>
              <w:rPr>
                <w:sz w:val="24"/>
              </w:rPr>
              <w:t>;</w:t>
            </w:r>
          </w:p>
          <w:p>
            <w:pPr>
              <w:pStyle w:val="TableParagraph"/>
              <w:numPr>
                <w:ilvl w:val="0"/>
                <w:numId w:val="96"/>
              </w:numPr>
              <w:tabs>
                <w:tab w:pos="427" w:val="left" w:leader="none"/>
              </w:tabs>
              <w:spacing w:line="237" w:lineRule="auto" w:before="2" w:after="0"/>
              <w:ind w:left="426" w:right="61" w:hanging="284"/>
              <w:jc w:val="both"/>
              <w:rPr>
                <w:sz w:val="24"/>
              </w:rPr>
            </w:pPr>
            <w:r>
              <w:rPr>
                <w:sz w:val="24"/>
              </w:rPr>
              <w:t>Elaborer,</w:t>
            </w:r>
            <w:r>
              <w:rPr>
                <w:spacing w:val="-6"/>
                <w:sz w:val="24"/>
              </w:rPr>
              <w:t> </w:t>
            </w:r>
            <w:r>
              <w:rPr>
                <w:sz w:val="24"/>
              </w:rPr>
              <w:t>réviser</w:t>
            </w:r>
            <w:r>
              <w:rPr>
                <w:spacing w:val="-5"/>
                <w:sz w:val="24"/>
              </w:rPr>
              <w:t> </w:t>
            </w:r>
            <w:r>
              <w:rPr>
                <w:sz w:val="24"/>
              </w:rPr>
              <w:t>et</w:t>
            </w:r>
            <w:r>
              <w:rPr>
                <w:spacing w:val="-3"/>
                <w:sz w:val="24"/>
              </w:rPr>
              <w:t> </w:t>
            </w:r>
            <w:r>
              <w:rPr>
                <w:sz w:val="24"/>
              </w:rPr>
              <w:t>améliorer</w:t>
            </w:r>
            <w:r>
              <w:rPr>
                <w:spacing w:val="-5"/>
                <w:sz w:val="24"/>
              </w:rPr>
              <w:t> </w:t>
            </w:r>
            <w:r>
              <w:rPr>
                <w:sz w:val="24"/>
              </w:rPr>
              <w:t>les</w:t>
            </w:r>
            <w:r>
              <w:rPr>
                <w:spacing w:val="-4"/>
                <w:sz w:val="24"/>
              </w:rPr>
              <w:t> </w:t>
            </w:r>
            <w:r>
              <w:rPr>
                <w:sz w:val="24"/>
              </w:rPr>
              <w:t>modèles</w:t>
            </w:r>
            <w:r>
              <w:rPr>
                <w:spacing w:val="-4"/>
                <w:sz w:val="24"/>
              </w:rPr>
              <w:t> </w:t>
            </w:r>
            <w:r>
              <w:rPr>
                <w:sz w:val="24"/>
              </w:rPr>
              <w:t>standardisés</w:t>
            </w:r>
            <w:r>
              <w:rPr>
                <w:spacing w:val="-4"/>
                <w:sz w:val="24"/>
              </w:rPr>
              <w:t> </w:t>
            </w:r>
            <w:r>
              <w:rPr>
                <w:sz w:val="24"/>
              </w:rPr>
              <w:t>de</w:t>
            </w:r>
            <w:r>
              <w:rPr>
                <w:spacing w:val="-5"/>
                <w:sz w:val="24"/>
              </w:rPr>
              <w:t> </w:t>
            </w:r>
            <w:r>
              <w:rPr>
                <w:sz w:val="24"/>
              </w:rPr>
              <w:t>Cahiers</w:t>
            </w:r>
            <w:r>
              <w:rPr>
                <w:spacing w:val="-4"/>
                <w:sz w:val="24"/>
              </w:rPr>
              <w:t> </w:t>
            </w:r>
            <w:r>
              <w:rPr>
                <w:sz w:val="24"/>
              </w:rPr>
              <w:t>de</w:t>
            </w:r>
            <w:r>
              <w:rPr>
                <w:spacing w:val="-5"/>
                <w:sz w:val="24"/>
              </w:rPr>
              <w:t> </w:t>
            </w:r>
            <w:r>
              <w:rPr>
                <w:sz w:val="24"/>
              </w:rPr>
              <w:t>Charges techniques et administratifs en fonction des nouveautés réglementaires technologiques</w:t>
            </w:r>
            <w:r>
              <w:rPr>
                <w:spacing w:val="35"/>
                <w:sz w:val="24"/>
              </w:rPr>
              <w:t> </w:t>
            </w:r>
            <w:r>
              <w:rPr>
                <w:sz w:val="24"/>
              </w:rPr>
              <w:t>et</w:t>
            </w:r>
            <w:r>
              <w:rPr>
                <w:spacing w:val="36"/>
                <w:sz w:val="24"/>
              </w:rPr>
              <w:t> </w:t>
            </w:r>
            <w:r>
              <w:rPr>
                <w:sz w:val="24"/>
              </w:rPr>
              <w:t>normatives</w:t>
            </w:r>
            <w:r>
              <w:rPr>
                <w:spacing w:val="36"/>
                <w:sz w:val="24"/>
              </w:rPr>
              <w:t> </w:t>
            </w:r>
            <w:r>
              <w:rPr>
                <w:sz w:val="24"/>
              </w:rPr>
              <w:t>et</w:t>
            </w:r>
            <w:r>
              <w:rPr>
                <w:spacing w:val="36"/>
                <w:sz w:val="24"/>
              </w:rPr>
              <w:t> </w:t>
            </w:r>
            <w:r>
              <w:rPr>
                <w:sz w:val="24"/>
              </w:rPr>
              <w:t>en</w:t>
            </w:r>
            <w:r>
              <w:rPr>
                <w:spacing w:val="36"/>
                <w:sz w:val="24"/>
              </w:rPr>
              <w:t> </w:t>
            </w:r>
            <w:r>
              <w:rPr>
                <w:sz w:val="24"/>
              </w:rPr>
              <w:t>s'appuyant</w:t>
            </w:r>
            <w:r>
              <w:rPr>
                <w:spacing w:val="40"/>
                <w:sz w:val="24"/>
              </w:rPr>
              <w:t> </w:t>
            </w:r>
            <w:r>
              <w:rPr>
                <w:sz w:val="24"/>
              </w:rPr>
              <w:t>sur</w:t>
            </w:r>
            <w:r>
              <w:rPr>
                <w:spacing w:val="35"/>
                <w:sz w:val="24"/>
              </w:rPr>
              <w:t> </w:t>
            </w:r>
            <w:r>
              <w:rPr>
                <w:sz w:val="24"/>
              </w:rPr>
              <w:t>le</w:t>
            </w:r>
            <w:r>
              <w:rPr>
                <w:spacing w:val="35"/>
                <w:sz w:val="24"/>
              </w:rPr>
              <w:t> </w:t>
            </w:r>
            <w:r>
              <w:rPr>
                <w:sz w:val="24"/>
              </w:rPr>
              <w:t>feed-back</w:t>
            </w:r>
            <w:r>
              <w:rPr>
                <w:spacing w:val="36"/>
                <w:sz w:val="24"/>
              </w:rPr>
              <w:t> </w:t>
            </w:r>
            <w:r>
              <w:rPr>
                <w:sz w:val="24"/>
              </w:rPr>
              <w:t>des</w:t>
            </w:r>
            <w:r>
              <w:rPr>
                <w:spacing w:val="36"/>
                <w:sz w:val="24"/>
              </w:rPr>
              <w:t> </w:t>
            </w:r>
            <w:r>
              <w:rPr>
                <w:sz w:val="24"/>
              </w:rPr>
              <w:t>achats</w:t>
            </w:r>
          </w:p>
          <w:p>
            <w:pPr>
              <w:pStyle w:val="TableParagraph"/>
              <w:spacing w:line="264" w:lineRule="exact" w:before="3"/>
              <w:ind w:left="426"/>
              <w:rPr>
                <w:sz w:val="24"/>
              </w:rPr>
            </w:pPr>
            <w:r>
              <w:rPr>
                <w:sz w:val="24"/>
              </w:rPr>
              <w:t>réalisés.</w:t>
            </w:r>
          </w:p>
        </w:tc>
      </w:tr>
      <w:tr>
        <w:trPr>
          <w:trHeight w:val="931" w:hRule="atLeast"/>
        </w:trPr>
        <w:tc>
          <w:tcPr>
            <w:tcW w:w="1668" w:type="dxa"/>
            <w:tcBorders>
              <w:top w:val="single" w:sz="2" w:space="0" w:color="000000"/>
              <w:bottom w:val="single" w:sz="2" w:space="0" w:color="000000"/>
            </w:tcBorders>
          </w:tcPr>
          <w:p>
            <w:pPr>
              <w:pStyle w:val="TableParagraph"/>
              <w:spacing w:before="49"/>
              <w:ind w:left="107" w:right="523"/>
              <w:rPr>
                <w:b/>
                <w:sz w:val="24"/>
              </w:rPr>
            </w:pPr>
            <w:r>
              <w:rPr>
                <w:b/>
                <w:sz w:val="24"/>
              </w:rPr>
              <w:t>Quorum (présence</w:t>
            </w:r>
          </w:p>
          <w:p>
            <w:pPr>
              <w:pStyle w:val="TableParagraph"/>
              <w:ind w:left="107"/>
              <w:rPr>
                <w:b/>
                <w:sz w:val="24"/>
              </w:rPr>
            </w:pPr>
            <w:r>
              <w:rPr>
                <w:b/>
                <w:sz w:val="24"/>
              </w:rPr>
              <w:t>/signature)</w:t>
            </w:r>
          </w:p>
        </w:tc>
        <w:tc>
          <w:tcPr>
            <w:tcW w:w="7948" w:type="dxa"/>
            <w:tcBorders>
              <w:top w:val="single" w:sz="2" w:space="0" w:color="000000"/>
              <w:bottom w:val="single" w:sz="2" w:space="0" w:color="000000"/>
            </w:tcBorders>
          </w:tcPr>
          <w:p>
            <w:pPr>
              <w:pStyle w:val="TableParagraph"/>
              <w:spacing w:before="181"/>
              <w:ind w:left="109"/>
              <w:rPr>
                <w:sz w:val="24"/>
              </w:rPr>
            </w:pPr>
            <w:r>
              <w:rPr>
                <w:sz w:val="24"/>
              </w:rPr>
              <w:t>La CACC ne peut se réunir qu’en présence de la majorité de ses membres dont obligatoirement le président et le rapporteur</w:t>
            </w:r>
          </w:p>
        </w:tc>
      </w:tr>
      <w:tr>
        <w:trPr>
          <w:trHeight w:val="563" w:hRule="atLeast"/>
        </w:trPr>
        <w:tc>
          <w:tcPr>
            <w:tcW w:w="1668" w:type="dxa"/>
            <w:tcBorders>
              <w:top w:val="single" w:sz="2" w:space="0" w:color="000000"/>
            </w:tcBorders>
          </w:tcPr>
          <w:p>
            <w:pPr>
              <w:pStyle w:val="TableParagraph"/>
              <w:spacing w:before="140"/>
              <w:ind w:left="107"/>
              <w:rPr>
                <w:b/>
                <w:sz w:val="24"/>
              </w:rPr>
            </w:pPr>
            <w:r>
              <w:rPr>
                <w:b/>
                <w:sz w:val="24"/>
              </w:rPr>
              <w:t>Rapporteur</w:t>
            </w:r>
          </w:p>
        </w:tc>
        <w:tc>
          <w:tcPr>
            <w:tcW w:w="7948" w:type="dxa"/>
            <w:tcBorders>
              <w:top w:val="single" w:sz="2" w:space="0" w:color="000000"/>
            </w:tcBorders>
          </w:tcPr>
          <w:p>
            <w:pPr>
              <w:pStyle w:val="TableParagraph"/>
              <w:spacing w:before="136"/>
              <w:ind w:left="109"/>
              <w:rPr>
                <w:sz w:val="24"/>
              </w:rPr>
            </w:pPr>
            <w:r>
              <w:rPr>
                <w:sz w:val="24"/>
              </w:rPr>
              <w:t>Le Directeur de Contrôle des Cahiers des Charges</w:t>
            </w:r>
          </w:p>
        </w:tc>
      </w:tr>
    </w:tbl>
    <w:p>
      <w:pPr>
        <w:spacing w:after="0"/>
        <w:rPr>
          <w:sz w:val="24"/>
        </w:rPr>
        <w:sectPr>
          <w:headerReference w:type="default" r:id="rId13"/>
          <w:pgSz w:w="11910" w:h="16840"/>
          <w:pgMar w:header="722" w:footer="0" w:top="1860" w:bottom="280" w:left="700" w:right="380"/>
          <w:pgNumType w:start="2"/>
        </w:sectPr>
      </w:pPr>
    </w:p>
    <w:p>
      <w:pPr>
        <w:pStyle w:val="BodyText"/>
        <w:spacing w:before="8"/>
        <w:ind w:left="0" w:firstLine="0"/>
        <w:jc w:val="left"/>
        <w:rPr>
          <w:b/>
          <w:sz w:val="16"/>
        </w:rPr>
      </w:pPr>
    </w:p>
    <w:p>
      <w:pPr>
        <w:pStyle w:val="Heading2"/>
        <w:spacing w:line="276" w:lineRule="auto"/>
        <w:ind w:left="634" w:right="959"/>
        <w:jc w:val="center"/>
      </w:pPr>
      <w:bookmarkStart w:name="_TOC_250018" w:id="125"/>
      <w:bookmarkEnd w:id="125"/>
      <w:r>
        <w:rPr/>
        <w:t>Annexe n°2 : Fiche d’identification Commissions Régionales d’Ouverture des Offres des Achats hors marchés (CROOA Tunis, CROOA Gabes, CROOA Gafsa, CROOA Sfax)</w:t>
      </w:r>
    </w:p>
    <w:p>
      <w:pPr>
        <w:pStyle w:val="BodyText"/>
        <w:spacing w:before="1"/>
        <w:ind w:left="0" w:firstLine="0"/>
        <w:jc w:val="left"/>
        <w:rPr>
          <w:b/>
          <w:sz w:val="21"/>
        </w:rPr>
      </w:pPr>
    </w:p>
    <w:tbl>
      <w:tblPr>
        <w:tblW w:w="0" w:type="auto"/>
        <w:jc w:val="left"/>
        <w:tblInd w:w="54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19"/>
        <w:gridCol w:w="7658"/>
      </w:tblGrid>
      <w:tr>
        <w:trPr>
          <w:trHeight w:val="965" w:hRule="atLeast"/>
        </w:trPr>
        <w:tc>
          <w:tcPr>
            <w:tcW w:w="1819" w:type="dxa"/>
          </w:tcPr>
          <w:p>
            <w:pPr>
              <w:pStyle w:val="TableParagraph"/>
              <w:spacing w:before="204"/>
              <w:ind w:left="107" w:right="66"/>
              <w:rPr>
                <w:b/>
                <w:sz w:val="24"/>
              </w:rPr>
            </w:pPr>
            <w:r>
              <w:rPr>
                <w:b/>
                <w:w w:val="95"/>
                <w:sz w:val="24"/>
              </w:rPr>
              <w:t>Dénomination </w:t>
            </w:r>
            <w:r>
              <w:rPr>
                <w:b/>
                <w:sz w:val="24"/>
              </w:rPr>
              <w:t>de l’organe</w:t>
            </w:r>
          </w:p>
        </w:tc>
        <w:tc>
          <w:tcPr>
            <w:tcW w:w="7658" w:type="dxa"/>
          </w:tcPr>
          <w:p>
            <w:pPr>
              <w:pStyle w:val="TableParagraph"/>
              <w:spacing w:line="322" w:lineRule="exact" w:before="3"/>
              <w:ind w:left="107" w:right="61"/>
              <w:jc w:val="both"/>
              <w:rPr>
                <w:b/>
                <w:sz w:val="28"/>
              </w:rPr>
            </w:pPr>
            <w:r>
              <w:rPr>
                <w:b/>
                <w:sz w:val="28"/>
              </w:rPr>
              <w:t>Commissions Régionales d’Ouverture des Offres des Achats hors marchés (CROOA Tunis, CROOA Gabes, CROOA Gafsa, CROOA Sfax)</w:t>
            </w:r>
          </w:p>
        </w:tc>
      </w:tr>
      <w:tr>
        <w:trPr>
          <w:trHeight w:val="600" w:hRule="atLeast"/>
        </w:trPr>
        <w:tc>
          <w:tcPr>
            <w:tcW w:w="1819" w:type="dxa"/>
            <w:tcBorders>
              <w:bottom w:val="single" w:sz="2" w:space="0" w:color="000000"/>
            </w:tcBorders>
          </w:tcPr>
          <w:p>
            <w:pPr>
              <w:pStyle w:val="TableParagraph"/>
              <w:spacing w:before="158"/>
              <w:ind w:left="107"/>
              <w:rPr>
                <w:b/>
                <w:sz w:val="24"/>
              </w:rPr>
            </w:pPr>
            <w:r>
              <w:rPr>
                <w:b/>
                <w:sz w:val="24"/>
              </w:rPr>
              <w:t>Type</w:t>
            </w:r>
          </w:p>
        </w:tc>
        <w:tc>
          <w:tcPr>
            <w:tcW w:w="7658" w:type="dxa"/>
            <w:tcBorders>
              <w:bottom w:val="single" w:sz="2" w:space="0" w:color="000000"/>
            </w:tcBorders>
          </w:tcPr>
          <w:p>
            <w:pPr>
              <w:pStyle w:val="TableParagraph"/>
              <w:spacing w:before="153"/>
              <w:ind w:left="107"/>
              <w:rPr>
                <w:sz w:val="24"/>
              </w:rPr>
            </w:pPr>
            <w:r>
              <w:rPr>
                <w:sz w:val="24"/>
              </w:rPr>
              <w:t>Commissions internes permanentes</w:t>
            </w:r>
          </w:p>
        </w:tc>
      </w:tr>
      <w:tr>
        <w:trPr>
          <w:trHeight w:val="1792" w:hRule="atLeast"/>
        </w:trPr>
        <w:tc>
          <w:tcPr>
            <w:tcW w:w="1819" w:type="dxa"/>
            <w:tcBorders>
              <w:top w:val="single" w:sz="2" w:space="0" w:color="000000"/>
              <w:bottom w:val="single" w:sz="2" w:space="0" w:color="000000"/>
            </w:tcBorders>
          </w:tcPr>
          <w:p>
            <w:pPr>
              <w:pStyle w:val="TableParagraph"/>
              <w:rPr>
                <w:b/>
                <w:sz w:val="26"/>
              </w:rPr>
            </w:pPr>
          </w:p>
          <w:p>
            <w:pPr>
              <w:pStyle w:val="TableParagraph"/>
              <w:spacing w:before="8"/>
              <w:rPr>
                <w:b/>
                <w:sz w:val="27"/>
              </w:rPr>
            </w:pPr>
          </w:p>
          <w:p>
            <w:pPr>
              <w:pStyle w:val="TableParagraph"/>
              <w:ind w:left="107" w:right="380"/>
              <w:rPr>
                <w:b/>
                <w:sz w:val="24"/>
              </w:rPr>
            </w:pPr>
            <w:r>
              <w:rPr>
                <w:b/>
                <w:sz w:val="24"/>
              </w:rPr>
              <w:t>Compétence (mDT)</w:t>
            </w:r>
          </w:p>
        </w:tc>
        <w:tc>
          <w:tcPr>
            <w:tcW w:w="7658" w:type="dxa"/>
            <w:tcBorders>
              <w:top w:val="single" w:sz="2" w:space="0" w:color="000000"/>
              <w:bottom w:val="single" w:sz="2" w:space="0" w:color="000000"/>
            </w:tcBorders>
          </w:tcPr>
          <w:p>
            <w:pPr>
              <w:pStyle w:val="TableParagraph"/>
              <w:rPr>
                <w:b/>
                <w:sz w:val="27"/>
              </w:rPr>
            </w:pPr>
          </w:p>
          <w:p>
            <w:pPr>
              <w:pStyle w:val="TableParagraph"/>
              <w:ind w:left="116"/>
              <w:rPr>
                <w:sz w:val="24"/>
              </w:rPr>
            </w:pPr>
            <w:r>
              <w:rPr>
                <w:sz w:val="24"/>
              </w:rPr>
              <w:t>Achats hors matières premières :</w:t>
            </w:r>
          </w:p>
          <w:p>
            <w:pPr>
              <w:pStyle w:val="TableParagraph"/>
              <w:numPr>
                <w:ilvl w:val="0"/>
                <w:numId w:val="97"/>
              </w:numPr>
              <w:tabs>
                <w:tab w:pos="674" w:val="left" w:leader="none"/>
                <w:tab w:pos="675" w:val="left" w:leader="none"/>
              </w:tabs>
              <w:spacing w:line="293" w:lineRule="exact" w:before="2" w:after="0"/>
              <w:ind w:left="674" w:right="0" w:hanging="559"/>
              <w:jc w:val="left"/>
              <w:rPr>
                <w:sz w:val="24"/>
              </w:rPr>
            </w:pPr>
            <w:r>
              <w:rPr>
                <w:sz w:val="24"/>
              </w:rPr>
              <w:t>Travaux : (≥ 22 et &lt; 2000)</w:t>
            </w:r>
          </w:p>
          <w:p>
            <w:pPr>
              <w:pStyle w:val="TableParagraph"/>
              <w:numPr>
                <w:ilvl w:val="0"/>
                <w:numId w:val="97"/>
              </w:numPr>
              <w:tabs>
                <w:tab w:pos="674" w:val="left" w:leader="none"/>
                <w:tab w:pos="675" w:val="left" w:leader="none"/>
              </w:tabs>
              <w:spacing w:line="293" w:lineRule="exact" w:before="0" w:after="0"/>
              <w:ind w:left="674" w:right="0" w:hanging="559"/>
              <w:jc w:val="left"/>
              <w:rPr>
                <w:sz w:val="24"/>
              </w:rPr>
            </w:pPr>
            <w:r>
              <w:rPr>
                <w:sz w:val="24"/>
              </w:rPr>
              <w:t>Fourniture de biens, d’équipements et services : (≥ 22 et &lt;</w:t>
            </w:r>
            <w:r>
              <w:rPr>
                <w:spacing w:val="-4"/>
                <w:sz w:val="24"/>
              </w:rPr>
              <w:t> </w:t>
            </w:r>
            <w:r>
              <w:rPr>
                <w:sz w:val="24"/>
              </w:rPr>
              <w:t>2000)</w:t>
            </w:r>
          </w:p>
          <w:p>
            <w:pPr>
              <w:pStyle w:val="TableParagraph"/>
              <w:numPr>
                <w:ilvl w:val="0"/>
                <w:numId w:val="97"/>
              </w:numPr>
              <w:tabs>
                <w:tab w:pos="674" w:val="left" w:leader="none"/>
                <w:tab w:pos="675" w:val="left" w:leader="none"/>
              </w:tabs>
              <w:spacing w:line="293" w:lineRule="exact" w:before="0" w:after="0"/>
              <w:ind w:left="674" w:right="0" w:hanging="559"/>
              <w:jc w:val="left"/>
              <w:rPr>
                <w:sz w:val="24"/>
              </w:rPr>
            </w:pPr>
            <w:r>
              <w:rPr>
                <w:sz w:val="24"/>
              </w:rPr>
              <w:t>Etudes : (&lt; 222)</w:t>
            </w:r>
          </w:p>
        </w:tc>
      </w:tr>
      <w:tr>
        <w:trPr>
          <w:trHeight w:val="962" w:hRule="atLeast"/>
        </w:trPr>
        <w:tc>
          <w:tcPr>
            <w:tcW w:w="1819" w:type="dxa"/>
            <w:tcBorders>
              <w:top w:val="single" w:sz="2" w:space="0" w:color="000000"/>
              <w:bottom w:val="single" w:sz="4" w:space="0" w:color="000000"/>
            </w:tcBorders>
          </w:tcPr>
          <w:p>
            <w:pPr>
              <w:pStyle w:val="TableParagraph"/>
              <w:spacing w:before="8"/>
              <w:rPr>
                <w:b/>
                <w:sz w:val="29"/>
              </w:rPr>
            </w:pPr>
          </w:p>
          <w:p>
            <w:pPr>
              <w:pStyle w:val="TableParagraph"/>
              <w:ind w:left="107"/>
              <w:rPr>
                <w:b/>
                <w:sz w:val="24"/>
              </w:rPr>
            </w:pPr>
            <w:r>
              <w:rPr>
                <w:b/>
                <w:sz w:val="24"/>
              </w:rPr>
              <w:t>Désignation</w:t>
            </w:r>
          </w:p>
        </w:tc>
        <w:tc>
          <w:tcPr>
            <w:tcW w:w="7658" w:type="dxa"/>
            <w:tcBorders>
              <w:top w:val="single" w:sz="2" w:space="0" w:color="000000"/>
              <w:bottom w:val="single" w:sz="2" w:space="0" w:color="000000"/>
            </w:tcBorders>
          </w:tcPr>
          <w:p>
            <w:pPr>
              <w:pStyle w:val="TableParagraph"/>
              <w:spacing w:before="198"/>
              <w:ind w:left="116"/>
              <w:rPr>
                <w:sz w:val="24"/>
              </w:rPr>
            </w:pPr>
            <w:r>
              <w:rPr>
                <w:sz w:val="24"/>
              </w:rPr>
              <w:t>Désignées par une note organisationnelle émise par la Direction Générale du GCT</w:t>
            </w:r>
          </w:p>
        </w:tc>
      </w:tr>
      <w:tr>
        <w:trPr>
          <w:trHeight w:val="830" w:hRule="atLeast"/>
        </w:trPr>
        <w:tc>
          <w:tcPr>
            <w:tcW w:w="1819" w:type="dxa"/>
            <w:tcBorders>
              <w:top w:val="single" w:sz="4" w:space="0" w:color="000000"/>
              <w:bottom w:val="single" w:sz="4" w:space="0" w:color="000000"/>
            </w:tcBorders>
          </w:tcPr>
          <w:p>
            <w:pPr>
              <w:pStyle w:val="TableParagraph"/>
              <w:spacing w:before="1"/>
              <w:rPr>
                <w:b/>
                <w:sz w:val="24"/>
              </w:rPr>
            </w:pPr>
          </w:p>
          <w:p>
            <w:pPr>
              <w:pStyle w:val="TableParagraph"/>
              <w:ind w:left="107"/>
              <w:rPr>
                <w:b/>
                <w:sz w:val="24"/>
              </w:rPr>
            </w:pPr>
            <w:r>
              <w:rPr>
                <w:b/>
                <w:sz w:val="24"/>
              </w:rPr>
              <w:t>Composition</w:t>
            </w:r>
          </w:p>
        </w:tc>
        <w:tc>
          <w:tcPr>
            <w:tcW w:w="7658" w:type="dxa"/>
            <w:tcBorders>
              <w:top w:val="single" w:sz="2" w:space="0" w:color="000000"/>
              <w:bottom w:val="single" w:sz="2" w:space="0" w:color="000000"/>
            </w:tcBorders>
          </w:tcPr>
          <w:p>
            <w:pPr>
              <w:pStyle w:val="TableParagraph"/>
              <w:spacing w:line="273" w:lineRule="exact"/>
              <w:ind w:left="116"/>
              <w:rPr>
                <w:sz w:val="24"/>
              </w:rPr>
            </w:pPr>
            <w:r>
              <w:rPr>
                <w:sz w:val="24"/>
              </w:rPr>
              <w:t>La Commission Régionale d’Ouverture des Offres se compose de :</w:t>
            </w:r>
          </w:p>
          <w:p>
            <w:pPr>
              <w:pStyle w:val="TableParagraph"/>
              <w:numPr>
                <w:ilvl w:val="0"/>
                <w:numId w:val="98"/>
              </w:numPr>
              <w:tabs>
                <w:tab w:pos="458" w:val="left" w:leader="none"/>
                <w:tab w:pos="459" w:val="left" w:leader="none"/>
              </w:tabs>
              <w:spacing w:line="240" w:lineRule="auto" w:before="0" w:after="0"/>
              <w:ind w:left="458" w:right="0" w:hanging="284"/>
              <w:jc w:val="left"/>
              <w:rPr>
                <w:sz w:val="24"/>
              </w:rPr>
            </w:pPr>
            <w:r>
              <w:rPr>
                <w:sz w:val="24"/>
              </w:rPr>
              <w:t>Un</w:t>
            </w:r>
            <w:r>
              <w:rPr>
                <w:spacing w:val="-2"/>
                <w:sz w:val="24"/>
              </w:rPr>
              <w:t> </w:t>
            </w:r>
            <w:r>
              <w:rPr>
                <w:sz w:val="24"/>
              </w:rPr>
              <w:t>président</w:t>
            </w:r>
          </w:p>
          <w:p>
            <w:pPr>
              <w:pStyle w:val="TableParagraph"/>
              <w:numPr>
                <w:ilvl w:val="0"/>
                <w:numId w:val="98"/>
              </w:numPr>
              <w:tabs>
                <w:tab w:pos="458" w:val="left" w:leader="none"/>
                <w:tab w:pos="459" w:val="left" w:leader="none"/>
              </w:tabs>
              <w:spacing w:line="261" w:lineRule="exact" w:before="0" w:after="0"/>
              <w:ind w:left="458" w:right="0" w:hanging="284"/>
              <w:jc w:val="left"/>
              <w:rPr>
                <w:sz w:val="24"/>
              </w:rPr>
            </w:pPr>
            <w:r>
              <w:rPr>
                <w:sz w:val="24"/>
              </w:rPr>
              <w:t>Deux</w:t>
            </w:r>
            <w:r>
              <w:rPr>
                <w:spacing w:val="1"/>
                <w:sz w:val="24"/>
              </w:rPr>
              <w:t> </w:t>
            </w:r>
            <w:r>
              <w:rPr>
                <w:sz w:val="24"/>
              </w:rPr>
              <w:t>membres</w:t>
            </w:r>
          </w:p>
        </w:tc>
      </w:tr>
      <w:tr>
        <w:trPr>
          <w:trHeight w:val="1139" w:hRule="atLeast"/>
        </w:trPr>
        <w:tc>
          <w:tcPr>
            <w:tcW w:w="1819" w:type="dxa"/>
            <w:tcBorders>
              <w:top w:val="single" w:sz="4" w:space="0" w:color="000000"/>
              <w:bottom w:val="single" w:sz="2" w:space="0" w:color="000000"/>
            </w:tcBorders>
          </w:tcPr>
          <w:p>
            <w:pPr>
              <w:pStyle w:val="TableParagraph"/>
              <w:spacing w:before="3"/>
              <w:rPr>
                <w:b/>
                <w:sz w:val="37"/>
              </w:rPr>
            </w:pPr>
          </w:p>
          <w:p>
            <w:pPr>
              <w:pStyle w:val="TableParagraph"/>
              <w:ind w:left="107"/>
              <w:rPr>
                <w:b/>
                <w:sz w:val="24"/>
              </w:rPr>
            </w:pPr>
            <w:r>
              <w:rPr>
                <w:b/>
                <w:sz w:val="24"/>
              </w:rPr>
              <w:t>Attributions</w:t>
            </w:r>
          </w:p>
        </w:tc>
        <w:tc>
          <w:tcPr>
            <w:tcW w:w="7658" w:type="dxa"/>
            <w:tcBorders>
              <w:top w:val="single" w:sz="2" w:space="0" w:color="000000"/>
              <w:bottom w:val="single" w:sz="2" w:space="0" w:color="000000"/>
            </w:tcBorders>
          </w:tcPr>
          <w:p>
            <w:pPr>
              <w:pStyle w:val="TableParagraph"/>
              <w:numPr>
                <w:ilvl w:val="0"/>
                <w:numId w:val="99"/>
              </w:numPr>
              <w:tabs>
                <w:tab w:pos="425" w:val="left" w:leader="none"/>
              </w:tabs>
              <w:spacing w:line="237" w:lineRule="auto" w:before="0" w:after="0"/>
              <w:ind w:left="424" w:right="63" w:hanging="284"/>
              <w:jc w:val="both"/>
              <w:rPr>
                <w:sz w:val="24"/>
              </w:rPr>
            </w:pPr>
            <w:r>
              <w:rPr>
                <w:sz w:val="24"/>
              </w:rPr>
              <w:t>Ouvrir les offres pour les achats hors marchés relevant des compétences des Commissions des Achats Régionales et de la Commission des Achats de l’Entreprise</w:t>
            </w:r>
            <w:r>
              <w:rPr>
                <w:spacing w:val="-4"/>
                <w:sz w:val="24"/>
              </w:rPr>
              <w:t> </w:t>
            </w:r>
            <w:r>
              <w:rPr>
                <w:sz w:val="24"/>
              </w:rPr>
              <w:t>;</w:t>
            </w:r>
          </w:p>
          <w:p>
            <w:pPr>
              <w:pStyle w:val="TableParagraph"/>
              <w:numPr>
                <w:ilvl w:val="0"/>
                <w:numId w:val="99"/>
              </w:numPr>
              <w:tabs>
                <w:tab w:pos="425" w:val="left" w:leader="none"/>
              </w:tabs>
              <w:spacing w:line="279" w:lineRule="exact" w:before="3" w:after="0"/>
              <w:ind w:left="424" w:right="0" w:hanging="285"/>
              <w:jc w:val="both"/>
              <w:rPr>
                <w:sz w:val="24"/>
              </w:rPr>
            </w:pPr>
            <w:r>
              <w:rPr>
                <w:sz w:val="24"/>
              </w:rPr>
              <w:t>Dresser le PV d’ouverture des</w:t>
            </w:r>
            <w:r>
              <w:rPr>
                <w:spacing w:val="-7"/>
                <w:sz w:val="24"/>
              </w:rPr>
              <w:t> </w:t>
            </w:r>
            <w:r>
              <w:rPr>
                <w:sz w:val="24"/>
              </w:rPr>
              <w:t>offres.</w:t>
            </w:r>
          </w:p>
        </w:tc>
      </w:tr>
      <w:tr>
        <w:trPr>
          <w:trHeight w:val="827" w:hRule="atLeast"/>
        </w:trPr>
        <w:tc>
          <w:tcPr>
            <w:tcW w:w="1819" w:type="dxa"/>
            <w:tcBorders>
              <w:top w:val="single" w:sz="2" w:space="0" w:color="000000"/>
              <w:bottom w:val="single" w:sz="2" w:space="0" w:color="000000"/>
            </w:tcBorders>
          </w:tcPr>
          <w:p>
            <w:pPr>
              <w:pStyle w:val="TableParagraph"/>
              <w:ind w:left="107" w:right="674"/>
              <w:rPr>
                <w:b/>
                <w:sz w:val="24"/>
              </w:rPr>
            </w:pPr>
            <w:r>
              <w:rPr>
                <w:b/>
                <w:sz w:val="24"/>
              </w:rPr>
              <w:t>Quorum (présence</w:t>
            </w:r>
          </w:p>
          <w:p>
            <w:pPr>
              <w:pStyle w:val="TableParagraph"/>
              <w:spacing w:line="259" w:lineRule="exact"/>
              <w:ind w:left="107"/>
              <w:rPr>
                <w:b/>
                <w:sz w:val="24"/>
              </w:rPr>
            </w:pPr>
            <w:r>
              <w:rPr>
                <w:b/>
                <w:sz w:val="24"/>
              </w:rPr>
              <w:t>/signature)</w:t>
            </w:r>
          </w:p>
        </w:tc>
        <w:tc>
          <w:tcPr>
            <w:tcW w:w="7658" w:type="dxa"/>
            <w:tcBorders>
              <w:top w:val="single" w:sz="2" w:space="0" w:color="000000"/>
              <w:bottom w:val="single" w:sz="2" w:space="0" w:color="000000"/>
            </w:tcBorders>
          </w:tcPr>
          <w:p>
            <w:pPr>
              <w:pStyle w:val="TableParagraph"/>
              <w:spacing w:before="131"/>
              <w:ind w:left="107"/>
              <w:rPr>
                <w:sz w:val="24"/>
              </w:rPr>
            </w:pPr>
            <w:r>
              <w:rPr>
                <w:sz w:val="24"/>
              </w:rPr>
              <w:t>La CROOA ne peut se réunir qu’en présence de la majorité de ses membres dont obligatoirement son président</w:t>
            </w:r>
          </w:p>
        </w:tc>
      </w:tr>
      <w:tr>
        <w:trPr>
          <w:trHeight w:val="827" w:hRule="atLeast"/>
        </w:trPr>
        <w:tc>
          <w:tcPr>
            <w:tcW w:w="1819" w:type="dxa"/>
            <w:tcBorders>
              <w:top w:val="single" w:sz="2" w:space="0" w:color="000000"/>
            </w:tcBorders>
          </w:tcPr>
          <w:p>
            <w:pPr>
              <w:pStyle w:val="TableParagraph"/>
              <w:spacing w:before="8"/>
              <w:rPr>
                <w:b/>
                <w:sz w:val="23"/>
              </w:rPr>
            </w:pPr>
          </w:p>
          <w:p>
            <w:pPr>
              <w:pStyle w:val="TableParagraph"/>
              <w:ind w:left="107"/>
              <w:rPr>
                <w:b/>
                <w:sz w:val="24"/>
              </w:rPr>
            </w:pPr>
            <w:r>
              <w:rPr>
                <w:b/>
                <w:sz w:val="24"/>
              </w:rPr>
              <w:t>Rapporteur</w:t>
            </w:r>
          </w:p>
        </w:tc>
        <w:tc>
          <w:tcPr>
            <w:tcW w:w="7658" w:type="dxa"/>
            <w:tcBorders>
              <w:top w:val="single" w:sz="2" w:space="0" w:color="000000"/>
            </w:tcBorders>
          </w:tcPr>
          <w:p>
            <w:pPr>
              <w:pStyle w:val="TableParagraph"/>
              <w:spacing w:line="268" w:lineRule="exact"/>
              <w:ind w:left="107"/>
              <w:rPr>
                <w:sz w:val="24"/>
              </w:rPr>
            </w:pPr>
            <w:r>
              <w:rPr>
                <w:sz w:val="24"/>
              </w:rPr>
              <w:t>Le SPCM pour les CROOA Tunis</w:t>
            </w:r>
          </w:p>
          <w:p>
            <w:pPr>
              <w:pStyle w:val="TableParagraph"/>
              <w:spacing w:line="270" w:lineRule="atLeast"/>
              <w:ind w:left="107"/>
              <w:rPr>
                <w:sz w:val="24"/>
              </w:rPr>
            </w:pPr>
            <w:r>
              <w:rPr>
                <w:sz w:val="24"/>
              </w:rPr>
              <w:t>La structure juridique de la région concernée pour les commissions CROOA Gabes, CROOA Gafsa et CROOA Sfax</w:t>
            </w:r>
          </w:p>
        </w:tc>
      </w:tr>
    </w:tbl>
    <w:p>
      <w:pPr>
        <w:spacing w:after="0" w:line="270" w:lineRule="atLeast"/>
        <w:rPr>
          <w:sz w:val="24"/>
        </w:rPr>
        <w:sectPr>
          <w:pgSz w:w="11910" w:h="16840"/>
          <w:pgMar w:header="722" w:footer="0" w:top="1860" w:bottom="280" w:left="700" w:right="380"/>
        </w:sectPr>
      </w:pPr>
    </w:p>
    <w:p>
      <w:pPr>
        <w:pStyle w:val="BodyText"/>
        <w:spacing w:before="8"/>
        <w:ind w:left="0" w:firstLine="0"/>
        <w:jc w:val="left"/>
        <w:rPr>
          <w:b/>
          <w:sz w:val="16"/>
        </w:rPr>
      </w:pPr>
    </w:p>
    <w:p>
      <w:pPr>
        <w:pStyle w:val="Heading2"/>
        <w:spacing w:line="276" w:lineRule="auto"/>
        <w:ind w:left="634" w:right="959"/>
        <w:jc w:val="center"/>
      </w:pPr>
      <w:bookmarkStart w:name="_TOC_250017" w:id="126"/>
      <w:bookmarkEnd w:id="126"/>
      <w:r>
        <w:rPr/>
        <w:t>Annexe n°3 : Fiche d’identification Commissions Régionales d’Ouverture des Offres des Marchés (CROOM Tunis, CROOM Gabes, CROOM Gafsa, CROOM Sfax)</w:t>
      </w:r>
    </w:p>
    <w:p>
      <w:pPr>
        <w:pStyle w:val="BodyText"/>
        <w:spacing w:before="1"/>
        <w:ind w:left="0" w:firstLine="0"/>
        <w:jc w:val="left"/>
        <w:rPr>
          <w:b/>
          <w:sz w:val="21"/>
        </w:rPr>
      </w:pPr>
    </w:p>
    <w:tbl>
      <w:tblPr>
        <w:tblW w:w="0" w:type="auto"/>
        <w:jc w:val="left"/>
        <w:tblInd w:w="54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961"/>
        <w:gridCol w:w="7516"/>
      </w:tblGrid>
      <w:tr>
        <w:trPr>
          <w:trHeight w:val="965" w:hRule="atLeast"/>
        </w:trPr>
        <w:tc>
          <w:tcPr>
            <w:tcW w:w="1961" w:type="dxa"/>
          </w:tcPr>
          <w:p>
            <w:pPr>
              <w:pStyle w:val="TableParagraph"/>
              <w:spacing w:before="204"/>
              <w:ind w:left="107"/>
              <w:rPr>
                <w:b/>
                <w:sz w:val="24"/>
              </w:rPr>
            </w:pPr>
            <w:r>
              <w:rPr>
                <w:b/>
                <w:sz w:val="24"/>
              </w:rPr>
              <w:t>Dénomination de l’organe</w:t>
            </w:r>
          </w:p>
        </w:tc>
        <w:tc>
          <w:tcPr>
            <w:tcW w:w="7516" w:type="dxa"/>
          </w:tcPr>
          <w:p>
            <w:pPr>
              <w:pStyle w:val="TableParagraph"/>
              <w:spacing w:line="322" w:lineRule="exact" w:before="3"/>
              <w:ind w:left="107" w:right="63"/>
              <w:jc w:val="both"/>
              <w:rPr>
                <w:b/>
                <w:sz w:val="28"/>
              </w:rPr>
            </w:pPr>
            <w:r>
              <w:rPr>
                <w:b/>
                <w:sz w:val="28"/>
              </w:rPr>
              <w:t>Commissions</w:t>
            </w:r>
            <w:r>
              <w:rPr>
                <w:b/>
                <w:spacing w:val="-20"/>
                <w:sz w:val="28"/>
              </w:rPr>
              <w:t> </w:t>
            </w:r>
            <w:r>
              <w:rPr>
                <w:b/>
                <w:sz w:val="28"/>
              </w:rPr>
              <w:t>Régionales</w:t>
            </w:r>
            <w:r>
              <w:rPr>
                <w:b/>
                <w:spacing w:val="-19"/>
                <w:sz w:val="28"/>
              </w:rPr>
              <w:t> </w:t>
            </w:r>
            <w:r>
              <w:rPr>
                <w:b/>
                <w:sz w:val="28"/>
              </w:rPr>
              <w:t>d’Ouverture</w:t>
            </w:r>
            <w:r>
              <w:rPr>
                <w:b/>
                <w:spacing w:val="-20"/>
                <w:sz w:val="28"/>
              </w:rPr>
              <w:t> </w:t>
            </w:r>
            <w:r>
              <w:rPr>
                <w:b/>
                <w:sz w:val="28"/>
              </w:rPr>
              <w:t>des</w:t>
            </w:r>
            <w:r>
              <w:rPr>
                <w:b/>
                <w:spacing w:val="-19"/>
                <w:sz w:val="28"/>
              </w:rPr>
              <w:t> </w:t>
            </w:r>
            <w:r>
              <w:rPr>
                <w:b/>
                <w:sz w:val="28"/>
              </w:rPr>
              <w:t>Offres</w:t>
            </w:r>
            <w:r>
              <w:rPr>
                <w:b/>
                <w:spacing w:val="-16"/>
                <w:sz w:val="28"/>
              </w:rPr>
              <w:t> </w:t>
            </w:r>
            <w:r>
              <w:rPr>
                <w:b/>
                <w:sz w:val="28"/>
              </w:rPr>
              <w:t>des</w:t>
            </w:r>
            <w:r>
              <w:rPr>
                <w:b/>
                <w:spacing w:val="-19"/>
                <w:sz w:val="28"/>
              </w:rPr>
              <w:t> </w:t>
            </w:r>
            <w:r>
              <w:rPr>
                <w:b/>
                <w:sz w:val="28"/>
              </w:rPr>
              <w:t>Marchés (CROOM Tunis, CROOM Gabes, CROOM Gafsa, CROOM Sfax)</w:t>
            </w:r>
          </w:p>
        </w:tc>
      </w:tr>
      <w:tr>
        <w:trPr>
          <w:trHeight w:val="600" w:hRule="atLeast"/>
        </w:trPr>
        <w:tc>
          <w:tcPr>
            <w:tcW w:w="1961" w:type="dxa"/>
            <w:tcBorders>
              <w:bottom w:val="single" w:sz="2" w:space="0" w:color="000000"/>
            </w:tcBorders>
          </w:tcPr>
          <w:p>
            <w:pPr>
              <w:pStyle w:val="TableParagraph"/>
              <w:spacing w:before="158"/>
              <w:ind w:left="107"/>
              <w:rPr>
                <w:b/>
                <w:sz w:val="24"/>
              </w:rPr>
            </w:pPr>
            <w:r>
              <w:rPr>
                <w:b/>
                <w:sz w:val="24"/>
              </w:rPr>
              <w:t>Type</w:t>
            </w:r>
          </w:p>
        </w:tc>
        <w:tc>
          <w:tcPr>
            <w:tcW w:w="7516" w:type="dxa"/>
            <w:tcBorders>
              <w:bottom w:val="single" w:sz="2" w:space="0" w:color="000000"/>
            </w:tcBorders>
          </w:tcPr>
          <w:p>
            <w:pPr>
              <w:pStyle w:val="TableParagraph"/>
              <w:spacing w:before="153"/>
              <w:ind w:left="107"/>
              <w:rPr>
                <w:sz w:val="24"/>
              </w:rPr>
            </w:pPr>
            <w:r>
              <w:rPr>
                <w:sz w:val="24"/>
              </w:rPr>
              <w:t>Commissions internes permanentes</w:t>
            </w:r>
          </w:p>
        </w:tc>
      </w:tr>
      <w:tr>
        <w:trPr>
          <w:trHeight w:val="1792" w:hRule="atLeast"/>
        </w:trPr>
        <w:tc>
          <w:tcPr>
            <w:tcW w:w="1961" w:type="dxa"/>
            <w:tcBorders>
              <w:top w:val="single" w:sz="2" w:space="0" w:color="000000"/>
              <w:bottom w:val="single" w:sz="2" w:space="0" w:color="000000"/>
            </w:tcBorders>
          </w:tcPr>
          <w:p>
            <w:pPr>
              <w:pStyle w:val="TableParagraph"/>
              <w:rPr>
                <w:b/>
                <w:sz w:val="26"/>
              </w:rPr>
            </w:pPr>
          </w:p>
          <w:p>
            <w:pPr>
              <w:pStyle w:val="TableParagraph"/>
              <w:spacing w:before="8"/>
              <w:rPr>
                <w:b/>
                <w:sz w:val="27"/>
              </w:rPr>
            </w:pPr>
          </w:p>
          <w:p>
            <w:pPr>
              <w:pStyle w:val="TableParagraph"/>
              <w:ind w:left="107" w:right="522"/>
              <w:rPr>
                <w:b/>
                <w:sz w:val="24"/>
              </w:rPr>
            </w:pPr>
            <w:r>
              <w:rPr>
                <w:b/>
                <w:sz w:val="24"/>
              </w:rPr>
              <w:t>Compétence (mDT)</w:t>
            </w:r>
          </w:p>
        </w:tc>
        <w:tc>
          <w:tcPr>
            <w:tcW w:w="7516" w:type="dxa"/>
            <w:tcBorders>
              <w:top w:val="single" w:sz="2" w:space="0" w:color="000000"/>
              <w:bottom w:val="single" w:sz="2" w:space="0" w:color="000000"/>
            </w:tcBorders>
          </w:tcPr>
          <w:p>
            <w:pPr>
              <w:pStyle w:val="TableParagraph"/>
              <w:numPr>
                <w:ilvl w:val="0"/>
                <w:numId w:val="100"/>
              </w:numPr>
              <w:tabs>
                <w:tab w:pos="425" w:val="left" w:leader="none"/>
              </w:tabs>
              <w:spacing w:line="292" w:lineRule="exact" w:before="46" w:after="0"/>
              <w:ind w:left="424" w:right="0" w:hanging="284"/>
              <w:jc w:val="left"/>
              <w:rPr>
                <w:sz w:val="24"/>
              </w:rPr>
            </w:pPr>
            <w:r>
              <w:rPr>
                <w:sz w:val="24"/>
              </w:rPr>
              <w:t>Marchés hors matières premières</w:t>
            </w:r>
            <w:r>
              <w:rPr>
                <w:spacing w:val="1"/>
                <w:sz w:val="24"/>
              </w:rPr>
              <w:t> </w:t>
            </w:r>
            <w:r>
              <w:rPr>
                <w:sz w:val="24"/>
              </w:rPr>
              <w:t>:</w:t>
            </w:r>
          </w:p>
          <w:p>
            <w:pPr>
              <w:pStyle w:val="TableParagraph"/>
              <w:tabs>
                <w:tab w:pos="836" w:val="left" w:leader="none"/>
              </w:tabs>
              <w:spacing w:line="274" w:lineRule="exact"/>
              <w:ind w:left="477"/>
              <w:rPr>
                <w:sz w:val="24"/>
              </w:rPr>
            </w:pPr>
            <w:r>
              <w:rPr>
                <w:sz w:val="24"/>
              </w:rPr>
              <w:t>-</w:t>
              <w:tab/>
              <w:t>Travaux : (≥</w:t>
            </w:r>
            <w:r>
              <w:rPr>
                <w:spacing w:val="1"/>
                <w:sz w:val="24"/>
              </w:rPr>
              <w:t> </w:t>
            </w:r>
            <w:r>
              <w:rPr>
                <w:sz w:val="24"/>
              </w:rPr>
              <w:t>2000)</w:t>
            </w:r>
          </w:p>
          <w:p>
            <w:pPr>
              <w:pStyle w:val="TableParagraph"/>
              <w:tabs>
                <w:tab w:pos="836" w:val="left" w:leader="none"/>
              </w:tabs>
              <w:ind w:left="477"/>
              <w:rPr>
                <w:sz w:val="24"/>
              </w:rPr>
            </w:pPr>
            <w:r>
              <w:rPr>
                <w:sz w:val="24"/>
              </w:rPr>
              <w:t>-</w:t>
              <w:tab/>
              <w:t>Fourniture de biens, d’équipements et services : (≥</w:t>
            </w:r>
            <w:r>
              <w:rPr>
                <w:spacing w:val="-2"/>
                <w:sz w:val="24"/>
              </w:rPr>
              <w:t> </w:t>
            </w:r>
            <w:r>
              <w:rPr>
                <w:sz w:val="24"/>
              </w:rPr>
              <w:t>2000)</w:t>
            </w:r>
          </w:p>
          <w:p>
            <w:pPr>
              <w:pStyle w:val="TableParagraph"/>
              <w:tabs>
                <w:tab w:pos="836" w:val="left" w:leader="none"/>
              </w:tabs>
              <w:ind w:left="477"/>
              <w:rPr>
                <w:sz w:val="24"/>
              </w:rPr>
            </w:pPr>
            <w:r>
              <w:rPr>
                <w:sz w:val="24"/>
              </w:rPr>
              <w:t>-</w:t>
              <w:tab/>
              <w:t>Etudes : (≥</w:t>
            </w:r>
            <w:r>
              <w:rPr>
                <w:spacing w:val="-1"/>
                <w:sz w:val="24"/>
              </w:rPr>
              <w:t> </w:t>
            </w:r>
            <w:r>
              <w:rPr>
                <w:sz w:val="24"/>
              </w:rPr>
              <w:t>200)</w:t>
            </w:r>
          </w:p>
          <w:p>
            <w:pPr>
              <w:pStyle w:val="TableParagraph"/>
              <w:numPr>
                <w:ilvl w:val="0"/>
                <w:numId w:val="100"/>
              </w:numPr>
              <w:tabs>
                <w:tab w:pos="425" w:val="left" w:leader="none"/>
              </w:tabs>
              <w:spacing w:line="237" w:lineRule="auto" w:before="5" w:after="0"/>
              <w:ind w:left="424" w:right="66" w:hanging="284"/>
              <w:jc w:val="left"/>
              <w:rPr>
                <w:sz w:val="24"/>
              </w:rPr>
            </w:pPr>
            <w:r>
              <w:rPr>
                <w:sz w:val="24"/>
              </w:rPr>
              <w:t>Marchés</w:t>
            </w:r>
            <w:r>
              <w:rPr>
                <w:spacing w:val="-12"/>
                <w:sz w:val="24"/>
              </w:rPr>
              <w:t> </w:t>
            </w:r>
            <w:r>
              <w:rPr>
                <w:sz w:val="24"/>
              </w:rPr>
              <w:t>d’acide</w:t>
            </w:r>
            <w:r>
              <w:rPr>
                <w:spacing w:val="-12"/>
                <w:sz w:val="24"/>
              </w:rPr>
              <w:t> </w:t>
            </w:r>
            <w:r>
              <w:rPr>
                <w:sz w:val="24"/>
              </w:rPr>
              <w:t>sulfurique</w:t>
            </w:r>
            <w:r>
              <w:rPr>
                <w:spacing w:val="-12"/>
                <w:sz w:val="24"/>
              </w:rPr>
              <w:t> </w:t>
            </w:r>
            <w:r>
              <w:rPr>
                <w:sz w:val="24"/>
              </w:rPr>
              <w:t>et</w:t>
            </w:r>
            <w:r>
              <w:rPr>
                <w:spacing w:val="-11"/>
                <w:sz w:val="24"/>
              </w:rPr>
              <w:t> </w:t>
            </w:r>
            <w:r>
              <w:rPr>
                <w:sz w:val="24"/>
              </w:rPr>
              <w:t>des</w:t>
            </w:r>
            <w:r>
              <w:rPr>
                <w:spacing w:val="-10"/>
                <w:sz w:val="24"/>
              </w:rPr>
              <w:t> </w:t>
            </w:r>
            <w:r>
              <w:rPr>
                <w:sz w:val="24"/>
              </w:rPr>
              <w:t>produits</w:t>
            </w:r>
            <w:r>
              <w:rPr>
                <w:spacing w:val="-11"/>
                <w:sz w:val="24"/>
              </w:rPr>
              <w:t> </w:t>
            </w:r>
            <w:r>
              <w:rPr>
                <w:sz w:val="24"/>
              </w:rPr>
              <w:t>destinés</w:t>
            </w:r>
            <w:r>
              <w:rPr>
                <w:spacing w:val="-11"/>
                <w:sz w:val="24"/>
              </w:rPr>
              <w:t> </w:t>
            </w:r>
            <w:r>
              <w:rPr>
                <w:sz w:val="24"/>
              </w:rPr>
              <w:t>à</w:t>
            </w:r>
            <w:r>
              <w:rPr>
                <w:spacing w:val="-12"/>
                <w:sz w:val="24"/>
              </w:rPr>
              <w:t> </w:t>
            </w:r>
            <w:r>
              <w:rPr>
                <w:sz w:val="24"/>
              </w:rPr>
              <w:t>être</w:t>
            </w:r>
            <w:r>
              <w:rPr>
                <w:spacing w:val="-12"/>
                <w:sz w:val="24"/>
              </w:rPr>
              <w:t> </w:t>
            </w:r>
            <w:r>
              <w:rPr>
                <w:sz w:val="24"/>
              </w:rPr>
              <w:t>vendus</w:t>
            </w:r>
            <w:r>
              <w:rPr>
                <w:spacing w:val="-12"/>
                <w:sz w:val="24"/>
              </w:rPr>
              <w:t> </w:t>
            </w:r>
            <w:r>
              <w:rPr>
                <w:sz w:val="24"/>
              </w:rPr>
              <w:t>en</w:t>
            </w:r>
            <w:r>
              <w:rPr>
                <w:spacing w:val="-11"/>
                <w:sz w:val="24"/>
              </w:rPr>
              <w:t> </w:t>
            </w:r>
            <w:r>
              <w:rPr>
                <w:sz w:val="24"/>
              </w:rPr>
              <w:t>l’état ou conditionnés : tous les</w:t>
            </w:r>
            <w:r>
              <w:rPr>
                <w:spacing w:val="-1"/>
                <w:sz w:val="24"/>
              </w:rPr>
              <w:t> </w:t>
            </w:r>
            <w:r>
              <w:rPr>
                <w:sz w:val="24"/>
              </w:rPr>
              <w:t>seuils</w:t>
            </w:r>
          </w:p>
        </w:tc>
      </w:tr>
      <w:tr>
        <w:trPr>
          <w:trHeight w:val="962" w:hRule="atLeast"/>
        </w:trPr>
        <w:tc>
          <w:tcPr>
            <w:tcW w:w="1961" w:type="dxa"/>
            <w:tcBorders>
              <w:top w:val="single" w:sz="2" w:space="0" w:color="000000"/>
              <w:bottom w:val="single" w:sz="4" w:space="0" w:color="000000"/>
            </w:tcBorders>
          </w:tcPr>
          <w:p>
            <w:pPr>
              <w:pStyle w:val="TableParagraph"/>
              <w:spacing w:before="8"/>
              <w:rPr>
                <w:b/>
                <w:sz w:val="29"/>
              </w:rPr>
            </w:pPr>
          </w:p>
          <w:p>
            <w:pPr>
              <w:pStyle w:val="TableParagraph"/>
              <w:ind w:left="107"/>
              <w:rPr>
                <w:b/>
                <w:sz w:val="24"/>
              </w:rPr>
            </w:pPr>
            <w:r>
              <w:rPr>
                <w:b/>
                <w:sz w:val="24"/>
              </w:rPr>
              <w:t>Désignation</w:t>
            </w:r>
          </w:p>
        </w:tc>
        <w:tc>
          <w:tcPr>
            <w:tcW w:w="7516" w:type="dxa"/>
            <w:tcBorders>
              <w:top w:val="single" w:sz="2" w:space="0" w:color="000000"/>
              <w:bottom w:val="single" w:sz="2" w:space="0" w:color="000000"/>
            </w:tcBorders>
          </w:tcPr>
          <w:p>
            <w:pPr>
              <w:pStyle w:val="TableParagraph"/>
              <w:spacing w:before="198"/>
              <w:ind w:left="117" w:right="57"/>
              <w:rPr>
                <w:sz w:val="24"/>
              </w:rPr>
            </w:pPr>
            <w:r>
              <w:rPr>
                <w:sz w:val="24"/>
              </w:rPr>
              <w:t>Désignées</w:t>
            </w:r>
            <w:r>
              <w:rPr>
                <w:spacing w:val="-8"/>
                <w:sz w:val="24"/>
              </w:rPr>
              <w:t> </w:t>
            </w:r>
            <w:r>
              <w:rPr>
                <w:sz w:val="24"/>
              </w:rPr>
              <w:t>par</w:t>
            </w:r>
            <w:r>
              <w:rPr>
                <w:spacing w:val="-8"/>
                <w:sz w:val="24"/>
              </w:rPr>
              <w:t> </w:t>
            </w:r>
            <w:r>
              <w:rPr>
                <w:sz w:val="24"/>
              </w:rPr>
              <w:t>une</w:t>
            </w:r>
            <w:r>
              <w:rPr>
                <w:spacing w:val="-9"/>
                <w:sz w:val="24"/>
              </w:rPr>
              <w:t> </w:t>
            </w:r>
            <w:r>
              <w:rPr>
                <w:sz w:val="24"/>
              </w:rPr>
              <w:t>note</w:t>
            </w:r>
            <w:r>
              <w:rPr>
                <w:spacing w:val="-9"/>
                <w:sz w:val="24"/>
              </w:rPr>
              <w:t> </w:t>
            </w:r>
            <w:r>
              <w:rPr>
                <w:sz w:val="24"/>
              </w:rPr>
              <w:t>organisationnelle</w:t>
            </w:r>
            <w:r>
              <w:rPr>
                <w:spacing w:val="-9"/>
                <w:sz w:val="24"/>
              </w:rPr>
              <w:t> </w:t>
            </w:r>
            <w:r>
              <w:rPr>
                <w:sz w:val="24"/>
              </w:rPr>
              <w:t>émise</w:t>
            </w:r>
            <w:r>
              <w:rPr>
                <w:spacing w:val="-8"/>
                <w:sz w:val="24"/>
              </w:rPr>
              <w:t> </w:t>
            </w:r>
            <w:r>
              <w:rPr>
                <w:sz w:val="24"/>
              </w:rPr>
              <w:t>par</w:t>
            </w:r>
            <w:r>
              <w:rPr>
                <w:spacing w:val="-5"/>
                <w:sz w:val="24"/>
              </w:rPr>
              <w:t> </w:t>
            </w:r>
            <w:r>
              <w:rPr>
                <w:sz w:val="24"/>
              </w:rPr>
              <w:t>la</w:t>
            </w:r>
            <w:r>
              <w:rPr>
                <w:spacing w:val="-8"/>
                <w:sz w:val="24"/>
              </w:rPr>
              <w:t> </w:t>
            </w:r>
            <w:r>
              <w:rPr>
                <w:sz w:val="24"/>
              </w:rPr>
              <w:t>Direction</w:t>
            </w:r>
            <w:r>
              <w:rPr>
                <w:spacing w:val="-9"/>
                <w:sz w:val="24"/>
              </w:rPr>
              <w:t> </w:t>
            </w:r>
            <w:r>
              <w:rPr>
                <w:sz w:val="24"/>
              </w:rPr>
              <w:t>Générale</w:t>
            </w:r>
            <w:r>
              <w:rPr>
                <w:spacing w:val="-8"/>
                <w:sz w:val="24"/>
              </w:rPr>
              <w:t> </w:t>
            </w:r>
            <w:r>
              <w:rPr>
                <w:sz w:val="24"/>
              </w:rPr>
              <w:t>du GCT</w:t>
            </w:r>
          </w:p>
        </w:tc>
      </w:tr>
      <w:tr>
        <w:trPr>
          <w:trHeight w:val="830" w:hRule="atLeast"/>
        </w:trPr>
        <w:tc>
          <w:tcPr>
            <w:tcW w:w="1961" w:type="dxa"/>
            <w:tcBorders>
              <w:top w:val="single" w:sz="4" w:space="0" w:color="000000"/>
              <w:bottom w:val="single" w:sz="4" w:space="0" w:color="000000"/>
            </w:tcBorders>
          </w:tcPr>
          <w:p>
            <w:pPr>
              <w:pStyle w:val="TableParagraph"/>
              <w:spacing w:before="1"/>
              <w:rPr>
                <w:b/>
                <w:sz w:val="24"/>
              </w:rPr>
            </w:pPr>
          </w:p>
          <w:p>
            <w:pPr>
              <w:pStyle w:val="TableParagraph"/>
              <w:ind w:left="107"/>
              <w:rPr>
                <w:b/>
                <w:sz w:val="24"/>
              </w:rPr>
            </w:pPr>
            <w:r>
              <w:rPr>
                <w:b/>
                <w:sz w:val="24"/>
              </w:rPr>
              <w:t>Composition</w:t>
            </w:r>
          </w:p>
        </w:tc>
        <w:tc>
          <w:tcPr>
            <w:tcW w:w="7516" w:type="dxa"/>
            <w:tcBorders>
              <w:top w:val="single" w:sz="2" w:space="0" w:color="000000"/>
              <w:bottom w:val="single" w:sz="2" w:space="0" w:color="000000"/>
            </w:tcBorders>
          </w:tcPr>
          <w:p>
            <w:pPr>
              <w:pStyle w:val="TableParagraph"/>
              <w:spacing w:line="273" w:lineRule="exact"/>
              <w:ind w:left="117"/>
              <w:rPr>
                <w:sz w:val="24"/>
              </w:rPr>
            </w:pPr>
            <w:r>
              <w:rPr>
                <w:sz w:val="24"/>
              </w:rPr>
              <w:t>La Commission Régionale d’Ouverture des Offres se compose de :</w:t>
            </w:r>
          </w:p>
          <w:p>
            <w:pPr>
              <w:pStyle w:val="TableParagraph"/>
              <w:numPr>
                <w:ilvl w:val="0"/>
                <w:numId w:val="101"/>
              </w:numPr>
              <w:tabs>
                <w:tab w:pos="457" w:val="left" w:leader="none"/>
                <w:tab w:pos="458" w:val="left" w:leader="none"/>
              </w:tabs>
              <w:spacing w:line="240" w:lineRule="auto" w:before="0" w:after="0"/>
              <w:ind w:left="457" w:right="0" w:hanging="284"/>
              <w:jc w:val="left"/>
              <w:rPr>
                <w:sz w:val="24"/>
              </w:rPr>
            </w:pPr>
            <w:r>
              <w:rPr>
                <w:sz w:val="24"/>
              </w:rPr>
              <w:t>Un</w:t>
            </w:r>
            <w:r>
              <w:rPr>
                <w:spacing w:val="-2"/>
                <w:sz w:val="24"/>
              </w:rPr>
              <w:t> </w:t>
            </w:r>
            <w:r>
              <w:rPr>
                <w:sz w:val="24"/>
              </w:rPr>
              <w:t>président</w:t>
            </w:r>
          </w:p>
          <w:p>
            <w:pPr>
              <w:pStyle w:val="TableParagraph"/>
              <w:numPr>
                <w:ilvl w:val="0"/>
                <w:numId w:val="101"/>
              </w:numPr>
              <w:tabs>
                <w:tab w:pos="457" w:val="left" w:leader="none"/>
                <w:tab w:pos="458" w:val="left" w:leader="none"/>
              </w:tabs>
              <w:spacing w:line="261" w:lineRule="exact" w:before="0" w:after="0"/>
              <w:ind w:left="457" w:right="0" w:hanging="284"/>
              <w:jc w:val="left"/>
              <w:rPr>
                <w:sz w:val="24"/>
              </w:rPr>
            </w:pPr>
            <w:r>
              <w:rPr>
                <w:sz w:val="24"/>
              </w:rPr>
              <w:t>Deux</w:t>
            </w:r>
            <w:r>
              <w:rPr>
                <w:spacing w:val="1"/>
                <w:sz w:val="24"/>
              </w:rPr>
              <w:t> </w:t>
            </w:r>
            <w:r>
              <w:rPr>
                <w:sz w:val="24"/>
              </w:rPr>
              <w:t>membres</w:t>
            </w:r>
          </w:p>
        </w:tc>
      </w:tr>
      <w:tr>
        <w:trPr>
          <w:trHeight w:val="983" w:hRule="atLeast"/>
        </w:trPr>
        <w:tc>
          <w:tcPr>
            <w:tcW w:w="1961" w:type="dxa"/>
            <w:tcBorders>
              <w:top w:val="single" w:sz="4" w:space="0" w:color="000000"/>
              <w:bottom w:val="single" w:sz="2" w:space="0" w:color="000000"/>
            </w:tcBorders>
          </w:tcPr>
          <w:p>
            <w:pPr>
              <w:pStyle w:val="TableParagraph"/>
              <w:spacing w:before="6"/>
              <w:rPr>
                <w:b/>
                <w:sz w:val="30"/>
              </w:rPr>
            </w:pPr>
          </w:p>
          <w:p>
            <w:pPr>
              <w:pStyle w:val="TableParagraph"/>
              <w:ind w:left="107"/>
              <w:rPr>
                <w:b/>
                <w:sz w:val="24"/>
              </w:rPr>
            </w:pPr>
            <w:r>
              <w:rPr>
                <w:b/>
                <w:sz w:val="24"/>
              </w:rPr>
              <w:t>Attributions</w:t>
            </w:r>
          </w:p>
        </w:tc>
        <w:tc>
          <w:tcPr>
            <w:tcW w:w="7516" w:type="dxa"/>
            <w:tcBorders>
              <w:top w:val="single" w:sz="2" w:space="0" w:color="000000"/>
              <w:bottom w:val="single" w:sz="2" w:space="0" w:color="000000"/>
            </w:tcBorders>
          </w:tcPr>
          <w:p>
            <w:pPr>
              <w:pStyle w:val="TableParagraph"/>
              <w:numPr>
                <w:ilvl w:val="0"/>
                <w:numId w:val="102"/>
              </w:numPr>
              <w:tabs>
                <w:tab w:pos="425" w:val="left" w:leader="none"/>
              </w:tabs>
              <w:spacing w:line="237" w:lineRule="auto" w:before="58" w:after="0"/>
              <w:ind w:left="424" w:right="65" w:hanging="284"/>
              <w:jc w:val="left"/>
              <w:rPr>
                <w:sz w:val="24"/>
              </w:rPr>
            </w:pPr>
            <w:r>
              <w:rPr>
                <w:sz w:val="24"/>
              </w:rPr>
              <w:t>Ouvrir les offres pour les marchés relevant des compétences de la Commission des Marchés de l’Entreprise</w:t>
            </w:r>
            <w:r>
              <w:rPr>
                <w:spacing w:val="-3"/>
                <w:sz w:val="24"/>
              </w:rPr>
              <w:t> </w:t>
            </w:r>
            <w:r>
              <w:rPr>
                <w:sz w:val="24"/>
              </w:rPr>
              <w:t>;</w:t>
            </w:r>
          </w:p>
          <w:p>
            <w:pPr>
              <w:pStyle w:val="TableParagraph"/>
              <w:numPr>
                <w:ilvl w:val="0"/>
                <w:numId w:val="102"/>
              </w:numPr>
              <w:tabs>
                <w:tab w:pos="425" w:val="left" w:leader="none"/>
              </w:tabs>
              <w:spacing w:line="240" w:lineRule="auto" w:before="2" w:after="0"/>
              <w:ind w:left="424" w:right="0" w:hanging="284"/>
              <w:jc w:val="left"/>
              <w:rPr>
                <w:sz w:val="24"/>
              </w:rPr>
            </w:pPr>
            <w:r>
              <w:rPr>
                <w:sz w:val="24"/>
              </w:rPr>
              <w:t>Dresser le PV d’ouverture des</w:t>
            </w:r>
            <w:r>
              <w:rPr>
                <w:spacing w:val="-7"/>
                <w:sz w:val="24"/>
              </w:rPr>
              <w:t> </w:t>
            </w:r>
            <w:r>
              <w:rPr>
                <w:sz w:val="24"/>
              </w:rPr>
              <w:t>offres.</w:t>
            </w:r>
          </w:p>
        </w:tc>
      </w:tr>
      <w:tr>
        <w:trPr>
          <w:trHeight w:val="827" w:hRule="atLeast"/>
        </w:trPr>
        <w:tc>
          <w:tcPr>
            <w:tcW w:w="1961" w:type="dxa"/>
            <w:tcBorders>
              <w:top w:val="single" w:sz="2" w:space="0" w:color="000000"/>
              <w:bottom w:val="single" w:sz="2" w:space="0" w:color="000000"/>
            </w:tcBorders>
          </w:tcPr>
          <w:p>
            <w:pPr>
              <w:pStyle w:val="TableParagraph"/>
              <w:ind w:left="107" w:right="816"/>
              <w:rPr>
                <w:b/>
                <w:sz w:val="24"/>
              </w:rPr>
            </w:pPr>
            <w:r>
              <w:rPr>
                <w:b/>
                <w:sz w:val="24"/>
              </w:rPr>
              <w:t>Quorum (présence</w:t>
            </w:r>
          </w:p>
          <w:p>
            <w:pPr>
              <w:pStyle w:val="TableParagraph"/>
              <w:spacing w:line="259" w:lineRule="exact"/>
              <w:ind w:left="107"/>
              <w:rPr>
                <w:b/>
                <w:sz w:val="24"/>
              </w:rPr>
            </w:pPr>
            <w:r>
              <w:rPr>
                <w:b/>
                <w:sz w:val="24"/>
              </w:rPr>
              <w:t>/signature)</w:t>
            </w:r>
          </w:p>
        </w:tc>
        <w:tc>
          <w:tcPr>
            <w:tcW w:w="7516" w:type="dxa"/>
            <w:tcBorders>
              <w:top w:val="single" w:sz="2" w:space="0" w:color="000000"/>
              <w:bottom w:val="single" w:sz="2" w:space="0" w:color="000000"/>
            </w:tcBorders>
          </w:tcPr>
          <w:p>
            <w:pPr>
              <w:pStyle w:val="TableParagraph"/>
              <w:spacing w:before="128"/>
              <w:ind w:left="107"/>
              <w:rPr>
                <w:sz w:val="24"/>
              </w:rPr>
            </w:pPr>
            <w:r>
              <w:rPr>
                <w:sz w:val="24"/>
              </w:rPr>
              <w:t>La CROOM ne peut se réunir qu’en présence de la majorité de ses membres dont obligatoirement son président</w:t>
            </w:r>
          </w:p>
        </w:tc>
      </w:tr>
      <w:tr>
        <w:trPr>
          <w:trHeight w:val="825" w:hRule="atLeast"/>
        </w:trPr>
        <w:tc>
          <w:tcPr>
            <w:tcW w:w="1961" w:type="dxa"/>
            <w:tcBorders>
              <w:top w:val="single" w:sz="2" w:space="0" w:color="000000"/>
            </w:tcBorders>
          </w:tcPr>
          <w:p>
            <w:pPr>
              <w:pStyle w:val="TableParagraph"/>
              <w:spacing w:before="8"/>
              <w:rPr>
                <w:b/>
                <w:sz w:val="23"/>
              </w:rPr>
            </w:pPr>
          </w:p>
          <w:p>
            <w:pPr>
              <w:pStyle w:val="TableParagraph"/>
              <w:ind w:left="107"/>
              <w:rPr>
                <w:b/>
                <w:sz w:val="24"/>
              </w:rPr>
            </w:pPr>
            <w:r>
              <w:rPr>
                <w:b/>
                <w:sz w:val="24"/>
              </w:rPr>
              <w:t>Rapporteur</w:t>
            </w:r>
          </w:p>
        </w:tc>
        <w:tc>
          <w:tcPr>
            <w:tcW w:w="7516" w:type="dxa"/>
            <w:tcBorders>
              <w:top w:val="single" w:sz="2" w:space="0" w:color="000000"/>
            </w:tcBorders>
          </w:tcPr>
          <w:p>
            <w:pPr>
              <w:pStyle w:val="TableParagraph"/>
              <w:spacing w:line="268" w:lineRule="exact"/>
              <w:ind w:left="107"/>
              <w:rPr>
                <w:sz w:val="24"/>
              </w:rPr>
            </w:pPr>
            <w:r>
              <w:rPr>
                <w:sz w:val="24"/>
              </w:rPr>
              <w:t>Le SPCM pour les CROOM Tunis</w:t>
            </w:r>
          </w:p>
          <w:p>
            <w:pPr>
              <w:pStyle w:val="TableParagraph"/>
              <w:spacing w:line="270" w:lineRule="atLeast"/>
              <w:ind w:left="107" w:right="57"/>
              <w:rPr>
                <w:sz w:val="24"/>
              </w:rPr>
            </w:pPr>
            <w:r>
              <w:rPr>
                <w:sz w:val="24"/>
              </w:rPr>
              <w:t>La</w:t>
            </w:r>
            <w:r>
              <w:rPr>
                <w:spacing w:val="-10"/>
                <w:sz w:val="24"/>
              </w:rPr>
              <w:t> </w:t>
            </w:r>
            <w:r>
              <w:rPr>
                <w:sz w:val="24"/>
              </w:rPr>
              <w:t>structure</w:t>
            </w:r>
            <w:r>
              <w:rPr>
                <w:spacing w:val="-11"/>
                <w:sz w:val="24"/>
              </w:rPr>
              <w:t> </w:t>
            </w:r>
            <w:r>
              <w:rPr>
                <w:sz w:val="24"/>
              </w:rPr>
              <w:t>juridique</w:t>
            </w:r>
            <w:r>
              <w:rPr>
                <w:spacing w:val="-11"/>
                <w:sz w:val="24"/>
              </w:rPr>
              <w:t> </w:t>
            </w:r>
            <w:r>
              <w:rPr>
                <w:sz w:val="24"/>
              </w:rPr>
              <w:t>de</w:t>
            </w:r>
            <w:r>
              <w:rPr>
                <w:spacing w:val="-10"/>
                <w:sz w:val="24"/>
              </w:rPr>
              <w:t> </w:t>
            </w:r>
            <w:r>
              <w:rPr>
                <w:sz w:val="24"/>
              </w:rPr>
              <w:t>la</w:t>
            </w:r>
            <w:r>
              <w:rPr>
                <w:spacing w:val="-11"/>
                <w:sz w:val="24"/>
              </w:rPr>
              <w:t> </w:t>
            </w:r>
            <w:r>
              <w:rPr>
                <w:sz w:val="24"/>
              </w:rPr>
              <w:t>région</w:t>
            </w:r>
            <w:r>
              <w:rPr>
                <w:spacing w:val="-7"/>
                <w:sz w:val="24"/>
              </w:rPr>
              <w:t> </w:t>
            </w:r>
            <w:r>
              <w:rPr>
                <w:sz w:val="24"/>
              </w:rPr>
              <w:t>concernée</w:t>
            </w:r>
            <w:r>
              <w:rPr>
                <w:spacing w:val="-12"/>
                <w:sz w:val="24"/>
              </w:rPr>
              <w:t> </w:t>
            </w:r>
            <w:r>
              <w:rPr>
                <w:sz w:val="24"/>
              </w:rPr>
              <w:t>pour</w:t>
            </w:r>
            <w:r>
              <w:rPr>
                <w:spacing w:val="-6"/>
                <w:sz w:val="24"/>
              </w:rPr>
              <w:t> </w:t>
            </w:r>
            <w:r>
              <w:rPr>
                <w:sz w:val="24"/>
              </w:rPr>
              <w:t>les</w:t>
            </w:r>
            <w:r>
              <w:rPr>
                <w:spacing w:val="-10"/>
                <w:sz w:val="24"/>
              </w:rPr>
              <w:t> </w:t>
            </w:r>
            <w:r>
              <w:rPr>
                <w:sz w:val="24"/>
              </w:rPr>
              <w:t>commissions</w:t>
            </w:r>
            <w:r>
              <w:rPr>
                <w:spacing w:val="-10"/>
                <w:sz w:val="24"/>
              </w:rPr>
              <w:t> </w:t>
            </w:r>
            <w:r>
              <w:rPr>
                <w:sz w:val="24"/>
              </w:rPr>
              <w:t>CROOM Gabes, CROOM Gafsa et CROOM</w:t>
            </w:r>
            <w:r>
              <w:rPr>
                <w:spacing w:val="-1"/>
                <w:sz w:val="24"/>
              </w:rPr>
              <w:t> </w:t>
            </w:r>
            <w:r>
              <w:rPr>
                <w:sz w:val="24"/>
              </w:rPr>
              <w:t>Sfax</w:t>
            </w:r>
          </w:p>
        </w:tc>
      </w:tr>
    </w:tbl>
    <w:p>
      <w:pPr>
        <w:spacing w:after="0" w:line="270" w:lineRule="atLeast"/>
        <w:rPr>
          <w:sz w:val="24"/>
        </w:rPr>
        <w:sectPr>
          <w:pgSz w:w="11910" w:h="16840"/>
          <w:pgMar w:header="722" w:footer="0" w:top="1860" w:bottom="280" w:left="700" w:right="380"/>
        </w:sectPr>
      </w:pPr>
    </w:p>
    <w:p>
      <w:pPr>
        <w:pStyle w:val="BodyText"/>
        <w:spacing w:before="8"/>
        <w:ind w:left="0" w:firstLine="0"/>
        <w:jc w:val="left"/>
        <w:rPr>
          <w:b/>
          <w:sz w:val="16"/>
        </w:rPr>
      </w:pPr>
    </w:p>
    <w:p>
      <w:pPr>
        <w:spacing w:line="276" w:lineRule="auto" w:before="89"/>
        <w:ind w:left="3148" w:right="1267" w:hanging="2195"/>
        <w:jc w:val="left"/>
        <w:rPr>
          <w:b/>
          <w:sz w:val="28"/>
        </w:rPr>
      </w:pPr>
      <w:r>
        <w:rPr>
          <w:b/>
          <w:sz w:val="28"/>
        </w:rPr>
        <w:t>Annexe n°4 : Fiche d’identification Commission d’Ouverture des Offres d’Affrètement des navires (COOA)</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093"/>
        <w:gridCol w:w="7688"/>
      </w:tblGrid>
      <w:tr>
        <w:trPr>
          <w:trHeight w:val="550" w:hRule="atLeast"/>
        </w:trPr>
        <w:tc>
          <w:tcPr>
            <w:tcW w:w="2093" w:type="dxa"/>
          </w:tcPr>
          <w:p>
            <w:pPr>
              <w:pStyle w:val="TableParagraph"/>
              <w:spacing w:line="272" w:lineRule="exact"/>
              <w:ind w:left="107"/>
              <w:rPr>
                <w:b/>
                <w:sz w:val="24"/>
              </w:rPr>
            </w:pPr>
            <w:r>
              <w:rPr>
                <w:b/>
                <w:sz w:val="24"/>
              </w:rPr>
              <w:t>Dénomination</w:t>
            </w:r>
            <w:r>
              <w:rPr>
                <w:b/>
                <w:spacing w:val="59"/>
                <w:sz w:val="24"/>
              </w:rPr>
              <w:t> </w:t>
            </w:r>
            <w:r>
              <w:rPr>
                <w:b/>
                <w:sz w:val="24"/>
              </w:rPr>
              <w:t>de</w:t>
            </w:r>
          </w:p>
          <w:p>
            <w:pPr>
              <w:pStyle w:val="TableParagraph"/>
              <w:spacing w:line="258" w:lineRule="exact"/>
              <w:ind w:left="107"/>
              <w:rPr>
                <w:b/>
                <w:sz w:val="24"/>
              </w:rPr>
            </w:pPr>
            <w:r>
              <w:rPr>
                <w:b/>
                <w:sz w:val="24"/>
              </w:rPr>
              <w:t>l’organe</w:t>
            </w:r>
          </w:p>
        </w:tc>
        <w:tc>
          <w:tcPr>
            <w:tcW w:w="7688" w:type="dxa"/>
          </w:tcPr>
          <w:p>
            <w:pPr>
              <w:pStyle w:val="TableParagraph"/>
              <w:spacing w:before="135"/>
              <w:ind w:left="107"/>
              <w:rPr>
                <w:b/>
                <w:sz w:val="24"/>
              </w:rPr>
            </w:pPr>
            <w:r>
              <w:rPr>
                <w:b/>
                <w:sz w:val="24"/>
              </w:rPr>
              <w:t>Commission d’Ouverture des Offres d’Affrètement des navires (COOA)</w:t>
            </w:r>
          </w:p>
        </w:tc>
      </w:tr>
      <w:tr>
        <w:trPr>
          <w:trHeight w:val="603" w:hRule="atLeast"/>
        </w:trPr>
        <w:tc>
          <w:tcPr>
            <w:tcW w:w="2093" w:type="dxa"/>
            <w:tcBorders>
              <w:bottom w:val="single" w:sz="2" w:space="0" w:color="000000"/>
            </w:tcBorders>
          </w:tcPr>
          <w:p>
            <w:pPr>
              <w:pStyle w:val="TableParagraph"/>
              <w:spacing w:before="161"/>
              <w:ind w:left="107"/>
              <w:rPr>
                <w:b/>
                <w:sz w:val="24"/>
              </w:rPr>
            </w:pPr>
            <w:r>
              <w:rPr>
                <w:b/>
                <w:sz w:val="24"/>
              </w:rPr>
              <w:t>Type</w:t>
            </w:r>
          </w:p>
        </w:tc>
        <w:tc>
          <w:tcPr>
            <w:tcW w:w="7688" w:type="dxa"/>
            <w:tcBorders>
              <w:bottom w:val="single" w:sz="2" w:space="0" w:color="000000"/>
            </w:tcBorders>
          </w:tcPr>
          <w:p>
            <w:pPr>
              <w:pStyle w:val="TableParagraph"/>
              <w:spacing w:before="156"/>
              <w:ind w:left="107"/>
              <w:rPr>
                <w:sz w:val="24"/>
              </w:rPr>
            </w:pPr>
            <w:r>
              <w:rPr>
                <w:sz w:val="24"/>
              </w:rPr>
              <w:t>Commission interne permanente</w:t>
            </w:r>
          </w:p>
        </w:tc>
      </w:tr>
      <w:tr>
        <w:trPr>
          <w:trHeight w:val="830" w:hRule="atLeast"/>
        </w:trPr>
        <w:tc>
          <w:tcPr>
            <w:tcW w:w="2093" w:type="dxa"/>
            <w:tcBorders>
              <w:top w:val="single" w:sz="2" w:space="0" w:color="000000"/>
              <w:bottom w:val="single" w:sz="2" w:space="0" w:color="000000"/>
            </w:tcBorders>
          </w:tcPr>
          <w:p>
            <w:pPr>
              <w:pStyle w:val="TableParagraph"/>
              <w:spacing w:before="11"/>
              <w:rPr>
                <w:b/>
                <w:sz w:val="23"/>
              </w:rPr>
            </w:pPr>
          </w:p>
          <w:p>
            <w:pPr>
              <w:pStyle w:val="TableParagraph"/>
              <w:ind w:left="107"/>
              <w:rPr>
                <w:b/>
                <w:sz w:val="24"/>
              </w:rPr>
            </w:pPr>
            <w:r>
              <w:rPr>
                <w:b/>
                <w:sz w:val="24"/>
              </w:rPr>
              <w:t>Désignation</w:t>
            </w:r>
          </w:p>
        </w:tc>
        <w:tc>
          <w:tcPr>
            <w:tcW w:w="7688" w:type="dxa"/>
            <w:tcBorders>
              <w:top w:val="single" w:sz="2" w:space="0" w:color="000000"/>
              <w:bottom w:val="single" w:sz="2" w:space="0" w:color="000000"/>
            </w:tcBorders>
          </w:tcPr>
          <w:p>
            <w:pPr>
              <w:pStyle w:val="TableParagraph"/>
              <w:spacing w:before="191"/>
              <w:ind w:left="107"/>
              <w:rPr>
                <w:sz w:val="24"/>
              </w:rPr>
            </w:pPr>
            <w:r>
              <w:rPr>
                <w:sz w:val="24"/>
              </w:rPr>
              <w:t>Désignée par une note organisationnelle émise par la Direction Générale du GCT</w:t>
            </w:r>
          </w:p>
        </w:tc>
      </w:tr>
      <w:tr>
        <w:trPr>
          <w:trHeight w:val="827" w:hRule="atLeast"/>
        </w:trPr>
        <w:tc>
          <w:tcPr>
            <w:tcW w:w="2093" w:type="dxa"/>
            <w:tcBorders>
              <w:top w:val="single" w:sz="2" w:space="0" w:color="000000"/>
              <w:bottom w:val="single" w:sz="2" w:space="0" w:color="000000"/>
            </w:tcBorders>
          </w:tcPr>
          <w:p>
            <w:pPr>
              <w:pStyle w:val="TableParagraph"/>
              <w:spacing w:before="136"/>
              <w:ind w:left="107" w:right="654"/>
              <w:rPr>
                <w:b/>
                <w:sz w:val="24"/>
              </w:rPr>
            </w:pPr>
            <w:r>
              <w:rPr>
                <w:b/>
                <w:sz w:val="24"/>
              </w:rPr>
              <w:t>Compétence (mDT)</w:t>
            </w:r>
          </w:p>
        </w:tc>
        <w:tc>
          <w:tcPr>
            <w:tcW w:w="7688" w:type="dxa"/>
            <w:tcBorders>
              <w:top w:val="single" w:sz="2" w:space="0" w:color="000000"/>
              <w:bottom w:val="single" w:sz="2" w:space="0" w:color="000000"/>
            </w:tcBorders>
          </w:tcPr>
          <w:p>
            <w:pPr>
              <w:pStyle w:val="TableParagraph"/>
              <w:spacing w:before="5"/>
              <w:rPr>
                <w:b/>
                <w:sz w:val="28"/>
              </w:rPr>
            </w:pPr>
          </w:p>
          <w:p>
            <w:pPr>
              <w:pStyle w:val="TableParagraph"/>
              <w:spacing w:before="1"/>
              <w:ind w:left="107"/>
              <w:rPr>
                <w:b/>
                <w:sz w:val="24"/>
              </w:rPr>
            </w:pPr>
            <w:r>
              <w:rPr>
                <w:sz w:val="24"/>
              </w:rPr>
              <w:t>Affrètement des navires : </w:t>
            </w:r>
            <w:r>
              <w:rPr>
                <w:b/>
                <w:sz w:val="24"/>
              </w:rPr>
              <w:t>Tous les seuils</w:t>
            </w:r>
          </w:p>
        </w:tc>
      </w:tr>
      <w:tr>
        <w:trPr>
          <w:trHeight w:val="1154" w:hRule="atLeast"/>
        </w:trPr>
        <w:tc>
          <w:tcPr>
            <w:tcW w:w="2093" w:type="dxa"/>
            <w:tcBorders>
              <w:top w:val="single" w:sz="2" w:space="0" w:color="000000"/>
              <w:bottom w:val="single" w:sz="4" w:space="0" w:color="000000"/>
            </w:tcBorders>
          </w:tcPr>
          <w:p>
            <w:pPr>
              <w:pStyle w:val="TableParagraph"/>
              <w:spacing w:before="1"/>
              <w:rPr>
                <w:b/>
                <w:sz w:val="38"/>
              </w:rPr>
            </w:pPr>
          </w:p>
          <w:p>
            <w:pPr>
              <w:pStyle w:val="TableParagraph"/>
              <w:ind w:left="107"/>
              <w:rPr>
                <w:b/>
                <w:sz w:val="24"/>
              </w:rPr>
            </w:pPr>
            <w:r>
              <w:rPr>
                <w:b/>
                <w:sz w:val="24"/>
              </w:rPr>
              <w:t>Composition</w:t>
            </w:r>
          </w:p>
        </w:tc>
        <w:tc>
          <w:tcPr>
            <w:tcW w:w="7688" w:type="dxa"/>
            <w:tcBorders>
              <w:top w:val="single" w:sz="2" w:space="0" w:color="000000"/>
              <w:bottom w:val="single" w:sz="2" w:space="0" w:color="000000"/>
            </w:tcBorders>
          </w:tcPr>
          <w:p>
            <w:pPr>
              <w:pStyle w:val="TableParagraph"/>
              <w:spacing w:line="268" w:lineRule="exact"/>
              <w:ind w:left="117"/>
              <w:rPr>
                <w:sz w:val="24"/>
              </w:rPr>
            </w:pPr>
            <w:r>
              <w:rPr>
                <w:sz w:val="24"/>
              </w:rPr>
              <w:t>La COOA se compose de :</w:t>
            </w:r>
          </w:p>
          <w:p>
            <w:pPr>
              <w:pStyle w:val="TableParagraph"/>
              <w:numPr>
                <w:ilvl w:val="0"/>
                <w:numId w:val="103"/>
              </w:numPr>
              <w:tabs>
                <w:tab w:pos="425" w:val="left" w:leader="none"/>
              </w:tabs>
              <w:spacing w:line="240" w:lineRule="auto" w:before="2" w:after="0"/>
              <w:ind w:left="424" w:right="0" w:hanging="284"/>
              <w:jc w:val="left"/>
              <w:rPr>
                <w:sz w:val="24"/>
              </w:rPr>
            </w:pPr>
            <w:r>
              <w:rPr>
                <w:sz w:val="24"/>
              </w:rPr>
              <w:t>Un président</w:t>
            </w:r>
            <w:r>
              <w:rPr>
                <w:spacing w:val="-1"/>
                <w:sz w:val="24"/>
              </w:rPr>
              <w:t> </w:t>
            </w:r>
            <w:r>
              <w:rPr>
                <w:sz w:val="24"/>
              </w:rPr>
              <w:t>:</w:t>
            </w:r>
          </w:p>
          <w:p>
            <w:pPr>
              <w:pStyle w:val="TableParagraph"/>
              <w:numPr>
                <w:ilvl w:val="0"/>
                <w:numId w:val="103"/>
              </w:numPr>
              <w:tabs>
                <w:tab w:pos="425" w:val="left" w:leader="none"/>
              </w:tabs>
              <w:spacing w:line="293" w:lineRule="exact" w:before="1" w:after="0"/>
              <w:ind w:left="424" w:right="0" w:hanging="284"/>
              <w:jc w:val="left"/>
              <w:rPr>
                <w:sz w:val="24"/>
              </w:rPr>
            </w:pPr>
            <w:r>
              <w:rPr>
                <w:sz w:val="24"/>
              </w:rPr>
              <w:t>Un membre : représentant de la Structure chargée des</w:t>
            </w:r>
            <w:r>
              <w:rPr>
                <w:spacing w:val="-5"/>
                <w:sz w:val="24"/>
              </w:rPr>
              <w:t> </w:t>
            </w:r>
            <w:r>
              <w:rPr>
                <w:sz w:val="24"/>
              </w:rPr>
              <w:t>affrètements</w:t>
            </w:r>
          </w:p>
          <w:p>
            <w:pPr>
              <w:pStyle w:val="TableParagraph"/>
              <w:numPr>
                <w:ilvl w:val="0"/>
                <w:numId w:val="103"/>
              </w:numPr>
              <w:tabs>
                <w:tab w:pos="425" w:val="left" w:leader="none"/>
              </w:tabs>
              <w:spacing w:line="276" w:lineRule="exact" w:before="0" w:after="0"/>
              <w:ind w:left="424" w:right="0" w:hanging="284"/>
              <w:jc w:val="left"/>
              <w:rPr>
                <w:sz w:val="24"/>
              </w:rPr>
            </w:pPr>
            <w:r>
              <w:rPr>
                <w:sz w:val="24"/>
              </w:rPr>
              <w:t>Un membre :</w:t>
            </w:r>
            <w:r>
              <w:rPr>
                <w:spacing w:val="-3"/>
                <w:sz w:val="24"/>
              </w:rPr>
              <w:t> </w:t>
            </w:r>
            <w:r>
              <w:rPr>
                <w:sz w:val="24"/>
              </w:rPr>
              <w:t>rapporteur</w:t>
            </w:r>
          </w:p>
        </w:tc>
      </w:tr>
      <w:tr>
        <w:trPr>
          <w:trHeight w:val="1149" w:hRule="atLeast"/>
        </w:trPr>
        <w:tc>
          <w:tcPr>
            <w:tcW w:w="2093" w:type="dxa"/>
            <w:tcBorders>
              <w:top w:val="single" w:sz="4" w:space="0" w:color="000000"/>
              <w:bottom w:val="single" w:sz="2" w:space="0" w:color="000000"/>
            </w:tcBorders>
          </w:tcPr>
          <w:p>
            <w:pPr>
              <w:pStyle w:val="TableParagraph"/>
              <w:spacing w:before="10"/>
              <w:rPr>
                <w:b/>
                <w:sz w:val="37"/>
              </w:rPr>
            </w:pPr>
          </w:p>
          <w:p>
            <w:pPr>
              <w:pStyle w:val="TableParagraph"/>
              <w:ind w:left="107"/>
              <w:rPr>
                <w:b/>
                <w:sz w:val="24"/>
              </w:rPr>
            </w:pPr>
            <w:r>
              <w:rPr>
                <w:b/>
                <w:sz w:val="24"/>
              </w:rPr>
              <w:t>Attributions</w:t>
            </w:r>
          </w:p>
        </w:tc>
        <w:tc>
          <w:tcPr>
            <w:tcW w:w="7688" w:type="dxa"/>
            <w:tcBorders>
              <w:top w:val="single" w:sz="2" w:space="0" w:color="000000"/>
              <w:bottom w:val="single" w:sz="2" w:space="0" w:color="000000"/>
            </w:tcBorders>
          </w:tcPr>
          <w:p>
            <w:pPr>
              <w:pStyle w:val="TableParagraph"/>
              <w:rPr>
                <w:b/>
                <w:sz w:val="24"/>
              </w:rPr>
            </w:pPr>
          </w:p>
          <w:p>
            <w:pPr>
              <w:pStyle w:val="TableParagraph"/>
              <w:numPr>
                <w:ilvl w:val="0"/>
                <w:numId w:val="104"/>
              </w:numPr>
              <w:tabs>
                <w:tab w:pos="467" w:val="left" w:leader="none"/>
                <w:tab w:pos="468" w:val="left" w:leader="none"/>
              </w:tabs>
              <w:spacing w:line="294" w:lineRule="exact" w:before="1" w:after="0"/>
              <w:ind w:left="467" w:right="0" w:hanging="361"/>
              <w:jc w:val="left"/>
              <w:rPr>
                <w:sz w:val="24"/>
              </w:rPr>
            </w:pPr>
            <w:r>
              <w:rPr>
                <w:sz w:val="24"/>
              </w:rPr>
              <w:t>Ouvrir</w:t>
            </w:r>
            <w:r>
              <w:rPr>
                <w:spacing w:val="-10"/>
                <w:sz w:val="24"/>
              </w:rPr>
              <w:t> </w:t>
            </w:r>
            <w:r>
              <w:rPr>
                <w:sz w:val="24"/>
              </w:rPr>
              <w:t>les</w:t>
            </w:r>
            <w:r>
              <w:rPr>
                <w:spacing w:val="-9"/>
                <w:sz w:val="24"/>
              </w:rPr>
              <w:t> </w:t>
            </w:r>
            <w:r>
              <w:rPr>
                <w:sz w:val="24"/>
              </w:rPr>
              <w:t>offres</w:t>
            </w:r>
            <w:r>
              <w:rPr>
                <w:spacing w:val="-9"/>
                <w:sz w:val="24"/>
              </w:rPr>
              <w:t> </w:t>
            </w:r>
            <w:r>
              <w:rPr>
                <w:sz w:val="24"/>
              </w:rPr>
              <w:t>pour</w:t>
            </w:r>
            <w:r>
              <w:rPr>
                <w:spacing w:val="-10"/>
                <w:sz w:val="24"/>
              </w:rPr>
              <w:t> </w:t>
            </w:r>
            <w:r>
              <w:rPr>
                <w:sz w:val="24"/>
              </w:rPr>
              <w:t>les</w:t>
            </w:r>
            <w:r>
              <w:rPr>
                <w:spacing w:val="-9"/>
                <w:sz w:val="24"/>
              </w:rPr>
              <w:t> </w:t>
            </w:r>
            <w:r>
              <w:rPr>
                <w:sz w:val="24"/>
              </w:rPr>
              <w:t>achats</w:t>
            </w:r>
            <w:r>
              <w:rPr>
                <w:spacing w:val="-9"/>
                <w:sz w:val="24"/>
              </w:rPr>
              <w:t> </w:t>
            </w:r>
            <w:r>
              <w:rPr>
                <w:sz w:val="24"/>
              </w:rPr>
              <w:t>hors</w:t>
            </w:r>
            <w:r>
              <w:rPr>
                <w:spacing w:val="-9"/>
                <w:sz w:val="24"/>
              </w:rPr>
              <w:t> </w:t>
            </w:r>
            <w:r>
              <w:rPr>
                <w:sz w:val="24"/>
              </w:rPr>
              <w:t>marchés</w:t>
            </w:r>
            <w:r>
              <w:rPr>
                <w:spacing w:val="-9"/>
                <w:sz w:val="24"/>
              </w:rPr>
              <w:t> </w:t>
            </w:r>
            <w:r>
              <w:rPr>
                <w:sz w:val="24"/>
              </w:rPr>
              <w:t>et</w:t>
            </w:r>
            <w:r>
              <w:rPr>
                <w:spacing w:val="-8"/>
                <w:sz w:val="24"/>
              </w:rPr>
              <w:t> </w:t>
            </w:r>
            <w:r>
              <w:rPr>
                <w:sz w:val="24"/>
              </w:rPr>
              <w:t>les</w:t>
            </w:r>
            <w:r>
              <w:rPr>
                <w:spacing w:val="-10"/>
                <w:sz w:val="24"/>
              </w:rPr>
              <w:t> </w:t>
            </w:r>
            <w:r>
              <w:rPr>
                <w:sz w:val="24"/>
              </w:rPr>
              <w:t>marchés</w:t>
            </w:r>
            <w:r>
              <w:rPr>
                <w:spacing w:val="-8"/>
                <w:sz w:val="24"/>
              </w:rPr>
              <w:t> </w:t>
            </w:r>
            <w:r>
              <w:rPr>
                <w:sz w:val="24"/>
              </w:rPr>
              <w:t>affrètements</w:t>
            </w:r>
            <w:r>
              <w:rPr>
                <w:spacing w:val="-8"/>
                <w:sz w:val="24"/>
              </w:rPr>
              <w:t> </w:t>
            </w:r>
            <w:r>
              <w:rPr>
                <w:sz w:val="24"/>
              </w:rPr>
              <w:t>;</w:t>
            </w:r>
          </w:p>
          <w:p>
            <w:pPr>
              <w:pStyle w:val="TableParagraph"/>
              <w:numPr>
                <w:ilvl w:val="0"/>
                <w:numId w:val="104"/>
              </w:numPr>
              <w:tabs>
                <w:tab w:pos="467" w:val="left" w:leader="none"/>
                <w:tab w:pos="468" w:val="left" w:leader="none"/>
              </w:tabs>
              <w:spacing w:line="294" w:lineRule="exact" w:before="0" w:after="0"/>
              <w:ind w:left="467" w:right="0" w:hanging="361"/>
              <w:jc w:val="left"/>
              <w:rPr>
                <w:sz w:val="24"/>
              </w:rPr>
            </w:pPr>
            <w:r>
              <w:rPr>
                <w:sz w:val="24"/>
              </w:rPr>
              <w:t>Dresser le PV d’ouverture des</w:t>
            </w:r>
            <w:r>
              <w:rPr>
                <w:spacing w:val="-7"/>
                <w:sz w:val="24"/>
              </w:rPr>
              <w:t> </w:t>
            </w:r>
            <w:r>
              <w:rPr>
                <w:sz w:val="24"/>
              </w:rPr>
              <w:t>offres.</w:t>
            </w:r>
          </w:p>
        </w:tc>
      </w:tr>
      <w:tr>
        <w:trPr>
          <w:trHeight w:val="827" w:hRule="atLeast"/>
        </w:trPr>
        <w:tc>
          <w:tcPr>
            <w:tcW w:w="2093" w:type="dxa"/>
            <w:tcBorders>
              <w:top w:val="single" w:sz="2" w:space="0" w:color="000000"/>
              <w:bottom w:val="single" w:sz="2" w:space="0" w:color="000000"/>
            </w:tcBorders>
          </w:tcPr>
          <w:p>
            <w:pPr>
              <w:pStyle w:val="TableParagraph"/>
              <w:ind w:left="107" w:right="948"/>
              <w:rPr>
                <w:b/>
                <w:sz w:val="24"/>
              </w:rPr>
            </w:pPr>
            <w:r>
              <w:rPr>
                <w:b/>
                <w:sz w:val="24"/>
              </w:rPr>
              <w:t>Quorum (présence</w:t>
            </w:r>
          </w:p>
          <w:p>
            <w:pPr>
              <w:pStyle w:val="TableParagraph"/>
              <w:spacing w:line="259" w:lineRule="exact"/>
              <w:ind w:left="107"/>
              <w:rPr>
                <w:b/>
                <w:sz w:val="24"/>
              </w:rPr>
            </w:pPr>
            <w:r>
              <w:rPr>
                <w:b/>
                <w:sz w:val="24"/>
              </w:rPr>
              <w:t>/signature)</w:t>
            </w:r>
          </w:p>
        </w:tc>
        <w:tc>
          <w:tcPr>
            <w:tcW w:w="7688" w:type="dxa"/>
            <w:tcBorders>
              <w:top w:val="single" w:sz="2" w:space="0" w:color="000000"/>
              <w:bottom w:val="single" w:sz="2" w:space="0" w:color="000000"/>
            </w:tcBorders>
          </w:tcPr>
          <w:p>
            <w:pPr>
              <w:pStyle w:val="TableParagraph"/>
              <w:spacing w:before="3"/>
              <w:rPr>
                <w:b/>
                <w:sz w:val="23"/>
              </w:rPr>
            </w:pPr>
          </w:p>
          <w:p>
            <w:pPr>
              <w:pStyle w:val="TableParagraph"/>
              <w:ind w:left="107"/>
              <w:rPr>
                <w:sz w:val="24"/>
              </w:rPr>
            </w:pPr>
            <w:r>
              <w:rPr>
                <w:sz w:val="24"/>
              </w:rPr>
              <w:t>La COOA ne peut se réunir qu’en présence de la majorité de ses membres.</w:t>
            </w:r>
          </w:p>
        </w:tc>
      </w:tr>
      <w:tr>
        <w:trPr>
          <w:trHeight w:val="711" w:hRule="atLeast"/>
        </w:trPr>
        <w:tc>
          <w:tcPr>
            <w:tcW w:w="2093" w:type="dxa"/>
            <w:tcBorders>
              <w:top w:val="single" w:sz="2" w:space="0" w:color="000000"/>
            </w:tcBorders>
          </w:tcPr>
          <w:p>
            <w:pPr>
              <w:pStyle w:val="TableParagraph"/>
              <w:spacing w:before="215"/>
              <w:ind w:left="107"/>
              <w:rPr>
                <w:b/>
                <w:sz w:val="24"/>
              </w:rPr>
            </w:pPr>
            <w:r>
              <w:rPr>
                <w:b/>
                <w:sz w:val="24"/>
              </w:rPr>
              <w:t>Rapporteur</w:t>
            </w:r>
          </w:p>
        </w:tc>
        <w:tc>
          <w:tcPr>
            <w:tcW w:w="7688" w:type="dxa"/>
            <w:tcBorders>
              <w:top w:val="single" w:sz="2" w:space="0" w:color="000000"/>
            </w:tcBorders>
          </w:tcPr>
          <w:p>
            <w:pPr>
              <w:pStyle w:val="TableParagraph"/>
              <w:spacing w:before="210"/>
              <w:ind w:left="107"/>
              <w:rPr>
                <w:sz w:val="24"/>
              </w:rPr>
            </w:pPr>
            <w:r>
              <w:rPr>
                <w:sz w:val="24"/>
              </w:rPr>
              <w:t>Membre rapporteur</w:t>
            </w:r>
          </w:p>
        </w:tc>
      </w:tr>
    </w:tbl>
    <w:p>
      <w:pPr>
        <w:spacing w:after="0"/>
        <w:rPr>
          <w:sz w:val="24"/>
        </w:rPr>
        <w:sectPr>
          <w:pgSz w:w="11910" w:h="16840"/>
          <w:pgMar w:header="722" w:footer="0" w:top="1860" w:bottom="280" w:left="700" w:right="380"/>
        </w:sectPr>
      </w:pPr>
    </w:p>
    <w:p>
      <w:pPr>
        <w:pStyle w:val="BodyText"/>
        <w:spacing w:before="8"/>
        <w:ind w:left="0" w:firstLine="0"/>
        <w:jc w:val="left"/>
        <w:rPr>
          <w:b/>
          <w:sz w:val="16"/>
        </w:rPr>
      </w:pPr>
    </w:p>
    <w:p>
      <w:pPr>
        <w:spacing w:before="89"/>
        <w:ind w:left="433" w:right="0" w:firstLine="0"/>
        <w:jc w:val="left"/>
        <w:rPr>
          <w:b/>
          <w:sz w:val="28"/>
        </w:rPr>
      </w:pPr>
      <w:r>
        <w:rPr>
          <w:b/>
          <w:sz w:val="28"/>
        </w:rPr>
        <w:t>Annexe n°5 : Fiche d’identification Commissions ad-hoc d’évaluation des Offres</w:t>
      </w:r>
    </w:p>
    <w:p>
      <w:pPr>
        <w:pStyle w:val="BodyText"/>
        <w:spacing w:before="2"/>
        <w:ind w:left="0" w:firstLine="0"/>
        <w:jc w:val="left"/>
        <w:rPr>
          <w:b/>
          <w:sz w:val="25"/>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39"/>
        <w:gridCol w:w="7717"/>
      </w:tblGrid>
      <w:tr>
        <w:trPr>
          <w:trHeight w:val="552" w:hRule="atLeast"/>
        </w:trPr>
        <w:tc>
          <w:tcPr>
            <w:tcW w:w="2139" w:type="dxa"/>
          </w:tcPr>
          <w:p>
            <w:pPr>
              <w:pStyle w:val="TableParagraph"/>
              <w:spacing w:line="276" w:lineRule="exact" w:before="1"/>
              <w:ind w:left="107" w:right="213"/>
              <w:rPr>
                <w:b/>
                <w:sz w:val="24"/>
              </w:rPr>
            </w:pPr>
            <w:r>
              <w:rPr>
                <w:b/>
                <w:sz w:val="24"/>
              </w:rPr>
              <w:t>Dénomination de l’organe</w:t>
            </w:r>
          </w:p>
        </w:tc>
        <w:tc>
          <w:tcPr>
            <w:tcW w:w="7717" w:type="dxa"/>
          </w:tcPr>
          <w:p>
            <w:pPr>
              <w:pStyle w:val="TableParagraph"/>
              <w:spacing w:before="114"/>
              <w:ind w:left="1178" w:right="1132"/>
              <w:jc w:val="center"/>
              <w:rPr>
                <w:b/>
                <w:sz w:val="28"/>
              </w:rPr>
            </w:pPr>
            <w:r>
              <w:rPr>
                <w:b/>
                <w:sz w:val="28"/>
              </w:rPr>
              <w:t>Commissions ad-hoc d’évaluation des Offres</w:t>
            </w:r>
          </w:p>
        </w:tc>
      </w:tr>
      <w:tr>
        <w:trPr>
          <w:trHeight w:val="649" w:hRule="atLeast"/>
        </w:trPr>
        <w:tc>
          <w:tcPr>
            <w:tcW w:w="2139" w:type="dxa"/>
            <w:tcBorders>
              <w:bottom w:val="single" w:sz="2" w:space="0" w:color="000000"/>
            </w:tcBorders>
          </w:tcPr>
          <w:p>
            <w:pPr>
              <w:pStyle w:val="TableParagraph"/>
              <w:spacing w:before="182"/>
              <w:ind w:left="107"/>
              <w:rPr>
                <w:b/>
                <w:sz w:val="24"/>
              </w:rPr>
            </w:pPr>
            <w:r>
              <w:rPr>
                <w:b/>
                <w:sz w:val="24"/>
              </w:rPr>
              <w:t>Type</w:t>
            </w:r>
          </w:p>
        </w:tc>
        <w:tc>
          <w:tcPr>
            <w:tcW w:w="7717" w:type="dxa"/>
            <w:tcBorders>
              <w:bottom w:val="single" w:sz="2" w:space="0" w:color="000000"/>
            </w:tcBorders>
          </w:tcPr>
          <w:p>
            <w:pPr>
              <w:pStyle w:val="TableParagraph"/>
              <w:spacing w:before="178"/>
              <w:ind w:left="109"/>
              <w:rPr>
                <w:sz w:val="24"/>
              </w:rPr>
            </w:pPr>
            <w:r>
              <w:rPr>
                <w:sz w:val="24"/>
              </w:rPr>
              <w:t>Commissions internes ad-hoc</w:t>
            </w:r>
          </w:p>
        </w:tc>
      </w:tr>
      <w:tr>
        <w:trPr>
          <w:trHeight w:val="1704"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8"/>
              <w:rPr>
                <w:b/>
                <w:sz w:val="35"/>
              </w:rPr>
            </w:pPr>
          </w:p>
          <w:p>
            <w:pPr>
              <w:pStyle w:val="TableParagraph"/>
              <w:ind w:left="107"/>
              <w:rPr>
                <w:b/>
                <w:sz w:val="24"/>
              </w:rPr>
            </w:pPr>
            <w:r>
              <w:rPr>
                <w:b/>
                <w:sz w:val="24"/>
              </w:rPr>
              <w:t>Désignation</w:t>
            </w:r>
          </w:p>
        </w:tc>
        <w:tc>
          <w:tcPr>
            <w:tcW w:w="7717" w:type="dxa"/>
            <w:tcBorders>
              <w:top w:val="single" w:sz="2" w:space="0" w:color="000000"/>
              <w:bottom w:val="single" w:sz="2" w:space="0" w:color="000000"/>
            </w:tcBorders>
          </w:tcPr>
          <w:p>
            <w:pPr>
              <w:pStyle w:val="TableParagraph"/>
              <w:spacing w:before="4"/>
              <w:rPr>
                <w:b/>
                <w:sz w:val="25"/>
              </w:rPr>
            </w:pPr>
          </w:p>
          <w:p>
            <w:pPr>
              <w:pStyle w:val="TableParagraph"/>
              <w:ind w:left="109" w:right="58"/>
              <w:jc w:val="both"/>
              <w:rPr>
                <w:sz w:val="24"/>
              </w:rPr>
            </w:pPr>
            <w:r>
              <w:rPr>
                <w:sz w:val="24"/>
              </w:rPr>
              <w:t>La composition de la Commission d’évaluation ad-hoc est proposée par la Direction Centrale de la Présidence des Commissions des Achats de l’Entreprise en concertation avec la structure demandeuse ;</w:t>
            </w:r>
          </w:p>
          <w:p>
            <w:pPr>
              <w:pStyle w:val="TableParagraph"/>
              <w:spacing w:before="1"/>
              <w:ind w:left="109"/>
              <w:jc w:val="both"/>
              <w:rPr>
                <w:sz w:val="24"/>
              </w:rPr>
            </w:pPr>
            <w:r>
              <w:rPr>
                <w:sz w:val="24"/>
              </w:rPr>
              <w:t>La note de désignation doit être signée par la Direction Générale.</w:t>
            </w:r>
          </w:p>
        </w:tc>
      </w:tr>
      <w:tr>
        <w:trPr>
          <w:trHeight w:val="1703"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9"/>
              <w:rPr>
                <w:b/>
                <w:sz w:val="23"/>
              </w:rPr>
            </w:pPr>
          </w:p>
          <w:p>
            <w:pPr>
              <w:pStyle w:val="TableParagraph"/>
              <w:ind w:left="107" w:right="700"/>
              <w:rPr>
                <w:b/>
                <w:sz w:val="24"/>
              </w:rPr>
            </w:pPr>
            <w:r>
              <w:rPr>
                <w:b/>
                <w:sz w:val="24"/>
              </w:rPr>
              <w:t>Compétence (mDT)</w:t>
            </w:r>
          </w:p>
        </w:tc>
        <w:tc>
          <w:tcPr>
            <w:tcW w:w="7717" w:type="dxa"/>
            <w:tcBorders>
              <w:top w:val="single" w:sz="2" w:space="0" w:color="000000"/>
              <w:bottom w:val="single" w:sz="2" w:space="0" w:color="000000"/>
            </w:tcBorders>
          </w:tcPr>
          <w:p>
            <w:pPr>
              <w:pStyle w:val="TableParagraph"/>
              <w:numPr>
                <w:ilvl w:val="0"/>
                <w:numId w:val="105"/>
              </w:numPr>
              <w:tabs>
                <w:tab w:pos="469" w:val="left" w:leader="none"/>
                <w:tab w:pos="470" w:val="left" w:leader="none"/>
              </w:tabs>
              <w:spacing w:line="286" w:lineRule="exact" w:before="0" w:after="0"/>
              <w:ind w:left="469" w:right="0" w:hanging="361"/>
              <w:jc w:val="left"/>
              <w:rPr>
                <w:sz w:val="24"/>
              </w:rPr>
            </w:pPr>
            <w:r>
              <w:rPr>
                <w:sz w:val="24"/>
              </w:rPr>
              <w:t>Achat hors matières premières :</w:t>
            </w:r>
          </w:p>
          <w:p>
            <w:pPr>
              <w:pStyle w:val="TableParagraph"/>
              <w:numPr>
                <w:ilvl w:val="1"/>
                <w:numId w:val="105"/>
              </w:numPr>
              <w:tabs>
                <w:tab w:pos="1198" w:val="left" w:leader="none"/>
                <w:tab w:pos="1200" w:val="left" w:leader="none"/>
              </w:tabs>
              <w:spacing w:line="285" w:lineRule="exact" w:before="0" w:after="0"/>
              <w:ind w:left="1199" w:right="0" w:hanging="361"/>
              <w:jc w:val="left"/>
              <w:rPr>
                <w:sz w:val="24"/>
              </w:rPr>
            </w:pPr>
            <w:r>
              <w:rPr>
                <w:sz w:val="24"/>
              </w:rPr>
              <w:t>Travaux</w:t>
            </w:r>
            <w:r>
              <w:rPr>
                <w:spacing w:val="1"/>
                <w:sz w:val="24"/>
              </w:rPr>
              <w:t> </w:t>
            </w:r>
            <w:r>
              <w:rPr>
                <w:sz w:val="24"/>
              </w:rPr>
              <w:t>(≥F)</w:t>
            </w:r>
          </w:p>
          <w:p>
            <w:pPr>
              <w:pStyle w:val="TableParagraph"/>
              <w:numPr>
                <w:ilvl w:val="1"/>
                <w:numId w:val="105"/>
              </w:numPr>
              <w:tabs>
                <w:tab w:pos="1198" w:val="left" w:leader="none"/>
                <w:tab w:pos="1200" w:val="left" w:leader="none"/>
              </w:tabs>
              <w:spacing w:line="281" w:lineRule="exact" w:before="0" w:after="0"/>
              <w:ind w:left="1199" w:right="0" w:hanging="361"/>
              <w:jc w:val="left"/>
              <w:rPr>
                <w:sz w:val="24"/>
              </w:rPr>
            </w:pPr>
            <w:r>
              <w:rPr>
                <w:sz w:val="24"/>
              </w:rPr>
              <w:t>Fourniture de biens, d’équipements et services</w:t>
            </w:r>
            <w:r>
              <w:rPr>
                <w:spacing w:val="-2"/>
                <w:sz w:val="24"/>
              </w:rPr>
              <w:t> </w:t>
            </w:r>
            <w:r>
              <w:rPr>
                <w:sz w:val="24"/>
              </w:rPr>
              <w:t>(≥200)</w:t>
            </w:r>
          </w:p>
          <w:p>
            <w:pPr>
              <w:pStyle w:val="TableParagraph"/>
              <w:numPr>
                <w:ilvl w:val="1"/>
                <w:numId w:val="105"/>
              </w:numPr>
              <w:tabs>
                <w:tab w:pos="1198" w:val="left" w:leader="none"/>
                <w:tab w:pos="1200" w:val="left" w:leader="none"/>
              </w:tabs>
              <w:spacing w:line="282" w:lineRule="exact" w:before="0" w:after="0"/>
              <w:ind w:left="1199" w:right="0" w:hanging="361"/>
              <w:jc w:val="left"/>
              <w:rPr>
                <w:sz w:val="24"/>
              </w:rPr>
            </w:pPr>
            <w:r>
              <w:rPr>
                <w:sz w:val="24"/>
              </w:rPr>
              <w:t>Etudes</w:t>
            </w:r>
            <w:r>
              <w:rPr>
                <w:spacing w:val="-2"/>
                <w:sz w:val="24"/>
              </w:rPr>
              <w:t> </w:t>
            </w:r>
            <w:r>
              <w:rPr>
                <w:sz w:val="24"/>
              </w:rPr>
              <w:t>(≥15)</w:t>
            </w:r>
          </w:p>
          <w:p>
            <w:pPr>
              <w:pStyle w:val="TableParagraph"/>
              <w:numPr>
                <w:ilvl w:val="0"/>
                <w:numId w:val="105"/>
              </w:numPr>
              <w:tabs>
                <w:tab w:pos="469" w:val="left" w:leader="none"/>
                <w:tab w:pos="470" w:val="left" w:leader="none"/>
              </w:tabs>
              <w:spacing w:line="274" w:lineRule="exact" w:before="17" w:after="0"/>
              <w:ind w:left="469" w:right="64" w:hanging="360"/>
              <w:jc w:val="left"/>
              <w:rPr>
                <w:sz w:val="24"/>
              </w:rPr>
            </w:pPr>
            <w:r>
              <w:rPr>
                <w:sz w:val="24"/>
              </w:rPr>
              <w:t>Achats d'acide sulfurique et des produits destinés à être vendus en l'état</w:t>
            </w:r>
            <w:r>
              <w:rPr>
                <w:spacing w:val="-23"/>
                <w:sz w:val="24"/>
              </w:rPr>
              <w:t> </w:t>
            </w:r>
            <w:r>
              <w:rPr>
                <w:sz w:val="24"/>
              </w:rPr>
              <w:t>ou conditionnés : Tous les</w:t>
            </w:r>
            <w:r>
              <w:rPr>
                <w:spacing w:val="-1"/>
                <w:sz w:val="24"/>
              </w:rPr>
              <w:t> </w:t>
            </w:r>
            <w:r>
              <w:rPr>
                <w:sz w:val="24"/>
              </w:rPr>
              <w:t>seuils.</w:t>
            </w:r>
          </w:p>
        </w:tc>
      </w:tr>
      <w:tr>
        <w:trPr>
          <w:trHeight w:val="2241" w:hRule="atLeast"/>
        </w:trPr>
        <w:tc>
          <w:tcPr>
            <w:tcW w:w="2139"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spacing w:before="1"/>
              <w:rPr>
                <w:b/>
                <w:sz w:val="33"/>
              </w:rPr>
            </w:pPr>
          </w:p>
          <w:p>
            <w:pPr>
              <w:pStyle w:val="TableParagraph"/>
              <w:ind w:left="107"/>
              <w:rPr>
                <w:b/>
                <w:sz w:val="24"/>
              </w:rPr>
            </w:pPr>
            <w:r>
              <w:rPr>
                <w:b/>
                <w:sz w:val="24"/>
              </w:rPr>
              <w:t>Composition</w:t>
            </w:r>
          </w:p>
        </w:tc>
        <w:tc>
          <w:tcPr>
            <w:tcW w:w="7717" w:type="dxa"/>
            <w:tcBorders>
              <w:top w:val="single" w:sz="2" w:space="0" w:color="000000"/>
              <w:bottom w:val="single" w:sz="2" w:space="0" w:color="000000"/>
            </w:tcBorders>
          </w:tcPr>
          <w:p>
            <w:pPr>
              <w:pStyle w:val="TableParagraph"/>
              <w:spacing w:before="112"/>
              <w:ind w:left="109"/>
              <w:rPr>
                <w:sz w:val="24"/>
              </w:rPr>
            </w:pPr>
            <w:r>
              <w:rPr>
                <w:sz w:val="24"/>
              </w:rPr>
              <w:t>La commission comporte notamment :</w:t>
            </w:r>
          </w:p>
          <w:p>
            <w:pPr>
              <w:pStyle w:val="TableParagraph"/>
              <w:numPr>
                <w:ilvl w:val="0"/>
                <w:numId w:val="106"/>
              </w:numPr>
              <w:tabs>
                <w:tab w:pos="427" w:val="left" w:leader="none"/>
              </w:tabs>
              <w:spacing w:line="293" w:lineRule="exact" w:before="2" w:after="0"/>
              <w:ind w:left="426" w:right="0" w:hanging="284"/>
              <w:jc w:val="left"/>
              <w:rPr>
                <w:sz w:val="24"/>
              </w:rPr>
            </w:pPr>
            <w:r>
              <w:rPr>
                <w:sz w:val="24"/>
              </w:rPr>
              <w:t>Président : représentant de la structure demandeuse</w:t>
            </w:r>
            <w:r>
              <w:rPr>
                <w:spacing w:val="-3"/>
                <w:sz w:val="24"/>
              </w:rPr>
              <w:t> </w:t>
            </w:r>
            <w:r>
              <w:rPr>
                <w:sz w:val="24"/>
              </w:rPr>
              <w:t>;</w:t>
            </w:r>
          </w:p>
          <w:p>
            <w:pPr>
              <w:pStyle w:val="TableParagraph"/>
              <w:numPr>
                <w:ilvl w:val="0"/>
                <w:numId w:val="106"/>
              </w:numPr>
              <w:tabs>
                <w:tab w:pos="427" w:val="left" w:leader="none"/>
              </w:tabs>
              <w:spacing w:line="293" w:lineRule="exact" w:before="0" w:after="0"/>
              <w:ind w:left="426" w:right="0" w:hanging="284"/>
              <w:jc w:val="left"/>
              <w:rPr>
                <w:sz w:val="24"/>
              </w:rPr>
            </w:pPr>
            <w:r>
              <w:rPr>
                <w:sz w:val="24"/>
              </w:rPr>
              <w:t>Membre : représentant de la structure d’achat</w:t>
            </w:r>
            <w:r>
              <w:rPr>
                <w:spacing w:val="-5"/>
                <w:sz w:val="24"/>
              </w:rPr>
              <w:t> </w:t>
            </w:r>
            <w:r>
              <w:rPr>
                <w:sz w:val="24"/>
              </w:rPr>
              <w:t>;</w:t>
            </w:r>
          </w:p>
          <w:p>
            <w:pPr>
              <w:pStyle w:val="TableParagraph"/>
              <w:numPr>
                <w:ilvl w:val="0"/>
                <w:numId w:val="106"/>
              </w:numPr>
              <w:tabs>
                <w:tab w:pos="427" w:val="left" w:leader="none"/>
              </w:tabs>
              <w:spacing w:line="293" w:lineRule="exact" w:before="0" w:after="0"/>
              <w:ind w:left="426" w:right="0" w:hanging="284"/>
              <w:jc w:val="left"/>
              <w:rPr>
                <w:sz w:val="24"/>
              </w:rPr>
            </w:pPr>
            <w:r>
              <w:rPr>
                <w:sz w:val="24"/>
              </w:rPr>
              <w:t>Membre : représentant de la structure financière</w:t>
            </w:r>
            <w:r>
              <w:rPr>
                <w:spacing w:val="-4"/>
                <w:sz w:val="24"/>
              </w:rPr>
              <w:t> </w:t>
            </w:r>
            <w:r>
              <w:rPr>
                <w:sz w:val="24"/>
              </w:rPr>
              <w:t>;</w:t>
            </w:r>
          </w:p>
          <w:p>
            <w:pPr>
              <w:pStyle w:val="TableParagraph"/>
              <w:numPr>
                <w:ilvl w:val="0"/>
                <w:numId w:val="106"/>
              </w:numPr>
              <w:tabs>
                <w:tab w:pos="427" w:val="left" w:leader="none"/>
              </w:tabs>
              <w:spacing w:line="240" w:lineRule="auto" w:before="1" w:after="0"/>
              <w:ind w:left="426" w:right="0" w:hanging="284"/>
              <w:jc w:val="left"/>
              <w:rPr>
                <w:sz w:val="24"/>
              </w:rPr>
            </w:pPr>
            <w:r>
              <w:rPr>
                <w:sz w:val="24"/>
              </w:rPr>
              <w:t>Membre : représentant de la structure demandeuse (éventuellement)</w:t>
            </w:r>
            <w:r>
              <w:rPr>
                <w:spacing w:val="-6"/>
                <w:sz w:val="24"/>
              </w:rPr>
              <w:t> </w:t>
            </w:r>
            <w:r>
              <w:rPr>
                <w:sz w:val="24"/>
              </w:rPr>
              <w:t>;</w:t>
            </w:r>
          </w:p>
          <w:p>
            <w:pPr>
              <w:pStyle w:val="TableParagraph"/>
              <w:spacing w:line="270" w:lineRule="atLeast" w:before="117"/>
              <w:ind w:left="109"/>
              <w:rPr>
                <w:sz w:val="24"/>
              </w:rPr>
            </w:pPr>
            <w:r>
              <w:rPr>
                <w:sz w:val="24"/>
              </w:rPr>
              <w:t>La composition de la commission d’évaluation peut être renforcée par toute autre compétence du domaine de l’achat concerné.</w:t>
            </w:r>
          </w:p>
        </w:tc>
      </w:tr>
      <w:tr>
        <w:trPr>
          <w:trHeight w:val="1269"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194"/>
              <w:ind w:left="107"/>
              <w:rPr>
                <w:b/>
                <w:sz w:val="24"/>
              </w:rPr>
            </w:pPr>
            <w:r>
              <w:rPr>
                <w:b/>
                <w:sz w:val="24"/>
              </w:rPr>
              <w:t>Attributions</w:t>
            </w:r>
          </w:p>
        </w:tc>
        <w:tc>
          <w:tcPr>
            <w:tcW w:w="7717" w:type="dxa"/>
            <w:tcBorders>
              <w:top w:val="single" w:sz="2" w:space="0" w:color="000000"/>
              <w:bottom w:val="single" w:sz="2" w:space="0" w:color="000000"/>
            </w:tcBorders>
          </w:tcPr>
          <w:p>
            <w:pPr>
              <w:pStyle w:val="TableParagraph"/>
              <w:numPr>
                <w:ilvl w:val="0"/>
                <w:numId w:val="107"/>
              </w:numPr>
              <w:tabs>
                <w:tab w:pos="427" w:val="left" w:leader="none"/>
              </w:tabs>
              <w:spacing w:line="237" w:lineRule="auto" w:before="200" w:after="0"/>
              <w:ind w:left="426" w:right="64" w:hanging="284"/>
              <w:jc w:val="left"/>
              <w:rPr>
                <w:sz w:val="24"/>
              </w:rPr>
            </w:pPr>
            <w:r>
              <w:rPr>
                <w:sz w:val="24"/>
              </w:rPr>
              <w:t>Effectuer l’évaluation et l'analyse des offres en application de la méthodologie fixée dans le cahier des charges</w:t>
            </w:r>
            <w:r>
              <w:rPr>
                <w:spacing w:val="-1"/>
                <w:sz w:val="24"/>
              </w:rPr>
              <w:t> </w:t>
            </w:r>
            <w:r>
              <w:rPr>
                <w:sz w:val="24"/>
              </w:rPr>
              <w:t>;</w:t>
            </w:r>
          </w:p>
          <w:p>
            <w:pPr>
              <w:pStyle w:val="TableParagraph"/>
              <w:numPr>
                <w:ilvl w:val="0"/>
                <w:numId w:val="107"/>
              </w:numPr>
              <w:tabs>
                <w:tab w:pos="427" w:val="left" w:leader="none"/>
              </w:tabs>
              <w:spacing w:line="240" w:lineRule="auto" w:before="2" w:after="0"/>
              <w:ind w:left="426" w:right="0" w:hanging="284"/>
              <w:jc w:val="left"/>
              <w:rPr>
                <w:sz w:val="24"/>
              </w:rPr>
            </w:pPr>
            <w:r>
              <w:rPr>
                <w:sz w:val="24"/>
              </w:rPr>
              <w:t>Rédiger le rapport d’évaluation des</w:t>
            </w:r>
            <w:r>
              <w:rPr>
                <w:spacing w:val="-3"/>
                <w:sz w:val="24"/>
              </w:rPr>
              <w:t> </w:t>
            </w:r>
            <w:r>
              <w:rPr>
                <w:sz w:val="24"/>
              </w:rPr>
              <w:t>offres</w:t>
            </w:r>
          </w:p>
        </w:tc>
      </w:tr>
      <w:tr>
        <w:trPr>
          <w:trHeight w:val="549" w:hRule="atLeast"/>
        </w:trPr>
        <w:tc>
          <w:tcPr>
            <w:tcW w:w="2139" w:type="dxa"/>
            <w:tcBorders>
              <w:top w:val="single" w:sz="2" w:space="0" w:color="000000"/>
            </w:tcBorders>
          </w:tcPr>
          <w:p>
            <w:pPr>
              <w:pStyle w:val="TableParagraph"/>
              <w:spacing w:line="273" w:lineRule="exact"/>
              <w:ind w:left="107"/>
              <w:rPr>
                <w:b/>
                <w:sz w:val="24"/>
              </w:rPr>
            </w:pPr>
            <w:r>
              <w:rPr>
                <w:b/>
                <w:sz w:val="24"/>
              </w:rPr>
              <w:t>Quorum (présence</w:t>
            </w:r>
          </w:p>
          <w:p>
            <w:pPr>
              <w:pStyle w:val="TableParagraph"/>
              <w:spacing w:line="256" w:lineRule="exact"/>
              <w:ind w:left="107"/>
              <w:rPr>
                <w:b/>
                <w:sz w:val="24"/>
              </w:rPr>
            </w:pPr>
            <w:r>
              <w:rPr>
                <w:b/>
                <w:sz w:val="24"/>
              </w:rPr>
              <w:t>/signature)</w:t>
            </w:r>
          </w:p>
        </w:tc>
        <w:tc>
          <w:tcPr>
            <w:tcW w:w="7717" w:type="dxa"/>
            <w:tcBorders>
              <w:top w:val="single" w:sz="2" w:space="0" w:color="000000"/>
            </w:tcBorders>
          </w:tcPr>
          <w:p>
            <w:pPr>
              <w:pStyle w:val="TableParagraph"/>
              <w:spacing w:line="268" w:lineRule="exact"/>
              <w:ind w:left="109"/>
              <w:rPr>
                <w:sz w:val="24"/>
              </w:rPr>
            </w:pPr>
            <w:r>
              <w:rPr>
                <w:sz w:val="24"/>
              </w:rPr>
              <w:t>Le rapport d'évaluation doit être signé par tous les membres de la commission</w:t>
            </w:r>
          </w:p>
          <w:p>
            <w:pPr>
              <w:pStyle w:val="TableParagraph"/>
              <w:spacing w:line="261" w:lineRule="exact"/>
              <w:ind w:left="109"/>
              <w:rPr>
                <w:sz w:val="24"/>
              </w:rPr>
            </w:pPr>
            <w:r>
              <w:rPr>
                <w:sz w:val="24"/>
              </w:rPr>
              <w:t>d’évaluation ad-hoc</w:t>
            </w:r>
          </w:p>
        </w:tc>
      </w:tr>
    </w:tbl>
    <w:p>
      <w:pPr>
        <w:spacing w:after="0" w:line="261" w:lineRule="exact"/>
        <w:rPr>
          <w:sz w:val="24"/>
        </w:rPr>
        <w:sectPr>
          <w:pgSz w:w="11910" w:h="16840"/>
          <w:pgMar w:header="722" w:footer="0" w:top="1860" w:bottom="280" w:left="700" w:right="380"/>
        </w:sectPr>
      </w:pPr>
    </w:p>
    <w:p>
      <w:pPr>
        <w:pStyle w:val="BodyText"/>
        <w:spacing w:before="8"/>
        <w:ind w:left="0" w:firstLine="0"/>
        <w:jc w:val="left"/>
        <w:rPr>
          <w:b/>
          <w:sz w:val="16"/>
        </w:rPr>
      </w:pPr>
    </w:p>
    <w:p>
      <w:pPr>
        <w:pStyle w:val="Heading2"/>
        <w:spacing w:line="276" w:lineRule="auto"/>
        <w:ind w:left="3642" w:right="1368" w:hanging="2588"/>
        <w:jc w:val="left"/>
      </w:pPr>
      <w:bookmarkStart w:name="_TOC_250016" w:id="127"/>
      <w:bookmarkEnd w:id="127"/>
      <w:r>
        <w:rPr/>
        <w:t>Annexe n°6 : Fiche identification Commission d’Evaluation des Offres d’Affrètements des navires</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39"/>
        <w:gridCol w:w="7717"/>
      </w:tblGrid>
      <w:tr>
        <w:trPr>
          <w:trHeight w:val="550" w:hRule="atLeast"/>
        </w:trPr>
        <w:tc>
          <w:tcPr>
            <w:tcW w:w="2139" w:type="dxa"/>
          </w:tcPr>
          <w:p>
            <w:pPr>
              <w:pStyle w:val="TableParagraph"/>
              <w:tabs>
                <w:tab w:pos="1790" w:val="left" w:leader="none"/>
              </w:tabs>
              <w:spacing w:line="272" w:lineRule="exact"/>
              <w:ind w:left="107"/>
              <w:rPr>
                <w:b/>
                <w:sz w:val="24"/>
              </w:rPr>
            </w:pPr>
            <w:r>
              <w:rPr>
                <w:b/>
                <w:sz w:val="24"/>
              </w:rPr>
              <w:t>Dénomination</w:t>
              <w:tab/>
              <w:t>de</w:t>
            </w:r>
          </w:p>
          <w:p>
            <w:pPr>
              <w:pStyle w:val="TableParagraph"/>
              <w:spacing w:line="258" w:lineRule="exact"/>
              <w:ind w:left="107"/>
              <w:rPr>
                <w:b/>
                <w:sz w:val="24"/>
              </w:rPr>
            </w:pPr>
            <w:r>
              <w:rPr>
                <w:b/>
                <w:sz w:val="24"/>
              </w:rPr>
              <w:t>l’organe</w:t>
            </w:r>
          </w:p>
        </w:tc>
        <w:tc>
          <w:tcPr>
            <w:tcW w:w="7717" w:type="dxa"/>
          </w:tcPr>
          <w:p>
            <w:pPr>
              <w:pStyle w:val="TableParagraph"/>
              <w:spacing w:before="135"/>
              <w:ind w:left="109"/>
              <w:rPr>
                <w:b/>
                <w:sz w:val="24"/>
              </w:rPr>
            </w:pPr>
            <w:r>
              <w:rPr>
                <w:b/>
                <w:sz w:val="24"/>
              </w:rPr>
              <w:t>Commission d’Evaluation des Offres d’Affrètements des navires</w:t>
            </w:r>
          </w:p>
        </w:tc>
      </w:tr>
      <w:tr>
        <w:trPr>
          <w:trHeight w:val="649" w:hRule="atLeast"/>
        </w:trPr>
        <w:tc>
          <w:tcPr>
            <w:tcW w:w="2139" w:type="dxa"/>
            <w:tcBorders>
              <w:bottom w:val="single" w:sz="2" w:space="0" w:color="000000"/>
            </w:tcBorders>
          </w:tcPr>
          <w:p>
            <w:pPr>
              <w:pStyle w:val="TableParagraph"/>
              <w:spacing w:before="185"/>
              <w:ind w:left="107"/>
              <w:rPr>
                <w:b/>
                <w:sz w:val="24"/>
              </w:rPr>
            </w:pPr>
            <w:r>
              <w:rPr>
                <w:b/>
                <w:sz w:val="24"/>
              </w:rPr>
              <w:t>Type</w:t>
            </w:r>
          </w:p>
        </w:tc>
        <w:tc>
          <w:tcPr>
            <w:tcW w:w="7717" w:type="dxa"/>
            <w:tcBorders>
              <w:bottom w:val="single" w:sz="2" w:space="0" w:color="000000"/>
            </w:tcBorders>
          </w:tcPr>
          <w:p>
            <w:pPr>
              <w:pStyle w:val="TableParagraph"/>
              <w:spacing w:before="180"/>
              <w:ind w:left="109"/>
              <w:rPr>
                <w:sz w:val="24"/>
              </w:rPr>
            </w:pPr>
            <w:r>
              <w:rPr>
                <w:sz w:val="24"/>
              </w:rPr>
              <w:t>Commission interne permanente</w:t>
            </w:r>
          </w:p>
        </w:tc>
      </w:tr>
      <w:tr>
        <w:trPr>
          <w:trHeight w:val="689" w:hRule="atLeast"/>
        </w:trPr>
        <w:tc>
          <w:tcPr>
            <w:tcW w:w="2139" w:type="dxa"/>
            <w:tcBorders>
              <w:top w:val="single" w:sz="2" w:space="0" w:color="000000"/>
              <w:bottom w:val="single" w:sz="2" w:space="0" w:color="000000"/>
            </w:tcBorders>
          </w:tcPr>
          <w:p>
            <w:pPr>
              <w:pStyle w:val="TableParagraph"/>
              <w:spacing w:before="203"/>
              <w:ind w:left="107"/>
              <w:rPr>
                <w:b/>
                <w:sz w:val="24"/>
              </w:rPr>
            </w:pPr>
            <w:r>
              <w:rPr>
                <w:b/>
                <w:sz w:val="24"/>
              </w:rPr>
              <w:t>Désignation</w:t>
            </w:r>
          </w:p>
        </w:tc>
        <w:tc>
          <w:tcPr>
            <w:tcW w:w="7717" w:type="dxa"/>
            <w:tcBorders>
              <w:top w:val="single" w:sz="2" w:space="0" w:color="000000"/>
              <w:bottom w:val="single" w:sz="2" w:space="0" w:color="000000"/>
            </w:tcBorders>
          </w:tcPr>
          <w:p>
            <w:pPr>
              <w:pStyle w:val="TableParagraph"/>
              <w:spacing w:line="270" w:lineRule="atLeast" w:before="122"/>
              <w:ind w:left="109"/>
              <w:rPr>
                <w:sz w:val="24"/>
              </w:rPr>
            </w:pPr>
            <w:r>
              <w:rPr>
                <w:sz w:val="24"/>
              </w:rPr>
              <w:t>Désignée par une note organisationnelle émise par la Direction Générale du GCT</w:t>
            </w:r>
          </w:p>
        </w:tc>
      </w:tr>
      <w:tr>
        <w:trPr>
          <w:trHeight w:val="827" w:hRule="atLeast"/>
        </w:trPr>
        <w:tc>
          <w:tcPr>
            <w:tcW w:w="2139" w:type="dxa"/>
            <w:tcBorders>
              <w:top w:val="single" w:sz="2" w:space="0" w:color="000000"/>
              <w:bottom w:val="single" w:sz="2" w:space="0" w:color="000000"/>
            </w:tcBorders>
          </w:tcPr>
          <w:p>
            <w:pPr>
              <w:pStyle w:val="TableParagraph"/>
              <w:spacing w:before="133"/>
              <w:ind w:left="107" w:right="700"/>
              <w:rPr>
                <w:b/>
                <w:sz w:val="24"/>
              </w:rPr>
            </w:pPr>
            <w:r>
              <w:rPr>
                <w:b/>
                <w:sz w:val="24"/>
              </w:rPr>
              <w:t>Compétence (mDT)</w:t>
            </w:r>
          </w:p>
        </w:tc>
        <w:tc>
          <w:tcPr>
            <w:tcW w:w="7717" w:type="dxa"/>
            <w:tcBorders>
              <w:top w:val="single" w:sz="2" w:space="0" w:color="000000"/>
              <w:bottom w:val="single" w:sz="2" w:space="0" w:color="000000"/>
            </w:tcBorders>
          </w:tcPr>
          <w:p>
            <w:pPr>
              <w:pStyle w:val="TableParagraph"/>
              <w:spacing w:before="3"/>
              <w:rPr>
                <w:b/>
                <w:sz w:val="23"/>
              </w:rPr>
            </w:pPr>
          </w:p>
          <w:p>
            <w:pPr>
              <w:pStyle w:val="TableParagraph"/>
              <w:ind w:left="109"/>
              <w:rPr>
                <w:b/>
                <w:sz w:val="24"/>
              </w:rPr>
            </w:pPr>
            <w:r>
              <w:rPr>
                <w:sz w:val="24"/>
              </w:rPr>
              <w:t>Affrètement des navires : </w:t>
            </w:r>
            <w:r>
              <w:rPr>
                <w:b/>
                <w:sz w:val="24"/>
              </w:rPr>
              <w:t>Tous les seuils</w:t>
            </w:r>
          </w:p>
        </w:tc>
      </w:tr>
      <w:tr>
        <w:trPr>
          <w:trHeight w:val="2273" w:hRule="atLeast"/>
        </w:trPr>
        <w:tc>
          <w:tcPr>
            <w:tcW w:w="2139"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spacing w:before="6"/>
              <w:rPr>
                <w:b/>
                <w:sz w:val="34"/>
              </w:rPr>
            </w:pPr>
          </w:p>
          <w:p>
            <w:pPr>
              <w:pStyle w:val="TableParagraph"/>
              <w:ind w:left="107"/>
              <w:rPr>
                <w:b/>
                <w:sz w:val="24"/>
              </w:rPr>
            </w:pPr>
            <w:r>
              <w:rPr>
                <w:b/>
                <w:sz w:val="24"/>
              </w:rPr>
              <w:t>Composition</w:t>
            </w:r>
          </w:p>
        </w:tc>
        <w:tc>
          <w:tcPr>
            <w:tcW w:w="7717" w:type="dxa"/>
            <w:tcBorders>
              <w:top w:val="single" w:sz="2" w:space="0" w:color="000000"/>
              <w:bottom w:val="single" w:sz="2" w:space="0" w:color="000000"/>
            </w:tcBorders>
          </w:tcPr>
          <w:p>
            <w:pPr>
              <w:pStyle w:val="TableParagraph"/>
              <w:numPr>
                <w:ilvl w:val="0"/>
                <w:numId w:val="108"/>
              </w:numPr>
              <w:tabs>
                <w:tab w:pos="469" w:val="left" w:leader="none"/>
                <w:tab w:pos="470" w:val="left" w:leader="none"/>
              </w:tabs>
              <w:spacing w:line="293" w:lineRule="exact" w:before="207" w:after="0"/>
              <w:ind w:left="469" w:right="0" w:hanging="361"/>
              <w:jc w:val="left"/>
              <w:rPr>
                <w:sz w:val="24"/>
              </w:rPr>
            </w:pPr>
            <w:r>
              <w:rPr>
                <w:sz w:val="24"/>
              </w:rPr>
              <w:t>Président : </w:t>
            </w:r>
            <w:r>
              <w:rPr>
                <w:spacing w:val="-3"/>
                <w:sz w:val="24"/>
              </w:rPr>
              <w:t>Le </w:t>
            </w:r>
            <w:r>
              <w:rPr>
                <w:sz w:val="24"/>
              </w:rPr>
              <w:t>responsable de la structure chargée des Affrètements,</w:t>
            </w:r>
          </w:p>
          <w:p>
            <w:pPr>
              <w:pStyle w:val="TableParagraph"/>
              <w:numPr>
                <w:ilvl w:val="0"/>
                <w:numId w:val="108"/>
              </w:numPr>
              <w:tabs>
                <w:tab w:pos="469" w:val="left" w:leader="none"/>
                <w:tab w:pos="470" w:val="left" w:leader="none"/>
              </w:tabs>
              <w:spacing w:line="293" w:lineRule="exact" w:before="0" w:after="0"/>
              <w:ind w:left="469" w:right="0" w:hanging="361"/>
              <w:jc w:val="left"/>
              <w:rPr>
                <w:sz w:val="24"/>
              </w:rPr>
            </w:pPr>
            <w:r>
              <w:rPr>
                <w:sz w:val="24"/>
              </w:rPr>
              <w:t>Membre : représentant de la structure chargée des</w:t>
            </w:r>
            <w:r>
              <w:rPr>
                <w:spacing w:val="-6"/>
                <w:sz w:val="24"/>
              </w:rPr>
              <w:t> </w:t>
            </w:r>
            <w:r>
              <w:rPr>
                <w:sz w:val="24"/>
              </w:rPr>
              <w:t>Affrètements,</w:t>
            </w:r>
          </w:p>
          <w:p>
            <w:pPr>
              <w:pStyle w:val="TableParagraph"/>
              <w:numPr>
                <w:ilvl w:val="0"/>
                <w:numId w:val="108"/>
              </w:numPr>
              <w:tabs>
                <w:tab w:pos="469" w:val="left" w:leader="none"/>
                <w:tab w:pos="470" w:val="left" w:leader="none"/>
              </w:tabs>
              <w:spacing w:line="293" w:lineRule="exact" w:before="0" w:after="0"/>
              <w:ind w:left="469" w:right="0" w:hanging="361"/>
              <w:jc w:val="left"/>
              <w:rPr>
                <w:sz w:val="24"/>
              </w:rPr>
            </w:pPr>
            <w:r>
              <w:rPr>
                <w:sz w:val="24"/>
              </w:rPr>
              <w:t>Membre : représentant de la structure chargée des</w:t>
            </w:r>
            <w:r>
              <w:rPr>
                <w:spacing w:val="-5"/>
                <w:sz w:val="24"/>
              </w:rPr>
              <w:t> </w:t>
            </w:r>
            <w:r>
              <w:rPr>
                <w:sz w:val="24"/>
              </w:rPr>
              <w:t>Finances,</w:t>
            </w:r>
          </w:p>
          <w:p>
            <w:pPr>
              <w:pStyle w:val="TableParagraph"/>
              <w:numPr>
                <w:ilvl w:val="0"/>
                <w:numId w:val="108"/>
              </w:numPr>
              <w:tabs>
                <w:tab w:pos="469" w:val="left" w:leader="none"/>
                <w:tab w:pos="470" w:val="left" w:leader="none"/>
              </w:tabs>
              <w:spacing w:line="293" w:lineRule="exact" w:before="0" w:after="0"/>
              <w:ind w:left="469" w:right="0" w:hanging="361"/>
              <w:jc w:val="left"/>
              <w:rPr>
                <w:sz w:val="24"/>
              </w:rPr>
            </w:pPr>
            <w:r>
              <w:rPr>
                <w:sz w:val="24"/>
              </w:rPr>
              <w:t>Membre : représentant de la structure chargée du</w:t>
            </w:r>
            <w:r>
              <w:rPr>
                <w:spacing w:val="-5"/>
                <w:sz w:val="24"/>
              </w:rPr>
              <w:t> </w:t>
            </w:r>
            <w:r>
              <w:rPr>
                <w:sz w:val="24"/>
              </w:rPr>
              <w:t>Commercial,</w:t>
            </w:r>
          </w:p>
          <w:p>
            <w:pPr>
              <w:pStyle w:val="TableParagraph"/>
              <w:spacing w:before="119"/>
              <w:ind w:left="469"/>
              <w:rPr>
                <w:sz w:val="24"/>
              </w:rPr>
            </w:pPr>
            <w:r>
              <w:rPr>
                <w:sz w:val="24"/>
              </w:rPr>
              <w:t>Le président de la commission peut faire appel, en cas de besoin, à tout cadre du GCT.</w:t>
            </w:r>
          </w:p>
        </w:tc>
      </w:tr>
      <w:tr>
        <w:trPr>
          <w:trHeight w:val="1269"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194"/>
              <w:ind w:left="107"/>
              <w:rPr>
                <w:b/>
                <w:sz w:val="24"/>
              </w:rPr>
            </w:pPr>
            <w:r>
              <w:rPr>
                <w:b/>
                <w:sz w:val="24"/>
              </w:rPr>
              <w:t>Attributions</w:t>
            </w:r>
          </w:p>
        </w:tc>
        <w:tc>
          <w:tcPr>
            <w:tcW w:w="7717" w:type="dxa"/>
            <w:tcBorders>
              <w:top w:val="single" w:sz="2" w:space="0" w:color="000000"/>
              <w:bottom w:val="single" w:sz="2" w:space="0" w:color="000000"/>
            </w:tcBorders>
          </w:tcPr>
          <w:p>
            <w:pPr>
              <w:pStyle w:val="TableParagraph"/>
              <w:numPr>
                <w:ilvl w:val="0"/>
                <w:numId w:val="109"/>
              </w:numPr>
              <w:tabs>
                <w:tab w:pos="427" w:val="left" w:leader="none"/>
              </w:tabs>
              <w:spacing w:line="237" w:lineRule="auto" w:before="200" w:after="0"/>
              <w:ind w:left="426" w:right="67" w:hanging="284"/>
              <w:jc w:val="left"/>
              <w:rPr>
                <w:sz w:val="24"/>
              </w:rPr>
            </w:pPr>
            <w:r>
              <w:rPr>
                <w:sz w:val="24"/>
              </w:rPr>
              <w:t>Effectuer l’évaluation et l'analyse des offres d’affrètement en application de la méthodologie fixée dans le GCT TERMS</w:t>
            </w:r>
            <w:r>
              <w:rPr>
                <w:spacing w:val="-2"/>
                <w:sz w:val="24"/>
              </w:rPr>
              <w:t> </w:t>
            </w:r>
            <w:r>
              <w:rPr>
                <w:sz w:val="24"/>
              </w:rPr>
              <w:t>;</w:t>
            </w:r>
          </w:p>
          <w:p>
            <w:pPr>
              <w:pStyle w:val="TableParagraph"/>
              <w:numPr>
                <w:ilvl w:val="0"/>
                <w:numId w:val="109"/>
              </w:numPr>
              <w:tabs>
                <w:tab w:pos="427" w:val="left" w:leader="none"/>
              </w:tabs>
              <w:spacing w:line="240" w:lineRule="auto" w:before="2" w:after="0"/>
              <w:ind w:left="426" w:right="0" w:hanging="284"/>
              <w:jc w:val="left"/>
              <w:rPr>
                <w:sz w:val="24"/>
              </w:rPr>
            </w:pPr>
            <w:r>
              <w:rPr>
                <w:sz w:val="24"/>
              </w:rPr>
              <w:t>Rédiger le rapport d’évaluation des</w:t>
            </w:r>
            <w:r>
              <w:rPr>
                <w:spacing w:val="-3"/>
                <w:sz w:val="24"/>
              </w:rPr>
              <w:t> </w:t>
            </w:r>
            <w:r>
              <w:rPr>
                <w:sz w:val="24"/>
              </w:rPr>
              <w:t>offres.</w:t>
            </w:r>
          </w:p>
        </w:tc>
      </w:tr>
      <w:tr>
        <w:trPr>
          <w:trHeight w:val="548" w:hRule="atLeast"/>
        </w:trPr>
        <w:tc>
          <w:tcPr>
            <w:tcW w:w="2139" w:type="dxa"/>
            <w:tcBorders>
              <w:top w:val="single" w:sz="2" w:space="0" w:color="000000"/>
            </w:tcBorders>
          </w:tcPr>
          <w:p>
            <w:pPr>
              <w:pStyle w:val="TableParagraph"/>
              <w:spacing w:line="273" w:lineRule="exact"/>
              <w:ind w:left="107"/>
              <w:rPr>
                <w:b/>
                <w:sz w:val="24"/>
              </w:rPr>
            </w:pPr>
            <w:r>
              <w:rPr>
                <w:b/>
                <w:sz w:val="24"/>
              </w:rPr>
              <w:t>Quorum (présence</w:t>
            </w:r>
          </w:p>
          <w:p>
            <w:pPr>
              <w:pStyle w:val="TableParagraph"/>
              <w:spacing w:line="256" w:lineRule="exact"/>
              <w:ind w:left="107"/>
              <w:rPr>
                <w:b/>
                <w:sz w:val="24"/>
              </w:rPr>
            </w:pPr>
            <w:r>
              <w:rPr>
                <w:b/>
                <w:sz w:val="24"/>
              </w:rPr>
              <w:t>/signature)</w:t>
            </w:r>
          </w:p>
        </w:tc>
        <w:tc>
          <w:tcPr>
            <w:tcW w:w="7717" w:type="dxa"/>
            <w:tcBorders>
              <w:top w:val="single" w:sz="2" w:space="0" w:color="000000"/>
            </w:tcBorders>
          </w:tcPr>
          <w:p>
            <w:pPr>
              <w:pStyle w:val="TableParagraph"/>
              <w:spacing w:line="268" w:lineRule="exact"/>
              <w:ind w:left="109"/>
              <w:rPr>
                <w:sz w:val="24"/>
              </w:rPr>
            </w:pPr>
            <w:r>
              <w:rPr>
                <w:sz w:val="24"/>
              </w:rPr>
              <w:t>Le rapport d'évaluation doit être signé par tous les membres de la commission</w:t>
            </w:r>
          </w:p>
          <w:p>
            <w:pPr>
              <w:pStyle w:val="TableParagraph"/>
              <w:spacing w:line="261" w:lineRule="exact"/>
              <w:ind w:left="109"/>
              <w:rPr>
                <w:sz w:val="24"/>
              </w:rPr>
            </w:pPr>
            <w:r>
              <w:rPr>
                <w:sz w:val="24"/>
              </w:rPr>
              <w:t>d’évaluation des offres d’affrètement</w:t>
            </w:r>
          </w:p>
        </w:tc>
      </w:tr>
    </w:tbl>
    <w:p>
      <w:pPr>
        <w:spacing w:after="0" w:line="261" w:lineRule="exact"/>
        <w:rPr>
          <w:sz w:val="24"/>
        </w:rPr>
        <w:sectPr>
          <w:pgSz w:w="11910" w:h="16840"/>
          <w:pgMar w:header="722" w:footer="0" w:top="186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rPr>
                <w:b/>
                <w:sz w:val="25"/>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viii</w:t>
            </w:r>
          </w:p>
        </w:tc>
      </w:tr>
    </w:tbl>
    <w:p>
      <w:pPr>
        <w:pStyle w:val="BodyText"/>
        <w:spacing w:before="11"/>
        <w:ind w:left="0" w:firstLine="0"/>
        <w:jc w:val="left"/>
        <w:rPr>
          <w:b/>
          <w:sz w:val="13"/>
        </w:rPr>
      </w:pPr>
    </w:p>
    <w:p>
      <w:pPr>
        <w:pStyle w:val="Heading2"/>
        <w:spacing w:line="278" w:lineRule="auto"/>
        <w:ind w:left="2649" w:right="903" w:hanging="2055"/>
        <w:jc w:val="left"/>
      </w:pPr>
      <w:bookmarkStart w:name="_TOC_250015" w:id="128"/>
      <w:bookmarkEnd w:id="128"/>
      <w:r>
        <w:rPr/>
        <w:t>Annexe n°7 : Fiche d’identification Commissions Régionales des Achats (CRA Tunis, CRA Gabes, CRA Gafsa, CRA Sfax)</w:t>
      </w:r>
    </w:p>
    <w:p>
      <w:pPr>
        <w:pStyle w:val="BodyText"/>
        <w:spacing w:before="9"/>
        <w:ind w:left="0" w:firstLine="0"/>
        <w:jc w:val="left"/>
        <w:rPr>
          <w:b/>
          <w:sz w:val="20"/>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68"/>
        <w:gridCol w:w="7948"/>
      </w:tblGrid>
      <w:tr>
        <w:trPr>
          <w:trHeight w:val="550" w:hRule="atLeast"/>
        </w:trPr>
        <w:tc>
          <w:tcPr>
            <w:tcW w:w="1668" w:type="dxa"/>
          </w:tcPr>
          <w:p>
            <w:pPr>
              <w:pStyle w:val="TableParagraph"/>
              <w:spacing w:line="272" w:lineRule="exact"/>
              <w:ind w:left="107"/>
              <w:rPr>
                <w:b/>
                <w:sz w:val="24"/>
              </w:rPr>
            </w:pPr>
            <w:r>
              <w:rPr>
                <w:b/>
                <w:sz w:val="24"/>
              </w:rPr>
              <w:t>Dénomination</w:t>
            </w:r>
          </w:p>
          <w:p>
            <w:pPr>
              <w:pStyle w:val="TableParagraph"/>
              <w:spacing w:line="258" w:lineRule="exact"/>
              <w:ind w:left="107"/>
              <w:rPr>
                <w:b/>
                <w:sz w:val="24"/>
              </w:rPr>
            </w:pPr>
            <w:r>
              <w:rPr>
                <w:b/>
                <w:sz w:val="24"/>
              </w:rPr>
              <w:t>de l’organe</w:t>
            </w:r>
          </w:p>
        </w:tc>
        <w:tc>
          <w:tcPr>
            <w:tcW w:w="7948" w:type="dxa"/>
          </w:tcPr>
          <w:p>
            <w:pPr>
              <w:pStyle w:val="TableParagraph"/>
              <w:spacing w:line="272" w:lineRule="exact"/>
              <w:ind w:left="109"/>
              <w:rPr>
                <w:b/>
                <w:sz w:val="24"/>
              </w:rPr>
            </w:pPr>
            <w:r>
              <w:rPr>
                <w:b/>
                <w:sz w:val="24"/>
              </w:rPr>
              <w:t>Commissions Régionales des Achats</w:t>
            </w:r>
          </w:p>
          <w:p>
            <w:pPr>
              <w:pStyle w:val="TableParagraph"/>
              <w:spacing w:line="258" w:lineRule="exact"/>
              <w:ind w:left="109"/>
              <w:rPr>
                <w:b/>
                <w:sz w:val="24"/>
              </w:rPr>
            </w:pPr>
            <w:r>
              <w:rPr>
                <w:b/>
                <w:sz w:val="24"/>
              </w:rPr>
              <w:t>(CRA Tunis, CRA Gabes, CRA Gafsa, CRA Sfax)</w:t>
            </w:r>
          </w:p>
        </w:tc>
      </w:tr>
      <w:tr>
        <w:trPr>
          <w:trHeight w:val="356" w:hRule="atLeast"/>
        </w:trPr>
        <w:tc>
          <w:tcPr>
            <w:tcW w:w="1668" w:type="dxa"/>
            <w:tcBorders>
              <w:bottom w:val="single" w:sz="4" w:space="0" w:color="000000"/>
            </w:tcBorders>
          </w:tcPr>
          <w:p>
            <w:pPr>
              <w:pStyle w:val="TableParagraph"/>
              <w:spacing w:before="39"/>
              <w:ind w:left="107"/>
              <w:rPr>
                <w:b/>
                <w:sz w:val="24"/>
              </w:rPr>
            </w:pPr>
            <w:r>
              <w:rPr>
                <w:b/>
                <w:sz w:val="24"/>
              </w:rPr>
              <w:t>Type</w:t>
            </w:r>
          </w:p>
        </w:tc>
        <w:tc>
          <w:tcPr>
            <w:tcW w:w="7948" w:type="dxa"/>
            <w:tcBorders>
              <w:bottom w:val="single" w:sz="4" w:space="0" w:color="000000"/>
            </w:tcBorders>
          </w:tcPr>
          <w:p>
            <w:pPr>
              <w:pStyle w:val="TableParagraph"/>
              <w:spacing w:before="34"/>
              <w:ind w:left="109"/>
              <w:rPr>
                <w:sz w:val="24"/>
              </w:rPr>
            </w:pPr>
            <w:r>
              <w:rPr>
                <w:sz w:val="24"/>
              </w:rPr>
              <w:t>Commissions Internes Permanentes</w:t>
            </w:r>
          </w:p>
        </w:tc>
      </w:tr>
      <w:tr>
        <w:trPr>
          <w:trHeight w:val="672" w:hRule="atLeast"/>
        </w:trPr>
        <w:tc>
          <w:tcPr>
            <w:tcW w:w="1668" w:type="dxa"/>
            <w:tcBorders>
              <w:top w:val="single" w:sz="4" w:space="0" w:color="000000"/>
              <w:bottom w:val="single" w:sz="2" w:space="0" w:color="000000"/>
            </w:tcBorders>
          </w:tcPr>
          <w:p>
            <w:pPr>
              <w:pStyle w:val="TableParagraph"/>
              <w:spacing w:before="195"/>
              <w:ind w:left="107"/>
              <w:rPr>
                <w:b/>
                <w:sz w:val="24"/>
              </w:rPr>
            </w:pPr>
            <w:r>
              <w:rPr>
                <w:b/>
                <w:sz w:val="24"/>
              </w:rPr>
              <w:t>Désignation</w:t>
            </w:r>
          </w:p>
        </w:tc>
        <w:tc>
          <w:tcPr>
            <w:tcW w:w="7948" w:type="dxa"/>
            <w:tcBorders>
              <w:top w:val="single" w:sz="4" w:space="0" w:color="000000"/>
              <w:bottom w:val="single" w:sz="4" w:space="0" w:color="000000"/>
            </w:tcBorders>
          </w:tcPr>
          <w:p>
            <w:pPr>
              <w:pStyle w:val="TableParagraph"/>
              <w:spacing w:line="270" w:lineRule="atLeast" w:before="111"/>
              <w:ind w:left="109"/>
              <w:rPr>
                <w:sz w:val="24"/>
              </w:rPr>
            </w:pPr>
            <w:r>
              <w:rPr>
                <w:sz w:val="24"/>
              </w:rPr>
              <w:t>Désignées par une note organisationnelle émise par la Direction Générale du GCT</w:t>
            </w:r>
          </w:p>
        </w:tc>
      </w:tr>
      <w:tr>
        <w:trPr>
          <w:trHeight w:val="1156" w:hRule="atLeast"/>
        </w:trPr>
        <w:tc>
          <w:tcPr>
            <w:tcW w:w="1668" w:type="dxa"/>
            <w:tcBorders>
              <w:top w:val="single" w:sz="2" w:space="0" w:color="000000"/>
              <w:bottom w:val="single" w:sz="2" w:space="0" w:color="000000"/>
            </w:tcBorders>
          </w:tcPr>
          <w:p>
            <w:pPr>
              <w:pStyle w:val="TableParagraph"/>
              <w:spacing w:before="11"/>
              <w:rPr>
                <w:b/>
                <w:sz w:val="25"/>
              </w:rPr>
            </w:pPr>
          </w:p>
          <w:p>
            <w:pPr>
              <w:pStyle w:val="TableParagraph"/>
              <w:ind w:left="107" w:right="229"/>
              <w:rPr>
                <w:b/>
                <w:sz w:val="24"/>
              </w:rPr>
            </w:pPr>
            <w:r>
              <w:rPr>
                <w:b/>
                <w:sz w:val="24"/>
              </w:rPr>
              <w:t>Compétence (mDT)</w:t>
            </w:r>
          </w:p>
        </w:tc>
        <w:tc>
          <w:tcPr>
            <w:tcW w:w="7948" w:type="dxa"/>
            <w:tcBorders>
              <w:top w:val="single" w:sz="4" w:space="0" w:color="000000"/>
              <w:bottom w:val="single" w:sz="2" w:space="0" w:color="000000"/>
            </w:tcBorders>
          </w:tcPr>
          <w:p>
            <w:pPr>
              <w:pStyle w:val="TableParagraph"/>
              <w:spacing w:line="268" w:lineRule="exact"/>
              <w:ind w:right="4740"/>
              <w:jc w:val="right"/>
              <w:rPr>
                <w:sz w:val="24"/>
              </w:rPr>
            </w:pPr>
            <w:r>
              <w:rPr>
                <w:sz w:val="24"/>
              </w:rPr>
              <w:t>Achat hors matières premières</w:t>
            </w:r>
            <w:r>
              <w:rPr>
                <w:spacing w:val="-6"/>
                <w:sz w:val="24"/>
              </w:rPr>
              <w:t> </w:t>
            </w:r>
            <w:r>
              <w:rPr>
                <w:sz w:val="24"/>
              </w:rPr>
              <w:t>:</w:t>
            </w:r>
          </w:p>
          <w:p>
            <w:pPr>
              <w:pStyle w:val="TableParagraph"/>
              <w:numPr>
                <w:ilvl w:val="0"/>
                <w:numId w:val="110"/>
              </w:numPr>
              <w:tabs>
                <w:tab w:pos="359" w:val="left" w:leader="none"/>
                <w:tab w:pos="360" w:val="left" w:leader="none"/>
              </w:tabs>
              <w:spacing w:line="240" w:lineRule="auto" w:before="2" w:after="0"/>
              <w:ind w:left="839" w:right="4763" w:hanging="840"/>
              <w:jc w:val="right"/>
              <w:rPr>
                <w:sz w:val="24"/>
              </w:rPr>
            </w:pPr>
            <w:r>
              <w:rPr>
                <w:sz w:val="24"/>
              </w:rPr>
              <w:t>Travaux (≥ 20 et &lt;</w:t>
            </w:r>
            <w:r>
              <w:rPr>
                <w:spacing w:val="-3"/>
                <w:sz w:val="24"/>
              </w:rPr>
              <w:t> </w:t>
            </w:r>
            <w:r>
              <w:rPr>
                <w:sz w:val="24"/>
              </w:rPr>
              <w:t>200)</w:t>
            </w:r>
          </w:p>
          <w:p>
            <w:pPr>
              <w:pStyle w:val="TableParagraph"/>
              <w:numPr>
                <w:ilvl w:val="0"/>
                <w:numId w:val="110"/>
              </w:numPr>
              <w:tabs>
                <w:tab w:pos="839" w:val="left" w:leader="none"/>
                <w:tab w:pos="840" w:val="left" w:leader="none"/>
              </w:tabs>
              <w:spacing w:line="293" w:lineRule="exact" w:before="1" w:after="0"/>
              <w:ind w:left="839" w:right="0" w:hanging="361"/>
              <w:jc w:val="left"/>
              <w:rPr>
                <w:sz w:val="24"/>
              </w:rPr>
            </w:pPr>
            <w:r>
              <w:rPr>
                <w:sz w:val="24"/>
              </w:rPr>
              <w:t>Fourniture de biens, d’équipements et services (≥ 20 et &lt;</w:t>
            </w:r>
            <w:r>
              <w:rPr>
                <w:spacing w:val="-1"/>
                <w:sz w:val="24"/>
              </w:rPr>
              <w:t> </w:t>
            </w:r>
            <w:r>
              <w:rPr>
                <w:sz w:val="24"/>
              </w:rPr>
              <w:t>200)</w:t>
            </w:r>
          </w:p>
          <w:p>
            <w:pPr>
              <w:pStyle w:val="TableParagraph"/>
              <w:numPr>
                <w:ilvl w:val="0"/>
                <w:numId w:val="110"/>
              </w:numPr>
              <w:tabs>
                <w:tab w:pos="839" w:val="left" w:leader="none"/>
                <w:tab w:pos="840" w:val="left" w:leader="none"/>
              </w:tabs>
              <w:spacing w:line="278" w:lineRule="exact" w:before="0" w:after="0"/>
              <w:ind w:left="839" w:right="0" w:hanging="361"/>
              <w:jc w:val="left"/>
              <w:rPr>
                <w:sz w:val="24"/>
              </w:rPr>
            </w:pPr>
            <w:r>
              <w:rPr>
                <w:sz w:val="24"/>
              </w:rPr>
              <w:t>Etudes</w:t>
            </w:r>
            <w:r>
              <w:rPr>
                <w:spacing w:val="-1"/>
                <w:sz w:val="24"/>
              </w:rPr>
              <w:t> </w:t>
            </w:r>
            <w:r>
              <w:rPr>
                <w:sz w:val="24"/>
              </w:rPr>
              <w:t>(&lt;15)</w:t>
            </w:r>
          </w:p>
        </w:tc>
      </w:tr>
      <w:tr>
        <w:trPr>
          <w:trHeight w:val="3665"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96"/>
              <w:ind w:left="107"/>
              <w:rPr>
                <w:b/>
                <w:sz w:val="24"/>
              </w:rPr>
            </w:pPr>
            <w:r>
              <w:rPr>
                <w:b/>
                <w:sz w:val="24"/>
              </w:rPr>
              <w:t>Composition</w:t>
            </w:r>
          </w:p>
        </w:tc>
        <w:tc>
          <w:tcPr>
            <w:tcW w:w="7948" w:type="dxa"/>
            <w:tcBorders>
              <w:top w:val="single" w:sz="2" w:space="0" w:color="000000"/>
              <w:bottom w:val="single" w:sz="2" w:space="0" w:color="000000"/>
            </w:tcBorders>
          </w:tcPr>
          <w:p>
            <w:pPr>
              <w:pStyle w:val="TableParagraph"/>
              <w:spacing w:before="40"/>
              <w:ind w:left="109"/>
              <w:rPr>
                <w:sz w:val="24"/>
              </w:rPr>
            </w:pPr>
            <w:r>
              <w:rPr>
                <w:sz w:val="24"/>
              </w:rPr>
              <w:t>La CRA est composée de :</w:t>
            </w:r>
          </w:p>
          <w:p>
            <w:pPr>
              <w:pStyle w:val="TableParagraph"/>
              <w:ind w:left="109" w:right="6001"/>
              <w:rPr>
                <w:sz w:val="24"/>
              </w:rPr>
            </w:pPr>
            <w:r>
              <w:rPr>
                <w:i/>
                <w:sz w:val="24"/>
              </w:rPr>
              <w:t>Président </w:t>
            </w:r>
            <w:r>
              <w:rPr>
                <w:i/>
                <w:sz w:val="24"/>
              </w:rPr>
              <w:t>Membres </w:t>
            </w:r>
            <w:r>
              <w:rPr>
                <w:sz w:val="24"/>
              </w:rPr>
              <w:t>:</w:t>
            </w:r>
          </w:p>
          <w:p>
            <w:pPr>
              <w:pStyle w:val="TableParagraph"/>
              <w:numPr>
                <w:ilvl w:val="0"/>
                <w:numId w:val="111"/>
              </w:numPr>
              <w:tabs>
                <w:tab w:pos="829" w:val="left" w:leader="none"/>
                <w:tab w:pos="831" w:val="left" w:leader="none"/>
              </w:tabs>
              <w:spacing w:line="293" w:lineRule="exact" w:before="2" w:after="0"/>
              <w:ind w:left="830" w:right="0" w:hanging="361"/>
              <w:jc w:val="left"/>
              <w:rPr>
                <w:sz w:val="24"/>
              </w:rPr>
            </w:pPr>
            <w:r>
              <w:rPr>
                <w:spacing w:val="-5"/>
                <w:sz w:val="24"/>
              </w:rPr>
              <w:t>Directeur </w:t>
            </w:r>
            <w:r>
              <w:rPr>
                <w:spacing w:val="-4"/>
                <w:sz w:val="24"/>
              </w:rPr>
              <w:t>des </w:t>
            </w:r>
            <w:r>
              <w:rPr>
                <w:spacing w:val="-5"/>
                <w:sz w:val="24"/>
              </w:rPr>
              <w:t>achats </w:t>
            </w:r>
            <w:r>
              <w:rPr>
                <w:spacing w:val="-3"/>
                <w:sz w:val="24"/>
              </w:rPr>
              <w:t>de la</w:t>
            </w:r>
            <w:r>
              <w:rPr>
                <w:spacing w:val="-36"/>
                <w:sz w:val="24"/>
              </w:rPr>
              <w:t> </w:t>
            </w:r>
            <w:r>
              <w:rPr>
                <w:spacing w:val="-5"/>
                <w:sz w:val="24"/>
              </w:rPr>
              <w:t>région</w:t>
            </w:r>
          </w:p>
          <w:p>
            <w:pPr>
              <w:pStyle w:val="TableParagraph"/>
              <w:numPr>
                <w:ilvl w:val="0"/>
                <w:numId w:val="111"/>
              </w:numPr>
              <w:tabs>
                <w:tab w:pos="829" w:val="left" w:leader="none"/>
                <w:tab w:pos="831" w:val="left" w:leader="none"/>
              </w:tabs>
              <w:spacing w:line="293" w:lineRule="exact" w:before="0" w:after="0"/>
              <w:ind w:left="830" w:right="0" w:hanging="361"/>
              <w:jc w:val="left"/>
              <w:rPr>
                <w:sz w:val="24"/>
              </w:rPr>
            </w:pPr>
            <w:r>
              <w:rPr>
                <w:spacing w:val="-5"/>
                <w:sz w:val="24"/>
              </w:rPr>
              <w:t>Représentant </w:t>
            </w:r>
            <w:r>
              <w:rPr>
                <w:spacing w:val="-3"/>
                <w:sz w:val="24"/>
              </w:rPr>
              <w:t>de la</w:t>
            </w:r>
            <w:r>
              <w:rPr>
                <w:spacing w:val="-24"/>
                <w:sz w:val="24"/>
              </w:rPr>
              <w:t> </w:t>
            </w:r>
            <w:r>
              <w:rPr>
                <w:spacing w:val="-4"/>
                <w:sz w:val="24"/>
              </w:rPr>
              <w:t>DCCG</w:t>
            </w:r>
          </w:p>
          <w:p>
            <w:pPr>
              <w:pStyle w:val="TableParagraph"/>
              <w:numPr>
                <w:ilvl w:val="0"/>
                <w:numId w:val="111"/>
              </w:numPr>
              <w:tabs>
                <w:tab w:pos="829" w:val="left" w:leader="none"/>
                <w:tab w:pos="831" w:val="left" w:leader="none"/>
              </w:tabs>
              <w:spacing w:line="293" w:lineRule="exact" w:before="0" w:after="0"/>
              <w:ind w:left="830" w:right="0" w:hanging="361"/>
              <w:jc w:val="left"/>
              <w:rPr>
                <w:sz w:val="24"/>
              </w:rPr>
            </w:pPr>
            <w:r>
              <w:rPr>
                <w:spacing w:val="-4"/>
                <w:sz w:val="24"/>
              </w:rPr>
              <w:t>Chef</w:t>
            </w:r>
            <w:r>
              <w:rPr>
                <w:spacing w:val="-11"/>
                <w:sz w:val="24"/>
              </w:rPr>
              <w:t> </w:t>
            </w:r>
            <w:r>
              <w:rPr>
                <w:spacing w:val="-5"/>
                <w:sz w:val="24"/>
              </w:rPr>
              <w:t>service/division</w:t>
            </w:r>
            <w:r>
              <w:rPr>
                <w:spacing w:val="-10"/>
                <w:sz w:val="24"/>
              </w:rPr>
              <w:t> </w:t>
            </w:r>
            <w:r>
              <w:rPr>
                <w:spacing w:val="-6"/>
                <w:sz w:val="24"/>
              </w:rPr>
              <w:t>gestion</w:t>
            </w:r>
            <w:r>
              <w:rPr>
                <w:spacing w:val="-10"/>
                <w:sz w:val="24"/>
              </w:rPr>
              <w:t> </w:t>
            </w:r>
            <w:r>
              <w:rPr>
                <w:spacing w:val="-3"/>
                <w:sz w:val="24"/>
              </w:rPr>
              <w:t>de</w:t>
            </w:r>
            <w:r>
              <w:rPr>
                <w:spacing w:val="-11"/>
                <w:sz w:val="24"/>
              </w:rPr>
              <w:t> </w:t>
            </w:r>
            <w:r>
              <w:rPr>
                <w:spacing w:val="-5"/>
                <w:sz w:val="24"/>
              </w:rPr>
              <w:t>stock</w:t>
            </w:r>
            <w:r>
              <w:rPr>
                <w:spacing w:val="-9"/>
                <w:sz w:val="24"/>
              </w:rPr>
              <w:t> </w:t>
            </w:r>
            <w:r>
              <w:rPr>
                <w:spacing w:val="-3"/>
                <w:sz w:val="24"/>
              </w:rPr>
              <w:t>de</w:t>
            </w:r>
            <w:r>
              <w:rPr>
                <w:spacing w:val="-11"/>
                <w:sz w:val="24"/>
              </w:rPr>
              <w:t> </w:t>
            </w:r>
            <w:r>
              <w:rPr>
                <w:spacing w:val="-3"/>
                <w:sz w:val="24"/>
              </w:rPr>
              <w:t>la</w:t>
            </w:r>
            <w:r>
              <w:rPr>
                <w:spacing w:val="-11"/>
                <w:sz w:val="24"/>
              </w:rPr>
              <w:t> </w:t>
            </w:r>
            <w:r>
              <w:rPr>
                <w:spacing w:val="-5"/>
                <w:sz w:val="24"/>
              </w:rPr>
              <w:t>région</w:t>
            </w:r>
          </w:p>
          <w:p>
            <w:pPr>
              <w:pStyle w:val="TableParagraph"/>
              <w:spacing w:before="239"/>
              <w:ind w:left="109" w:right="10"/>
              <w:rPr>
                <w:sz w:val="24"/>
              </w:rPr>
            </w:pPr>
            <w:r>
              <w:rPr>
                <w:sz w:val="24"/>
              </w:rPr>
              <w:t>En cas d'absence du président, la présidence se délègue à l'un des membres selon l'ordre d'apparition dans la note de désignation de la commission.</w:t>
            </w:r>
          </w:p>
          <w:p>
            <w:pPr>
              <w:pStyle w:val="TableParagraph"/>
              <w:spacing w:before="10"/>
              <w:rPr>
                <w:b/>
                <w:sz w:val="20"/>
              </w:rPr>
            </w:pPr>
          </w:p>
          <w:p>
            <w:pPr>
              <w:pStyle w:val="TableParagraph"/>
              <w:ind w:left="109" w:right="65"/>
              <w:jc w:val="both"/>
              <w:rPr>
                <w:sz w:val="24"/>
              </w:rPr>
            </w:pPr>
            <w:r>
              <w:rPr>
                <w:sz w:val="24"/>
              </w:rPr>
              <w:t>La CRA peut consulter, sur demande de son président ou de l'un des membres, sur convocation spéciale, toute personne compétente dans le domaine de l’achat concerné.</w:t>
            </w:r>
          </w:p>
        </w:tc>
      </w:tr>
      <w:tr>
        <w:trPr>
          <w:trHeight w:val="4174"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52"/>
              <w:ind w:left="107"/>
              <w:rPr>
                <w:b/>
                <w:sz w:val="24"/>
              </w:rPr>
            </w:pPr>
            <w:r>
              <w:rPr>
                <w:b/>
                <w:sz w:val="24"/>
              </w:rPr>
              <w:t>Attributions</w:t>
            </w:r>
          </w:p>
        </w:tc>
        <w:tc>
          <w:tcPr>
            <w:tcW w:w="7948" w:type="dxa"/>
            <w:tcBorders>
              <w:top w:val="single" w:sz="2" w:space="0" w:color="000000"/>
              <w:bottom w:val="single" w:sz="2" w:space="0" w:color="000000"/>
            </w:tcBorders>
          </w:tcPr>
          <w:p>
            <w:pPr>
              <w:pStyle w:val="TableParagraph"/>
              <w:numPr>
                <w:ilvl w:val="0"/>
                <w:numId w:val="112"/>
              </w:numPr>
              <w:tabs>
                <w:tab w:pos="427" w:val="left" w:leader="none"/>
              </w:tabs>
              <w:spacing w:line="240" w:lineRule="auto" w:before="0" w:after="0"/>
              <w:ind w:left="426" w:right="61" w:hanging="284"/>
              <w:jc w:val="both"/>
              <w:rPr>
                <w:sz w:val="24"/>
              </w:rPr>
            </w:pPr>
            <w:r>
              <w:rPr>
                <w:sz w:val="24"/>
              </w:rPr>
              <w:t>Examiner la régularité des procédures de recours à la concurrence, d'attribution des achats, la sincérité et la transparence des procédures de passation des achats et s'assurer du caractère acceptable de ses conditions administratives, financières et techniques (pour les achats relevant de sa compétence)</w:t>
            </w:r>
            <w:r>
              <w:rPr>
                <w:spacing w:val="-2"/>
                <w:sz w:val="24"/>
              </w:rPr>
              <w:t> </w:t>
            </w:r>
            <w:r>
              <w:rPr>
                <w:sz w:val="24"/>
              </w:rPr>
              <w:t>;</w:t>
            </w:r>
          </w:p>
          <w:p>
            <w:pPr>
              <w:pStyle w:val="TableParagraph"/>
              <w:numPr>
                <w:ilvl w:val="0"/>
                <w:numId w:val="112"/>
              </w:numPr>
              <w:tabs>
                <w:tab w:pos="427" w:val="left" w:leader="none"/>
              </w:tabs>
              <w:spacing w:line="292" w:lineRule="exact" w:before="0" w:after="0"/>
              <w:ind w:left="426" w:right="0" w:hanging="284"/>
              <w:jc w:val="both"/>
              <w:rPr>
                <w:sz w:val="24"/>
              </w:rPr>
            </w:pPr>
            <w:r>
              <w:rPr>
                <w:sz w:val="24"/>
              </w:rPr>
              <w:t>Donner avis préalable sur (pour les achats relevant de sa compétence)</w:t>
            </w:r>
            <w:r>
              <w:rPr>
                <w:spacing w:val="-7"/>
                <w:sz w:val="24"/>
              </w:rPr>
              <w:t> </w:t>
            </w:r>
            <w:r>
              <w:rPr>
                <w:sz w:val="24"/>
              </w:rPr>
              <w:t>:</w:t>
            </w:r>
          </w:p>
          <w:p>
            <w:pPr>
              <w:pStyle w:val="TableParagraph"/>
              <w:numPr>
                <w:ilvl w:val="1"/>
                <w:numId w:val="112"/>
              </w:numPr>
              <w:tabs>
                <w:tab w:pos="831" w:val="left" w:leader="none"/>
              </w:tabs>
              <w:spacing w:line="230" w:lineRule="auto" w:before="0" w:after="0"/>
              <w:ind w:left="830" w:right="63" w:hanging="264"/>
              <w:jc w:val="both"/>
              <w:rPr>
                <w:sz w:val="24"/>
              </w:rPr>
            </w:pPr>
            <w:r>
              <w:rPr>
                <w:sz w:val="24"/>
              </w:rPr>
              <w:t>Les rapports d’évaluation des offres, les rapports de jury de concours et les rapports de présélection pour les consultations précédées d’une présélection</w:t>
            </w:r>
            <w:r>
              <w:rPr>
                <w:spacing w:val="-1"/>
                <w:sz w:val="24"/>
              </w:rPr>
              <w:t> </w:t>
            </w:r>
            <w:r>
              <w:rPr>
                <w:sz w:val="24"/>
              </w:rPr>
              <w:t>;</w:t>
            </w:r>
          </w:p>
          <w:p>
            <w:pPr>
              <w:pStyle w:val="TableParagraph"/>
              <w:numPr>
                <w:ilvl w:val="1"/>
                <w:numId w:val="112"/>
              </w:numPr>
              <w:tabs>
                <w:tab w:pos="831" w:val="left" w:leader="none"/>
              </w:tabs>
              <w:spacing w:line="286" w:lineRule="exact" w:before="5" w:after="0"/>
              <w:ind w:left="830" w:right="0" w:hanging="265"/>
              <w:jc w:val="both"/>
              <w:rPr>
                <w:sz w:val="24"/>
              </w:rPr>
            </w:pPr>
            <w:r>
              <w:rPr>
                <w:sz w:val="24"/>
              </w:rPr>
              <w:t>Les projets d’achats négociés</w:t>
            </w:r>
            <w:r>
              <w:rPr>
                <w:spacing w:val="-2"/>
                <w:sz w:val="24"/>
              </w:rPr>
              <w:t> </w:t>
            </w:r>
            <w:r>
              <w:rPr>
                <w:sz w:val="24"/>
              </w:rPr>
              <w:t>;</w:t>
            </w:r>
          </w:p>
          <w:p>
            <w:pPr>
              <w:pStyle w:val="TableParagraph"/>
              <w:numPr>
                <w:ilvl w:val="1"/>
                <w:numId w:val="112"/>
              </w:numPr>
              <w:tabs>
                <w:tab w:pos="831" w:val="left" w:leader="none"/>
              </w:tabs>
              <w:spacing w:line="230" w:lineRule="auto" w:before="0" w:after="0"/>
              <w:ind w:left="830" w:right="62" w:hanging="264"/>
              <w:jc w:val="both"/>
              <w:rPr>
                <w:sz w:val="24"/>
              </w:rPr>
            </w:pPr>
            <w:r>
              <w:rPr>
                <w:sz w:val="24"/>
              </w:rPr>
              <w:t>Les projets d'avenants relatifs aux achats relevant de sa compétence sauf si le montant de l’achat y compris les avenants dépasse le seuil de sa compétence</w:t>
            </w:r>
            <w:r>
              <w:rPr>
                <w:spacing w:val="-2"/>
                <w:sz w:val="24"/>
              </w:rPr>
              <w:t> </w:t>
            </w:r>
            <w:r>
              <w:rPr>
                <w:sz w:val="24"/>
              </w:rPr>
              <w:t>;</w:t>
            </w:r>
          </w:p>
          <w:p>
            <w:pPr>
              <w:pStyle w:val="TableParagraph"/>
              <w:numPr>
                <w:ilvl w:val="1"/>
                <w:numId w:val="112"/>
              </w:numPr>
              <w:tabs>
                <w:tab w:pos="831" w:val="left" w:leader="none"/>
              </w:tabs>
              <w:spacing w:line="276" w:lineRule="exact" w:before="6" w:after="0"/>
              <w:ind w:left="830" w:right="62" w:hanging="264"/>
              <w:jc w:val="both"/>
              <w:rPr>
                <w:sz w:val="24"/>
              </w:rPr>
            </w:pPr>
            <w:r>
              <w:rPr>
                <w:sz w:val="24"/>
              </w:rPr>
              <w:t>Tout</w:t>
            </w:r>
            <w:r>
              <w:rPr>
                <w:spacing w:val="-6"/>
                <w:sz w:val="24"/>
              </w:rPr>
              <w:t> </w:t>
            </w:r>
            <w:r>
              <w:rPr>
                <w:sz w:val="24"/>
              </w:rPr>
              <w:t>problème</w:t>
            </w:r>
            <w:r>
              <w:rPr>
                <w:spacing w:val="-7"/>
                <w:sz w:val="24"/>
              </w:rPr>
              <w:t> </w:t>
            </w:r>
            <w:r>
              <w:rPr>
                <w:sz w:val="24"/>
              </w:rPr>
              <w:t>ou</w:t>
            </w:r>
            <w:r>
              <w:rPr>
                <w:spacing w:val="-6"/>
                <w:sz w:val="24"/>
              </w:rPr>
              <w:t> </w:t>
            </w:r>
            <w:r>
              <w:rPr>
                <w:sz w:val="24"/>
              </w:rPr>
              <w:t>litige</w:t>
            </w:r>
            <w:r>
              <w:rPr>
                <w:spacing w:val="-7"/>
                <w:sz w:val="24"/>
              </w:rPr>
              <w:t> </w:t>
            </w:r>
            <w:r>
              <w:rPr>
                <w:sz w:val="24"/>
              </w:rPr>
              <w:t>relatif</w:t>
            </w:r>
            <w:r>
              <w:rPr>
                <w:spacing w:val="-6"/>
                <w:sz w:val="24"/>
              </w:rPr>
              <w:t> </w:t>
            </w:r>
            <w:r>
              <w:rPr>
                <w:sz w:val="24"/>
              </w:rPr>
              <w:t>à</w:t>
            </w:r>
            <w:r>
              <w:rPr>
                <w:spacing w:val="-7"/>
                <w:sz w:val="24"/>
              </w:rPr>
              <w:t> </w:t>
            </w:r>
            <w:r>
              <w:rPr>
                <w:sz w:val="24"/>
              </w:rPr>
              <w:t>l'élaboration,</w:t>
            </w:r>
            <w:r>
              <w:rPr>
                <w:spacing w:val="-6"/>
                <w:sz w:val="24"/>
              </w:rPr>
              <w:t> </w:t>
            </w:r>
            <w:r>
              <w:rPr>
                <w:sz w:val="24"/>
              </w:rPr>
              <w:t>à</w:t>
            </w:r>
            <w:r>
              <w:rPr>
                <w:spacing w:val="-7"/>
                <w:sz w:val="24"/>
              </w:rPr>
              <w:t> </w:t>
            </w:r>
            <w:r>
              <w:rPr>
                <w:sz w:val="24"/>
              </w:rPr>
              <w:t>la</w:t>
            </w:r>
            <w:r>
              <w:rPr>
                <w:spacing w:val="-4"/>
                <w:sz w:val="24"/>
              </w:rPr>
              <w:t> </w:t>
            </w:r>
            <w:r>
              <w:rPr>
                <w:sz w:val="24"/>
              </w:rPr>
              <w:t>passation,</w:t>
            </w:r>
            <w:r>
              <w:rPr>
                <w:spacing w:val="-6"/>
                <w:sz w:val="24"/>
              </w:rPr>
              <w:t> </w:t>
            </w:r>
            <w:r>
              <w:rPr>
                <w:sz w:val="24"/>
              </w:rPr>
              <w:t>à</w:t>
            </w:r>
            <w:r>
              <w:rPr>
                <w:spacing w:val="-6"/>
                <w:sz w:val="24"/>
              </w:rPr>
              <w:t> </w:t>
            </w:r>
            <w:r>
              <w:rPr>
                <w:sz w:val="24"/>
              </w:rPr>
              <w:t>l'exécution et au règlement des achats relevant de sa</w:t>
            </w:r>
            <w:r>
              <w:rPr>
                <w:spacing w:val="-3"/>
                <w:sz w:val="24"/>
              </w:rPr>
              <w:t> </w:t>
            </w:r>
            <w:r>
              <w:rPr>
                <w:sz w:val="24"/>
              </w:rPr>
              <w:t>compétence.</w:t>
            </w:r>
          </w:p>
        </w:tc>
      </w:tr>
      <w:tr>
        <w:trPr>
          <w:trHeight w:val="828" w:hRule="atLeast"/>
        </w:trPr>
        <w:tc>
          <w:tcPr>
            <w:tcW w:w="1668" w:type="dxa"/>
            <w:tcBorders>
              <w:top w:val="single" w:sz="2" w:space="0" w:color="000000"/>
              <w:bottom w:val="single" w:sz="2" w:space="0" w:color="000000"/>
            </w:tcBorders>
          </w:tcPr>
          <w:p>
            <w:pPr>
              <w:pStyle w:val="TableParagraph"/>
              <w:ind w:left="107" w:right="523"/>
              <w:rPr>
                <w:b/>
                <w:sz w:val="24"/>
              </w:rPr>
            </w:pPr>
            <w:r>
              <w:rPr>
                <w:b/>
                <w:sz w:val="24"/>
              </w:rPr>
              <w:t>Quorum (présence</w:t>
            </w:r>
          </w:p>
          <w:p>
            <w:pPr>
              <w:pStyle w:val="TableParagraph"/>
              <w:spacing w:line="259" w:lineRule="exact"/>
              <w:ind w:left="107"/>
              <w:rPr>
                <w:b/>
                <w:sz w:val="24"/>
              </w:rPr>
            </w:pPr>
            <w:r>
              <w:rPr>
                <w:b/>
                <w:sz w:val="24"/>
              </w:rPr>
              <w:t>/signature)</w:t>
            </w:r>
          </w:p>
        </w:tc>
        <w:tc>
          <w:tcPr>
            <w:tcW w:w="7948" w:type="dxa"/>
            <w:tcBorders>
              <w:top w:val="single" w:sz="2" w:space="0" w:color="000000"/>
              <w:bottom w:val="single" w:sz="2" w:space="0" w:color="000000"/>
            </w:tcBorders>
          </w:tcPr>
          <w:p>
            <w:pPr>
              <w:pStyle w:val="TableParagraph"/>
              <w:spacing w:before="128"/>
              <w:ind w:left="109"/>
              <w:rPr>
                <w:sz w:val="24"/>
              </w:rPr>
            </w:pPr>
            <w:r>
              <w:rPr>
                <w:sz w:val="24"/>
              </w:rPr>
              <w:t>Ne peut se réunir qu'en présence (physique ou à distance) de la majorité de ses membres</w:t>
            </w:r>
          </w:p>
        </w:tc>
      </w:tr>
      <w:tr>
        <w:trPr>
          <w:trHeight w:val="550" w:hRule="atLeast"/>
        </w:trPr>
        <w:tc>
          <w:tcPr>
            <w:tcW w:w="1668" w:type="dxa"/>
            <w:tcBorders>
              <w:top w:val="single" w:sz="2" w:space="0" w:color="000000"/>
            </w:tcBorders>
          </w:tcPr>
          <w:p>
            <w:pPr>
              <w:pStyle w:val="TableParagraph"/>
              <w:spacing w:line="273" w:lineRule="exact"/>
              <w:ind w:left="107"/>
              <w:rPr>
                <w:b/>
                <w:sz w:val="24"/>
              </w:rPr>
            </w:pPr>
            <w:r>
              <w:rPr>
                <w:b/>
                <w:sz w:val="24"/>
              </w:rPr>
              <w:t>Rapporteur</w:t>
            </w:r>
          </w:p>
        </w:tc>
        <w:tc>
          <w:tcPr>
            <w:tcW w:w="7948" w:type="dxa"/>
            <w:tcBorders>
              <w:top w:val="single" w:sz="2" w:space="0" w:color="000000"/>
            </w:tcBorders>
          </w:tcPr>
          <w:p>
            <w:pPr>
              <w:pStyle w:val="TableParagraph"/>
              <w:spacing w:before="131"/>
              <w:ind w:left="109"/>
              <w:rPr>
                <w:sz w:val="24"/>
              </w:rPr>
            </w:pPr>
            <w:r>
              <w:rPr>
                <w:sz w:val="24"/>
              </w:rPr>
              <w:t>Représentant de la structure juridique de la région</w:t>
            </w:r>
          </w:p>
        </w:tc>
      </w:tr>
    </w:tbl>
    <w:p>
      <w:pPr>
        <w:spacing w:after="0"/>
        <w:rPr>
          <w:sz w:val="24"/>
        </w:rPr>
        <w:sectPr>
          <w:headerReference w:type="default" r:id="rId14"/>
          <w:pgSz w:w="11910" w:h="16840"/>
          <w:pgMar w:header="522" w:footer="0" w:top="72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rPr>
                <w:b/>
                <w:sz w:val="25"/>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ix</w:t>
            </w:r>
          </w:p>
        </w:tc>
      </w:tr>
    </w:tbl>
    <w:p>
      <w:pPr>
        <w:pStyle w:val="BodyText"/>
        <w:spacing w:before="11"/>
        <w:ind w:left="0" w:firstLine="0"/>
        <w:jc w:val="left"/>
        <w:rPr>
          <w:b/>
          <w:sz w:val="13"/>
        </w:rPr>
      </w:pPr>
    </w:p>
    <w:p>
      <w:pPr>
        <w:pStyle w:val="Heading2"/>
        <w:spacing w:line="242" w:lineRule="auto"/>
        <w:ind w:left="4864" w:right="1092" w:hanging="4086"/>
        <w:jc w:val="left"/>
      </w:pPr>
      <w:bookmarkStart w:name="_TOC_250014" w:id="129"/>
      <w:bookmarkEnd w:id="129"/>
      <w:r>
        <w:rPr/>
        <w:t>Annexe n°8 : Fiche d’identification Commission des Achats de l’Entreprise (CAE)</w:t>
      </w:r>
    </w:p>
    <w:p>
      <w:pPr>
        <w:pStyle w:val="BodyText"/>
        <w:spacing w:before="7"/>
        <w:ind w:left="0" w:firstLine="0"/>
        <w:jc w:val="left"/>
        <w:rPr>
          <w:b/>
          <w:sz w:val="20"/>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68"/>
        <w:gridCol w:w="8090"/>
      </w:tblGrid>
      <w:tr>
        <w:trPr>
          <w:trHeight w:val="552" w:hRule="atLeast"/>
        </w:trPr>
        <w:tc>
          <w:tcPr>
            <w:tcW w:w="1668" w:type="dxa"/>
          </w:tcPr>
          <w:p>
            <w:pPr>
              <w:pStyle w:val="TableParagraph"/>
              <w:spacing w:line="276" w:lineRule="exact" w:before="1"/>
              <w:ind w:left="107"/>
              <w:rPr>
                <w:b/>
                <w:sz w:val="24"/>
              </w:rPr>
            </w:pPr>
            <w:r>
              <w:rPr>
                <w:b/>
                <w:w w:val="95"/>
                <w:sz w:val="24"/>
              </w:rPr>
              <w:t>Dénomination </w:t>
            </w:r>
            <w:r>
              <w:rPr>
                <w:b/>
                <w:sz w:val="24"/>
              </w:rPr>
              <w:t>de l’organe</w:t>
            </w:r>
          </w:p>
        </w:tc>
        <w:tc>
          <w:tcPr>
            <w:tcW w:w="8090" w:type="dxa"/>
          </w:tcPr>
          <w:p>
            <w:pPr>
              <w:pStyle w:val="TableParagraph"/>
              <w:spacing w:before="137"/>
              <w:ind w:left="109"/>
              <w:rPr>
                <w:b/>
                <w:sz w:val="24"/>
              </w:rPr>
            </w:pPr>
            <w:r>
              <w:rPr>
                <w:b/>
                <w:sz w:val="24"/>
              </w:rPr>
              <w:t>Commission des Achats de l’Entreprise (CAE)</w:t>
            </w:r>
          </w:p>
        </w:tc>
      </w:tr>
      <w:tr>
        <w:trPr>
          <w:trHeight w:val="277" w:hRule="atLeast"/>
        </w:trPr>
        <w:tc>
          <w:tcPr>
            <w:tcW w:w="1668" w:type="dxa"/>
            <w:tcBorders>
              <w:bottom w:val="single" w:sz="4" w:space="0" w:color="000000"/>
            </w:tcBorders>
          </w:tcPr>
          <w:p>
            <w:pPr>
              <w:pStyle w:val="TableParagraph"/>
              <w:spacing w:line="257" w:lineRule="exact"/>
              <w:ind w:left="107"/>
              <w:rPr>
                <w:b/>
                <w:sz w:val="24"/>
              </w:rPr>
            </w:pPr>
            <w:r>
              <w:rPr>
                <w:b/>
                <w:sz w:val="24"/>
              </w:rPr>
              <w:t>Type</w:t>
            </w:r>
          </w:p>
        </w:tc>
        <w:tc>
          <w:tcPr>
            <w:tcW w:w="8090" w:type="dxa"/>
            <w:tcBorders>
              <w:bottom w:val="single" w:sz="4" w:space="0" w:color="000000"/>
            </w:tcBorders>
          </w:tcPr>
          <w:p>
            <w:pPr>
              <w:pStyle w:val="TableParagraph"/>
              <w:spacing w:line="257" w:lineRule="exact"/>
              <w:ind w:left="109"/>
              <w:rPr>
                <w:sz w:val="24"/>
              </w:rPr>
            </w:pPr>
            <w:r>
              <w:rPr>
                <w:sz w:val="24"/>
              </w:rPr>
              <w:t>Commission Interne Permanente</w:t>
            </w:r>
          </w:p>
        </w:tc>
      </w:tr>
      <w:tr>
        <w:trPr>
          <w:trHeight w:val="395" w:hRule="atLeast"/>
        </w:trPr>
        <w:tc>
          <w:tcPr>
            <w:tcW w:w="1668" w:type="dxa"/>
            <w:tcBorders>
              <w:top w:val="single" w:sz="4" w:space="0" w:color="000000"/>
              <w:bottom w:val="single" w:sz="2" w:space="0" w:color="000000"/>
            </w:tcBorders>
          </w:tcPr>
          <w:p>
            <w:pPr>
              <w:pStyle w:val="TableParagraph"/>
              <w:spacing w:before="56"/>
              <w:ind w:left="107"/>
              <w:rPr>
                <w:b/>
                <w:sz w:val="24"/>
              </w:rPr>
            </w:pPr>
            <w:r>
              <w:rPr>
                <w:b/>
                <w:sz w:val="24"/>
              </w:rPr>
              <w:t>Désignation</w:t>
            </w:r>
          </w:p>
        </w:tc>
        <w:tc>
          <w:tcPr>
            <w:tcW w:w="8090" w:type="dxa"/>
            <w:tcBorders>
              <w:top w:val="single" w:sz="4" w:space="0" w:color="000000"/>
              <w:bottom w:val="single" w:sz="4" w:space="0" w:color="000000"/>
            </w:tcBorders>
          </w:tcPr>
          <w:p>
            <w:pPr>
              <w:pStyle w:val="TableParagraph"/>
              <w:spacing w:line="264" w:lineRule="exact" w:before="111"/>
              <w:ind w:left="109"/>
              <w:rPr>
                <w:sz w:val="24"/>
              </w:rPr>
            </w:pPr>
            <w:r>
              <w:rPr>
                <w:sz w:val="24"/>
              </w:rPr>
              <w:t>Désignée par une note organisationnelle émise par la Direction Générale du GCT</w:t>
            </w:r>
          </w:p>
        </w:tc>
      </w:tr>
      <w:tr>
        <w:trPr>
          <w:trHeight w:val="1157" w:hRule="atLeast"/>
        </w:trPr>
        <w:tc>
          <w:tcPr>
            <w:tcW w:w="1668" w:type="dxa"/>
            <w:tcBorders>
              <w:top w:val="single" w:sz="2" w:space="0" w:color="000000"/>
              <w:bottom w:val="single" w:sz="2" w:space="0" w:color="000000"/>
            </w:tcBorders>
          </w:tcPr>
          <w:p>
            <w:pPr>
              <w:pStyle w:val="TableParagraph"/>
              <w:rPr>
                <w:b/>
                <w:sz w:val="26"/>
              </w:rPr>
            </w:pPr>
          </w:p>
          <w:p>
            <w:pPr>
              <w:pStyle w:val="TableParagraph"/>
              <w:ind w:left="107" w:right="229"/>
              <w:rPr>
                <w:b/>
                <w:sz w:val="24"/>
              </w:rPr>
            </w:pPr>
            <w:r>
              <w:rPr>
                <w:b/>
                <w:sz w:val="24"/>
              </w:rPr>
              <w:t>Compétence (mDT)</w:t>
            </w:r>
          </w:p>
        </w:tc>
        <w:tc>
          <w:tcPr>
            <w:tcW w:w="8090" w:type="dxa"/>
            <w:tcBorders>
              <w:top w:val="single" w:sz="4" w:space="0" w:color="000000"/>
              <w:bottom w:val="single" w:sz="2" w:space="0" w:color="000000"/>
            </w:tcBorders>
          </w:tcPr>
          <w:p>
            <w:pPr>
              <w:pStyle w:val="TableParagraph"/>
              <w:spacing w:line="268" w:lineRule="exact"/>
              <w:ind w:left="109"/>
              <w:rPr>
                <w:sz w:val="24"/>
              </w:rPr>
            </w:pPr>
            <w:r>
              <w:rPr>
                <w:sz w:val="24"/>
              </w:rPr>
              <w:t>Achat hors matières premières :</w:t>
            </w:r>
          </w:p>
          <w:p>
            <w:pPr>
              <w:pStyle w:val="TableParagraph"/>
              <w:numPr>
                <w:ilvl w:val="0"/>
                <w:numId w:val="113"/>
              </w:numPr>
              <w:tabs>
                <w:tab w:pos="839" w:val="left" w:leader="none"/>
                <w:tab w:pos="840" w:val="left" w:leader="none"/>
              </w:tabs>
              <w:spacing w:line="293" w:lineRule="exact" w:before="2" w:after="0"/>
              <w:ind w:left="839" w:right="0" w:hanging="361"/>
              <w:jc w:val="left"/>
              <w:rPr>
                <w:sz w:val="24"/>
              </w:rPr>
            </w:pPr>
            <w:r>
              <w:rPr>
                <w:sz w:val="24"/>
              </w:rPr>
              <w:t>Travaux (≥ 200 et &lt; 2000)</w:t>
            </w:r>
          </w:p>
          <w:p>
            <w:pPr>
              <w:pStyle w:val="TableParagraph"/>
              <w:numPr>
                <w:ilvl w:val="0"/>
                <w:numId w:val="113"/>
              </w:numPr>
              <w:tabs>
                <w:tab w:pos="839" w:val="left" w:leader="none"/>
                <w:tab w:pos="840" w:val="left" w:leader="none"/>
              </w:tabs>
              <w:spacing w:line="293" w:lineRule="exact" w:before="0" w:after="0"/>
              <w:ind w:left="839" w:right="0" w:hanging="361"/>
              <w:jc w:val="left"/>
              <w:rPr>
                <w:sz w:val="24"/>
              </w:rPr>
            </w:pPr>
            <w:r>
              <w:rPr>
                <w:sz w:val="24"/>
              </w:rPr>
              <w:t>Fourniture de biens, d’équipements et services (≥ 200 et &lt;</w:t>
            </w:r>
            <w:r>
              <w:rPr>
                <w:spacing w:val="-4"/>
                <w:sz w:val="24"/>
              </w:rPr>
              <w:t> </w:t>
            </w:r>
            <w:r>
              <w:rPr>
                <w:sz w:val="24"/>
              </w:rPr>
              <w:t>2000)</w:t>
            </w:r>
          </w:p>
          <w:p>
            <w:pPr>
              <w:pStyle w:val="TableParagraph"/>
              <w:numPr>
                <w:ilvl w:val="0"/>
                <w:numId w:val="113"/>
              </w:numPr>
              <w:tabs>
                <w:tab w:pos="839" w:val="left" w:leader="none"/>
                <w:tab w:pos="840" w:val="left" w:leader="none"/>
              </w:tabs>
              <w:spacing w:line="279" w:lineRule="exact" w:before="1" w:after="0"/>
              <w:ind w:left="839" w:right="0" w:hanging="361"/>
              <w:jc w:val="left"/>
              <w:rPr>
                <w:sz w:val="24"/>
              </w:rPr>
            </w:pPr>
            <w:r>
              <w:rPr>
                <w:sz w:val="24"/>
              </w:rPr>
              <w:t>Etudes (≥ 15 et &lt;</w:t>
            </w:r>
            <w:r>
              <w:rPr>
                <w:spacing w:val="1"/>
                <w:sz w:val="24"/>
              </w:rPr>
              <w:t> </w:t>
            </w:r>
            <w:r>
              <w:rPr>
                <w:sz w:val="24"/>
              </w:rPr>
              <w:t>200)</w:t>
            </w:r>
          </w:p>
        </w:tc>
      </w:tr>
      <w:tr>
        <w:trPr>
          <w:trHeight w:val="3117"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21"/>
              <w:ind w:left="107"/>
              <w:rPr>
                <w:b/>
                <w:sz w:val="24"/>
              </w:rPr>
            </w:pPr>
            <w:r>
              <w:rPr>
                <w:b/>
                <w:sz w:val="24"/>
              </w:rPr>
              <w:t>Composition</w:t>
            </w:r>
          </w:p>
        </w:tc>
        <w:tc>
          <w:tcPr>
            <w:tcW w:w="8090" w:type="dxa"/>
            <w:tcBorders>
              <w:top w:val="single" w:sz="2" w:space="0" w:color="000000"/>
              <w:bottom w:val="single" w:sz="2" w:space="0" w:color="000000"/>
            </w:tcBorders>
          </w:tcPr>
          <w:p>
            <w:pPr>
              <w:pStyle w:val="TableParagraph"/>
              <w:spacing w:before="32"/>
              <w:ind w:left="109"/>
              <w:rPr>
                <w:sz w:val="24"/>
              </w:rPr>
            </w:pPr>
            <w:r>
              <w:rPr>
                <w:sz w:val="24"/>
              </w:rPr>
              <w:t>La CAE est composée de :</w:t>
            </w:r>
          </w:p>
          <w:p>
            <w:pPr>
              <w:pStyle w:val="TableParagraph"/>
              <w:numPr>
                <w:ilvl w:val="0"/>
                <w:numId w:val="114"/>
              </w:numPr>
              <w:tabs>
                <w:tab w:pos="201" w:val="left" w:leader="none"/>
              </w:tabs>
              <w:spacing w:line="293" w:lineRule="exact" w:before="2" w:after="0"/>
              <w:ind w:left="200" w:right="0" w:hanging="152"/>
              <w:jc w:val="left"/>
              <w:rPr>
                <w:sz w:val="24"/>
              </w:rPr>
            </w:pPr>
            <w:r>
              <w:rPr>
                <w:sz w:val="24"/>
              </w:rPr>
              <w:t>Président : Un Cadre du GCT ayant le rang de Directeur</w:t>
            </w:r>
            <w:r>
              <w:rPr>
                <w:spacing w:val="-7"/>
                <w:sz w:val="24"/>
              </w:rPr>
              <w:t> </w:t>
            </w:r>
            <w:r>
              <w:rPr>
                <w:sz w:val="24"/>
              </w:rPr>
              <w:t>Central.</w:t>
            </w:r>
          </w:p>
          <w:p>
            <w:pPr>
              <w:pStyle w:val="TableParagraph"/>
              <w:numPr>
                <w:ilvl w:val="0"/>
                <w:numId w:val="114"/>
              </w:numPr>
              <w:tabs>
                <w:tab w:pos="201" w:val="left" w:leader="none"/>
              </w:tabs>
              <w:spacing w:line="292" w:lineRule="exact" w:before="0" w:after="0"/>
              <w:ind w:left="200" w:right="0" w:hanging="152"/>
              <w:jc w:val="left"/>
              <w:rPr>
                <w:sz w:val="24"/>
              </w:rPr>
            </w:pPr>
            <w:r>
              <w:rPr>
                <w:sz w:val="24"/>
              </w:rPr>
              <w:t>Membres</w:t>
            </w:r>
            <w:r>
              <w:rPr>
                <w:spacing w:val="-1"/>
                <w:sz w:val="24"/>
              </w:rPr>
              <w:t> </w:t>
            </w:r>
            <w:r>
              <w:rPr>
                <w:sz w:val="24"/>
              </w:rPr>
              <w:t>:</w:t>
            </w:r>
          </w:p>
          <w:p>
            <w:pPr>
              <w:pStyle w:val="TableParagraph"/>
              <w:numPr>
                <w:ilvl w:val="1"/>
                <w:numId w:val="114"/>
              </w:numPr>
              <w:tabs>
                <w:tab w:pos="627" w:val="left" w:leader="none"/>
              </w:tabs>
              <w:spacing w:line="274" w:lineRule="exact" w:before="0" w:after="0"/>
              <w:ind w:left="626" w:right="0" w:hanging="157"/>
              <w:jc w:val="left"/>
              <w:rPr>
                <w:sz w:val="24"/>
              </w:rPr>
            </w:pPr>
            <w:r>
              <w:rPr>
                <w:sz w:val="24"/>
              </w:rPr>
              <w:t>Trois (04) Cadres du GCT ayant un rang de Directeur ou</w:t>
            </w:r>
            <w:r>
              <w:rPr>
                <w:spacing w:val="-8"/>
                <w:sz w:val="24"/>
              </w:rPr>
              <w:t> </w:t>
            </w:r>
            <w:r>
              <w:rPr>
                <w:sz w:val="24"/>
              </w:rPr>
              <w:t>plus.</w:t>
            </w:r>
          </w:p>
          <w:p>
            <w:pPr>
              <w:pStyle w:val="TableParagraph"/>
              <w:numPr>
                <w:ilvl w:val="1"/>
                <w:numId w:val="114"/>
              </w:numPr>
              <w:tabs>
                <w:tab w:pos="627" w:val="left" w:leader="none"/>
              </w:tabs>
              <w:spacing w:line="240" w:lineRule="auto" w:before="0" w:after="0"/>
              <w:ind w:left="626" w:right="0" w:hanging="157"/>
              <w:jc w:val="left"/>
              <w:rPr>
                <w:sz w:val="24"/>
              </w:rPr>
            </w:pPr>
            <w:r>
              <w:rPr>
                <w:sz w:val="24"/>
              </w:rPr>
              <w:t>Un Cadre représentant la Structure chargée des Affaires</w:t>
            </w:r>
            <w:r>
              <w:rPr>
                <w:spacing w:val="-5"/>
                <w:sz w:val="24"/>
              </w:rPr>
              <w:t> </w:t>
            </w:r>
            <w:r>
              <w:rPr>
                <w:sz w:val="24"/>
              </w:rPr>
              <w:t>juridiques</w:t>
            </w:r>
          </w:p>
          <w:p>
            <w:pPr>
              <w:pStyle w:val="TableParagraph"/>
              <w:ind w:left="102"/>
              <w:rPr>
                <w:sz w:val="24"/>
              </w:rPr>
            </w:pPr>
            <w:r>
              <w:rPr>
                <w:sz w:val="24"/>
              </w:rPr>
              <w:t>En cas d'absence du président, la présidence se délègue à l'un des membres selon leurs ordres d'apparition dans la note de désignation de la commission.</w:t>
            </w:r>
          </w:p>
          <w:p>
            <w:pPr>
              <w:pStyle w:val="TableParagraph"/>
              <w:spacing w:before="11"/>
              <w:rPr>
                <w:b/>
                <w:sz w:val="20"/>
              </w:rPr>
            </w:pPr>
          </w:p>
          <w:p>
            <w:pPr>
              <w:pStyle w:val="TableParagraph"/>
              <w:ind w:left="102" w:right="62"/>
              <w:jc w:val="both"/>
              <w:rPr>
                <w:sz w:val="24"/>
              </w:rPr>
            </w:pPr>
            <w:r>
              <w:rPr>
                <w:sz w:val="24"/>
              </w:rPr>
              <w:t>La CAE peut consulter, sur demande de son président ou de l'un des membres, </w:t>
            </w:r>
            <w:r>
              <w:rPr>
                <w:spacing w:val="-5"/>
                <w:sz w:val="24"/>
              </w:rPr>
              <w:t>sur </w:t>
            </w:r>
            <w:r>
              <w:rPr>
                <w:sz w:val="24"/>
              </w:rPr>
              <w:t>convocation spéciale, toute personne compétente dans le domaine de l’achat concerné.</w:t>
            </w:r>
          </w:p>
        </w:tc>
      </w:tr>
      <w:tr>
        <w:trPr>
          <w:trHeight w:val="4538"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9"/>
              </w:rPr>
            </w:pPr>
          </w:p>
          <w:p>
            <w:pPr>
              <w:pStyle w:val="TableParagraph"/>
              <w:ind w:left="107"/>
              <w:rPr>
                <w:b/>
                <w:sz w:val="24"/>
              </w:rPr>
            </w:pPr>
            <w:r>
              <w:rPr>
                <w:b/>
                <w:sz w:val="24"/>
              </w:rPr>
              <w:t>Attributions</w:t>
            </w:r>
          </w:p>
        </w:tc>
        <w:tc>
          <w:tcPr>
            <w:tcW w:w="8090" w:type="dxa"/>
            <w:tcBorders>
              <w:top w:val="single" w:sz="2" w:space="0" w:color="000000"/>
              <w:bottom w:val="single" w:sz="2" w:space="0" w:color="000000"/>
            </w:tcBorders>
          </w:tcPr>
          <w:p>
            <w:pPr>
              <w:pStyle w:val="TableParagraph"/>
              <w:spacing w:before="35"/>
              <w:ind w:left="143"/>
              <w:jc w:val="both"/>
              <w:rPr>
                <w:i/>
                <w:sz w:val="24"/>
              </w:rPr>
            </w:pPr>
            <w:r>
              <w:rPr>
                <w:i/>
                <w:sz w:val="24"/>
              </w:rPr>
              <w:t>Contrôle des achats :</w:t>
            </w:r>
          </w:p>
          <w:p>
            <w:pPr>
              <w:pStyle w:val="TableParagraph"/>
              <w:numPr>
                <w:ilvl w:val="0"/>
                <w:numId w:val="115"/>
              </w:numPr>
              <w:tabs>
                <w:tab w:pos="427" w:val="left" w:leader="none"/>
              </w:tabs>
              <w:spacing w:line="240" w:lineRule="auto" w:before="2" w:after="0"/>
              <w:ind w:left="426" w:right="63" w:hanging="284"/>
              <w:jc w:val="both"/>
              <w:rPr>
                <w:sz w:val="24"/>
              </w:rPr>
            </w:pPr>
            <w:r>
              <w:rPr>
                <w:sz w:val="24"/>
              </w:rPr>
              <w:t>Examiner</w:t>
            </w:r>
            <w:r>
              <w:rPr>
                <w:spacing w:val="-8"/>
                <w:sz w:val="24"/>
              </w:rPr>
              <w:t> </w:t>
            </w:r>
            <w:r>
              <w:rPr>
                <w:sz w:val="24"/>
              </w:rPr>
              <w:t>la</w:t>
            </w:r>
            <w:r>
              <w:rPr>
                <w:spacing w:val="-7"/>
                <w:sz w:val="24"/>
              </w:rPr>
              <w:t> </w:t>
            </w:r>
            <w:r>
              <w:rPr>
                <w:sz w:val="24"/>
              </w:rPr>
              <w:t>régularité</w:t>
            </w:r>
            <w:r>
              <w:rPr>
                <w:spacing w:val="-7"/>
                <w:sz w:val="24"/>
              </w:rPr>
              <w:t> </w:t>
            </w:r>
            <w:r>
              <w:rPr>
                <w:sz w:val="24"/>
              </w:rPr>
              <w:t>des</w:t>
            </w:r>
            <w:r>
              <w:rPr>
                <w:spacing w:val="-6"/>
                <w:sz w:val="24"/>
              </w:rPr>
              <w:t> </w:t>
            </w:r>
            <w:r>
              <w:rPr>
                <w:sz w:val="24"/>
              </w:rPr>
              <w:t>procédures</w:t>
            </w:r>
            <w:r>
              <w:rPr>
                <w:spacing w:val="-6"/>
                <w:sz w:val="24"/>
              </w:rPr>
              <w:t> </w:t>
            </w:r>
            <w:r>
              <w:rPr>
                <w:sz w:val="24"/>
              </w:rPr>
              <w:t>de</w:t>
            </w:r>
            <w:r>
              <w:rPr>
                <w:spacing w:val="-8"/>
                <w:sz w:val="24"/>
              </w:rPr>
              <w:t> </w:t>
            </w:r>
            <w:r>
              <w:rPr>
                <w:sz w:val="24"/>
              </w:rPr>
              <w:t>recours</w:t>
            </w:r>
            <w:r>
              <w:rPr>
                <w:spacing w:val="-7"/>
                <w:sz w:val="24"/>
              </w:rPr>
              <w:t> </w:t>
            </w:r>
            <w:r>
              <w:rPr>
                <w:sz w:val="24"/>
              </w:rPr>
              <w:t>à</w:t>
            </w:r>
            <w:r>
              <w:rPr>
                <w:spacing w:val="-5"/>
                <w:sz w:val="24"/>
              </w:rPr>
              <w:t> </w:t>
            </w:r>
            <w:r>
              <w:rPr>
                <w:sz w:val="24"/>
              </w:rPr>
              <w:t>la</w:t>
            </w:r>
            <w:r>
              <w:rPr>
                <w:spacing w:val="-7"/>
                <w:sz w:val="24"/>
              </w:rPr>
              <w:t> </w:t>
            </w:r>
            <w:r>
              <w:rPr>
                <w:sz w:val="24"/>
              </w:rPr>
              <w:t>concurrence,</w:t>
            </w:r>
            <w:r>
              <w:rPr>
                <w:spacing w:val="-6"/>
                <w:sz w:val="24"/>
              </w:rPr>
              <w:t> </w:t>
            </w:r>
            <w:r>
              <w:rPr>
                <w:sz w:val="24"/>
              </w:rPr>
              <w:t>d'attribution des</w:t>
            </w:r>
            <w:r>
              <w:rPr>
                <w:spacing w:val="-11"/>
                <w:sz w:val="24"/>
              </w:rPr>
              <w:t> </w:t>
            </w:r>
            <w:r>
              <w:rPr>
                <w:sz w:val="24"/>
              </w:rPr>
              <w:t>achats,</w:t>
            </w:r>
            <w:r>
              <w:rPr>
                <w:spacing w:val="-10"/>
                <w:sz w:val="24"/>
              </w:rPr>
              <w:t> </w:t>
            </w:r>
            <w:r>
              <w:rPr>
                <w:sz w:val="24"/>
              </w:rPr>
              <w:t>la</w:t>
            </w:r>
            <w:r>
              <w:rPr>
                <w:spacing w:val="-8"/>
                <w:sz w:val="24"/>
              </w:rPr>
              <w:t> </w:t>
            </w:r>
            <w:r>
              <w:rPr>
                <w:sz w:val="24"/>
              </w:rPr>
              <w:t>sincérité</w:t>
            </w:r>
            <w:r>
              <w:rPr>
                <w:spacing w:val="-12"/>
                <w:sz w:val="24"/>
              </w:rPr>
              <w:t> </w:t>
            </w:r>
            <w:r>
              <w:rPr>
                <w:sz w:val="24"/>
              </w:rPr>
              <w:t>et</w:t>
            </w:r>
            <w:r>
              <w:rPr>
                <w:spacing w:val="-5"/>
                <w:sz w:val="24"/>
              </w:rPr>
              <w:t> </w:t>
            </w:r>
            <w:r>
              <w:rPr>
                <w:sz w:val="24"/>
              </w:rPr>
              <w:t>la</w:t>
            </w:r>
            <w:r>
              <w:rPr>
                <w:spacing w:val="-12"/>
                <w:sz w:val="24"/>
              </w:rPr>
              <w:t> </w:t>
            </w:r>
            <w:r>
              <w:rPr>
                <w:sz w:val="24"/>
              </w:rPr>
              <w:t>transparence</w:t>
            </w:r>
            <w:r>
              <w:rPr>
                <w:spacing w:val="-12"/>
                <w:sz w:val="24"/>
              </w:rPr>
              <w:t> </w:t>
            </w:r>
            <w:r>
              <w:rPr>
                <w:sz w:val="24"/>
              </w:rPr>
              <w:t>des</w:t>
            </w:r>
            <w:r>
              <w:rPr>
                <w:spacing w:val="-7"/>
                <w:sz w:val="24"/>
              </w:rPr>
              <w:t> </w:t>
            </w:r>
            <w:r>
              <w:rPr>
                <w:sz w:val="24"/>
              </w:rPr>
              <w:t>procédures</w:t>
            </w:r>
            <w:r>
              <w:rPr>
                <w:spacing w:val="-11"/>
                <w:sz w:val="24"/>
              </w:rPr>
              <w:t> </w:t>
            </w:r>
            <w:r>
              <w:rPr>
                <w:sz w:val="24"/>
              </w:rPr>
              <w:t>de</w:t>
            </w:r>
            <w:r>
              <w:rPr>
                <w:spacing w:val="-9"/>
                <w:sz w:val="24"/>
              </w:rPr>
              <w:t> </w:t>
            </w:r>
            <w:r>
              <w:rPr>
                <w:sz w:val="24"/>
              </w:rPr>
              <w:t>passation</w:t>
            </w:r>
            <w:r>
              <w:rPr>
                <w:spacing w:val="-11"/>
                <w:sz w:val="24"/>
              </w:rPr>
              <w:t> </w:t>
            </w:r>
            <w:r>
              <w:rPr>
                <w:sz w:val="24"/>
              </w:rPr>
              <w:t>des</w:t>
            </w:r>
            <w:r>
              <w:rPr>
                <w:spacing w:val="-8"/>
                <w:sz w:val="24"/>
              </w:rPr>
              <w:t> </w:t>
            </w:r>
            <w:r>
              <w:rPr>
                <w:sz w:val="24"/>
              </w:rPr>
              <w:t>achats et s'assurer du caractère acceptable de ses conditions administratives, financières et techniques (pour les achats relevant de sa compétence)</w:t>
            </w:r>
            <w:r>
              <w:rPr>
                <w:spacing w:val="-1"/>
                <w:sz w:val="24"/>
              </w:rPr>
              <w:t> </w:t>
            </w:r>
            <w:r>
              <w:rPr>
                <w:sz w:val="24"/>
              </w:rPr>
              <w:t>;</w:t>
            </w:r>
          </w:p>
          <w:p>
            <w:pPr>
              <w:pStyle w:val="TableParagraph"/>
              <w:numPr>
                <w:ilvl w:val="0"/>
                <w:numId w:val="115"/>
              </w:numPr>
              <w:tabs>
                <w:tab w:pos="427" w:val="left" w:leader="none"/>
              </w:tabs>
              <w:spacing w:line="291" w:lineRule="exact" w:before="0" w:after="0"/>
              <w:ind w:left="426" w:right="0" w:hanging="284"/>
              <w:jc w:val="both"/>
              <w:rPr>
                <w:sz w:val="24"/>
              </w:rPr>
            </w:pPr>
            <w:r>
              <w:rPr>
                <w:sz w:val="24"/>
              </w:rPr>
              <w:t>Donner avis préalable sur (pour les achats relevant de sa compétence)</w:t>
            </w:r>
            <w:r>
              <w:rPr>
                <w:spacing w:val="-7"/>
                <w:sz w:val="24"/>
              </w:rPr>
              <w:t> </w:t>
            </w:r>
            <w:r>
              <w:rPr>
                <w:sz w:val="24"/>
              </w:rPr>
              <w:t>:</w:t>
            </w:r>
          </w:p>
          <w:p>
            <w:pPr>
              <w:pStyle w:val="TableParagraph"/>
              <w:numPr>
                <w:ilvl w:val="1"/>
                <w:numId w:val="115"/>
              </w:numPr>
              <w:tabs>
                <w:tab w:pos="831" w:val="left" w:leader="none"/>
              </w:tabs>
              <w:spacing w:line="232" w:lineRule="auto" w:before="4" w:after="0"/>
              <w:ind w:left="830" w:right="61" w:hanging="264"/>
              <w:jc w:val="both"/>
              <w:rPr>
                <w:sz w:val="24"/>
              </w:rPr>
            </w:pPr>
            <w:r>
              <w:rPr>
                <w:sz w:val="24"/>
              </w:rPr>
              <w:t>Les</w:t>
            </w:r>
            <w:r>
              <w:rPr>
                <w:spacing w:val="-4"/>
                <w:sz w:val="24"/>
              </w:rPr>
              <w:t> </w:t>
            </w:r>
            <w:r>
              <w:rPr>
                <w:sz w:val="24"/>
              </w:rPr>
              <w:t>rapports</w:t>
            </w:r>
            <w:r>
              <w:rPr>
                <w:spacing w:val="-4"/>
                <w:sz w:val="24"/>
              </w:rPr>
              <w:t> </w:t>
            </w:r>
            <w:r>
              <w:rPr>
                <w:sz w:val="24"/>
              </w:rPr>
              <w:t>d’évaluation</w:t>
            </w:r>
            <w:r>
              <w:rPr>
                <w:spacing w:val="-4"/>
                <w:sz w:val="24"/>
              </w:rPr>
              <w:t> </w:t>
            </w:r>
            <w:r>
              <w:rPr>
                <w:sz w:val="24"/>
              </w:rPr>
              <w:t>des</w:t>
            </w:r>
            <w:r>
              <w:rPr>
                <w:spacing w:val="-4"/>
                <w:sz w:val="24"/>
              </w:rPr>
              <w:t> </w:t>
            </w:r>
            <w:r>
              <w:rPr>
                <w:sz w:val="24"/>
              </w:rPr>
              <w:t>offres,</w:t>
            </w:r>
            <w:r>
              <w:rPr>
                <w:spacing w:val="-4"/>
                <w:sz w:val="24"/>
              </w:rPr>
              <w:t> </w:t>
            </w:r>
            <w:r>
              <w:rPr>
                <w:sz w:val="24"/>
              </w:rPr>
              <w:t>les</w:t>
            </w:r>
            <w:r>
              <w:rPr>
                <w:spacing w:val="-4"/>
                <w:sz w:val="24"/>
              </w:rPr>
              <w:t> </w:t>
            </w:r>
            <w:r>
              <w:rPr>
                <w:sz w:val="24"/>
              </w:rPr>
              <w:t>rapports</w:t>
            </w:r>
            <w:r>
              <w:rPr>
                <w:spacing w:val="-4"/>
                <w:sz w:val="24"/>
              </w:rPr>
              <w:t> </w:t>
            </w:r>
            <w:r>
              <w:rPr>
                <w:sz w:val="24"/>
              </w:rPr>
              <w:t>de</w:t>
            </w:r>
            <w:r>
              <w:rPr>
                <w:spacing w:val="-5"/>
                <w:sz w:val="24"/>
              </w:rPr>
              <w:t> </w:t>
            </w:r>
            <w:r>
              <w:rPr>
                <w:sz w:val="24"/>
              </w:rPr>
              <w:t>jury</w:t>
            </w:r>
            <w:r>
              <w:rPr>
                <w:spacing w:val="-9"/>
                <w:sz w:val="24"/>
              </w:rPr>
              <w:t> </w:t>
            </w:r>
            <w:r>
              <w:rPr>
                <w:sz w:val="24"/>
              </w:rPr>
              <w:t>de</w:t>
            </w:r>
            <w:r>
              <w:rPr>
                <w:spacing w:val="-5"/>
                <w:sz w:val="24"/>
              </w:rPr>
              <w:t> </w:t>
            </w:r>
            <w:r>
              <w:rPr>
                <w:sz w:val="24"/>
              </w:rPr>
              <w:t>concours</w:t>
            </w:r>
            <w:r>
              <w:rPr>
                <w:spacing w:val="-4"/>
                <w:sz w:val="24"/>
              </w:rPr>
              <w:t> </w:t>
            </w:r>
            <w:r>
              <w:rPr>
                <w:sz w:val="24"/>
              </w:rPr>
              <w:t>et</w:t>
            </w:r>
            <w:r>
              <w:rPr>
                <w:spacing w:val="-3"/>
                <w:sz w:val="24"/>
              </w:rPr>
              <w:t> </w:t>
            </w:r>
            <w:r>
              <w:rPr>
                <w:sz w:val="24"/>
              </w:rPr>
              <w:t>les rapports de présélection pour les consultations précédées d’une présélection</w:t>
            </w:r>
            <w:r>
              <w:rPr>
                <w:spacing w:val="-1"/>
                <w:sz w:val="24"/>
              </w:rPr>
              <w:t> </w:t>
            </w:r>
            <w:r>
              <w:rPr>
                <w:sz w:val="24"/>
              </w:rPr>
              <w:t>;</w:t>
            </w:r>
          </w:p>
          <w:p>
            <w:pPr>
              <w:pStyle w:val="TableParagraph"/>
              <w:numPr>
                <w:ilvl w:val="1"/>
                <w:numId w:val="115"/>
              </w:numPr>
              <w:tabs>
                <w:tab w:pos="831" w:val="left" w:leader="none"/>
              </w:tabs>
              <w:spacing w:line="285" w:lineRule="exact" w:before="0" w:after="0"/>
              <w:ind w:left="830" w:right="0" w:hanging="265"/>
              <w:jc w:val="both"/>
              <w:rPr>
                <w:sz w:val="24"/>
              </w:rPr>
            </w:pPr>
            <w:r>
              <w:rPr>
                <w:sz w:val="24"/>
              </w:rPr>
              <w:t>Les projets d’achats négociés</w:t>
            </w:r>
            <w:r>
              <w:rPr>
                <w:spacing w:val="-2"/>
                <w:sz w:val="24"/>
              </w:rPr>
              <w:t> </w:t>
            </w:r>
            <w:r>
              <w:rPr>
                <w:sz w:val="24"/>
              </w:rPr>
              <w:t>;</w:t>
            </w:r>
          </w:p>
          <w:p>
            <w:pPr>
              <w:pStyle w:val="TableParagraph"/>
              <w:numPr>
                <w:ilvl w:val="1"/>
                <w:numId w:val="115"/>
              </w:numPr>
              <w:tabs>
                <w:tab w:pos="831" w:val="left" w:leader="none"/>
              </w:tabs>
              <w:spacing w:line="230" w:lineRule="auto" w:before="0" w:after="0"/>
              <w:ind w:left="830" w:right="60" w:hanging="264"/>
              <w:jc w:val="both"/>
              <w:rPr>
                <w:sz w:val="24"/>
              </w:rPr>
            </w:pPr>
            <w:r>
              <w:rPr>
                <w:sz w:val="24"/>
              </w:rPr>
              <w:t>Les projets d'avenants relatifs aux achats relevant de sa compétence sauf</w:t>
            </w:r>
            <w:r>
              <w:rPr>
                <w:spacing w:val="-40"/>
                <w:sz w:val="24"/>
              </w:rPr>
              <w:t> </w:t>
            </w:r>
            <w:r>
              <w:rPr>
                <w:sz w:val="24"/>
              </w:rPr>
              <w:t>si le montant de l’achat y compris les avenants dépasse le seuil de sa compétence</w:t>
            </w:r>
            <w:r>
              <w:rPr>
                <w:spacing w:val="-1"/>
                <w:sz w:val="24"/>
              </w:rPr>
              <w:t> </w:t>
            </w:r>
            <w:r>
              <w:rPr>
                <w:sz w:val="24"/>
              </w:rPr>
              <w:t>;</w:t>
            </w:r>
          </w:p>
          <w:p>
            <w:pPr>
              <w:pStyle w:val="TableParagraph"/>
              <w:numPr>
                <w:ilvl w:val="1"/>
                <w:numId w:val="115"/>
              </w:numPr>
              <w:tabs>
                <w:tab w:pos="831" w:val="left" w:leader="none"/>
              </w:tabs>
              <w:spacing w:line="286" w:lineRule="exact" w:before="3" w:after="0"/>
              <w:ind w:left="830" w:right="0" w:hanging="265"/>
              <w:jc w:val="both"/>
              <w:rPr>
                <w:sz w:val="24"/>
              </w:rPr>
            </w:pPr>
            <w:r>
              <w:rPr>
                <w:sz w:val="24"/>
              </w:rPr>
              <w:t>Les projets de règlements définitifs relevant de sa compétence ;</w:t>
            </w:r>
          </w:p>
          <w:p>
            <w:pPr>
              <w:pStyle w:val="TableParagraph"/>
              <w:numPr>
                <w:ilvl w:val="1"/>
                <w:numId w:val="115"/>
              </w:numPr>
              <w:tabs>
                <w:tab w:pos="831" w:val="left" w:leader="none"/>
              </w:tabs>
              <w:spacing w:line="223" w:lineRule="auto" w:before="4" w:after="0"/>
              <w:ind w:left="830" w:right="66" w:hanging="264"/>
              <w:jc w:val="both"/>
              <w:rPr>
                <w:sz w:val="24"/>
              </w:rPr>
            </w:pPr>
            <w:r>
              <w:rPr>
                <w:sz w:val="24"/>
              </w:rPr>
              <w:t>Tout problème ou litige relatif à l'élaboration, à la passation, à l'exécution et au règlement des achats relevant de sa</w:t>
            </w:r>
            <w:r>
              <w:rPr>
                <w:spacing w:val="-3"/>
                <w:sz w:val="24"/>
              </w:rPr>
              <w:t> </w:t>
            </w:r>
            <w:r>
              <w:rPr>
                <w:sz w:val="24"/>
              </w:rPr>
              <w:t>compétence.</w:t>
            </w:r>
          </w:p>
        </w:tc>
      </w:tr>
      <w:tr>
        <w:trPr>
          <w:trHeight w:val="827" w:hRule="atLeast"/>
        </w:trPr>
        <w:tc>
          <w:tcPr>
            <w:tcW w:w="1668" w:type="dxa"/>
            <w:tcBorders>
              <w:top w:val="single" w:sz="2" w:space="0" w:color="000000"/>
              <w:bottom w:val="single" w:sz="2" w:space="0" w:color="000000"/>
            </w:tcBorders>
          </w:tcPr>
          <w:p>
            <w:pPr>
              <w:pStyle w:val="TableParagraph"/>
              <w:ind w:left="107" w:right="523"/>
              <w:rPr>
                <w:b/>
                <w:sz w:val="24"/>
              </w:rPr>
            </w:pPr>
            <w:r>
              <w:rPr>
                <w:b/>
                <w:sz w:val="24"/>
              </w:rPr>
              <w:t>Quorum (présence</w:t>
            </w:r>
          </w:p>
          <w:p>
            <w:pPr>
              <w:pStyle w:val="TableParagraph"/>
              <w:spacing w:line="259" w:lineRule="exact"/>
              <w:ind w:left="107"/>
              <w:rPr>
                <w:b/>
                <w:sz w:val="24"/>
              </w:rPr>
            </w:pPr>
            <w:r>
              <w:rPr>
                <w:b/>
                <w:sz w:val="24"/>
              </w:rPr>
              <w:t>/signature)</w:t>
            </w:r>
          </w:p>
        </w:tc>
        <w:tc>
          <w:tcPr>
            <w:tcW w:w="8090" w:type="dxa"/>
            <w:tcBorders>
              <w:top w:val="single" w:sz="2" w:space="0" w:color="000000"/>
              <w:bottom w:val="single" w:sz="2" w:space="0" w:color="000000"/>
            </w:tcBorders>
          </w:tcPr>
          <w:p>
            <w:pPr>
              <w:pStyle w:val="TableParagraph"/>
              <w:spacing w:before="128"/>
              <w:ind w:left="109"/>
              <w:rPr>
                <w:sz w:val="24"/>
              </w:rPr>
            </w:pPr>
            <w:r>
              <w:rPr>
                <w:sz w:val="24"/>
              </w:rPr>
              <w:t>Ne peut se réunir qu'en présence (physique ou à distance) de la majorité de ses membres</w:t>
            </w:r>
          </w:p>
        </w:tc>
      </w:tr>
      <w:tr>
        <w:trPr>
          <w:trHeight w:val="385" w:hRule="atLeast"/>
        </w:trPr>
        <w:tc>
          <w:tcPr>
            <w:tcW w:w="1668" w:type="dxa"/>
            <w:tcBorders>
              <w:top w:val="single" w:sz="2" w:space="0" w:color="000000"/>
            </w:tcBorders>
          </w:tcPr>
          <w:p>
            <w:pPr>
              <w:pStyle w:val="TableParagraph"/>
              <w:spacing w:before="52"/>
              <w:ind w:left="107"/>
              <w:rPr>
                <w:b/>
                <w:sz w:val="24"/>
              </w:rPr>
            </w:pPr>
            <w:r>
              <w:rPr>
                <w:b/>
                <w:sz w:val="24"/>
              </w:rPr>
              <w:t>Secrétariat</w:t>
            </w:r>
          </w:p>
        </w:tc>
        <w:tc>
          <w:tcPr>
            <w:tcW w:w="8090" w:type="dxa"/>
            <w:tcBorders>
              <w:top w:val="single" w:sz="2" w:space="0" w:color="000000"/>
            </w:tcBorders>
          </w:tcPr>
          <w:p>
            <w:pPr>
              <w:pStyle w:val="TableParagraph"/>
              <w:spacing w:before="47"/>
              <w:ind w:left="109"/>
              <w:rPr>
                <w:sz w:val="24"/>
              </w:rPr>
            </w:pPr>
            <w:r>
              <w:rPr>
                <w:sz w:val="24"/>
              </w:rPr>
              <w:t>Secrétariat Permanant des Commissions des Achats (SPCA)</w:t>
            </w:r>
          </w:p>
        </w:tc>
      </w:tr>
    </w:tbl>
    <w:p>
      <w:pPr>
        <w:spacing w:after="0"/>
        <w:rPr>
          <w:sz w:val="24"/>
        </w:rPr>
        <w:sectPr>
          <w:pgSz w:w="11910" w:h="16840"/>
          <w:pgMar w:header="522" w:footer="0" w:top="720" w:bottom="280" w:left="700" w:right="380"/>
        </w:sectPr>
      </w:pPr>
    </w:p>
    <w:p>
      <w:pPr>
        <w:pStyle w:val="BodyText"/>
        <w:spacing w:before="5"/>
        <w:ind w:left="0" w:firstLine="0"/>
        <w:jc w:val="left"/>
        <w:rPr>
          <w:b/>
          <w:sz w:val="16"/>
        </w:rPr>
      </w:pPr>
    </w:p>
    <w:p>
      <w:pPr>
        <w:pStyle w:val="Heading2"/>
        <w:ind w:left="918"/>
        <w:jc w:val="left"/>
      </w:pPr>
      <w:bookmarkStart w:name="_TOC_250013" w:id="130"/>
      <w:bookmarkEnd w:id="130"/>
      <w:r>
        <w:rPr/>
        <w:t>Annexe n°9 : Fiche d’identification Commission des Affrètements (CAff)</w:t>
      </w:r>
    </w:p>
    <w:p>
      <w:pPr>
        <w:pStyle w:val="BodyText"/>
        <w:spacing w:before="5"/>
        <w:ind w:left="0" w:firstLine="0"/>
        <w:jc w:val="left"/>
        <w:rPr>
          <w:b/>
          <w:sz w:val="25"/>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36"/>
        <w:gridCol w:w="8508"/>
      </w:tblGrid>
      <w:tr>
        <w:trPr>
          <w:trHeight w:val="552" w:hRule="atLeast"/>
        </w:trPr>
        <w:tc>
          <w:tcPr>
            <w:tcW w:w="1536" w:type="dxa"/>
          </w:tcPr>
          <w:p>
            <w:pPr>
              <w:pStyle w:val="TableParagraph"/>
              <w:spacing w:line="276" w:lineRule="exact" w:before="1"/>
              <w:ind w:left="107" w:right="17"/>
              <w:rPr>
                <w:b/>
                <w:sz w:val="24"/>
              </w:rPr>
            </w:pPr>
            <w:r>
              <w:rPr>
                <w:b/>
                <w:sz w:val="24"/>
              </w:rPr>
              <w:t>Dénominatio n de l’organe</w:t>
            </w:r>
          </w:p>
        </w:tc>
        <w:tc>
          <w:tcPr>
            <w:tcW w:w="8508" w:type="dxa"/>
          </w:tcPr>
          <w:p>
            <w:pPr>
              <w:pStyle w:val="TableParagraph"/>
              <w:spacing w:before="137"/>
              <w:ind w:left="109"/>
              <w:rPr>
                <w:b/>
                <w:sz w:val="24"/>
              </w:rPr>
            </w:pPr>
            <w:r>
              <w:rPr>
                <w:b/>
                <w:sz w:val="24"/>
              </w:rPr>
              <w:t>Commission des Affrètements (CAff)</w:t>
            </w:r>
          </w:p>
        </w:tc>
      </w:tr>
      <w:tr>
        <w:trPr>
          <w:trHeight w:val="591" w:hRule="atLeast"/>
        </w:trPr>
        <w:tc>
          <w:tcPr>
            <w:tcW w:w="1536" w:type="dxa"/>
            <w:tcBorders>
              <w:bottom w:val="single" w:sz="2" w:space="0" w:color="000000"/>
            </w:tcBorders>
          </w:tcPr>
          <w:p>
            <w:pPr>
              <w:pStyle w:val="TableParagraph"/>
              <w:spacing w:before="154"/>
              <w:ind w:left="107"/>
              <w:rPr>
                <w:b/>
                <w:sz w:val="24"/>
              </w:rPr>
            </w:pPr>
            <w:r>
              <w:rPr>
                <w:b/>
                <w:sz w:val="24"/>
              </w:rPr>
              <w:t>Type</w:t>
            </w:r>
          </w:p>
        </w:tc>
        <w:tc>
          <w:tcPr>
            <w:tcW w:w="8508" w:type="dxa"/>
            <w:tcBorders>
              <w:bottom w:val="single" w:sz="2" w:space="0" w:color="000000"/>
            </w:tcBorders>
          </w:tcPr>
          <w:p>
            <w:pPr>
              <w:pStyle w:val="TableParagraph"/>
              <w:spacing w:before="209"/>
              <w:ind w:left="109"/>
              <w:rPr>
                <w:sz w:val="24"/>
              </w:rPr>
            </w:pPr>
            <w:r>
              <w:rPr>
                <w:sz w:val="24"/>
              </w:rPr>
              <w:t>Commission Interne Permanente</w:t>
            </w:r>
          </w:p>
        </w:tc>
      </w:tr>
      <w:tr>
        <w:trPr>
          <w:trHeight w:val="698" w:hRule="atLeast"/>
        </w:trPr>
        <w:tc>
          <w:tcPr>
            <w:tcW w:w="1536" w:type="dxa"/>
            <w:tcBorders>
              <w:top w:val="single" w:sz="2" w:space="0" w:color="000000"/>
              <w:bottom w:val="single" w:sz="2" w:space="0" w:color="000000"/>
            </w:tcBorders>
          </w:tcPr>
          <w:p>
            <w:pPr>
              <w:pStyle w:val="TableParagraph"/>
              <w:spacing w:before="208"/>
              <w:ind w:left="107"/>
              <w:rPr>
                <w:b/>
                <w:sz w:val="24"/>
              </w:rPr>
            </w:pPr>
            <w:r>
              <w:rPr>
                <w:b/>
                <w:sz w:val="24"/>
              </w:rPr>
              <w:t>Désignation</w:t>
            </w:r>
          </w:p>
        </w:tc>
        <w:tc>
          <w:tcPr>
            <w:tcW w:w="8508" w:type="dxa"/>
            <w:tcBorders>
              <w:top w:val="single" w:sz="2" w:space="0" w:color="000000"/>
              <w:bottom w:val="single" w:sz="2" w:space="0" w:color="000000"/>
            </w:tcBorders>
          </w:tcPr>
          <w:p>
            <w:pPr>
              <w:pStyle w:val="TableParagraph"/>
              <w:spacing w:before="10"/>
              <w:rPr>
                <w:b/>
                <w:sz w:val="22"/>
              </w:rPr>
            </w:pPr>
          </w:p>
          <w:p>
            <w:pPr>
              <w:pStyle w:val="TableParagraph"/>
              <w:ind w:left="109"/>
              <w:rPr>
                <w:sz w:val="24"/>
              </w:rPr>
            </w:pPr>
            <w:r>
              <w:rPr>
                <w:sz w:val="24"/>
              </w:rPr>
              <w:t>Désignée par une note organisationnelle émise par la Direction Générale du GCT</w:t>
            </w:r>
          </w:p>
        </w:tc>
      </w:tr>
      <w:tr>
        <w:trPr>
          <w:trHeight w:val="698" w:hRule="atLeast"/>
        </w:trPr>
        <w:tc>
          <w:tcPr>
            <w:tcW w:w="1536" w:type="dxa"/>
            <w:tcBorders>
              <w:top w:val="single" w:sz="2" w:space="0" w:color="000000"/>
              <w:bottom w:val="single" w:sz="2" w:space="0" w:color="000000"/>
            </w:tcBorders>
          </w:tcPr>
          <w:p>
            <w:pPr>
              <w:pStyle w:val="TableParagraph"/>
              <w:spacing w:before="71"/>
              <w:ind w:left="107" w:right="97"/>
              <w:rPr>
                <w:b/>
                <w:sz w:val="24"/>
              </w:rPr>
            </w:pPr>
            <w:r>
              <w:rPr>
                <w:b/>
                <w:sz w:val="24"/>
              </w:rPr>
              <w:t>Compétence (mDT)</w:t>
            </w:r>
          </w:p>
        </w:tc>
        <w:tc>
          <w:tcPr>
            <w:tcW w:w="8508" w:type="dxa"/>
            <w:tcBorders>
              <w:top w:val="single" w:sz="2" w:space="0" w:color="000000"/>
              <w:bottom w:val="single" w:sz="2" w:space="0" w:color="000000"/>
            </w:tcBorders>
          </w:tcPr>
          <w:p>
            <w:pPr>
              <w:pStyle w:val="TableParagraph"/>
              <w:spacing w:before="10"/>
              <w:rPr>
                <w:b/>
                <w:sz w:val="22"/>
              </w:rPr>
            </w:pPr>
          </w:p>
          <w:p>
            <w:pPr>
              <w:pStyle w:val="TableParagraph"/>
              <w:ind w:left="109"/>
              <w:rPr>
                <w:sz w:val="24"/>
              </w:rPr>
            </w:pPr>
            <w:r>
              <w:rPr>
                <w:sz w:val="24"/>
              </w:rPr>
              <w:t>Affrètement des navires : (&lt; 7000)</w:t>
            </w:r>
          </w:p>
        </w:tc>
      </w:tr>
      <w:tr>
        <w:trPr>
          <w:trHeight w:val="3242" w:hRule="atLeast"/>
        </w:trPr>
        <w:tc>
          <w:tcPr>
            <w:tcW w:w="1536"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7"/>
              <w:rPr>
                <w:b/>
                <w:sz w:val="24"/>
              </w:rPr>
            </w:pPr>
          </w:p>
          <w:p>
            <w:pPr>
              <w:pStyle w:val="TableParagraph"/>
              <w:spacing w:before="1"/>
              <w:ind w:left="107"/>
              <w:rPr>
                <w:b/>
                <w:sz w:val="24"/>
              </w:rPr>
            </w:pPr>
            <w:r>
              <w:rPr>
                <w:b/>
                <w:sz w:val="24"/>
              </w:rPr>
              <w:t>Composition</w:t>
            </w:r>
          </w:p>
        </w:tc>
        <w:tc>
          <w:tcPr>
            <w:tcW w:w="8508" w:type="dxa"/>
            <w:tcBorders>
              <w:top w:val="single" w:sz="2" w:space="0" w:color="000000"/>
              <w:bottom w:val="single" w:sz="2" w:space="0" w:color="000000"/>
            </w:tcBorders>
          </w:tcPr>
          <w:p>
            <w:pPr>
              <w:pStyle w:val="TableParagraph"/>
              <w:spacing w:before="112"/>
              <w:ind w:left="109"/>
              <w:rPr>
                <w:sz w:val="24"/>
              </w:rPr>
            </w:pPr>
            <w:r>
              <w:rPr>
                <w:sz w:val="24"/>
              </w:rPr>
              <w:t>La CAff se compose de :</w:t>
            </w:r>
          </w:p>
          <w:p>
            <w:pPr>
              <w:pStyle w:val="TableParagraph"/>
              <w:numPr>
                <w:ilvl w:val="0"/>
                <w:numId w:val="116"/>
              </w:numPr>
              <w:tabs>
                <w:tab w:pos="468" w:val="left" w:leader="none"/>
              </w:tabs>
              <w:spacing w:line="240" w:lineRule="auto" w:before="2" w:after="0"/>
              <w:ind w:left="467" w:right="0" w:hanging="292"/>
              <w:jc w:val="left"/>
              <w:rPr>
                <w:sz w:val="24"/>
              </w:rPr>
            </w:pPr>
            <w:r>
              <w:rPr>
                <w:sz w:val="24"/>
              </w:rPr>
              <w:t>Un</w:t>
            </w:r>
            <w:r>
              <w:rPr>
                <w:spacing w:val="-1"/>
                <w:sz w:val="24"/>
              </w:rPr>
              <w:t> </w:t>
            </w:r>
            <w:r>
              <w:rPr>
                <w:sz w:val="24"/>
              </w:rPr>
              <w:t>président</w:t>
            </w:r>
          </w:p>
          <w:p>
            <w:pPr>
              <w:pStyle w:val="TableParagraph"/>
              <w:numPr>
                <w:ilvl w:val="0"/>
                <w:numId w:val="116"/>
              </w:numPr>
              <w:tabs>
                <w:tab w:pos="468" w:val="left" w:leader="none"/>
              </w:tabs>
              <w:spacing w:line="293" w:lineRule="exact" w:before="1" w:after="0"/>
              <w:ind w:left="467" w:right="0" w:hanging="292"/>
              <w:jc w:val="left"/>
              <w:rPr>
                <w:sz w:val="24"/>
              </w:rPr>
            </w:pPr>
            <w:r>
              <w:rPr>
                <w:sz w:val="24"/>
              </w:rPr>
              <w:t>Membre : représentant de la</w:t>
            </w:r>
            <w:r>
              <w:rPr>
                <w:spacing w:val="-6"/>
                <w:sz w:val="24"/>
              </w:rPr>
              <w:t> </w:t>
            </w:r>
            <w:r>
              <w:rPr>
                <w:sz w:val="24"/>
              </w:rPr>
              <w:t>DCAJ</w:t>
            </w:r>
          </w:p>
          <w:p>
            <w:pPr>
              <w:pStyle w:val="TableParagraph"/>
              <w:numPr>
                <w:ilvl w:val="0"/>
                <w:numId w:val="116"/>
              </w:numPr>
              <w:tabs>
                <w:tab w:pos="468" w:val="left" w:leader="none"/>
              </w:tabs>
              <w:spacing w:line="293" w:lineRule="exact" w:before="0" w:after="0"/>
              <w:ind w:left="467" w:right="0" w:hanging="292"/>
              <w:jc w:val="left"/>
              <w:rPr>
                <w:sz w:val="24"/>
              </w:rPr>
            </w:pPr>
            <w:r>
              <w:rPr>
                <w:sz w:val="24"/>
              </w:rPr>
              <w:t>Membre : représentant de la DGC</w:t>
            </w:r>
            <w:r>
              <w:rPr>
                <w:spacing w:val="-6"/>
                <w:sz w:val="24"/>
              </w:rPr>
              <w:t> </w:t>
            </w:r>
            <w:r>
              <w:rPr>
                <w:sz w:val="24"/>
              </w:rPr>
              <w:t>;</w:t>
            </w:r>
          </w:p>
          <w:p>
            <w:pPr>
              <w:pStyle w:val="TableParagraph"/>
              <w:numPr>
                <w:ilvl w:val="0"/>
                <w:numId w:val="116"/>
              </w:numPr>
              <w:tabs>
                <w:tab w:pos="468" w:val="left" w:leader="none"/>
              </w:tabs>
              <w:spacing w:line="293" w:lineRule="exact" w:before="0" w:after="0"/>
              <w:ind w:left="467" w:right="0" w:hanging="292"/>
              <w:jc w:val="left"/>
              <w:rPr>
                <w:sz w:val="24"/>
              </w:rPr>
            </w:pPr>
            <w:r>
              <w:rPr>
                <w:sz w:val="24"/>
              </w:rPr>
              <w:t>Membre : représentant de la</w:t>
            </w:r>
            <w:r>
              <w:rPr>
                <w:spacing w:val="-3"/>
                <w:sz w:val="24"/>
              </w:rPr>
              <w:t> </w:t>
            </w:r>
            <w:r>
              <w:rPr>
                <w:sz w:val="24"/>
              </w:rPr>
              <w:t>DCAMP</w:t>
            </w:r>
          </w:p>
          <w:p>
            <w:pPr>
              <w:pStyle w:val="TableParagraph"/>
              <w:numPr>
                <w:ilvl w:val="0"/>
                <w:numId w:val="116"/>
              </w:numPr>
              <w:tabs>
                <w:tab w:pos="468" w:val="left" w:leader="none"/>
              </w:tabs>
              <w:spacing w:line="292" w:lineRule="exact" w:before="0" w:after="0"/>
              <w:ind w:left="467" w:right="0" w:hanging="292"/>
              <w:jc w:val="left"/>
              <w:rPr>
                <w:sz w:val="24"/>
              </w:rPr>
            </w:pPr>
            <w:r>
              <w:rPr>
                <w:sz w:val="24"/>
              </w:rPr>
              <w:t>Un membre</w:t>
            </w:r>
          </w:p>
          <w:p>
            <w:pPr>
              <w:pStyle w:val="TableParagraph"/>
              <w:ind w:left="176"/>
              <w:rPr>
                <w:sz w:val="24"/>
              </w:rPr>
            </w:pPr>
            <w:r>
              <w:rPr>
                <w:sz w:val="24"/>
              </w:rPr>
              <w:t>En cas d'absence du président, la présidence se délègue à l'un des membres selon l'ordre d'apparition dans la note de désignation de la commission.</w:t>
            </w:r>
          </w:p>
          <w:p>
            <w:pPr>
              <w:pStyle w:val="TableParagraph"/>
              <w:ind w:left="109"/>
              <w:rPr>
                <w:sz w:val="24"/>
              </w:rPr>
            </w:pPr>
            <w:r>
              <w:rPr>
                <w:sz w:val="24"/>
              </w:rPr>
              <w:t>En cas d’empêchement justifié du président ou d’un membre de la commission, ce dernier doit être remplacé par un autre cadre désigné par la Direction Générale.</w:t>
            </w:r>
          </w:p>
        </w:tc>
      </w:tr>
      <w:tr>
        <w:trPr>
          <w:trHeight w:val="5313" w:hRule="atLeast"/>
        </w:trPr>
        <w:tc>
          <w:tcPr>
            <w:tcW w:w="1536"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0"/>
              <w:rPr>
                <w:b/>
                <w:sz w:val="36"/>
              </w:rPr>
            </w:pPr>
          </w:p>
          <w:p>
            <w:pPr>
              <w:pStyle w:val="TableParagraph"/>
              <w:ind w:left="107"/>
              <w:rPr>
                <w:b/>
                <w:sz w:val="24"/>
              </w:rPr>
            </w:pPr>
            <w:r>
              <w:rPr>
                <w:b/>
                <w:sz w:val="24"/>
              </w:rPr>
              <w:t>Attributions</w:t>
            </w:r>
          </w:p>
        </w:tc>
        <w:tc>
          <w:tcPr>
            <w:tcW w:w="8508" w:type="dxa"/>
            <w:tcBorders>
              <w:top w:val="single" w:sz="2" w:space="0" w:color="000000"/>
              <w:bottom w:val="single" w:sz="2" w:space="0" w:color="000000"/>
            </w:tcBorders>
          </w:tcPr>
          <w:p>
            <w:pPr>
              <w:pStyle w:val="TableParagraph"/>
              <w:numPr>
                <w:ilvl w:val="0"/>
                <w:numId w:val="117"/>
              </w:numPr>
              <w:tabs>
                <w:tab w:pos="427" w:val="left" w:leader="none"/>
              </w:tabs>
              <w:spacing w:line="240" w:lineRule="auto" w:before="0" w:after="0"/>
              <w:ind w:left="426" w:right="62" w:hanging="284"/>
              <w:jc w:val="both"/>
              <w:rPr>
                <w:sz w:val="24"/>
              </w:rPr>
            </w:pPr>
            <w:r>
              <w:rPr>
                <w:sz w:val="24"/>
              </w:rPr>
              <w:t>Examiner la régularité des procédures de recours à la concurrence, d'attribution</w:t>
            </w:r>
            <w:r>
              <w:rPr>
                <w:spacing w:val="-32"/>
                <w:sz w:val="24"/>
              </w:rPr>
              <w:t> </w:t>
            </w:r>
            <w:r>
              <w:rPr>
                <w:sz w:val="24"/>
              </w:rPr>
              <w:t>des achats d’affrètement, la sincérité et la transparence des procédures de passation</w:t>
            </w:r>
            <w:r>
              <w:rPr>
                <w:spacing w:val="-28"/>
                <w:sz w:val="24"/>
              </w:rPr>
              <w:t> </w:t>
            </w:r>
            <w:r>
              <w:rPr>
                <w:sz w:val="24"/>
              </w:rPr>
              <w:t>des achats d’affrètement et s'assurer du caractère acceptable de ses conditions administratives, financières et techniques (pour les achats relevant de sa compétence)</w:t>
            </w:r>
            <w:r>
              <w:rPr>
                <w:spacing w:val="-1"/>
                <w:sz w:val="24"/>
              </w:rPr>
              <w:t> </w:t>
            </w:r>
            <w:r>
              <w:rPr>
                <w:sz w:val="24"/>
              </w:rPr>
              <w:t>;</w:t>
            </w:r>
          </w:p>
          <w:p>
            <w:pPr>
              <w:pStyle w:val="TableParagraph"/>
              <w:numPr>
                <w:ilvl w:val="0"/>
                <w:numId w:val="117"/>
              </w:numPr>
              <w:tabs>
                <w:tab w:pos="427" w:val="left" w:leader="none"/>
              </w:tabs>
              <w:spacing w:line="292" w:lineRule="exact" w:before="0" w:after="0"/>
              <w:ind w:left="426" w:right="0" w:hanging="284"/>
              <w:jc w:val="both"/>
              <w:rPr>
                <w:sz w:val="24"/>
              </w:rPr>
            </w:pPr>
            <w:r>
              <w:rPr>
                <w:sz w:val="24"/>
              </w:rPr>
              <w:t>Donner avis préalable sur (pour les achats relevant de sa compétence)</w:t>
            </w:r>
            <w:r>
              <w:rPr>
                <w:spacing w:val="-4"/>
                <w:sz w:val="24"/>
              </w:rPr>
              <w:t> </w:t>
            </w:r>
            <w:r>
              <w:rPr>
                <w:sz w:val="24"/>
              </w:rPr>
              <w:t>:</w:t>
            </w:r>
          </w:p>
          <w:p>
            <w:pPr>
              <w:pStyle w:val="TableParagraph"/>
              <w:numPr>
                <w:ilvl w:val="1"/>
                <w:numId w:val="117"/>
              </w:numPr>
              <w:tabs>
                <w:tab w:pos="831" w:val="left" w:leader="none"/>
              </w:tabs>
              <w:spacing w:line="286" w:lineRule="exact" w:before="0" w:after="0"/>
              <w:ind w:left="830" w:right="0" w:hanging="265"/>
              <w:jc w:val="both"/>
              <w:rPr>
                <w:sz w:val="24"/>
              </w:rPr>
            </w:pPr>
            <w:r>
              <w:rPr>
                <w:sz w:val="24"/>
              </w:rPr>
              <w:t>Les rapports d’évaluation des offres</w:t>
            </w:r>
            <w:r>
              <w:rPr>
                <w:spacing w:val="1"/>
                <w:sz w:val="24"/>
              </w:rPr>
              <w:t> </w:t>
            </w:r>
            <w:r>
              <w:rPr>
                <w:sz w:val="24"/>
              </w:rPr>
              <w:t>;</w:t>
            </w:r>
          </w:p>
          <w:p>
            <w:pPr>
              <w:pStyle w:val="TableParagraph"/>
              <w:numPr>
                <w:ilvl w:val="1"/>
                <w:numId w:val="117"/>
              </w:numPr>
              <w:tabs>
                <w:tab w:pos="831" w:val="left" w:leader="none"/>
              </w:tabs>
              <w:spacing w:line="276" w:lineRule="exact" w:before="0" w:after="0"/>
              <w:ind w:left="830" w:right="0" w:hanging="265"/>
              <w:jc w:val="both"/>
              <w:rPr>
                <w:sz w:val="24"/>
              </w:rPr>
            </w:pPr>
            <w:r>
              <w:rPr>
                <w:sz w:val="24"/>
              </w:rPr>
              <w:t>Les projets d’achat d’affrètement</w:t>
            </w:r>
            <w:r>
              <w:rPr>
                <w:spacing w:val="-2"/>
                <w:sz w:val="24"/>
              </w:rPr>
              <w:t> </w:t>
            </w:r>
            <w:r>
              <w:rPr>
                <w:sz w:val="24"/>
              </w:rPr>
              <w:t>négocié,</w:t>
            </w:r>
          </w:p>
          <w:p>
            <w:pPr>
              <w:pStyle w:val="TableParagraph"/>
              <w:numPr>
                <w:ilvl w:val="1"/>
                <w:numId w:val="117"/>
              </w:numPr>
              <w:tabs>
                <w:tab w:pos="831" w:val="left" w:leader="none"/>
              </w:tabs>
              <w:spacing w:line="230" w:lineRule="auto" w:before="0" w:after="0"/>
              <w:ind w:left="830" w:right="64" w:hanging="264"/>
              <w:jc w:val="both"/>
              <w:rPr>
                <w:sz w:val="24"/>
              </w:rPr>
            </w:pPr>
            <w:r>
              <w:rPr>
                <w:sz w:val="24"/>
              </w:rPr>
              <w:t>Les projets d'avenants relatifs aux achats relevant de sa compétence sauf si le montant de l’affrètement y compris les avenants dépasse le seuil de sa compétence,</w:t>
            </w:r>
          </w:p>
          <w:p>
            <w:pPr>
              <w:pStyle w:val="TableParagraph"/>
              <w:numPr>
                <w:ilvl w:val="1"/>
                <w:numId w:val="117"/>
              </w:numPr>
              <w:tabs>
                <w:tab w:pos="831" w:val="left" w:leader="none"/>
              </w:tabs>
              <w:spacing w:line="286" w:lineRule="exact" w:before="0" w:after="0"/>
              <w:ind w:left="830" w:right="0" w:hanging="265"/>
              <w:jc w:val="both"/>
              <w:rPr>
                <w:sz w:val="24"/>
              </w:rPr>
            </w:pPr>
            <w:r>
              <w:rPr>
                <w:sz w:val="24"/>
              </w:rPr>
              <w:t>Les projets de règlements définitifs des achats</w:t>
            </w:r>
            <w:r>
              <w:rPr>
                <w:spacing w:val="-5"/>
                <w:sz w:val="24"/>
              </w:rPr>
              <w:t> </w:t>
            </w:r>
            <w:r>
              <w:rPr>
                <w:sz w:val="24"/>
              </w:rPr>
              <w:t>d’affrètement,</w:t>
            </w:r>
          </w:p>
          <w:p>
            <w:pPr>
              <w:pStyle w:val="TableParagraph"/>
              <w:spacing w:line="223" w:lineRule="auto" w:before="1"/>
              <w:ind w:left="830" w:right="60" w:hanging="361"/>
              <w:jc w:val="both"/>
              <w:rPr>
                <w:sz w:val="24"/>
              </w:rPr>
            </w:pPr>
            <w:r>
              <w:rPr>
                <w:rFonts w:ascii="Courier New" w:hAnsi="Courier New"/>
                <w:sz w:val="24"/>
              </w:rPr>
              <w:t>- </w:t>
            </w:r>
            <w:r>
              <w:rPr>
                <w:sz w:val="24"/>
              </w:rPr>
              <w:t>Tout problème ou litige relatif à l'élaboration, à la passation, à l'exécution et au règlement des achats d’affrètement,</w:t>
            </w:r>
          </w:p>
          <w:p>
            <w:pPr>
              <w:pStyle w:val="TableParagraph"/>
              <w:numPr>
                <w:ilvl w:val="0"/>
                <w:numId w:val="118"/>
              </w:numPr>
              <w:tabs>
                <w:tab w:pos="427" w:val="left" w:leader="none"/>
              </w:tabs>
              <w:spacing w:line="237" w:lineRule="auto" w:before="9" w:after="0"/>
              <w:ind w:left="426" w:right="66" w:hanging="284"/>
              <w:jc w:val="left"/>
              <w:rPr>
                <w:sz w:val="24"/>
              </w:rPr>
            </w:pPr>
            <w:r>
              <w:rPr>
                <w:sz w:val="24"/>
              </w:rPr>
              <w:t>Examiner et approuver la liste des armateurs et des courtiers à consulter sur la</w:t>
            </w:r>
            <w:r>
              <w:rPr>
                <w:spacing w:val="-15"/>
                <w:sz w:val="24"/>
              </w:rPr>
              <w:t> </w:t>
            </w:r>
            <w:r>
              <w:rPr>
                <w:sz w:val="24"/>
              </w:rPr>
              <w:t>base des éléments d’appréciation présentés par la structure chargée d'affrètements</w:t>
            </w:r>
            <w:r>
              <w:rPr>
                <w:spacing w:val="-11"/>
                <w:sz w:val="24"/>
              </w:rPr>
              <w:t> </w:t>
            </w:r>
            <w:r>
              <w:rPr>
                <w:sz w:val="24"/>
              </w:rPr>
              <w:t>;</w:t>
            </w:r>
          </w:p>
          <w:p>
            <w:pPr>
              <w:pStyle w:val="TableParagraph"/>
              <w:numPr>
                <w:ilvl w:val="0"/>
                <w:numId w:val="118"/>
              </w:numPr>
              <w:tabs>
                <w:tab w:pos="427" w:val="left" w:leader="none"/>
              </w:tabs>
              <w:spacing w:line="237" w:lineRule="auto" w:before="4" w:after="0"/>
              <w:ind w:left="426" w:right="65" w:hanging="284"/>
              <w:jc w:val="left"/>
              <w:rPr>
                <w:sz w:val="24"/>
              </w:rPr>
            </w:pPr>
            <w:r>
              <w:rPr>
                <w:sz w:val="24"/>
              </w:rPr>
              <w:t>Pour les achats de services d’affrètements à réaliser par voie de</w:t>
            </w:r>
            <w:r>
              <w:rPr>
                <w:spacing w:val="40"/>
                <w:sz w:val="24"/>
              </w:rPr>
              <w:t> </w:t>
            </w:r>
            <w:r>
              <w:rPr>
                <w:sz w:val="24"/>
              </w:rPr>
              <w:t>consultation restreinte,</w:t>
            </w:r>
            <w:r>
              <w:rPr>
                <w:spacing w:val="47"/>
                <w:sz w:val="24"/>
              </w:rPr>
              <w:t> </w:t>
            </w:r>
            <w:r>
              <w:rPr>
                <w:sz w:val="24"/>
              </w:rPr>
              <w:t>la</w:t>
            </w:r>
            <w:r>
              <w:rPr>
                <w:spacing w:val="46"/>
                <w:sz w:val="24"/>
              </w:rPr>
              <w:t> </w:t>
            </w:r>
            <w:r>
              <w:rPr>
                <w:sz w:val="24"/>
              </w:rPr>
              <w:t>Commission</w:t>
            </w:r>
            <w:r>
              <w:rPr>
                <w:spacing w:val="47"/>
                <w:sz w:val="24"/>
              </w:rPr>
              <w:t> </w:t>
            </w:r>
            <w:r>
              <w:rPr>
                <w:sz w:val="24"/>
              </w:rPr>
              <w:t>d’affrètement</w:t>
            </w:r>
            <w:r>
              <w:rPr>
                <w:spacing w:val="48"/>
                <w:sz w:val="24"/>
              </w:rPr>
              <w:t> </w:t>
            </w:r>
            <w:r>
              <w:rPr>
                <w:sz w:val="24"/>
              </w:rPr>
              <w:t>effectue,</w:t>
            </w:r>
            <w:r>
              <w:rPr>
                <w:spacing w:val="47"/>
                <w:sz w:val="24"/>
              </w:rPr>
              <w:t> </w:t>
            </w:r>
            <w:r>
              <w:rPr>
                <w:sz w:val="24"/>
              </w:rPr>
              <w:t>l’ouverture,</w:t>
            </w:r>
            <w:r>
              <w:rPr>
                <w:spacing w:val="47"/>
                <w:sz w:val="24"/>
              </w:rPr>
              <w:t> </w:t>
            </w:r>
            <w:r>
              <w:rPr>
                <w:sz w:val="24"/>
              </w:rPr>
              <w:t>l’évaluation</w:t>
            </w:r>
            <w:r>
              <w:rPr>
                <w:spacing w:val="48"/>
                <w:sz w:val="24"/>
              </w:rPr>
              <w:t> </w:t>
            </w:r>
            <w:r>
              <w:rPr>
                <w:sz w:val="24"/>
              </w:rPr>
              <w:t>et</w:t>
            </w:r>
            <w:r>
              <w:rPr>
                <w:spacing w:val="47"/>
                <w:sz w:val="24"/>
              </w:rPr>
              <w:t> </w:t>
            </w:r>
            <w:r>
              <w:rPr>
                <w:sz w:val="24"/>
              </w:rPr>
              <w:t>la</w:t>
            </w:r>
          </w:p>
          <w:p>
            <w:pPr>
              <w:pStyle w:val="TableParagraph"/>
              <w:spacing w:line="264" w:lineRule="exact"/>
              <w:ind w:left="426"/>
              <w:rPr>
                <w:sz w:val="24"/>
              </w:rPr>
            </w:pPr>
            <w:r>
              <w:rPr>
                <w:sz w:val="24"/>
              </w:rPr>
              <w:t>proposition d’attribution.</w:t>
            </w:r>
          </w:p>
        </w:tc>
      </w:tr>
      <w:tr>
        <w:trPr>
          <w:trHeight w:val="1025" w:hRule="atLeast"/>
        </w:trPr>
        <w:tc>
          <w:tcPr>
            <w:tcW w:w="1536" w:type="dxa"/>
            <w:tcBorders>
              <w:top w:val="single" w:sz="2" w:space="0" w:color="000000"/>
              <w:bottom w:val="single" w:sz="2" w:space="0" w:color="000000"/>
            </w:tcBorders>
          </w:tcPr>
          <w:p>
            <w:pPr>
              <w:pStyle w:val="TableParagraph"/>
              <w:spacing w:before="95"/>
              <w:ind w:left="107" w:right="391"/>
              <w:rPr>
                <w:b/>
                <w:sz w:val="24"/>
              </w:rPr>
            </w:pPr>
            <w:r>
              <w:rPr>
                <w:b/>
                <w:sz w:val="24"/>
              </w:rPr>
              <w:t>Quorum (présence</w:t>
            </w:r>
          </w:p>
          <w:p>
            <w:pPr>
              <w:pStyle w:val="TableParagraph"/>
              <w:ind w:left="107"/>
              <w:rPr>
                <w:b/>
                <w:sz w:val="24"/>
              </w:rPr>
            </w:pPr>
            <w:r>
              <w:rPr>
                <w:b/>
                <w:sz w:val="24"/>
              </w:rPr>
              <w:t>/signature)</w:t>
            </w:r>
          </w:p>
        </w:tc>
        <w:tc>
          <w:tcPr>
            <w:tcW w:w="8508" w:type="dxa"/>
            <w:tcBorders>
              <w:top w:val="single" w:sz="2" w:space="0" w:color="000000"/>
              <w:bottom w:val="single" w:sz="2" w:space="0" w:color="000000"/>
            </w:tcBorders>
          </w:tcPr>
          <w:p>
            <w:pPr>
              <w:pStyle w:val="TableParagraph"/>
              <w:spacing w:before="230"/>
              <w:ind w:left="109"/>
              <w:rPr>
                <w:sz w:val="24"/>
              </w:rPr>
            </w:pPr>
            <w:r>
              <w:rPr>
                <w:sz w:val="24"/>
              </w:rPr>
              <w:t>Ne peut se réunir qu'en présence (physique ou à distance) de la majorité de ses membres.</w:t>
            </w:r>
          </w:p>
        </w:tc>
      </w:tr>
      <w:tr>
        <w:trPr>
          <w:trHeight w:val="546" w:hRule="atLeast"/>
        </w:trPr>
        <w:tc>
          <w:tcPr>
            <w:tcW w:w="1536" w:type="dxa"/>
            <w:tcBorders>
              <w:top w:val="single" w:sz="2" w:space="0" w:color="000000"/>
            </w:tcBorders>
          </w:tcPr>
          <w:p>
            <w:pPr>
              <w:pStyle w:val="TableParagraph"/>
              <w:spacing w:before="133"/>
              <w:ind w:left="107"/>
              <w:rPr>
                <w:b/>
                <w:sz w:val="24"/>
              </w:rPr>
            </w:pPr>
            <w:r>
              <w:rPr>
                <w:b/>
                <w:sz w:val="24"/>
              </w:rPr>
              <w:t>Secrétariat</w:t>
            </w:r>
          </w:p>
        </w:tc>
        <w:tc>
          <w:tcPr>
            <w:tcW w:w="8508" w:type="dxa"/>
            <w:tcBorders>
              <w:top w:val="single" w:sz="2" w:space="0" w:color="000000"/>
            </w:tcBorders>
          </w:tcPr>
          <w:p>
            <w:pPr>
              <w:pStyle w:val="TableParagraph"/>
              <w:spacing w:before="128"/>
              <w:ind w:left="109"/>
              <w:rPr>
                <w:sz w:val="24"/>
              </w:rPr>
            </w:pPr>
            <w:r>
              <w:rPr>
                <w:sz w:val="24"/>
              </w:rPr>
              <w:t>Secrétariat Permanant des Commissions des Marchés SPCM</w:t>
            </w:r>
          </w:p>
        </w:tc>
      </w:tr>
    </w:tbl>
    <w:p>
      <w:pPr>
        <w:spacing w:after="0"/>
        <w:rPr>
          <w:sz w:val="24"/>
        </w:rPr>
        <w:sectPr>
          <w:headerReference w:type="default" r:id="rId15"/>
          <w:pgSz w:w="11910" w:h="16840"/>
          <w:pgMar w:header="722" w:footer="0" w:top="1860" w:bottom="280" w:left="700" w:right="380"/>
          <w:pgNumType w:start="10"/>
        </w:sectPr>
      </w:pPr>
    </w:p>
    <w:p>
      <w:pPr>
        <w:pStyle w:val="BodyText"/>
        <w:spacing w:before="8"/>
        <w:ind w:left="0" w:firstLine="0"/>
        <w:jc w:val="left"/>
        <w:rPr>
          <w:b/>
          <w:sz w:val="16"/>
        </w:rPr>
      </w:pPr>
    </w:p>
    <w:p>
      <w:pPr>
        <w:pStyle w:val="Heading2"/>
        <w:spacing w:line="276" w:lineRule="auto"/>
        <w:ind w:left="4833" w:right="913" w:hanging="4233"/>
        <w:jc w:val="left"/>
      </w:pPr>
      <w:bookmarkStart w:name="_TOC_250012" w:id="131"/>
      <w:bookmarkEnd w:id="131"/>
      <w:r>
        <w:rPr/>
        <w:t>Annexe n°10 : Fiche d’identification Commission des Marchés de l’Entreprise (CME)</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78"/>
        <w:gridCol w:w="7939"/>
      </w:tblGrid>
      <w:tr>
        <w:trPr>
          <w:trHeight w:val="639" w:hRule="atLeast"/>
        </w:trPr>
        <w:tc>
          <w:tcPr>
            <w:tcW w:w="1678" w:type="dxa"/>
          </w:tcPr>
          <w:p>
            <w:pPr>
              <w:pStyle w:val="TableParagraph"/>
              <w:spacing w:before="41"/>
              <w:ind w:left="107"/>
              <w:rPr>
                <w:b/>
                <w:sz w:val="24"/>
              </w:rPr>
            </w:pPr>
            <w:r>
              <w:rPr>
                <w:b/>
                <w:w w:val="95"/>
                <w:sz w:val="24"/>
              </w:rPr>
              <w:t>Dénomination </w:t>
            </w:r>
            <w:r>
              <w:rPr>
                <w:b/>
                <w:sz w:val="24"/>
              </w:rPr>
              <w:t>de l’organe</w:t>
            </w:r>
          </w:p>
        </w:tc>
        <w:tc>
          <w:tcPr>
            <w:tcW w:w="7939" w:type="dxa"/>
          </w:tcPr>
          <w:p>
            <w:pPr>
              <w:pStyle w:val="TableParagraph"/>
              <w:spacing w:before="178"/>
              <w:ind w:left="106"/>
              <w:rPr>
                <w:b/>
                <w:sz w:val="24"/>
              </w:rPr>
            </w:pPr>
            <w:r>
              <w:rPr>
                <w:b/>
                <w:sz w:val="24"/>
              </w:rPr>
              <w:t>Commission des Marchés de l’Entreprise (CME)</w:t>
            </w:r>
          </w:p>
        </w:tc>
      </w:tr>
      <w:tr>
        <w:trPr>
          <w:trHeight w:val="277" w:hRule="atLeast"/>
        </w:trPr>
        <w:tc>
          <w:tcPr>
            <w:tcW w:w="1678" w:type="dxa"/>
            <w:tcBorders>
              <w:bottom w:val="single" w:sz="2" w:space="0" w:color="000000"/>
            </w:tcBorders>
          </w:tcPr>
          <w:p>
            <w:pPr>
              <w:pStyle w:val="TableParagraph"/>
              <w:spacing w:line="257" w:lineRule="exact"/>
              <w:ind w:left="107"/>
              <w:rPr>
                <w:b/>
                <w:sz w:val="24"/>
              </w:rPr>
            </w:pPr>
            <w:r>
              <w:rPr>
                <w:b/>
                <w:sz w:val="24"/>
              </w:rPr>
              <w:t>Type</w:t>
            </w:r>
          </w:p>
        </w:tc>
        <w:tc>
          <w:tcPr>
            <w:tcW w:w="7939" w:type="dxa"/>
            <w:tcBorders>
              <w:bottom w:val="single" w:sz="2" w:space="0" w:color="000000"/>
            </w:tcBorders>
          </w:tcPr>
          <w:p>
            <w:pPr>
              <w:pStyle w:val="TableParagraph"/>
              <w:spacing w:before="16"/>
              <w:ind w:left="106"/>
              <w:rPr>
                <w:sz w:val="20"/>
              </w:rPr>
            </w:pPr>
            <w:r>
              <w:rPr>
                <w:sz w:val="20"/>
              </w:rPr>
              <w:t>Commission Interne Permanente</w:t>
            </w:r>
          </w:p>
        </w:tc>
      </w:tr>
      <w:tr>
        <w:trPr>
          <w:trHeight w:val="285" w:hRule="atLeast"/>
        </w:trPr>
        <w:tc>
          <w:tcPr>
            <w:tcW w:w="1678" w:type="dxa"/>
            <w:tcBorders>
              <w:top w:val="single" w:sz="2" w:space="0" w:color="000000"/>
              <w:bottom w:val="single" w:sz="2" w:space="0" w:color="000000"/>
            </w:tcBorders>
          </w:tcPr>
          <w:p>
            <w:pPr>
              <w:pStyle w:val="TableParagraph"/>
              <w:spacing w:line="264" w:lineRule="exact" w:before="1"/>
              <w:ind w:left="107"/>
              <w:rPr>
                <w:b/>
                <w:sz w:val="24"/>
              </w:rPr>
            </w:pPr>
            <w:r>
              <w:rPr>
                <w:b/>
                <w:sz w:val="24"/>
              </w:rPr>
              <w:t>Désignation</w:t>
            </w:r>
          </w:p>
        </w:tc>
        <w:tc>
          <w:tcPr>
            <w:tcW w:w="7939" w:type="dxa"/>
            <w:tcBorders>
              <w:top w:val="single" w:sz="2" w:space="0" w:color="000000"/>
              <w:bottom w:val="single" w:sz="2" w:space="0" w:color="000000"/>
            </w:tcBorders>
          </w:tcPr>
          <w:p>
            <w:pPr>
              <w:pStyle w:val="TableParagraph"/>
              <w:spacing w:before="22"/>
              <w:ind w:left="106"/>
              <w:rPr>
                <w:sz w:val="20"/>
              </w:rPr>
            </w:pPr>
            <w:r>
              <w:rPr>
                <w:sz w:val="20"/>
              </w:rPr>
              <w:t>Désignée par une note organisationnelle émise par la Direction Générale du GCT</w:t>
            </w:r>
          </w:p>
        </w:tc>
      </w:tr>
      <w:tr>
        <w:trPr>
          <w:trHeight w:val="1666" w:hRule="atLeast"/>
        </w:trPr>
        <w:tc>
          <w:tcPr>
            <w:tcW w:w="1678" w:type="dxa"/>
            <w:tcBorders>
              <w:top w:val="single" w:sz="2" w:space="0" w:color="000000"/>
              <w:bottom w:val="single" w:sz="2" w:space="0" w:color="000000"/>
            </w:tcBorders>
          </w:tcPr>
          <w:p>
            <w:pPr>
              <w:pStyle w:val="TableParagraph"/>
              <w:rPr>
                <w:b/>
                <w:sz w:val="26"/>
              </w:rPr>
            </w:pPr>
          </w:p>
          <w:p>
            <w:pPr>
              <w:pStyle w:val="TableParagraph"/>
              <w:spacing w:before="2"/>
              <w:rPr>
                <w:b/>
                <w:sz w:val="22"/>
              </w:rPr>
            </w:pPr>
          </w:p>
          <w:p>
            <w:pPr>
              <w:pStyle w:val="TableParagraph"/>
              <w:ind w:left="107" w:right="239"/>
              <w:rPr>
                <w:b/>
                <w:sz w:val="24"/>
              </w:rPr>
            </w:pPr>
            <w:r>
              <w:rPr>
                <w:b/>
                <w:sz w:val="24"/>
              </w:rPr>
              <w:t>Compétence (mDT)</w:t>
            </w:r>
          </w:p>
        </w:tc>
        <w:tc>
          <w:tcPr>
            <w:tcW w:w="7939" w:type="dxa"/>
            <w:tcBorders>
              <w:top w:val="single" w:sz="2" w:space="0" w:color="000000"/>
              <w:bottom w:val="single" w:sz="2" w:space="0" w:color="000000"/>
            </w:tcBorders>
          </w:tcPr>
          <w:p>
            <w:pPr>
              <w:pStyle w:val="TableParagraph"/>
              <w:numPr>
                <w:ilvl w:val="0"/>
                <w:numId w:val="119"/>
              </w:numPr>
              <w:tabs>
                <w:tab w:pos="467" w:val="left" w:leader="none"/>
                <w:tab w:pos="468" w:val="left" w:leader="none"/>
              </w:tabs>
              <w:spacing w:line="238" w:lineRule="exact" w:before="0" w:after="0"/>
              <w:ind w:left="467" w:right="0" w:hanging="362"/>
              <w:jc w:val="left"/>
              <w:rPr>
                <w:sz w:val="20"/>
              </w:rPr>
            </w:pPr>
            <w:r>
              <w:rPr>
                <w:sz w:val="20"/>
              </w:rPr>
              <w:t>Achats hors matières premières</w:t>
            </w:r>
            <w:r>
              <w:rPr>
                <w:spacing w:val="4"/>
                <w:sz w:val="20"/>
              </w:rPr>
              <w:t> </w:t>
            </w:r>
            <w:r>
              <w:rPr>
                <w:sz w:val="20"/>
              </w:rPr>
              <w:t>:</w:t>
            </w:r>
          </w:p>
          <w:p>
            <w:pPr>
              <w:pStyle w:val="TableParagraph"/>
              <w:tabs>
                <w:tab w:pos="827" w:val="left" w:leader="none"/>
              </w:tabs>
              <w:spacing w:line="238" w:lineRule="exact" w:before="1"/>
              <w:ind w:left="467"/>
              <w:rPr>
                <w:sz w:val="20"/>
              </w:rPr>
            </w:pPr>
            <w:r>
              <w:rPr>
                <w:rFonts w:ascii="Calibri" w:hAnsi="Calibri"/>
                <w:sz w:val="20"/>
              </w:rPr>
              <w:t>-</w:t>
              <w:tab/>
            </w:r>
            <w:r>
              <w:rPr>
                <w:sz w:val="20"/>
              </w:rPr>
              <w:t>Travaux : (≥</w:t>
            </w:r>
            <w:r>
              <w:rPr>
                <w:spacing w:val="-2"/>
                <w:sz w:val="20"/>
              </w:rPr>
              <w:t> </w:t>
            </w:r>
            <w:r>
              <w:rPr>
                <w:sz w:val="20"/>
              </w:rPr>
              <w:t>2000)</w:t>
            </w:r>
          </w:p>
          <w:p>
            <w:pPr>
              <w:pStyle w:val="TableParagraph"/>
              <w:tabs>
                <w:tab w:pos="827" w:val="left" w:leader="none"/>
              </w:tabs>
              <w:spacing w:line="234" w:lineRule="exact"/>
              <w:ind w:left="467"/>
              <w:rPr>
                <w:sz w:val="20"/>
              </w:rPr>
            </w:pPr>
            <w:r>
              <w:rPr>
                <w:rFonts w:ascii="Calibri" w:hAnsi="Calibri"/>
                <w:sz w:val="20"/>
              </w:rPr>
              <w:t>-</w:t>
              <w:tab/>
            </w:r>
            <w:r>
              <w:rPr>
                <w:sz w:val="20"/>
              </w:rPr>
              <w:t>Fourniture de biens, d’équipements et de services : (≥</w:t>
            </w:r>
            <w:r>
              <w:rPr>
                <w:spacing w:val="-1"/>
                <w:sz w:val="20"/>
              </w:rPr>
              <w:t> </w:t>
            </w:r>
            <w:r>
              <w:rPr>
                <w:sz w:val="20"/>
              </w:rPr>
              <w:t>2000)</w:t>
            </w:r>
          </w:p>
          <w:p>
            <w:pPr>
              <w:pStyle w:val="TableParagraph"/>
              <w:tabs>
                <w:tab w:pos="827" w:val="left" w:leader="none"/>
              </w:tabs>
              <w:spacing w:line="233" w:lineRule="exact"/>
              <w:ind w:left="467"/>
              <w:rPr>
                <w:sz w:val="20"/>
              </w:rPr>
            </w:pPr>
            <w:r>
              <w:rPr>
                <w:rFonts w:ascii="Calibri" w:hAnsi="Calibri"/>
                <w:sz w:val="20"/>
              </w:rPr>
              <w:t>-</w:t>
              <w:tab/>
            </w:r>
            <w:r>
              <w:rPr>
                <w:sz w:val="20"/>
              </w:rPr>
              <w:t>Etudes : (≥</w:t>
            </w:r>
            <w:r>
              <w:rPr>
                <w:spacing w:val="-1"/>
                <w:sz w:val="20"/>
              </w:rPr>
              <w:t> </w:t>
            </w:r>
            <w:r>
              <w:rPr>
                <w:sz w:val="20"/>
              </w:rPr>
              <w:t>200)</w:t>
            </w:r>
          </w:p>
          <w:p>
            <w:pPr>
              <w:pStyle w:val="TableParagraph"/>
              <w:numPr>
                <w:ilvl w:val="0"/>
                <w:numId w:val="119"/>
              </w:numPr>
              <w:tabs>
                <w:tab w:pos="467" w:val="left" w:leader="none"/>
                <w:tab w:pos="468" w:val="left" w:leader="none"/>
              </w:tabs>
              <w:spacing w:line="239" w:lineRule="exact" w:before="0" w:after="0"/>
              <w:ind w:left="467" w:right="0" w:hanging="362"/>
              <w:jc w:val="left"/>
              <w:rPr>
                <w:sz w:val="20"/>
              </w:rPr>
            </w:pPr>
            <w:r>
              <w:rPr>
                <w:sz w:val="20"/>
              </w:rPr>
              <w:t>Affrètement des navires : (≥</w:t>
            </w:r>
            <w:r>
              <w:rPr>
                <w:spacing w:val="1"/>
                <w:sz w:val="20"/>
              </w:rPr>
              <w:t> </w:t>
            </w:r>
            <w:r>
              <w:rPr>
                <w:sz w:val="20"/>
              </w:rPr>
              <w:t>7000)</w:t>
            </w:r>
          </w:p>
          <w:p>
            <w:pPr>
              <w:pStyle w:val="TableParagraph"/>
              <w:numPr>
                <w:ilvl w:val="0"/>
                <w:numId w:val="119"/>
              </w:numPr>
              <w:tabs>
                <w:tab w:pos="467" w:val="left" w:leader="none"/>
                <w:tab w:pos="468" w:val="left" w:leader="none"/>
              </w:tabs>
              <w:spacing w:line="230" w:lineRule="exact" w:before="17" w:after="0"/>
              <w:ind w:left="467" w:right="66" w:hanging="361"/>
              <w:jc w:val="left"/>
              <w:rPr>
                <w:sz w:val="20"/>
              </w:rPr>
            </w:pPr>
            <w:r>
              <w:rPr>
                <w:sz w:val="20"/>
              </w:rPr>
              <w:t>Achat</w:t>
            </w:r>
            <w:r>
              <w:rPr>
                <w:spacing w:val="-12"/>
                <w:sz w:val="20"/>
              </w:rPr>
              <w:t> </w:t>
            </w:r>
            <w:r>
              <w:rPr>
                <w:sz w:val="20"/>
              </w:rPr>
              <w:t>de</w:t>
            </w:r>
            <w:r>
              <w:rPr>
                <w:spacing w:val="-9"/>
                <w:sz w:val="20"/>
              </w:rPr>
              <w:t> </w:t>
            </w:r>
            <w:r>
              <w:rPr>
                <w:sz w:val="20"/>
              </w:rPr>
              <w:t>matières</w:t>
            </w:r>
            <w:r>
              <w:rPr>
                <w:spacing w:val="-12"/>
                <w:sz w:val="20"/>
              </w:rPr>
              <w:t> </w:t>
            </w:r>
            <w:r>
              <w:rPr>
                <w:sz w:val="20"/>
              </w:rPr>
              <w:t>premières,</w:t>
            </w:r>
            <w:r>
              <w:rPr>
                <w:spacing w:val="-11"/>
                <w:sz w:val="20"/>
              </w:rPr>
              <w:t> </w:t>
            </w:r>
            <w:r>
              <w:rPr>
                <w:sz w:val="20"/>
              </w:rPr>
              <w:t>d'acide</w:t>
            </w:r>
            <w:r>
              <w:rPr>
                <w:spacing w:val="-12"/>
                <w:sz w:val="20"/>
              </w:rPr>
              <w:t> </w:t>
            </w:r>
            <w:r>
              <w:rPr>
                <w:sz w:val="20"/>
              </w:rPr>
              <w:t>sulfurique</w:t>
            </w:r>
            <w:r>
              <w:rPr>
                <w:spacing w:val="-11"/>
                <w:sz w:val="20"/>
              </w:rPr>
              <w:t> </w:t>
            </w:r>
            <w:r>
              <w:rPr>
                <w:sz w:val="20"/>
              </w:rPr>
              <w:t>et</w:t>
            </w:r>
            <w:r>
              <w:rPr>
                <w:spacing w:val="-11"/>
                <w:sz w:val="20"/>
              </w:rPr>
              <w:t> </w:t>
            </w:r>
            <w:r>
              <w:rPr>
                <w:sz w:val="20"/>
              </w:rPr>
              <w:t>des</w:t>
            </w:r>
            <w:r>
              <w:rPr>
                <w:spacing w:val="-10"/>
                <w:sz w:val="20"/>
              </w:rPr>
              <w:t> </w:t>
            </w:r>
            <w:r>
              <w:rPr>
                <w:sz w:val="20"/>
              </w:rPr>
              <w:t>produits</w:t>
            </w:r>
            <w:r>
              <w:rPr>
                <w:spacing w:val="-13"/>
                <w:sz w:val="20"/>
              </w:rPr>
              <w:t> </w:t>
            </w:r>
            <w:r>
              <w:rPr>
                <w:sz w:val="20"/>
              </w:rPr>
              <w:t>destinés</w:t>
            </w:r>
            <w:r>
              <w:rPr>
                <w:spacing w:val="-12"/>
                <w:sz w:val="20"/>
              </w:rPr>
              <w:t> </w:t>
            </w:r>
            <w:r>
              <w:rPr>
                <w:sz w:val="20"/>
              </w:rPr>
              <w:t>à</w:t>
            </w:r>
            <w:r>
              <w:rPr>
                <w:spacing w:val="-12"/>
                <w:sz w:val="20"/>
              </w:rPr>
              <w:t> </w:t>
            </w:r>
            <w:r>
              <w:rPr>
                <w:sz w:val="20"/>
              </w:rPr>
              <w:t>être</w:t>
            </w:r>
            <w:r>
              <w:rPr>
                <w:spacing w:val="-9"/>
                <w:sz w:val="20"/>
              </w:rPr>
              <w:t> </w:t>
            </w:r>
            <w:r>
              <w:rPr>
                <w:sz w:val="20"/>
              </w:rPr>
              <w:t>vendus</w:t>
            </w:r>
            <w:r>
              <w:rPr>
                <w:spacing w:val="-10"/>
                <w:sz w:val="20"/>
              </w:rPr>
              <w:t> </w:t>
            </w:r>
            <w:r>
              <w:rPr>
                <w:sz w:val="20"/>
              </w:rPr>
              <w:t>en</w:t>
            </w:r>
            <w:r>
              <w:rPr>
                <w:spacing w:val="-10"/>
                <w:sz w:val="20"/>
              </w:rPr>
              <w:t> </w:t>
            </w:r>
            <w:r>
              <w:rPr>
                <w:sz w:val="20"/>
              </w:rPr>
              <w:t>l'état ou conditionnés : (tous les</w:t>
            </w:r>
            <w:r>
              <w:rPr>
                <w:spacing w:val="-4"/>
                <w:sz w:val="20"/>
              </w:rPr>
              <w:t> </w:t>
            </w:r>
            <w:r>
              <w:rPr>
                <w:sz w:val="20"/>
              </w:rPr>
              <w:t>seuils)</w:t>
            </w:r>
          </w:p>
        </w:tc>
      </w:tr>
      <w:tr>
        <w:trPr>
          <w:trHeight w:val="2880" w:hRule="atLeast"/>
        </w:trPr>
        <w:tc>
          <w:tcPr>
            <w:tcW w:w="167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spacing w:before="9"/>
              <w:rPr>
                <w:b/>
                <w:sz w:val="34"/>
              </w:rPr>
            </w:pPr>
          </w:p>
          <w:p>
            <w:pPr>
              <w:pStyle w:val="TableParagraph"/>
              <w:ind w:left="107"/>
              <w:rPr>
                <w:b/>
                <w:sz w:val="24"/>
              </w:rPr>
            </w:pPr>
            <w:r>
              <w:rPr>
                <w:b/>
                <w:sz w:val="24"/>
              </w:rPr>
              <w:t>Composition</w:t>
            </w:r>
          </w:p>
        </w:tc>
        <w:tc>
          <w:tcPr>
            <w:tcW w:w="7939" w:type="dxa"/>
            <w:tcBorders>
              <w:top w:val="single" w:sz="2" w:space="0" w:color="000000"/>
              <w:bottom w:val="single" w:sz="2" w:space="0" w:color="000000"/>
            </w:tcBorders>
          </w:tcPr>
          <w:p>
            <w:pPr>
              <w:pStyle w:val="TableParagraph"/>
              <w:spacing w:line="222" w:lineRule="exact"/>
              <w:ind w:left="106"/>
              <w:rPr>
                <w:sz w:val="20"/>
              </w:rPr>
            </w:pPr>
            <w:r>
              <w:rPr>
                <w:sz w:val="20"/>
              </w:rPr>
              <w:t>Cette commission est composée de :</w:t>
            </w:r>
          </w:p>
          <w:p>
            <w:pPr>
              <w:pStyle w:val="TableParagraph"/>
              <w:numPr>
                <w:ilvl w:val="0"/>
                <w:numId w:val="120"/>
              </w:numPr>
              <w:tabs>
                <w:tab w:pos="374" w:val="left" w:leader="none"/>
              </w:tabs>
              <w:spacing w:line="229" w:lineRule="exact" w:before="0" w:after="0"/>
              <w:ind w:left="373" w:right="0" w:hanging="285"/>
              <w:jc w:val="left"/>
              <w:rPr>
                <w:sz w:val="20"/>
              </w:rPr>
            </w:pPr>
            <w:r>
              <w:rPr>
                <w:spacing w:val="-5"/>
                <w:sz w:val="20"/>
              </w:rPr>
              <w:t>Président</w:t>
            </w:r>
            <w:r>
              <w:rPr>
                <w:spacing w:val="-11"/>
                <w:sz w:val="20"/>
              </w:rPr>
              <w:t> </w:t>
            </w:r>
            <w:r>
              <w:rPr>
                <w:sz w:val="20"/>
              </w:rPr>
              <w:t>:</w:t>
            </w:r>
            <w:r>
              <w:rPr>
                <w:spacing w:val="-10"/>
                <w:sz w:val="20"/>
              </w:rPr>
              <w:t> </w:t>
            </w:r>
            <w:r>
              <w:rPr>
                <w:spacing w:val="-3"/>
                <w:sz w:val="20"/>
              </w:rPr>
              <w:t>Un</w:t>
            </w:r>
            <w:r>
              <w:rPr>
                <w:spacing w:val="-11"/>
                <w:sz w:val="20"/>
              </w:rPr>
              <w:t> </w:t>
            </w:r>
            <w:r>
              <w:rPr>
                <w:spacing w:val="-5"/>
                <w:sz w:val="20"/>
              </w:rPr>
              <w:t>administrateur</w:t>
            </w:r>
            <w:r>
              <w:rPr>
                <w:spacing w:val="-9"/>
                <w:sz w:val="20"/>
              </w:rPr>
              <w:t> </w:t>
            </w:r>
            <w:r>
              <w:rPr>
                <w:sz w:val="20"/>
              </w:rPr>
              <w:t>du</w:t>
            </w:r>
            <w:r>
              <w:rPr>
                <w:spacing w:val="-8"/>
                <w:sz w:val="20"/>
              </w:rPr>
              <w:t> </w:t>
            </w:r>
            <w:r>
              <w:rPr>
                <w:spacing w:val="-5"/>
                <w:sz w:val="20"/>
              </w:rPr>
              <w:t>Conseil</w:t>
            </w:r>
            <w:r>
              <w:rPr>
                <w:spacing w:val="-10"/>
                <w:sz w:val="20"/>
              </w:rPr>
              <w:t> </w:t>
            </w:r>
            <w:r>
              <w:rPr>
                <w:spacing w:val="-5"/>
                <w:sz w:val="20"/>
              </w:rPr>
              <w:t>d’Administration.</w:t>
            </w:r>
          </w:p>
          <w:p>
            <w:pPr>
              <w:pStyle w:val="TableParagraph"/>
              <w:numPr>
                <w:ilvl w:val="0"/>
                <w:numId w:val="120"/>
              </w:numPr>
              <w:tabs>
                <w:tab w:pos="374" w:val="left" w:leader="none"/>
              </w:tabs>
              <w:spacing w:line="240" w:lineRule="auto" w:before="0" w:after="0"/>
              <w:ind w:left="373" w:right="0" w:hanging="285"/>
              <w:jc w:val="left"/>
              <w:rPr>
                <w:sz w:val="20"/>
              </w:rPr>
            </w:pPr>
            <w:r>
              <w:rPr>
                <w:spacing w:val="-5"/>
                <w:sz w:val="20"/>
              </w:rPr>
              <w:t>Membres</w:t>
            </w:r>
            <w:r>
              <w:rPr>
                <w:spacing w:val="-10"/>
                <w:sz w:val="20"/>
              </w:rPr>
              <w:t> </w:t>
            </w:r>
            <w:r>
              <w:rPr>
                <w:sz w:val="20"/>
              </w:rPr>
              <w:t>:</w:t>
            </w:r>
          </w:p>
          <w:p>
            <w:pPr>
              <w:pStyle w:val="TableParagraph"/>
              <w:numPr>
                <w:ilvl w:val="1"/>
                <w:numId w:val="120"/>
              </w:numPr>
              <w:tabs>
                <w:tab w:pos="656" w:val="left" w:leader="none"/>
                <w:tab w:pos="657" w:val="left" w:leader="none"/>
              </w:tabs>
              <w:spacing w:line="240" w:lineRule="auto" w:before="1" w:after="0"/>
              <w:ind w:left="656" w:right="0" w:hanging="284"/>
              <w:jc w:val="left"/>
              <w:rPr>
                <w:sz w:val="20"/>
              </w:rPr>
            </w:pPr>
            <w:r>
              <w:rPr>
                <w:spacing w:val="-4"/>
                <w:sz w:val="20"/>
              </w:rPr>
              <w:t>Deux </w:t>
            </w:r>
            <w:r>
              <w:rPr>
                <w:spacing w:val="-5"/>
                <w:sz w:val="20"/>
              </w:rPr>
              <w:t>administrateurs </w:t>
            </w:r>
            <w:r>
              <w:rPr>
                <w:sz w:val="20"/>
              </w:rPr>
              <w:t>du </w:t>
            </w:r>
            <w:r>
              <w:rPr>
                <w:spacing w:val="-5"/>
                <w:sz w:val="20"/>
              </w:rPr>
              <w:t>Conseil</w:t>
            </w:r>
            <w:r>
              <w:rPr>
                <w:spacing w:val="-31"/>
                <w:sz w:val="20"/>
              </w:rPr>
              <w:t> </w:t>
            </w:r>
            <w:r>
              <w:rPr>
                <w:spacing w:val="-5"/>
                <w:sz w:val="20"/>
              </w:rPr>
              <w:t>d’Administration.</w:t>
            </w:r>
          </w:p>
          <w:p>
            <w:pPr>
              <w:pStyle w:val="TableParagraph"/>
              <w:numPr>
                <w:ilvl w:val="1"/>
                <w:numId w:val="120"/>
              </w:numPr>
              <w:tabs>
                <w:tab w:pos="656" w:val="left" w:leader="none"/>
                <w:tab w:pos="657" w:val="left" w:leader="none"/>
              </w:tabs>
              <w:spacing w:line="240" w:lineRule="auto" w:before="0" w:after="0"/>
              <w:ind w:left="656" w:right="0" w:hanging="284"/>
              <w:jc w:val="left"/>
              <w:rPr>
                <w:sz w:val="20"/>
              </w:rPr>
            </w:pPr>
            <w:r>
              <w:rPr>
                <w:spacing w:val="-4"/>
                <w:sz w:val="20"/>
              </w:rPr>
              <w:t>Le </w:t>
            </w:r>
            <w:r>
              <w:rPr>
                <w:spacing w:val="-5"/>
                <w:sz w:val="20"/>
              </w:rPr>
              <w:t>Contrôleur d’Etat </w:t>
            </w:r>
            <w:r>
              <w:rPr>
                <w:spacing w:val="-3"/>
                <w:sz w:val="20"/>
              </w:rPr>
              <w:t>en</w:t>
            </w:r>
            <w:r>
              <w:rPr>
                <w:spacing w:val="-38"/>
                <w:sz w:val="20"/>
              </w:rPr>
              <w:t> </w:t>
            </w:r>
            <w:r>
              <w:rPr>
                <w:spacing w:val="-4"/>
                <w:sz w:val="20"/>
              </w:rPr>
              <w:t>tant que </w:t>
            </w:r>
            <w:r>
              <w:rPr>
                <w:spacing w:val="-5"/>
                <w:sz w:val="20"/>
              </w:rPr>
              <w:t>membre observateur</w:t>
            </w:r>
          </w:p>
          <w:p>
            <w:pPr>
              <w:pStyle w:val="TableParagraph"/>
              <w:ind w:left="106" w:right="748"/>
              <w:rPr>
                <w:sz w:val="20"/>
              </w:rPr>
            </w:pPr>
            <w:r>
              <w:rPr>
                <w:sz w:val="20"/>
              </w:rPr>
              <w:t>En cas d’empêchement de l’un des administrateurs sus-indiqués, celui-ci peut, par écrit, déléguer ses pouvoirs à un autre membre du conseil d’administration ou du conseil</w:t>
            </w:r>
          </w:p>
          <w:p>
            <w:pPr>
              <w:pStyle w:val="TableParagraph"/>
              <w:spacing w:line="229" w:lineRule="exact"/>
              <w:ind w:left="106"/>
              <w:rPr>
                <w:sz w:val="20"/>
              </w:rPr>
            </w:pPr>
            <w:r>
              <w:rPr>
                <w:sz w:val="20"/>
              </w:rPr>
              <w:t>d’administration.</w:t>
            </w:r>
          </w:p>
          <w:p>
            <w:pPr>
              <w:pStyle w:val="TableParagraph"/>
              <w:spacing w:before="1"/>
              <w:ind w:left="106"/>
              <w:rPr>
                <w:sz w:val="20"/>
              </w:rPr>
            </w:pPr>
            <w:r>
              <w:rPr>
                <w:sz w:val="20"/>
              </w:rPr>
              <w:t>En cas d'absence du président de la commission, la présidence de la commission se confie à l'un des membres de la commission selon l'ordre de leurs apparitions dans la note de désignation.</w:t>
            </w:r>
          </w:p>
          <w:p>
            <w:pPr>
              <w:pStyle w:val="TableParagraph"/>
              <w:spacing w:line="230" w:lineRule="atLeast" w:before="121"/>
              <w:ind w:left="106"/>
              <w:rPr>
                <w:sz w:val="20"/>
              </w:rPr>
            </w:pPr>
            <w:r>
              <w:rPr>
                <w:sz w:val="20"/>
              </w:rPr>
              <w:t>La CME peut consulter, sur demande de son président ou de l'un des membres, sur convocation spéciale, toute personne compétente dans le domaine du marché concerné.</w:t>
            </w:r>
          </w:p>
        </w:tc>
      </w:tr>
      <w:tr>
        <w:trPr>
          <w:trHeight w:val="4786" w:hRule="atLeast"/>
        </w:trPr>
        <w:tc>
          <w:tcPr>
            <w:tcW w:w="167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58"/>
              <w:ind w:left="107"/>
              <w:rPr>
                <w:b/>
                <w:sz w:val="24"/>
              </w:rPr>
            </w:pPr>
            <w:r>
              <w:rPr>
                <w:b/>
                <w:sz w:val="24"/>
              </w:rPr>
              <w:t>Attributions</w:t>
            </w:r>
          </w:p>
        </w:tc>
        <w:tc>
          <w:tcPr>
            <w:tcW w:w="7939" w:type="dxa"/>
            <w:tcBorders>
              <w:top w:val="single" w:sz="2" w:space="0" w:color="000000"/>
              <w:bottom w:val="single" w:sz="2" w:space="0" w:color="000000"/>
            </w:tcBorders>
          </w:tcPr>
          <w:p>
            <w:pPr>
              <w:pStyle w:val="TableParagraph"/>
              <w:numPr>
                <w:ilvl w:val="0"/>
                <w:numId w:val="121"/>
              </w:numPr>
              <w:tabs>
                <w:tab w:pos="425" w:val="left" w:leader="none"/>
              </w:tabs>
              <w:spacing w:line="240" w:lineRule="auto" w:before="0" w:after="0"/>
              <w:ind w:left="424" w:right="62" w:hanging="284"/>
              <w:jc w:val="both"/>
              <w:rPr>
                <w:sz w:val="20"/>
              </w:rPr>
            </w:pPr>
            <w:r>
              <w:rPr>
                <w:sz w:val="20"/>
              </w:rPr>
              <w:t>Examiner</w:t>
            </w:r>
            <w:r>
              <w:rPr>
                <w:spacing w:val="-4"/>
                <w:sz w:val="20"/>
              </w:rPr>
              <w:t> </w:t>
            </w:r>
            <w:r>
              <w:rPr>
                <w:sz w:val="20"/>
              </w:rPr>
              <w:t>la</w:t>
            </w:r>
            <w:r>
              <w:rPr>
                <w:spacing w:val="-3"/>
                <w:sz w:val="20"/>
              </w:rPr>
              <w:t> </w:t>
            </w:r>
            <w:r>
              <w:rPr>
                <w:sz w:val="20"/>
              </w:rPr>
              <w:t>régularité</w:t>
            </w:r>
            <w:r>
              <w:rPr>
                <w:spacing w:val="-4"/>
                <w:sz w:val="20"/>
              </w:rPr>
              <w:t> </w:t>
            </w:r>
            <w:r>
              <w:rPr>
                <w:sz w:val="20"/>
              </w:rPr>
              <w:t>des</w:t>
            </w:r>
            <w:r>
              <w:rPr>
                <w:spacing w:val="-3"/>
                <w:sz w:val="20"/>
              </w:rPr>
              <w:t> </w:t>
            </w:r>
            <w:r>
              <w:rPr>
                <w:sz w:val="20"/>
              </w:rPr>
              <w:t>procédures</w:t>
            </w:r>
            <w:r>
              <w:rPr>
                <w:spacing w:val="-6"/>
                <w:sz w:val="20"/>
              </w:rPr>
              <w:t> </w:t>
            </w:r>
            <w:r>
              <w:rPr>
                <w:sz w:val="20"/>
              </w:rPr>
              <w:t>de</w:t>
            </w:r>
            <w:r>
              <w:rPr>
                <w:spacing w:val="-4"/>
                <w:sz w:val="20"/>
              </w:rPr>
              <w:t> </w:t>
            </w:r>
            <w:r>
              <w:rPr>
                <w:sz w:val="20"/>
              </w:rPr>
              <w:t>recours</w:t>
            </w:r>
            <w:r>
              <w:rPr>
                <w:spacing w:val="-6"/>
                <w:sz w:val="20"/>
              </w:rPr>
              <w:t> </w:t>
            </w:r>
            <w:r>
              <w:rPr>
                <w:sz w:val="20"/>
              </w:rPr>
              <w:t>à</w:t>
            </w:r>
            <w:r>
              <w:rPr>
                <w:spacing w:val="-2"/>
                <w:sz w:val="20"/>
              </w:rPr>
              <w:t> </w:t>
            </w:r>
            <w:r>
              <w:rPr>
                <w:sz w:val="20"/>
              </w:rPr>
              <w:t>la</w:t>
            </w:r>
            <w:r>
              <w:rPr>
                <w:spacing w:val="-5"/>
                <w:sz w:val="20"/>
              </w:rPr>
              <w:t> </w:t>
            </w:r>
            <w:r>
              <w:rPr>
                <w:sz w:val="20"/>
              </w:rPr>
              <w:t>concurrence,</w:t>
            </w:r>
            <w:r>
              <w:rPr>
                <w:spacing w:val="-4"/>
                <w:sz w:val="20"/>
              </w:rPr>
              <w:t> </w:t>
            </w:r>
            <w:r>
              <w:rPr>
                <w:sz w:val="20"/>
              </w:rPr>
              <w:t>d'attribution</w:t>
            </w:r>
            <w:r>
              <w:rPr>
                <w:spacing w:val="-4"/>
                <w:sz w:val="20"/>
              </w:rPr>
              <w:t> </w:t>
            </w:r>
            <w:r>
              <w:rPr>
                <w:sz w:val="20"/>
              </w:rPr>
              <w:t>des</w:t>
            </w:r>
            <w:r>
              <w:rPr>
                <w:spacing w:val="-3"/>
                <w:sz w:val="20"/>
              </w:rPr>
              <w:t> </w:t>
            </w:r>
            <w:r>
              <w:rPr>
                <w:sz w:val="20"/>
              </w:rPr>
              <w:t>marchés, la</w:t>
            </w:r>
            <w:r>
              <w:rPr>
                <w:spacing w:val="-15"/>
                <w:sz w:val="20"/>
              </w:rPr>
              <w:t> </w:t>
            </w:r>
            <w:r>
              <w:rPr>
                <w:sz w:val="20"/>
              </w:rPr>
              <w:t>sincérité</w:t>
            </w:r>
            <w:r>
              <w:rPr>
                <w:spacing w:val="-14"/>
                <w:sz w:val="20"/>
              </w:rPr>
              <w:t> </w:t>
            </w:r>
            <w:r>
              <w:rPr>
                <w:sz w:val="20"/>
              </w:rPr>
              <w:t>et</w:t>
            </w:r>
            <w:r>
              <w:rPr>
                <w:spacing w:val="-14"/>
                <w:sz w:val="20"/>
              </w:rPr>
              <w:t> </w:t>
            </w:r>
            <w:r>
              <w:rPr>
                <w:sz w:val="20"/>
              </w:rPr>
              <w:t>la</w:t>
            </w:r>
            <w:r>
              <w:rPr>
                <w:spacing w:val="-14"/>
                <w:sz w:val="20"/>
              </w:rPr>
              <w:t> </w:t>
            </w:r>
            <w:r>
              <w:rPr>
                <w:sz w:val="20"/>
              </w:rPr>
              <w:t>transparence</w:t>
            </w:r>
            <w:r>
              <w:rPr>
                <w:spacing w:val="-13"/>
                <w:sz w:val="20"/>
              </w:rPr>
              <w:t> </w:t>
            </w:r>
            <w:r>
              <w:rPr>
                <w:sz w:val="20"/>
              </w:rPr>
              <w:t>des</w:t>
            </w:r>
            <w:r>
              <w:rPr>
                <w:spacing w:val="-14"/>
                <w:sz w:val="20"/>
              </w:rPr>
              <w:t> </w:t>
            </w:r>
            <w:r>
              <w:rPr>
                <w:sz w:val="20"/>
              </w:rPr>
              <w:t>procédures</w:t>
            </w:r>
            <w:r>
              <w:rPr>
                <w:spacing w:val="-14"/>
                <w:sz w:val="20"/>
              </w:rPr>
              <w:t> </w:t>
            </w:r>
            <w:r>
              <w:rPr>
                <w:sz w:val="20"/>
              </w:rPr>
              <w:t>de</w:t>
            </w:r>
            <w:r>
              <w:rPr>
                <w:spacing w:val="-14"/>
                <w:sz w:val="20"/>
              </w:rPr>
              <w:t> </w:t>
            </w:r>
            <w:r>
              <w:rPr>
                <w:sz w:val="20"/>
              </w:rPr>
              <w:t>passation</w:t>
            </w:r>
            <w:r>
              <w:rPr>
                <w:spacing w:val="-15"/>
                <w:sz w:val="20"/>
              </w:rPr>
              <w:t> </w:t>
            </w:r>
            <w:r>
              <w:rPr>
                <w:sz w:val="20"/>
              </w:rPr>
              <w:t>des</w:t>
            </w:r>
            <w:r>
              <w:rPr>
                <w:spacing w:val="-12"/>
                <w:sz w:val="20"/>
              </w:rPr>
              <w:t> </w:t>
            </w:r>
            <w:r>
              <w:rPr>
                <w:sz w:val="20"/>
              </w:rPr>
              <w:t>marchés</w:t>
            </w:r>
            <w:r>
              <w:rPr>
                <w:spacing w:val="-12"/>
                <w:sz w:val="20"/>
              </w:rPr>
              <w:t> </w:t>
            </w:r>
            <w:r>
              <w:rPr>
                <w:sz w:val="20"/>
              </w:rPr>
              <w:t>et</w:t>
            </w:r>
            <w:r>
              <w:rPr>
                <w:spacing w:val="-14"/>
                <w:sz w:val="20"/>
              </w:rPr>
              <w:t> </w:t>
            </w:r>
            <w:r>
              <w:rPr>
                <w:sz w:val="20"/>
              </w:rPr>
              <w:t>s'assurer</w:t>
            </w:r>
            <w:r>
              <w:rPr>
                <w:spacing w:val="-13"/>
                <w:sz w:val="20"/>
              </w:rPr>
              <w:t> </w:t>
            </w:r>
            <w:r>
              <w:rPr>
                <w:sz w:val="20"/>
              </w:rPr>
              <w:t>du</w:t>
            </w:r>
            <w:r>
              <w:rPr>
                <w:spacing w:val="-15"/>
                <w:sz w:val="20"/>
              </w:rPr>
              <w:t> </w:t>
            </w:r>
            <w:r>
              <w:rPr>
                <w:sz w:val="20"/>
              </w:rPr>
              <w:t>caractère acceptable de ses conditions administratives, financières et techniques (pour les marchés relevant de sa compétence)</w:t>
            </w:r>
            <w:r>
              <w:rPr>
                <w:spacing w:val="1"/>
                <w:sz w:val="20"/>
              </w:rPr>
              <w:t> </w:t>
            </w:r>
            <w:r>
              <w:rPr>
                <w:sz w:val="20"/>
              </w:rPr>
              <w:t>;</w:t>
            </w:r>
          </w:p>
          <w:p>
            <w:pPr>
              <w:pStyle w:val="TableParagraph"/>
              <w:numPr>
                <w:ilvl w:val="0"/>
                <w:numId w:val="121"/>
              </w:numPr>
              <w:tabs>
                <w:tab w:pos="425" w:val="left" w:leader="none"/>
              </w:tabs>
              <w:spacing w:line="245" w:lineRule="exact" w:before="112" w:after="0"/>
              <w:ind w:left="424" w:right="0" w:hanging="285"/>
              <w:jc w:val="both"/>
              <w:rPr>
                <w:sz w:val="20"/>
              </w:rPr>
            </w:pPr>
            <w:r>
              <w:rPr>
                <w:sz w:val="20"/>
              </w:rPr>
              <w:t>Donner avis préalable sur (pour les marchés relevant de sa compétence) :</w:t>
            </w:r>
          </w:p>
          <w:p>
            <w:pPr>
              <w:pStyle w:val="TableParagraph"/>
              <w:numPr>
                <w:ilvl w:val="1"/>
                <w:numId w:val="121"/>
              </w:numPr>
              <w:tabs>
                <w:tab w:pos="828" w:val="left" w:leader="none"/>
              </w:tabs>
              <w:spacing w:line="220" w:lineRule="auto" w:before="13" w:after="0"/>
              <w:ind w:left="827" w:right="64" w:hanging="264"/>
              <w:jc w:val="both"/>
              <w:rPr>
                <w:sz w:val="20"/>
              </w:rPr>
            </w:pPr>
            <w:r>
              <w:rPr>
                <w:sz w:val="20"/>
              </w:rPr>
              <w:t>Les</w:t>
            </w:r>
            <w:r>
              <w:rPr>
                <w:spacing w:val="-7"/>
                <w:sz w:val="20"/>
              </w:rPr>
              <w:t> </w:t>
            </w:r>
            <w:r>
              <w:rPr>
                <w:sz w:val="20"/>
              </w:rPr>
              <w:t>rapports</w:t>
            </w:r>
            <w:r>
              <w:rPr>
                <w:spacing w:val="-7"/>
                <w:sz w:val="20"/>
              </w:rPr>
              <w:t> </w:t>
            </w:r>
            <w:r>
              <w:rPr>
                <w:sz w:val="20"/>
              </w:rPr>
              <w:t>d’évaluation</w:t>
            </w:r>
            <w:r>
              <w:rPr>
                <w:spacing w:val="-8"/>
                <w:sz w:val="20"/>
              </w:rPr>
              <w:t> </w:t>
            </w:r>
            <w:r>
              <w:rPr>
                <w:sz w:val="20"/>
              </w:rPr>
              <w:t>des</w:t>
            </w:r>
            <w:r>
              <w:rPr>
                <w:spacing w:val="-4"/>
                <w:sz w:val="20"/>
              </w:rPr>
              <w:t> </w:t>
            </w:r>
            <w:r>
              <w:rPr>
                <w:sz w:val="20"/>
              </w:rPr>
              <w:t>offres</w:t>
            </w:r>
            <w:r>
              <w:rPr>
                <w:spacing w:val="-6"/>
                <w:sz w:val="20"/>
              </w:rPr>
              <w:t> </w:t>
            </w:r>
            <w:r>
              <w:rPr>
                <w:sz w:val="20"/>
              </w:rPr>
              <w:t>et</w:t>
            </w:r>
            <w:r>
              <w:rPr>
                <w:spacing w:val="-7"/>
                <w:sz w:val="20"/>
              </w:rPr>
              <w:t> </w:t>
            </w:r>
            <w:r>
              <w:rPr>
                <w:sz w:val="20"/>
              </w:rPr>
              <w:t>les</w:t>
            </w:r>
            <w:r>
              <w:rPr>
                <w:spacing w:val="-6"/>
                <w:sz w:val="20"/>
              </w:rPr>
              <w:t> </w:t>
            </w:r>
            <w:r>
              <w:rPr>
                <w:sz w:val="20"/>
              </w:rPr>
              <w:t>rapports</w:t>
            </w:r>
            <w:r>
              <w:rPr>
                <w:spacing w:val="-8"/>
                <w:sz w:val="20"/>
              </w:rPr>
              <w:t> </w:t>
            </w:r>
            <w:r>
              <w:rPr>
                <w:sz w:val="20"/>
              </w:rPr>
              <w:t>de</w:t>
            </w:r>
            <w:r>
              <w:rPr>
                <w:spacing w:val="-8"/>
                <w:sz w:val="20"/>
              </w:rPr>
              <w:t> </w:t>
            </w:r>
            <w:r>
              <w:rPr>
                <w:sz w:val="20"/>
              </w:rPr>
              <w:t>jury</w:t>
            </w:r>
            <w:r>
              <w:rPr>
                <w:spacing w:val="-9"/>
                <w:sz w:val="20"/>
              </w:rPr>
              <w:t> </w:t>
            </w:r>
            <w:r>
              <w:rPr>
                <w:sz w:val="20"/>
              </w:rPr>
              <w:t>de</w:t>
            </w:r>
            <w:r>
              <w:rPr>
                <w:spacing w:val="-6"/>
                <w:sz w:val="20"/>
              </w:rPr>
              <w:t> </w:t>
            </w:r>
            <w:r>
              <w:rPr>
                <w:sz w:val="20"/>
              </w:rPr>
              <w:t>concours</w:t>
            </w:r>
            <w:r>
              <w:rPr>
                <w:spacing w:val="-7"/>
                <w:sz w:val="20"/>
              </w:rPr>
              <w:t> </w:t>
            </w:r>
            <w:r>
              <w:rPr>
                <w:sz w:val="20"/>
              </w:rPr>
              <w:t>et</w:t>
            </w:r>
            <w:r>
              <w:rPr>
                <w:spacing w:val="-6"/>
                <w:sz w:val="20"/>
              </w:rPr>
              <w:t> </w:t>
            </w:r>
            <w:r>
              <w:rPr>
                <w:sz w:val="20"/>
              </w:rPr>
              <w:t>les</w:t>
            </w:r>
            <w:r>
              <w:rPr>
                <w:spacing w:val="-7"/>
                <w:sz w:val="20"/>
              </w:rPr>
              <w:t> </w:t>
            </w:r>
            <w:r>
              <w:rPr>
                <w:sz w:val="20"/>
              </w:rPr>
              <w:t>rapports</w:t>
            </w:r>
            <w:r>
              <w:rPr>
                <w:spacing w:val="-7"/>
                <w:sz w:val="20"/>
              </w:rPr>
              <w:t> </w:t>
            </w:r>
            <w:r>
              <w:rPr>
                <w:sz w:val="20"/>
              </w:rPr>
              <w:t>de présélection pour les appels d’offres précédés d’une</w:t>
            </w:r>
            <w:r>
              <w:rPr>
                <w:spacing w:val="-8"/>
                <w:sz w:val="20"/>
              </w:rPr>
              <w:t> </w:t>
            </w:r>
            <w:r>
              <w:rPr>
                <w:sz w:val="20"/>
              </w:rPr>
              <w:t>présélection,</w:t>
            </w:r>
          </w:p>
          <w:p>
            <w:pPr>
              <w:pStyle w:val="TableParagraph"/>
              <w:numPr>
                <w:ilvl w:val="1"/>
                <w:numId w:val="121"/>
              </w:numPr>
              <w:tabs>
                <w:tab w:pos="828" w:val="left" w:leader="none"/>
              </w:tabs>
              <w:spacing w:line="239" w:lineRule="exact" w:before="5" w:after="0"/>
              <w:ind w:left="827" w:right="0" w:hanging="265"/>
              <w:jc w:val="both"/>
              <w:rPr>
                <w:sz w:val="20"/>
              </w:rPr>
            </w:pPr>
            <w:r>
              <w:rPr>
                <w:sz w:val="20"/>
              </w:rPr>
              <w:t>Les projets de marché</w:t>
            </w:r>
            <w:r>
              <w:rPr>
                <w:spacing w:val="-3"/>
                <w:sz w:val="20"/>
              </w:rPr>
              <w:t> </w:t>
            </w:r>
            <w:r>
              <w:rPr>
                <w:sz w:val="20"/>
              </w:rPr>
              <w:t>négocié,</w:t>
            </w:r>
          </w:p>
          <w:p>
            <w:pPr>
              <w:pStyle w:val="TableParagraph"/>
              <w:numPr>
                <w:ilvl w:val="1"/>
                <w:numId w:val="121"/>
              </w:numPr>
              <w:tabs>
                <w:tab w:pos="828" w:val="left" w:leader="none"/>
              </w:tabs>
              <w:spacing w:line="223" w:lineRule="auto" w:before="4" w:after="0"/>
              <w:ind w:left="827" w:right="69" w:hanging="264"/>
              <w:jc w:val="both"/>
              <w:rPr>
                <w:sz w:val="20"/>
              </w:rPr>
            </w:pPr>
            <w:r>
              <w:rPr>
                <w:sz w:val="20"/>
              </w:rPr>
              <w:t>Les</w:t>
            </w:r>
            <w:r>
              <w:rPr>
                <w:spacing w:val="-6"/>
                <w:sz w:val="20"/>
              </w:rPr>
              <w:t> </w:t>
            </w:r>
            <w:r>
              <w:rPr>
                <w:sz w:val="20"/>
              </w:rPr>
              <w:t>projets</w:t>
            </w:r>
            <w:r>
              <w:rPr>
                <w:spacing w:val="-7"/>
                <w:sz w:val="20"/>
              </w:rPr>
              <w:t> </w:t>
            </w:r>
            <w:r>
              <w:rPr>
                <w:sz w:val="20"/>
              </w:rPr>
              <w:t>d'avenants</w:t>
            </w:r>
            <w:r>
              <w:rPr>
                <w:spacing w:val="-9"/>
                <w:sz w:val="20"/>
              </w:rPr>
              <w:t> </w:t>
            </w:r>
            <w:r>
              <w:rPr>
                <w:sz w:val="20"/>
              </w:rPr>
              <w:t>relatifs</w:t>
            </w:r>
            <w:r>
              <w:rPr>
                <w:spacing w:val="-5"/>
                <w:sz w:val="20"/>
              </w:rPr>
              <w:t> </w:t>
            </w:r>
            <w:r>
              <w:rPr>
                <w:sz w:val="20"/>
              </w:rPr>
              <w:t>aux</w:t>
            </w:r>
            <w:r>
              <w:rPr>
                <w:spacing w:val="-4"/>
                <w:sz w:val="20"/>
              </w:rPr>
              <w:t> </w:t>
            </w:r>
            <w:r>
              <w:rPr>
                <w:sz w:val="20"/>
              </w:rPr>
              <w:t>marchés</w:t>
            </w:r>
            <w:r>
              <w:rPr>
                <w:spacing w:val="-5"/>
                <w:sz w:val="20"/>
              </w:rPr>
              <w:t> </w:t>
            </w:r>
            <w:r>
              <w:rPr>
                <w:sz w:val="20"/>
              </w:rPr>
              <w:t>relevant</w:t>
            </w:r>
            <w:r>
              <w:rPr>
                <w:spacing w:val="-7"/>
                <w:sz w:val="20"/>
              </w:rPr>
              <w:t> </w:t>
            </w:r>
            <w:r>
              <w:rPr>
                <w:sz w:val="20"/>
              </w:rPr>
              <w:t>de</w:t>
            </w:r>
            <w:r>
              <w:rPr>
                <w:spacing w:val="-5"/>
                <w:sz w:val="20"/>
              </w:rPr>
              <w:t> </w:t>
            </w:r>
            <w:r>
              <w:rPr>
                <w:sz w:val="20"/>
              </w:rPr>
              <w:t>sa</w:t>
            </w:r>
            <w:r>
              <w:rPr>
                <w:spacing w:val="-6"/>
                <w:sz w:val="20"/>
              </w:rPr>
              <w:t> </w:t>
            </w:r>
            <w:r>
              <w:rPr>
                <w:sz w:val="20"/>
              </w:rPr>
              <w:t>compétence</w:t>
            </w:r>
            <w:r>
              <w:rPr>
                <w:spacing w:val="-5"/>
                <w:sz w:val="20"/>
              </w:rPr>
              <w:t> </w:t>
            </w:r>
            <w:r>
              <w:rPr>
                <w:sz w:val="20"/>
              </w:rPr>
              <w:t>sauf</w:t>
            </w:r>
            <w:r>
              <w:rPr>
                <w:spacing w:val="-6"/>
                <w:sz w:val="20"/>
              </w:rPr>
              <w:t> </w:t>
            </w:r>
            <w:r>
              <w:rPr>
                <w:sz w:val="20"/>
              </w:rPr>
              <w:t>si</w:t>
            </w:r>
            <w:r>
              <w:rPr>
                <w:spacing w:val="-6"/>
                <w:sz w:val="20"/>
              </w:rPr>
              <w:t> </w:t>
            </w:r>
            <w:r>
              <w:rPr>
                <w:sz w:val="20"/>
              </w:rPr>
              <w:t>le</w:t>
            </w:r>
            <w:r>
              <w:rPr>
                <w:spacing w:val="-4"/>
                <w:sz w:val="20"/>
              </w:rPr>
              <w:t> </w:t>
            </w:r>
            <w:r>
              <w:rPr>
                <w:sz w:val="20"/>
              </w:rPr>
              <w:t>montant du marché y compris les avenants dépasse le seuil de sa</w:t>
            </w:r>
            <w:r>
              <w:rPr>
                <w:spacing w:val="-5"/>
                <w:sz w:val="20"/>
              </w:rPr>
              <w:t> </w:t>
            </w:r>
            <w:r>
              <w:rPr>
                <w:sz w:val="20"/>
              </w:rPr>
              <w:t>compétence,</w:t>
            </w:r>
          </w:p>
          <w:p>
            <w:pPr>
              <w:pStyle w:val="TableParagraph"/>
              <w:numPr>
                <w:ilvl w:val="1"/>
                <w:numId w:val="121"/>
              </w:numPr>
              <w:tabs>
                <w:tab w:pos="828" w:val="left" w:leader="none"/>
              </w:tabs>
              <w:spacing w:line="239" w:lineRule="exact" w:before="4" w:after="0"/>
              <w:ind w:left="827" w:right="0" w:hanging="265"/>
              <w:jc w:val="both"/>
              <w:rPr>
                <w:sz w:val="20"/>
              </w:rPr>
            </w:pPr>
            <w:r>
              <w:rPr>
                <w:sz w:val="20"/>
              </w:rPr>
              <w:t>Les projets de règlements définitifs des marchés relevant de sa</w:t>
            </w:r>
            <w:r>
              <w:rPr>
                <w:spacing w:val="-8"/>
                <w:sz w:val="20"/>
              </w:rPr>
              <w:t> </w:t>
            </w:r>
            <w:r>
              <w:rPr>
                <w:sz w:val="20"/>
              </w:rPr>
              <w:t>compétence,</w:t>
            </w:r>
          </w:p>
          <w:p>
            <w:pPr>
              <w:pStyle w:val="TableParagraph"/>
              <w:numPr>
                <w:ilvl w:val="1"/>
                <w:numId w:val="121"/>
              </w:numPr>
              <w:tabs>
                <w:tab w:pos="828" w:val="left" w:leader="none"/>
              </w:tabs>
              <w:spacing w:line="220" w:lineRule="auto" w:before="6" w:after="0"/>
              <w:ind w:left="827" w:right="68" w:hanging="264"/>
              <w:jc w:val="both"/>
              <w:rPr>
                <w:sz w:val="20"/>
              </w:rPr>
            </w:pPr>
            <w:r>
              <w:rPr>
                <w:sz w:val="20"/>
              </w:rPr>
              <w:t>Tout</w:t>
            </w:r>
            <w:r>
              <w:rPr>
                <w:spacing w:val="-14"/>
                <w:sz w:val="20"/>
              </w:rPr>
              <w:t> </w:t>
            </w:r>
            <w:r>
              <w:rPr>
                <w:sz w:val="20"/>
              </w:rPr>
              <w:t>problème</w:t>
            </w:r>
            <w:r>
              <w:rPr>
                <w:spacing w:val="-14"/>
                <w:sz w:val="20"/>
              </w:rPr>
              <w:t> </w:t>
            </w:r>
            <w:r>
              <w:rPr>
                <w:sz w:val="20"/>
              </w:rPr>
              <w:t>ou</w:t>
            </w:r>
            <w:r>
              <w:rPr>
                <w:spacing w:val="-15"/>
                <w:sz w:val="20"/>
              </w:rPr>
              <w:t> </w:t>
            </w:r>
            <w:r>
              <w:rPr>
                <w:sz w:val="20"/>
              </w:rPr>
              <w:t>litige</w:t>
            </w:r>
            <w:r>
              <w:rPr>
                <w:spacing w:val="-14"/>
                <w:sz w:val="20"/>
              </w:rPr>
              <w:t> </w:t>
            </w:r>
            <w:r>
              <w:rPr>
                <w:sz w:val="20"/>
              </w:rPr>
              <w:t>relatif</w:t>
            </w:r>
            <w:r>
              <w:rPr>
                <w:spacing w:val="-13"/>
                <w:sz w:val="20"/>
              </w:rPr>
              <w:t> </w:t>
            </w:r>
            <w:r>
              <w:rPr>
                <w:sz w:val="20"/>
              </w:rPr>
              <w:t>à</w:t>
            </w:r>
            <w:r>
              <w:rPr>
                <w:spacing w:val="-14"/>
                <w:sz w:val="20"/>
              </w:rPr>
              <w:t> </w:t>
            </w:r>
            <w:r>
              <w:rPr>
                <w:sz w:val="20"/>
              </w:rPr>
              <w:t>l'élaboration,</w:t>
            </w:r>
            <w:r>
              <w:rPr>
                <w:spacing w:val="-14"/>
                <w:sz w:val="20"/>
              </w:rPr>
              <w:t> </w:t>
            </w:r>
            <w:r>
              <w:rPr>
                <w:sz w:val="20"/>
              </w:rPr>
              <w:t>à</w:t>
            </w:r>
            <w:r>
              <w:rPr>
                <w:spacing w:val="-14"/>
                <w:sz w:val="20"/>
              </w:rPr>
              <w:t> </w:t>
            </w:r>
            <w:r>
              <w:rPr>
                <w:sz w:val="20"/>
              </w:rPr>
              <w:t>la</w:t>
            </w:r>
            <w:r>
              <w:rPr>
                <w:spacing w:val="-14"/>
                <w:sz w:val="20"/>
              </w:rPr>
              <w:t> </w:t>
            </w:r>
            <w:r>
              <w:rPr>
                <w:sz w:val="20"/>
              </w:rPr>
              <w:t>passation,</w:t>
            </w:r>
            <w:r>
              <w:rPr>
                <w:spacing w:val="-14"/>
                <w:sz w:val="20"/>
              </w:rPr>
              <w:t> </w:t>
            </w:r>
            <w:r>
              <w:rPr>
                <w:sz w:val="20"/>
              </w:rPr>
              <w:t>à</w:t>
            </w:r>
            <w:r>
              <w:rPr>
                <w:spacing w:val="-14"/>
                <w:sz w:val="20"/>
              </w:rPr>
              <w:t> </w:t>
            </w:r>
            <w:r>
              <w:rPr>
                <w:sz w:val="20"/>
              </w:rPr>
              <w:t>l'exécution</w:t>
            </w:r>
            <w:r>
              <w:rPr>
                <w:spacing w:val="-14"/>
                <w:sz w:val="20"/>
              </w:rPr>
              <w:t> </w:t>
            </w:r>
            <w:r>
              <w:rPr>
                <w:sz w:val="20"/>
              </w:rPr>
              <w:t>et</w:t>
            </w:r>
            <w:r>
              <w:rPr>
                <w:spacing w:val="-14"/>
                <w:sz w:val="20"/>
              </w:rPr>
              <w:t> </w:t>
            </w:r>
            <w:r>
              <w:rPr>
                <w:sz w:val="20"/>
              </w:rPr>
              <w:t>au</w:t>
            </w:r>
            <w:r>
              <w:rPr>
                <w:spacing w:val="-15"/>
                <w:sz w:val="20"/>
              </w:rPr>
              <w:t> </w:t>
            </w:r>
            <w:r>
              <w:rPr>
                <w:sz w:val="20"/>
              </w:rPr>
              <w:t>règlement des marchés relevant de sa</w:t>
            </w:r>
            <w:r>
              <w:rPr>
                <w:spacing w:val="-1"/>
                <w:sz w:val="20"/>
              </w:rPr>
              <w:t> </w:t>
            </w:r>
            <w:r>
              <w:rPr>
                <w:sz w:val="20"/>
              </w:rPr>
              <w:t>compétence,</w:t>
            </w:r>
          </w:p>
          <w:p>
            <w:pPr>
              <w:pStyle w:val="TableParagraph"/>
              <w:numPr>
                <w:ilvl w:val="0"/>
                <w:numId w:val="121"/>
              </w:numPr>
              <w:tabs>
                <w:tab w:pos="425" w:val="left" w:leader="none"/>
              </w:tabs>
              <w:spacing w:line="240" w:lineRule="auto" w:before="125" w:after="0"/>
              <w:ind w:left="424" w:right="0" w:hanging="285"/>
              <w:jc w:val="both"/>
              <w:rPr>
                <w:sz w:val="20"/>
              </w:rPr>
            </w:pPr>
            <w:r>
              <w:rPr>
                <w:sz w:val="20"/>
              </w:rPr>
              <w:t>Les avis de la CME sont prix à la majorité de ses</w:t>
            </w:r>
            <w:r>
              <w:rPr>
                <w:spacing w:val="-3"/>
                <w:sz w:val="20"/>
              </w:rPr>
              <w:t> </w:t>
            </w:r>
            <w:r>
              <w:rPr>
                <w:sz w:val="20"/>
              </w:rPr>
              <w:t>membres.</w:t>
            </w:r>
          </w:p>
          <w:p>
            <w:pPr>
              <w:pStyle w:val="TableParagraph"/>
              <w:numPr>
                <w:ilvl w:val="0"/>
                <w:numId w:val="121"/>
              </w:numPr>
              <w:tabs>
                <w:tab w:pos="425" w:val="left" w:leader="none"/>
              </w:tabs>
              <w:spacing w:line="240" w:lineRule="auto" w:before="119" w:after="0"/>
              <w:ind w:left="424" w:right="62" w:hanging="284"/>
              <w:jc w:val="both"/>
              <w:rPr>
                <w:sz w:val="20"/>
              </w:rPr>
            </w:pPr>
            <w:r>
              <w:rPr>
                <w:sz w:val="20"/>
              </w:rPr>
              <w:t>L’avis de la CME est consultatif et ne lie pas le conseil d'administration. Toutefois, dans le cas où le conseil d'administration passe outre l'avis de la CME ou lorsque l'avis de la CME comporte des réserves ou oppositions émises par le contrôleur d'Etat, le</w:t>
            </w:r>
            <w:r>
              <w:rPr>
                <w:spacing w:val="4"/>
                <w:sz w:val="20"/>
              </w:rPr>
              <w:t> </w:t>
            </w:r>
            <w:r>
              <w:rPr>
                <w:sz w:val="20"/>
              </w:rPr>
              <w:t>conseil</w:t>
            </w:r>
          </w:p>
          <w:p>
            <w:pPr>
              <w:pStyle w:val="TableParagraph"/>
              <w:spacing w:line="228" w:lineRule="exact" w:before="5"/>
              <w:ind w:left="424" w:right="72"/>
              <w:jc w:val="both"/>
              <w:rPr>
                <w:sz w:val="20"/>
              </w:rPr>
            </w:pPr>
            <w:r>
              <w:rPr>
                <w:sz w:val="20"/>
              </w:rPr>
              <w:t>d'administration doit, lors de l'approbation du marché, citer expressément ces réserves et oppositions dans un procès-verbal du conseil d’administration.</w:t>
            </w:r>
          </w:p>
        </w:tc>
      </w:tr>
      <w:tr>
        <w:trPr>
          <w:trHeight w:val="828" w:hRule="atLeast"/>
        </w:trPr>
        <w:tc>
          <w:tcPr>
            <w:tcW w:w="1678" w:type="dxa"/>
            <w:tcBorders>
              <w:top w:val="single" w:sz="2" w:space="0" w:color="000000"/>
              <w:bottom w:val="single" w:sz="2" w:space="0" w:color="000000"/>
            </w:tcBorders>
          </w:tcPr>
          <w:p>
            <w:pPr>
              <w:pStyle w:val="TableParagraph"/>
              <w:ind w:left="107" w:right="533"/>
              <w:rPr>
                <w:b/>
                <w:sz w:val="24"/>
              </w:rPr>
            </w:pPr>
            <w:r>
              <w:rPr>
                <w:b/>
                <w:sz w:val="24"/>
              </w:rPr>
              <w:t>Quorum (présence</w:t>
            </w:r>
          </w:p>
          <w:p>
            <w:pPr>
              <w:pStyle w:val="TableParagraph"/>
              <w:spacing w:line="259" w:lineRule="exact"/>
              <w:ind w:left="107"/>
              <w:rPr>
                <w:b/>
                <w:sz w:val="24"/>
              </w:rPr>
            </w:pPr>
            <w:r>
              <w:rPr>
                <w:b/>
                <w:sz w:val="24"/>
              </w:rPr>
              <w:t>/signature)</w:t>
            </w:r>
          </w:p>
        </w:tc>
        <w:tc>
          <w:tcPr>
            <w:tcW w:w="7939" w:type="dxa"/>
            <w:tcBorders>
              <w:top w:val="single" w:sz="2" w:space="0" w:color="000000"/>
              <w:bottom w:val="single" w:sz="2" w:space="0" w:color="000000"/>
            </w:tcBorders>
          </w:tcPr>
          <w:p>
            <w:pPr>
              <w:pStyle w:val="TableParagraph"/>
              <w:spacing w:before="6"/>
              <w:rPr>
                <w:b/>
                <w:sz w:val="25"/>
              </w:rPr>
            </w:pPr>
          </w:p>
          <w:p>
            <w:pPr>
              <w:pStyle w:val="TableParagraph"/>
              <w:ind w:left="106"/>
              <w:rPr>
                <w:sz w:val="20"/>
              </w:rPr>
            </w:pPr>
            <w:r>
              <w:rPr>
                <w:sz w:val="20"/>
              </w:rPr>
              <w:t>Ne peut se réunir qu'en présence (physique ou à distance) de tous ses membres.</w:t>
            </w:r>
          </w:p>
        </w:tc>
      </w:tr>
      <w:tr>
        <w:trPr>
          <w:trHeight w:val="274" w:hRule="atLeast"/>
        </w:trPr>
        <w:tc>
          <w:tcPr>
            <w:tcW w:w="1678" w:type="dxa"/>
            <w:tcBorders>
              <w:top w:val="single" w:sz="2" w:space="0" w:color="000000"/>
            </w:tcBorders>
          </w:tcPr>
          <w:p>
            <w:pPr>
              <w:pStyle w:val="TableParagraph"/>
              <w:spacing w:line="255" w:lineRule="exact"/>
              <w:ind w:left="107"/>
              <w:rPr>
                <w:b/>
                <w:sz w:val="24"/>
              </w:rPr>
            </w:pPr>
            <w:r>
              <w:rPr>
                <w:b/>
                <w:sz w:val="24"/>
              </w:rPr>
              <w:t>Secrétariat</w:t>
            </w:r>
          </w:p>
        </w:tc>
        <w:tc>
          <w:tcPr>
            <w:tcW w:w="7939" w:type="dxa"/>
            <w:tcBorders>
              <w:top w:val="single" w:sz="2" w:space="0" w:color="000000"/>
            </w:tcBorders>
          </w:tcPr>
          <w:p>
            <w:pPr>
              <w:pStyle w:val="TableParagraph"/>
              <w:spacing w:before="17"/>
              <w:ind w:left="106"/>
              <w:rPr>
                <w:sz w:val="20"/>
              </w:rPr>
            </w:pPr>
            <w:r>
              <w:rPr>
                <w:sz w:val="20"/>
              </w:rPr>
              <w:t>Secrétariat Permanant des Commissions des Marchés (SPCM)</w:t>
            </w:r>
          </w:p>
        </w:tc>
      </w:tr>
    </w:tbl>
    <w:p>
      <w:pPr>
        <w:spacing w:after="0"/>
        <w:rPr>
          <w:sz w:val="20"/>
        </w:rPr>
        <w:sectPr>
          <w:pgSz w:w="11910" w:h="16840"/>
          <w:pgMar w:header="722" w:footer="0" w:top="1860" w:bottom="280" w:left="700" w:right="380"/>
        </w:sectPr>
      </w:pPr>
    </w:p>
    <w:p>
      <w:pPr>
        <w:pStyle w:val="BodyText"/>
        <w:spacing w:before="8"/>
        <w:ind w:left="0" w:firstLine="0"/>
        <w:jc w:val="left"/>
        <w:rPr>
          <w:b/>
          <w:sz w:val="16"/>
        </w:rPr>
      </w:pPr>
      <w:r>
        <w:rPr/>
        <w:pict>
          <v:line style="position:absolute;mso-position-horizontal-relative:page;mso-position-vertical-relative:page;z-index:-256638976" from="272.830005pt,351.529968pt" to="193.490005pt,390.409968pt" stroked="true" strokeweight=".24pt" strokecolor="#000000">
            <v:stroke dashstyle="solid"/>
            <w10:wrap type="none"/>
          </v:line>
        </w:pict>
      </w:r>
      <w:r>
        <w:rPr/>
        <w:pict>
          <v:shape style="position:absolute;margin-left:193.490005pt;margin-top:480.549988pt;width:228.2pt;height:76.350pt;mso-position-horizontal-relative:page;mso-position-vertical-relative:page;z-index:-256637952" coordorigin="3870,9611" coordsize="4564,1527" path="m8412,9611l3891,10209m8433,10218l3870,11138e" filled="false" stroked="true" strokeweight=".48pt" strokecolor="#000000">
            <v:path arrowok="t"/>
            <v:stroke dashstyle="solid"/>
            <w10:wrap type="none"/>
          </v:shape>
        </w:pict>
      </w:r>
    </w:p>
    <w:p>
      <w:pPr>
        <w:pStyle w:val="Heading2"/>
        <w:spacing w:line="276" w:lineRule="auto"/>
        <w:ind w:left="3004" w:right="1005" w:hanging="2310"/>
        <w:jc w:val="left"/>
      </w:pPr>
      <w:bookmarkStart w:name="_TOC_250011" w:id="132"/>
      <w:bookmarkEnd w:id="132"/>
      <w:r>
        <w:rPr/>
        <w:t>Annexe n°11 : Seuils de compétences des commissions de contrôle des achats hors marchés et des marchés du GCT</w:t>
      </w:r>
    </w:p>
    <w:p>
      <w:pPr>
        <w:spacing w:line="250" w:lineRule="exact" w:before="0" w:after="5"/>
        <w:ind w:left="433" w:right="0" w:firstLine="0"/>
        <w:jc w:val="left"/>
        <w:rPr>
          <w:sz w:val="22"/>
        </w:rPr>
      </w:pPr>
      <w:r>
        <w:rPr>
          <w:sz w:val="22"/>
        </w:rPr>
        <w:t>(Seuils en mDT)</w:t>
      </w:r>
    </w:p>
    <w:p>
      <w:pPr>
        <w:pStyle w:val="BodyText"/>
        <w:ind w:left="3147" w:firstLine="0"/>
        <w:jc w:val="left"/>
        <w:rPr>
          <w:sz w:val="20"/>
        </w:rPr>
      </w:pPr>
      <w:r>
        <w:rPr>
          <w:sz w:val="20"/>
        </w:rPr>
        <w:pict>
          <v:group style="width:376.9pt;height:25.2pt;mso-position-horizontal-relative:char;mso-position-vertical-relative:line" coordorigin="0,0" coordsize="7538,504">
            <v:shape style="position:absolute;left:4585;top:21;width:2931;height:461" type="#_x0000_t202" filled="false" stroked="true" strokeweight="2.16pt" strokecolor="#000000">
              <v:textbox inset="0,0,0,0">
                <w:txbxContent>
                  <w:p>
                    <w:pPr>
                      <w:spacing w:before="94"/>
                      <w:ind w:left="1052" w:right="1050" w:firstLine="0"/>
                      <w:jc w:val="center"/>
                      <w:rPr>
                        <w:b/>
                        <w:sz w:val="20"/>
                      </w:rPr>
                    </w:pPr>
                    <w:r>
                      <w:rPr>
                        <w:b/>
                        <w:sz w:val="20"/>
                      </w:rPr>
                      <w:t>Marchés</w:t>
                    </w:r>
                  </w:p>
                </w:txbxContent>
              </v:textbox>
              <v:stroke dashstyle="solid"/>
              <w10:wrap type="none"/>
            </v:shape>
            <v:shape style="position:absolute;left:21;top:21;width:4564;height:461" type="#_x0000_t202" filled="false" stroked="true" strokeweight="2.16pt" strokecolor="#000000">
              <v:textbox inset="0,0,0,0">
                <w:txbxContent>
                  <w:p>
                    <w:pPr>
                      <w:spacing w:before="94"/>
                      <w:ind w:left="1353" w:right="0" w:firstLine="0"/>
                      <w:jc w:val="left"/>
                      <w:rPr>
                        <w:b/>
                        <w:sz w:val="20"/>
                      </w:rPr>
                    </w:pPr>
                    <w:r>
                      <w:rPr>
                        <w:b/>
                        <w:sz w:val="20"/>
                      </w:rPr>
                      <w:t>Achats hors Marchés</w:t>
                    </w:r>
                  </w:p>
                </w:txbxContent>
              </v:textbox>
              <v:stroke dashstyle="solid"/>
              <w10:wrap type="none"/>
            </v:shape>
          </v:group>
        </w:pict>
      </w:r>
      <w:r>
        <w:rPr>
          <w:sz w:val="20"/>
        </w:rPr>
      </w:r>
    </w:p>
    <w:p>
      <w:pPr>
        <w:pStyle w:val="BodyText"/>
        <w:spacing w:before="3"/>
        <w:ind w:left="0" w:firstLine="0"/>
        <w:jc w:val="left"/>
        <w:rPr>
          <w:sz w:val="12"/>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66"/>
        <w:gridCol w:w="2146"/>
        <w:gridCol w:w="1587"/>
        <w:gridCol w:w="1416"/>
        <w:gridCol w:w="1561"/>
        <w:gridCol w:w="2931"/>
      </w:tblGrid>
      <w:tr>
        <w:trPr>
          <w:trHeight w:val="1612" w:hRule="atLeast"/>
        </w:trPr>
        <w:tc>
          <w:tcPr>
            <w:tcW w:w="2712" w:type="dxa"/>
            <w:gridSpan w:val="2"/>
            <w:tcBorders>
              <w:bottom w:val="single" w:sz="4" w:space="0" w:color="000000"/>
            </w:tcBorders>
          </w:tcPr>
          <w:p>
            <w:pPr>
              <w:pStyle w:val="TableParagraph"/>
              <w:rPr>
                <w:sz w:val="22"/>
              </w:rPr>
            </w:pPr>
          </w:p>
          <w:p>
            <w:pPr>
              <w:pStyle w:val="TableParagraph"/>
              <w:rPr>
                <w:sz w:val="22"/>
              </w:rPr>
            </w:pPr>
          </w:p>
          <w:p>
            <w:pPr>
              <w:pStyle w:val="TableParagraph"/>
              <w:spacing w:before="183"/>
              <w:ind w:left="107"/>
              <w:rPr>
                <w:b/>
                <w:sz w:val="20"/>
              </w:rPr>
            </w:pPr>
            <w:r>
              <w:rPr>
                <w:b/>
                <w:sz w:val="20"/>
              </w:rPr>
              <w:t>Entité de Contrôle</w:t>
            </w:r>
          </w:p>
        </w:tc>
        <w:tc>
          <w:tcPr>
            <w:tcW w:w="1587" w:type="dxa"/>
            <w:tcBorders>
              <w:bottom w:val="single" w:sz="4" w:space="0" w:color="000000"/>
            </w:tcBorders>
          </w:tcPr>
          <w:p>
            <w:pPr>
              <w:pStyle w:val="TableParagraph"/>
              <w:ind w:left="172" w:right="131" w:firstLine="5"/>
              <w:jc w:val="center"/>
              <w:rPr>
                <w:b/>
                <w:sz w:val="20"/>
              </w:rPr>
            </w:pPr>
            <w:r>
              <w:rPr>
                <w:b/>
                <w:sz w:val="20"/>
              </w:rPr>
              <w:t>Directions achats des régions (DAR)</w:t>
            </w:r>
          </w:p>
          <w:p>
            <w:pPr>
              <w:pStyle w:val="TableParagraph"/>
              <w:spacing w:line="230" w:lineRule="exact" w:before="1"/>
              <w:ind w:left="107" w:right="270"/>
              <w:rPr>
                <w:b/>
                <w:sz w:val="20"/>
              </w:rPr>
            </w:pPr>
            <w:r>
              <w:rPr>
                <w:b/>
                <w:sz w:val="20"/>
              </w:rPr>
              <w:t>DMG Tunis D App Gabes D App Gafsa D App Sfax</w:t>
            </w:r>
          </w:p>
        </w:tc>
        <w:tc>
          <w:tcPr>
            <w:tcW w:w="1416" w:type="dxa"/>
            <w:tcBorders>
              <w:bottom w:val="single" w:sz="4" w:space="0" w:color="000000"/>
            </w:tcBorders>
          </w:tcPr>
          <w:p>
            <w:pPr>
              <w:pStyle w:val="TableParagraph"/>
              <w:ind w:left="149" w:right="104"/>
              <w:jc w:val="center"/>
              <w:rPr>
                <w:b/>
                <w:sz w:val="20"/>
              </w:rPr>
            </w:pPr>
            <w:r>
              <w:rPr>
                <w:b/>
                <w:w w:val="95"/>
                <w:sz w:val="20"/>
              </w:rPr>
              <w:t>Commissions </w:t>
            </w:r>
            <w:r>
              <w:rPr>
                <w:b/>
                <w:sz w:val="20"/>
              </w:rPr>
              <w:t>Régionales des achats</w:t>
            </w:r>
          </w:p>
          <w:p>
            <w:pPr>
              <w:pStyle w:val="TableParagraph"/>
              <w:spacing w:line="230" w:lineRule="exact" w:before="1"/>
              <w:ind w:left="107" w:right="224"/>
              <w:jc w:val="both"/>
              <w:rPr>
                <w:b/>
                <w:sz w:val="20"/>
              </w:rPr>
            </w:pPr>
            <w:r>
              <w:rPr>
                <w:b/>
                <w:sz w:val="20"/>
              </w:rPr>
              <w:t>(CRA Tunis CRA Gabes CRA Gafsa CRA Sfax)</w:t>
            </w:r>
          </w:p>
        </w:tc>
        <w:tc>
          <w:tcPr>
            <w:tcW w:w="1561" w:type="dxa"/>
            <w:tcBorders>
              <w:bottom w:val="single" w:sz="4" w:space="0" w:color="000000"/>
            </w:tcBorders>
          </w:tcPr>
          <w:p>
            <w:pPr>
              <w:pStyle w:val="TableParagraph"/>
              <w:rPr>
                <w:sz w:val="30"/>
              </w:rPr>
            </w:pPr>
          </w:p>
          <w:p>
            <w:pPr>
              <w:pStyle w:val="TableParagraph"/>
              <w:ind w:left="220" w:right="173"/>
              <w:jc w:val="center"/>
              <w:rPr>
                <w:b/>
                <w:sz w:val="20"/>
              </w:rPr>
            </w:pPr>
            <w:r>
              <w:rPr>
                <w:b/>
                <w:sz w:val="20"/>
              </w:rPr>
              <w:t>Commission des achats de l'Entreprise (CAE)</w:t>
            </w:r>
          </w:p>
        </w:tc>
        <w:tc>
          <w:tcPr>
            <w:tcW w:w="2931" w:type="dxa"/>
            <w:tcBorders>
              <w:bottom w:val="single" w:sz="4" w:space="0" w:color="000000"/>
            </w:tcBorders>
          </w:tcPr>
          <w:p>
            <w:pPr>
              <w:pStyle w:val="TableParagraph"/>
              <w:rPr>
                <w:sz w:val="22"/>
              </w:rPr>
            </w:pPr>
          </w:p>
          <w:p>
            <w:pPr>
              <w:pStyle w:val="TableParagraph"/>
              <w:rPr>
                <w:sz w:val="28"/>
              </w:rPr>
            </w:pPr>
          </w:p>
          <w:p>
            <w:pPr>
              <w:pStyle w:val="TableParagraph"/>
              <w:ind w:left="630" w:right="188" w:hanging="380"/>
              <w:rPr>
                <w:b/>
                <w:sz w:val="20"/>
              </w:rPr>
            </w:pPr>
            <w:r>
              <w:rPr>
                <w:b/>
                <w:sz w:val="20"/>
              </w:rPr>
              <w:t>Commission des Marchés de l'Entreprise (CME)</w:t>
            </w:r>
          </w:p>
        </w:tc>
      </w:tr>
      <w:tr>
        <w:trPr>
          <w:trHeight w:val="759" w:hRule="atLeast"/>
        </w:trPr>
        <w:tc>
          <w:tcPr>
            <w:tcW w:w="566" w:type="dxa"/>
            <w:vMerge w:val="restart"/>
            <w:tcBorders>
              <w:top w:val="single" w:sz="4" w:space="0" w:color="000000"/>
              <w:right w:val="single" w:sz="4" w:space="0" w:color="000000"/>
            </w:tcBorders>
            <w:textDirection w:val="btLr"/>
          </w:tcPr>
          <w:p>
            <w:pPr>
              <w:pStyle w:val="TableParagraph"/>
              <w:spacing w:before="165"/>
              <w:ind w:left="112"/>
              <w:rPr>
                <w:b/>
                <w:sz w:val="20"/>
              </w:rPr>
            </w:pPr>
            <w:r>
              <w:rPr>
                <w:b/>
                <w:sz w:val="20"/>
              </w:rPr>
              <w:t>Hors matières premières</w:t>
            </w:r>
          </w:p>
        </w:tc>
        <w:tc>
          <w:tcPr>
            <w:tcW w:w="2146" w:type="dxa"/>
            <w:tcBorders>
              <w:top w:val="single" w:sz="4" w:space="0" w:color="000000"/>
              <w:left w:val="single" w:sz="4" w:space="0" w:color="000000"/>
              <w:bottom w:val="single" w:sz="4" w:space="0" w:color="000000"/>
            </w:tcBorders>
          </w:tcPr>
          <w:p>
            <w:pPr>
              <w:pStyle w:val="TableParagraph"/>
              <w:spacing w:before="7"/>
              <w:rPr>
                <w:sz w:val="23"/>
              </w:rPr>
            </w:pPr>
          </w:p>
          <w:p>
            <w:pPr>
              <w:pStyle w:val="TableParagraph"/>
              <w:ind w:left="125"/>
              <w:rPr>
                <w:b/>
                <w:sz w:val="20"/>
              </w:rPr>
            </w:pPr>
            <w:r>
              <w:rPr>
                <w:b/>
                <w:sz w:val="20"/>
              </w:rPr>
              <w:t>Travaux</w:t>
            </w:r>
          </w:p>
        </w:tc>
        <w:tc>
          <w:tcPr>
            <w:tcW w:w="1587" w:type="dxa"/>
            <w:tcBorders>
              <w:top w:val="single" w:sz="4" w:space="0" w:color="000000"/>
              <w:bottom w:val="single" w:sz="4" w:space="0" w:color="000000"/>
            </w:tcBorders>
          </w:tcPr>
          <w:p>
            <w:pPr>
              <w:pStyle w:val="TableParagraph"/>
              <w:spacing w:before="2"/>
              <w:rPr>
                <w:sz w:val="23"/>
              </w:rPr>
            </w:pPr>
          </w:p>
          <w:p>
            <w:pPr>
              <w:pStyle w:val="TableParagraph"/>
              <w:ind w:right="565"/>
              <w:jc w:val="right"/>
              <w:rPr>
                <w:sz w:val="20"/>
              </w:rPr>
            </w:pPr>
            <w:r>
              <w:rPr>
                <w:sz w:val="20"/>
              </w:rPr>
              <w:t>&lt; 20</w:t>
            </w:r>
          </w:p>
        </w:tc>
        <w:tc>
          <w:tcPr>
            <w:tcW w:w="1416" w:type="dxa"/>
            <w:tcBorders>
              <w:top w:val="single" w:sz="4" w:space="0" w:color="000000"/>
              <w:bottom w:val="single" w:sz="4" w:space="0" w:color="000000"/>
            </w:tcBorders>
          </w:tcPr>
          <w:p>
            <w:pPr>
              <w:pStyle w:val="TableParagraph"/>
              <w:spacing w:before="2"/>
              <w:rPr>
                <w:sz w:val="23"/>
              </w:rPr>
            </w:pPr>
          </w:p>
          <w:p>
            <w:pPr>
              <w:pStyle w:val="TableParagraph"/>
              <w:ind w:left="147" w:right="104"/>
              <w:jc w:val="center"/>
              <w:rPr>
                <w:sz w:val="20"/>
              </w:rPr>
            </w:pPr>
            <w:r>
              <w:rPr>
                <w:sz w:val="20"/>
              </w:rPr>
              <w:t>≥ 20 et &lt; 200</w:t>
            </w:r>
          </w:p>
        </w:tc>
        <w:tc>
          <w:tcPr>
            <w:tcW w:w="1561" w:type="dxa"/>
            <w:tcBorders>
              <w:top w:val="single" w:sz="4" w:space="0" w:color="000000"/>
              <w:bottom w:val="single" w:sz="4" w:space="0" w:color="000000"/>
            </w:tcBorders>
          </w:tcPr>
          <w:p>
            <w:pPr>
              <w:pStyle w:val="TableParagraph"/>
              <w:spacing w:before="2"/>
              <w:rPr>
                <w:sz w:val="23"/>
              </w:rPr>
            </w:pPr>
          </w:p>
          <w:p>
            <w:pPr>
              <w:pStyle w:val="TableParagraph"/>
              <w:ind w:left="129" w:right="80"/>
              <w:jc w:val="center"/>
              <w:rPr>
                <w:sz w:val="20"/>
              </w:rPr>
            </w:pPr>
            <w:r>
              <w:rPr>
                <w:sz w:val="20"/>
              </w:rPr>
              <w:t>≥ 200 et &lt; 2000</w:t>
            </w:r>
          </w:p>
        </w:tc>
        <w:tc>
          <w:tcPr>
            <w:tcW w:w="2931" w:type="dxa"/>
            <w:tcBorders>
              <w:top w:val="single" w:sz="4" w:space="0" w:color="000000"/>
              <w:bottom w:val="single" w:sz="4" w:space="0" w:color="000000"/>
            </w:tcBorders>
          </w:tcPr>
          <w:p>
            <w:pPr>
              <w:pStyle w:val="TableParagraph"/>
              <w:spacing w:before="2"/>
              <w:rPr>
                <w:sz w:val="23"/>
              </w:rPr>
            </w:pPr>
          </w:p>
          <w:p>
            <w:pPr>
              <w:pStyle w:val="TableParagraph"/>
              <w:ind w:left="1165" w:right="1117"/>
              <w:jc w:val="center"/>
              <w:rPr>
                <w:sz w:val="20"/>
              </w:rPr>
            </w:pPr>
            <w:r>
              <w:rPr>
                <w:sz w:val="20"/>
              </w:rPr>
              <w:t>≥ 2000</w:t>
            </w:r>
          </w:p>
        </w:tc>
      </w:tr>
      <w:tr>
        <w:trPr>
          <w:trHeight w:val="742" w:hRule="atLeast"/>
        </w:trPr>
        <w:tc>
          <w:tcPr>
            <w:tcW w:w="566" w:type="dxa"/>
            <w:vMerge/>
            <w:tcBorders>
              <w:top w:val="nil"/>
              <w:right w:val="single" w:sz="4" w:space="0" w:color="000000"/>
            </w:tcBorders>
            <w:textDirection w:val="btLr"/>
          </w:tcPr>
          <w:p>
            <w:pPr>
              <w:rPr>
                <w:sz w:val="2"/>
                <w:szCs w:val="2"/>
              </w:rPr>
            </w:pPr>
          </w:p>
        </w:tc>
        <w:tc>
          <w:tcPr>
            <w:tcW w:w="2146" w:type="dxa"/>
            <w:tcBorders>
              <w:top w:val="single" w:sz="4" w:space="0" w:color="000000"/>
              <w:left w:val="single" w:sz="4" w:space="0" w:color="000000"/>
              <w:bottom w:val="single" w:sz="4" w:space="0" w:color="000000"/>
            </w:tcBorders>
          </w:tcPr>
          <w:p>
            <w:pPr>
              <w:pStyle w:val="TableParagraph"/>
              <w:spacing w:before="26"/>
              <w:ind w:left="125"/>
              <w:rPr>
                <w:b/>
                <w:sz w:val="20"/>
              </w:rPr>
            </w:pPr>
            <w:r>
              <w:rPr>
                <w:b/>
                <w:sz w:val="20"/>
              </w:rPr>
              <w:t>Fourniture de biens, d’équipement et de services</w:t>
            </w:r>
          </w:p>
        </w:tc>
        <w:tc>
          <w:tcPr>
            <w:tcW w:w="1587" w:type="dxa"/>
            <w:tcBorders>
              <w:top w:val="single" w:sz="4" w:space="0" w:color="000000"/>
              <w:bottom w:val="single" w:sz="4" w:space="0" w:color="000000"/>
            </w:tcBorders>
          </w:tcPr>
          <w:p>
            <w:pPr>
              <w:pStyle w:val="TableParagraph"/>
              <w:spacing w:before="7"/>
              <w:rPr>
                <w:sz w:val="21"/>
              </w:rPr>
            </w:pPr>
          </w:p>
          <w:p>
            <w:pPr>
              <w:pStyle w:val="TableParagraph"/>
              <w:ind w:right="565"/>
              <w:jc w:val="right"/>
              <w:rPr>
                <w:sz w:val="20"/>
              </w:rPr>
            </w:pPr>
            <w:r>
              <w:rPr>
                <w:sz w:val="20"/>
              </w:rPr>
              <w:t>&lt; 20</w:t>
            </w:r>
          </w:p>
        </w:tc>
        <w:tc>
          <w:tcPr>
            <w:tcW w:w="1416" w:type="dxa"/>
            <w:tcBorders>
              <w:top w:val="single" w:sz="4" w:space="0" w:color="000000"/>
              <w:bottom w:val="single" w:sz="4" w:space="0" w:color="000000"/>
            </w:tcBorders>
          </w:tcPr>
          <w:p>
            <w:pPr>
              <w:pStyle w:val="TableParagraph"/>
              <w:spacing w:before="7"/>
              <w:rPr>
                <w:sz w:val="21"/>
              </w:rPr>
            </w:pPr>
          </w:p>
          <w:p>
            <w:pPr>
              <w:pStyle w:val="TableParagraph"/>
              <w:ind w:left="147" w:right="104"/>
              <w:jc w:val="center"/>
              <w:rPr>
                <w:sz w:val="20"/>
              </w:rPr>
            </w:pPr>
            <w:r>
              <w:rPr>
                <w:sz w:val="20"/>
              </w:rPr>
              <w:t>≥ 20 et &lt; 200</w:t>
            </w:r>
          </w:p>
        </w:tc>
        <w:tc>
          <w:tcPr>
            <w:tcW w:w="1561" w:type="dxa"/>
            <w:tcBorders>
              <w:top w:val="single" w:sz="4" w:space="0" w:color="000000"/>
              <w:bottom w:val="single" w:sz="4" w:space="0" w:color="000000"/>
            </w:tcBorders>
          </w:tcPr>
          <w:p>
            <w:pPr>
              <w:pStyle w:val="TableParagraph"/>
              <w:spacing w:before="7"/>
              <w:rPr>
                <w:sz w:val="21"/>
              </w:rPr>
            </w:pPr>
          </w:p>
          <w:p>
            <w:pPr>
              <w:pStyle w:val="TableParagraph"/>
              <w:ind w:left="129" w:right="80"/>
              <w:jc w:val="center"/>
              <w:rPr>
                <w:sz w:val="20"/>
              </w:rPr>
            </w:pPr>
            <w:r>
              <w:rPr>
                <w:sz w:val="20"/>
              </w:rPr>
              <w:t>≥ 200 et &lt; 2000</w:t>
            </w:r>
          </w:p>
        </w:tc>
        <w:tc>
          <w:tcPr>
            <w:tcW w:w="2931" w:type="dxa"/>
            <w:tcBorders>
              <w:top w:val="single" w:sz="4" w:space="0" w:color="000000"/>
              <w:bottom w:val="single" w:sz="4" w:space="0" w:color="000000"/>
            </w:tcBorders>
          </w:tcPr>
          <w:p>
            <w:pPr>
              <w:pStyle w:val="TableParagraph"/>
              <w:spacing w:before="7"/>
              <w:rPr>
                <w:sz w:val="21"/>
              </w:rPr>
            </w:pPr>
          </w:p>
          <w:p>
            <w:pPr>
              <w:pStyle w:val="TableParagraph"/>
              <w:ind w:left="1165" w:right="1117"/>
              <w:jc w:val="center"/>
              <w:rPr>
                <w:sz w:val="20"/>
              </w:rPr>
            </w:pPr>
            <w:r>
              <w:rPr>
                <w:sz w:val="20"/>
              </w:rPr>
              <w:t>≥ 2000</w:t>
            </w:r>
          </w:p>
        </w:tc>
      </w:tr>
      <w:tr>
        <w:trPr>
          <w:trHeight w:val="761" w:hRule="atLeast"/>
        </w:trPr>
        <w:tc>
          <w:tcPr>
            <w:tcW w:w="566" w:type="dxa"/>
            <w:vMerge/>
            <w:tcBorders>
              <w:top w:val="nil"/>
              <w:right w:val="single" w:sz="4" w:space="0" w:color="000000"/>
            </w:tcBorders>
            <w:textDirection w:val="btLr"/>
          </w:tcPr>
          <w:p>
            <w:pPr>
              <w:rPr>
                <w:sz w:val="2"/>
                <w:szCs w:val="2"/>
              </w:rPr>
            </w:pPr>
          </w:p>
        </w:tc>
        <w:tc>
          <w:tcPr>
            <w:tcW w:w="2146" w:type="dxa"/>
            <w:tcBorders>
              <w:top w:val="single" w:sz="4" w:space="0" w:color="000000"/>
              <w:left w:val="single" w:sz="4" w:space="0" w:color="000000"/>
            </w:tcBorders>
          </w:tcPr>
          <w:p>
            <w:pPr>
              <w:pStyle w:val="TableParagraph"/>
              <w:spacing w:before="3"/>
              <w:rPr>
                <w:sz w:val="22"/>
              </w:rPr>
            </w:pPr>
          </w:p>
          <w:p>
            <w:pPr>
              <w:pStyle w:val="TableParagraph"/>
              <w:ind w:left="125"/>
              <w:rPr>
                <w:b/>
                <w:sz w:val="20"/>
              </w:rPr>
            </w:pPr>
            <w:r>
              <w:rPr>
                <w:b/>
                <w:sz w:val="20"/>
              </w:rPr>
              <w:t>Etudes</w:t>
            </w:r>
          </w:p>
        </w:tc>
        <w:tc>
          <w:tcPr>
            <w:tcW w:w="1587" w:type="dxa"/>
            <w:tcBorders>
              <w:top w:val="single" w:sz="4" w:space="0" w:color="000000"/>
            </w:tcBorders>
          </w:tcPr>
          <w:p>
            <w:pPr>
              <w:pStyle w:val="TableParagraph"/>
              <w:rPr>
                <w:sz w:val="20"/>
              </w:rPr>
            </w:pPr>
          </w:p>
        </w:tc>
        <w:tc>
          <w:tcPr>
            <w:tcW w:w="1416" w:type="dxa"/>
            <w:tcBorders>
              <w:top w:val="single" w:sz="4" w:space="0" w:color="000000"/>
            </w:tcBorders>
          </w:tcPr>
          <w:p>
            <w:pPr>
              <w:pStyle w:val="TableParagraph"/>
              <w:spacing w:before="10"/>
              <w:rPr>
                <w:sz w:val="21"/>
              </w:rPr>
            </w:pPr>
          </w:p>
          <w:p>
            <w:pPr>
              <w:pStyle w:val="TableParagraph"/>
              <w:ind w:left="146" w:right="104"/>
              <w:jc w:val="center"/>
              <w:rPr>
                <w:sz w:val="20"/>
              </w:rPr>
            </w:pPr>
            <w:r>
              <w:rPr>
                <w:sz w:val="20"/>
              </w:rPr>
              <w:t>&lt; 15</w:t>
            </w:r>
          </w:p>
        </w:tc>
        <w:tc>
          <w:tcPr>
            <w:tcW w:w="1561" w:type="dxa"/>
            <w:tcBorders>
              <w:top w:val="single" w:sz="4" w:space="0" w:color="000000"/>
            </w:tcBorders>
          </w:tcPr>
          <w:p>
            <w:pPr>
              <w:pStyle w:val="TableParagraph"/>
              <w:spacing w:before="10"/>
              <w:rPr>
                <w:sz w:val="21"/>
              </w:rPr>
            </w:pPr>
          </w:p>
          <w:p>
            <w:pPr>
              <w:pStyle w:val="TableParagraph"/>
              <w:ind w:left="217" w:right="173"/>
              <w:jc w:val="center"/>
              <w:rPr>
                <w:sz w:val="20"/>
              </w:rPr>
            </w:pPr>
            <w:r>
              <w:rPr>
                <w:sz w:val="20"/>
              </w:rPr>
              <w:t>≥ 15 et &lt; 200</w:t>
            </w:r>
          </w:p>
        </w:tc>
        <w:tc>
          <w:tcPr>
            <w:tcW w:w="2931" w:type="dxa"/>
            <w:tcBorders>
              <w:top w:val="single" w:sz="4" w:space="0" w:color="000000"/>
            </w:tcBorders>
          </w:tcPr>
          <w:p>
            <w:pPr>
              <w:pStyle w:val="TableParagraph"/>
              <w:spacing w:before="10"/>
              <w:rPr>
                <w:sz w:val="21"/>
              </w:rPr>
            </w:pPr>
          </w:p>
          <w:p>
            <w:pPr>
              <w:pStyle w:val="TableParagraph"/>
              <w:ind w:left="1164" w:right="1119"/>
              <w:jc w:val="center"/>
              <w:rPr>
                <w:sz w:val="20"/>
              </w:rPr>
            </w:pPr>
            <w:r>
              <w:rPr>
                <w:sz w:val="20"/>
              </w:rPr>
              <w:t>≥ 200</w:t>
            </w:r>
          </w:p>
        </w:tc>
      </w:tr>
    </w:tbl>
    <w:p>
      <w:pPr>
        <w:pStyle w:val="BodyText"/>
        <w:spacing w:before="1"/>
        <w:ind w:left="0" w:firstLine="0"/>
        <w:jc w:val="left"/>
        <w:rPr>
          <w:sz w:val="12"/>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13"/>
        <w:gridCol w:w="4564"/>
        <w:gridCol w:w="2931"/>
      </w:tblGrid>
      <w:tr>
        <w:trPr>
          <w:trHeight w:val="618" w:hRule="atLeast"/>
        </w:trPr>
        <w:tc>
          <w:tcPr>
            <w:tcW w:w="2713" w:type="dxa"/>
            <w:tcBorders>
              <w:bottom w:val="single" w:sz="4" w:space="0" w:color="000000"/>
            </w:tcBorders>
          </w:tcPr>
          <w:p>
            <w:pPr>
              <w:pStyle w:val="TableParagraph"/>
              <w:spacing w:before="194"/>
              <w:ind w:left="107"/>
              <w:rPr>
                <w:b/>
                <w:sz w:val="20"/>
              </w:rPr>
            </w:pPr>
            <w:r>
              <w:rPr>
                <w:b/>
                <w:sz w:val="20"/>
              </w:rPr>
              <w:t>Entité de Contrôle</w:t>
            </w:r>
          </w:p>
        </w:tc>
        <w:tc>
          <w:tcPr>
            <w:tcW w:w="4564" w:type="dxa"/>
            <w:tcBorders>
              <w:bottom w:val="single" w:sz="4" w:space="0" w:color="000000"/>
            </w:tcBorders>
          </w:tcPr>
          <w:p>
            <w:pPr>
              <w:pStyle w:val="TableParagraph"/>
              <w:spacing w:before="78"/>
              <w:ind w:left="2003" w:right="560" w:hanging="1381"/>
              <w:rPr>
                <w:b/>
                <w:sz w:val="20"/>
              </w:rPr>
            </w:pPr>
            <w:r>
              <w:rPr>
                <w:b/>
                <w:sz w:val="20"/>
              </w:rPr>
              <w:t>Commission d'Affrètement des navires (CAff)</w:t>
            </w:r>
          </w:p>
        </w:tc>
        <w:tc>
          <w:tcPr>
            <w:tcW w:w="2931" w:type="dxa"/>
            <w:tcBorders>
              <w:bottom w:val="single" w:sz="4" w:space="0" w:color="000000"/>
            </w:tcBorders>
          </w:tcPr>
          <w:p>
            <w:pPr>
              <w:pStyle w:val="TableParagraph"/>
              <w:spacing w:before="78"/>
              <w:ind w:left="629" w:right="189" w:hanging="380"/>
              <w:rPr>
                <w:b/>
                <w:sz w:val="20"/>
              </w:rPr>
            </w:pPr>
            <w:r>
              <w:rPr>
                <w:b/>
                <w:sz w:val="20"/>
              </w:rPr>
              <w:t>Commission des Marchés de l'Entreprise (CME)</w:t>
            </w:r>
          </w:p>
        </w:tc>
      </w:tr>
      <w:tr>
        <w:trPr>
          <w:trHeight w:val="716" w:hRule="atLeast"/>
        </w:trPr>
        <w:tc>
          <w:tcPr>
            <w:tcW w:w="2713" w:type="dxa"/>
            <w:tcBorders>
              <w:top w:val="single" w:sz="4" w:space="0" w:color="000000"/>
            </w:tcBorders>
          </w:tcPr>
          <w:p>
            <w:pPr>
              <w:pStyle w:val="TableParagraph"/>
              <w:spacing w:before="1"/>
              <w:rPr>
                <w:sz w:val="21"/>
              </w:rPr>
            </w:pPr>
          </w:p>
          <w:p>
            <w:pPr>
              <w:pStyle w:val="TableParagraph"/>
              <w:ind w:left="107"/>
              <w:rPr>
                <w:b/>
                <w:sz w:val="20"/>
              </w:rPr>
            </w:pPr>
            <w:r>
              <w:rPr>
                <w:b/>
                <w:sz w:val="20"/>
              </w:rPr>
              <w:t>Affrètement des navires</w:t>
            </w:r>
          </w:p>
        </w:tc>
        <w:tc>
          <w:tcPr>
            <w:tcW w:w="4564" w:type="dxa"/>
            <w:tcBorders>
              <w:top w:val="single" w:sz="4" w:space="0" w:color="000000"/>
            </w:tcBorders>
          </w:tcPr>
          <w:p>
            <w:pPr>
              <w:pStyle w:val="TableParagraph"/>
              <w:spacing w:before="7"/>
              <w:rPr>
                <w:sz w:val="20"/>
              </w:rPr>
            </w:pPr>
          </w:p>
          <w:p>
            <w:pPr>
              <w:pStyle w:val="TableParagraph"/>
              <w:spacing w:before="1"/>
              <w:ind w:left="1978" w:right="1937"/>
              <w:jc w:val="center"/>
              <w:rPr>
                <w:sz w:val="20"/>
              </w:rPr>
            </w:pPr>
            <w:r>
              <w:rPr>
                <w:sz w:val="20"/>
              </w:rPr>
              <w:t>&lt; 7000</w:t>
            </w:r>
          </w:p>
        </w:tc>
        <w:tc>
          <w:tcPr>
            <w:tcW w:w="2931" w:type="dxa"/>
            <w:tcBorders>
              <w:top w:val="single" w:sz="4" w:space="0" w:color="000000"/>
            </w:tcBorders>
          </w:tcPr>
          <w:p>
            <w:pPr>
              <w:pStyle w:val="TableParagraph"/>
              <w:spacing w:before="7"/>
              <w:rPr>
                <w:sz w:val="20"/>
              </w:rPr>
            </w:pPr>
          </w:p>
          <w:p>
            <w:pPr>
              <w:pStyle w:val="TableParagraph"/>
              <w:spacing w:before="1"/>
              <w:ind w:left="1164" w:right="1119"/>
              <w:jc w:val="center"/>
              <w:rPr>
                <w:sz w:val="20"/>
              </w:rPr>
            </w:pPr>
            <w:r>
              <w:rPr>
                <w:sz w:val="20"/>
              </w:rPr>
              <w:t>≥ 7000</w:t>
            </w:r>
          </w:p>
        </w:tc>
      </w:tr>
    </w:tbl>
    <w:p>
      <w:pPr>
        <w:pStyle w:val="BodyText"/>
        <w:spacing w:before="1"/>
        <w:ind w:left="0" w:firstLine="0"/>
        <w:jc w:val="left"/>
        <w:rPr>
          <w:sz w:val="12"/>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13"/>
        <w:gridCol w:w="4564"/>
        <w:gridCol w:w="2931"/>
      </w:tblGrid>
      <w:tr>
        <w:trPr>
          <w:trHeight w:val="598" w:hRule="atLeast"/>
        </w:trPr>
        <w:tc>
          <w:tcPr>
            <w:tcW w:w="2713" w:type="dxa"/>
            <w:tcBorders>
              <w:bottom w:val="single" w:sz="4" w:space="0" w:color="000000"/>
            </w:tcBorders>
          </w:tcPr>
          <w:p>
            <w:pPr>
              <w:pStyle w:val="TableParagraph"/>
              <w:spacing w:before="182"/>
              <w:ind w:left="107"/>
              <w:rPr>
                <w:b/>
                <w:sz w:val="20"/>
              </w:rPr>
            </w:pPr>
            <w:r>
              <w:rPr>
                <w:b/>
                <w:sz w:val="20"/>
              </w:rPr>
              <w:t>Entité de Contrôle</w:t>
            </w:r>
          </w:p>
        </w:tc>
        <w:tc>
          <w:tcPr>
            <w:tcW w:w="4564" w:type="dxa"/>
            <w:tcBorders>
              <w:bottom w:val="single" w:sz="4" w:space="0" w:color="000000"/>
            </w:tcBorders>
          </w:tcPr>
          <w:p>
            <w:pPr>
              <w:pStyle w:val="TableParagraph"/>
              <w:rPr>
                <w:sz w:val="20"/>
              </w:rPr>
            </w:pPr>
          </w:p>
        </w:tc>
        <w:tc>
          <w:tcPr>
            <w:tcW w:w="2931" w:type="dxa"/>
            <w:tcBorders>
              <w:bottom w:val="single" w:sz="4" w:space="0" w:color="000000"/>
            </w:tcBorders>
          </w:tcPr>
          <w:p>
            <w:pPr>
              <w:pStyle w:val="TableParagraph"/>
              <w:spacing w:before="66"/>
              <w:ind w:left="629" w:right="189" w:hanging="380"/>
              <w:rPr>
                <w:b/>
                <w:sz w:val="20"/>
              </w:rPr>
            </w:pPr>
            <w:r>
              <w:rPr>
                <w:b/>
                <w:sz w:val="20"/>
              </w:rPr>
              <w:t>Commission des Marchés de l'Entreprise (CME)</w:t>
            </w:r>
          </w:p>
        </w:tc>
      </w:tr>
      <w:tr>
        <w:trPr>
          <w:trHeight w:val="921" w:hRule="atLeast"/>
        </w:trPr>
        <w:tc>
          <w:tcPr>
            <w:tcW w:w="2713" w:type="dxa"/>
            <w:tcBorders>
              <w:top w:val="single" w:sz="4" w:space="0" w:color="000000"/>
            </w:tcBorders>
          </w:tcPr>
          <w:p>
            <w:pPr>
              <w:pStyle w:val="TableParagraph"/>
              <w:ind w:left="107" w:right="75"/>
              <w:rPr>
                <w:b/>
                <w:sz w:val="20"/>
              </w:rPr>
            </w:pPr>
            <w:r>
              <w:rPr>
                <w:b/>
                <w:sz w:val="20"/>
              </w:rPr>
              <w:t>Matières premières et produits destinés à être vendu en l’état ou</w:t>
            </w:r>
          </w:p>
          <w:p>
            <w:pPr>
              <w:pStyle w:val="TableParagraph"/>
              <w:spacing w:line="213" w:lineRule="exact"/>
              <w:ind w:left="107"/>
              <w:rPr>
                <w:b/>
                <w:sz w:val="20"/>
              </w:rPr>
            </w:pPr>
            <w:r>
              <w:rPr>
                <w:b/>
                <w:sz w:val="20"/>
              </w:rPr>
              <w:t>conditionnés</w:t>
            </w:r>
          </w:p>
        </w:tc>
        <w:tc>
          <w:tcPr>
            <w:tcW w:w="4564" w:type="dxa"/>
            <w:tcBorders>
              <w:top w:val="single" w:sz="4" w:space="0" w:color="000000"/>
            </w:tcBorders>
          </w:tcPr>
          <w:p>
            <w:pPr>
              <w:pStyle w:val="TableParagraph"/>
              <w:rPr>
                <w:sz w:val="20"/>
              </w:rPr>
            </w:pPr>
          </w:p>
        </w:tc>
        <w:tc>
          <w:tcPr>
            <w:tcW w:w="2931" w:type="dxa"/>
            <w:tcBorders>
              <w:top w:val="single" w:sz="4" w:space="0" w:color="000000"/>
            </w:tcBorders>
          </w:tcPr>
          <w:p>
            <w:pPr>
              <w:pStyle w:val="TableParagraph"/>
              <w:spacing w:before="2"/>
              <w:rPr>
                <w:sz w:val="29"/>
              </w:rPr>
            </w:pPr>
          </w:p>
          <w:p>
            <w:pPr>
              <w:pStyle w:val="TableParagraph"/>
              <w:spacing w:before="1"/>
              <w:ind w:left="876"/>
              <w:rPr>
                <w:sz w:val="20"/>
              </w:rPr>
            </w:pPr>
            <w:r>
              <w:rPr>
                <w:sz w:val="20"/>
              </w:rPr>
              <w:t>Tous les seuils</w:t>
            </w:r>
          </w:p>
        </w:tc>
      </w:tr>
    </w:tbl>
    <w:p>
      <w:pPr>
        <w:spacing w:after="0"/>
        <w:rPr>
          <w:sz w:val="20"/>
        </w:rPr>
        <w:sectPr>
          <w:pgSz w:w="11910" w:h="16840"/>
          <w:pgMar w:header="722" w:footer="0" w:top="1860" w:bottom="280" w:left="700" w:right="380"/>
        </w:sectPr>
      </w:pPr>
    </w:p>
    <w:p>
      <w:pPr>
        <w:pStyle w:val="BodyText"/>
        <w:spacing w:before="8"/>
        <w:ind w:left="0" w:firstLine="0"/>
        <w:jc w:val="left"/>
        <w:rPr>
          <w:sz w:val="16"/>
        </w:rPr>
      </w:pPr>
    </w:p>
    <w:p>
      <w:pPr>
        <w:pStyle w:val="Heading2"/>
        <w:spacing w:after="50"/>
        <w:ind w:left="634" w:right="953"/>
        <w:jc w:val="center"/>
      </w:pPr>
      <w:bookmarkStart w:name="_TOC_250010" w:id="133"/>
      <w:bookmarkEnd w:id="133"/>
      <w:r>
        <w:rPr/>
        <w:t>Annexe n°12 : Commission de Recours et d’Intégrité</w:t>
      </w: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39"/>
        <w:gridCol w:w="7717"/>
      </w:tblGrid>
      <w:tr>
        <w:trPr>
          <w:trHeight w:val="552" w:hRule="atLeast"/>
        </w:trPr>
        <w:tc>
          <w:tcPr>
            <w:tcW w:w="2139" w:type="dxa"/>
          </w:tcPr>
          <w:p>
            <w:pPr>
              <w:pStyle w:val="TableParagraph"/>
              <w:spacing w:line="276" w:lineRule="exact" w:before="1"/>
              <w:ind w:left="107" w:right="213"/>
              <w:rPr>
                <w:b/>
                <w:sz w:val="24"/>
              </w:rPr>
            </w:pPr>
            <w:r>
              <w:rPr>
                <w:b/>
                <w:sz w:val="24"/>
              </w:rPr>
              <w:t>Dénomination de l’organe</w:t>
            </w:r>
          </w:p>
        </w:tc>
        <w:tc>
          <w:tcPr>
            <w:tcW w:w="7717" w:type="dxa"/>
          </w:tcPr>
          <w:p>
            <w:pPr>
              <w:pStyle w:val="TableParagraph"/>
              <w:spacing w:before="137"/>
              <w:ind w:left="1926"/>
              <w:rPr>
                <w:b/>
                <w:sz w:val="24"/>
              </w:rPr>
            </w:pPr>
            <w:r>
              <w:rPr>
                <w:b/>
                <w:sz w:val="24"/>
              </w:rPr>
              <w:t>Commission de Recours et d'Intégrité</w:t>
            </w:r>
          </w:p>
        </w:tc>
      </w:tr>
      <w:tr>
        <w:trPr>
          <w:trHeight w:val="649" w:hRule="atLeast"/>
        </w:trPr>
        <w:tc>
          <w:tcPr>
            <w:tcW w:w="2139" w:type="dxa"/>
            <w:tcBorders>
              <w:bottom w:val="single" w:sz="2" w:space="0" w:color="000000"/>
            </w:tcBorders>
          </w:tcPr>
          <w:p>
            <w:pPr>
              <w:pStyle w:val="TableParagraph"/>
              <w:spacing w:before="182"/>
              <w:ind w:left="107"/>
              <w:rPr>
                <w:b/>
                <w:sz w:val="24"/>
              </w:rPr>
            </w:pPr>
            <w:r>
              <w:rPr>
                <w:b/>
                <w:sz w:val="24"/>
              </w:rPr>
              <w:t>Type</w:t>
            </w:r>
          </w:p>
        </w:tc>
        <w:tc>
          <w:tcPr>
            <w:tcW w:w="7717" w:type="dxa"/>
            <w:tcBorders>
              <w:bottom w:val="single" w:sz="2" w:space="0" w:color="000000"/>
            </w:tcBorders>
          </w:tcPr>
          <w:p>
            <w:pPr>
              <w:pStyle w:val="TableParagraph"/>
              <w:spacing w:before="178"/>
              <w:ind w:left="109"/>
              <w:rPr>
                <w:sz w:val="24"/>
              </w:rPr>
            </w:pPr>
            <w:r>
              <w:rPr>
                <w:sz w:val="24"/>
              </w:rPr>
              <w:t>Commission interne permanente</w:t>
            </w:r>
          </w:p>
        </w:tc>
      </w:tr>
      <w:tr>
        <w:trPr>
          <w:trHeight w:val="688" w:hRule="atLeast"/>
        </w:trPr>
        <w:tc>
          <w:tcPr>
            <w:tcW w:w="2139" w:type="dxa"/>
            <w:tcBorders>
              <w:top w:val="single" w:sz="2" w:space="0" w:color="000000"/>
              <w:bottom w:val="single" w:sz="2" w:space="0" w:color="000000"/>
            </w:tcBorders>
          </w:tcPr>
          <w:p>
            <w:pPr>
              <w:pStyle w:val="TableParagraph"/>
              <w:spacing w:before="203"/>
              <w:ind w:left="107"/>
              <w:rPr>
                <w:b/>
                <w:sz w:val="24"/>
              </w:rPr>
            </w:pPr>
            <w:r>
              <w:rPr>
                <w:b/>
                <w:sz w:val="24"/>
              </w:rPr>
              <w:t>Désignation</w:t>
            </w:r>
          </w:p>
        </w:tc>
        <w:tc>
          <w:tcPr>
            <w:tcW w:w="7717" w:type="dxa"/>
            <w:tcBorders>
              <w:top w:val="single" w:sz="2" w:space="0" w:color="000000"/>
              <w:bottom w:val="single" w:sz="2" w:space="0" w:color="000000"/>
            </w:tcBorders>
          </w:tcPr>
          <w:p>
            <w:pPr>
              <w:pStyle w:val="TableParagraph"/>
              <w:spacing w:line="270" w:lineRule="atLeast" w:before="119"/>
              <w:ind w:left="109" w:right="77"/>
              <w:rPr>
                <w:sz w:val="24"/>
              </w:rPr>
            </w:pPr>
            <w:r>
              <w:rPr>
                <w:sz w:val="24"/>
              </w:rPr>
              <w:t>Désignée par le Conseil d’Administration du GCT. La note de désignation est émise par la Direction Générale du GCT</w:t>
            </w:r>
          </w:p>
        </w:tc>
      </w:tr>
      <w:tr>
        <w:trPr>
          <w:trHeight w:val="1500"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6"/>
              <w:rPr>
                <w:b/>
                <w:sz w:val="26"/>
              </w:rPr>
            </w:pPr>
          </w:p>
          <w:p>
            <w:pPr>
              <w:pStyle w:val="TableParagraph"/>
              <w:ind w:left="107"/>
              <w:rPr>
                <w:sz w:val="24"/>
              </w:rPr>
            </w:pPr>
            <w:r>
              <w:rPr>
                <w:sz w:val="24"/>
              </w:rPr>
              <w:t>Composition</w:t>
            </w:r>
          </w:p>
        </w:tc>
        <w:tc>
          <w:tcPr>
            <w:tcW w:w="7717" w:type="dxa"/>
            <w:tcBorders>
              <w:top w:val="single" w:sz="2" w:space="0" w:color="000000"/>
              <w:bottom w:val="single" w:sz="2" w:space="0" w:color="000000"/>
            </w:tcBorders>
          </w:tcPr>
          <w:p>
            <w:pPr>
              <w:pStyle w:val="TableParagraph"/>
              <w:spacing w:before="112"/>
              <w:ind w:left="107"/>
              <w:rPr>
                <w:sz w:val="24"/>
              </w:rPr>
            </w:pPr>
            <w:r>
              <w:rPr>
                <w:sz w:val="24"/>
              </w:rPr>
              <w:t>Cette commission est composée de :</w:t>
            </w:r>
          </w:p>
          <w:p>
            <w:pPr>
              <w:pStyle w:val="TableParagraph"/>
              <w:numPr>
                <w:ilvl w:val="0"/>
                <w:numId w:val="122"/>
              </w:numPr>
              <w:tabs>
                <w:tab w:pos="830" w:val="left" w:leader="none"/>
              </w:tabs>
              <w:spacing w:line="240" w:lineRule="auto" w:before="0" w:after="0"/>
              <w:ind w:left="829" w:right="0" w:hanging="294"/>
              <w:jc w:val="left"/>
              <w:rPr>
                <w:sz w:val="24"/>
              </w:rPr>
            </w:pPr>
            <w:r>
              <w:rPr>
                <w:spacing w:val="-5"/>
                <w:sz w:val="24"/>
              </w:rPr>
              <w:t>Président </w:t>
            </w:r>
            <w:r>
              <w:rPr>
                <w:sz w:val="24"/>
              </w:rPr>
              <w:t>: </w:t>
            </w:r>
            <w:r>
              <w:rPr>
                <w:spacing w:val="-3"/>
                <w:sz w:val="24"/>
              </w:rPr>
              <w:t>Un </w:t>
            </w:r>
            <w:r>
              <w:rPr>
                <w:spacing w:val="-6"/>
                <w:sz w:val="24"/>
              </w:rPr>
              <w:t>administrateur </w:t>
            </w:r>
            <w:r>
              <w:rPr>
                <w:spacing w:val="-3"/>
                <w:sz w:val="24"/>
              </w:rPr>
              <w:t>du </w:t>
            </w:r>
            <w:r>
              <w:rPr>
                <w:spacing w:val="-5"/>
                <w:sz w:val="24"/>
              </w:rPr>
              <w:t>Conseil</w:t>
            </w:r>
            <w:r>
              <w:rPr>
                <w:spacing w:val="-40"/>
                <w:sz w:val="24"/>
              </w:rPr>
              <w:t> </w:t>
            </w:r>
            <w:r>
              <w:rPr>
                <w:spacing w:val="-6"/>
                <w:sz w:val="24"/>
              </w:rPr>
              <w:t>d’Administration</w:t>
            </w:r>
          </w:p>
          <w:p>
            <w:pPr>
              <w:pStyle w:val="TableParagraph"/>
              <w:numPr>
                <w:ilvl w:val="0"/>
                <w:numId w:val="122"/>
              </w:numPr>
              <w:tabs>
                <w:tab w:pos="830" w:val="left" w:leader="none"/>
              </w:tabs>
              <w:spacing w:line="240" w:lineRule="auto" w:before="0" w:after="0"/>
              <w:ind w:left="829" w:right="0" w:hanging="294"/>
              <w:jc w:val="left"/>
              <w:rPr>
                <w:sz w:val="24"/>
              </w:rPr>
            </w:pPr>
            <w:r>
              <w:rPr>
                <w:spacing w:val="-5"/>
                <w:sz w:val="24"/>
              </w:rPr>
              <w:t>Membres</w:t>
            </w:r>
            <w:r>
              <w:rPr>
                <w:spacing w:val="-10"/>
                <w:sz w:val="24"/>
              </w:rPr>
              <w:t> </w:t>
            </w:r>
            <w:r>
              <w:rPr>
                <w:sz w:val="24"/>
              </w:rPr>
              <w:t>:</w:t>
            </w:r>
          </w:p>
          <w:p>
            <w:pPr>
              <w:pStyle w:val="TableParagraph"/>
              <w:numPr>
                <w:ilvl w:val="1"/>
                <w:numId w:val="122"/>
              </w:numPr>
              <w:tabs>
                <w:tab w:pos="1321" w:val="left" w:leader="none"/>
                <w:tab w:pos="1322" w:val="left" w:leader="none"/>
              </w:tabs>
              <w:spacing w:line="240" w:lineRule="auto" w:before="0" w:after="0"/>
              <w:ind w:left="1321" w:right="0" w:hanging="361"/>
              <w:jc w:val="left"/>
              <w:rPr>
                <w:sz w:val="24"/>
              </w:rPr>
            </w:pPr>
            <w:r>
              <w:rPr>
                <w:spacing w:val="-3"/>
                <w:sz w:val="24"/>
              </w:rPr>
              <w:t>Un </w:t>
            </w:r>
            <w:r>
              <w:rPr>
                <w:spacing w:val="-5"/>
                <w:sz w:val="24"/>
              </w:rPr>
              <w:t>administrateur </w:t>
            </w:r>
            <w:r>
              <w:rPr>
                <w:spacing w:val="-3"/>
                <w:sz w:val="24"/>
              </w:rPr>
              <w:t>du </w:t>
            </w:r>
            <w:r>
              <w:rPr>
                <w:spacing w:val="-5"/>
                <w:sz w:val="24"/>
              </w:rPr>
              <w:t>Conseil</w:t>
            </w:r>
            <w:r>
              <w:rPr>
                <w:spacing w:val="-29"/>
                <w:sz w:val="24"/>
              </w:rPr>
              <w:t> </w:t>
            </w:r>
            <w:r>
              <w:rPr>
                <w:spacing w:val="-6"/>
                <w:sz w:val="24"/>
              </w:rPr>
              <w:t>d’Administration,</w:t>
            </w:r>
          </w:p>
          <w:p>
            <w:pPr>
              <w:pStyle w:val="TableParagraph"/>
              <w:numPr>
                <w:ilvl w:val="1"/>
                <w:numId w:val="122"/>
              </w:numPr>
              <w:tabs>
                <w:tab w:pos="1321" w:val="left" w:leader="none"/>
                <w:tab w:pos="1322" w:val="left" w:leader="none"/>
              </w:tabs>
              <w:spacing w:line="264" w:lineRule="exact" w:before="0" w:after="0"/>
              <w:ind w:left="1321" w:right="0" w:hanging="361"/>
              <w:jc w:val="left"/>
              <w:rPr>
                <w:sz w:val="24"/>
              </w:rPr>
            </w:pPr>
            <w:r>
              <w:rPr>
                <w:sz w:val="24"/>
              </w:rPr>
              <w:t>Le contrôleur d'état</w:t>
            </w:r>
            <w:r>
              <w:rPr>
                <w:spacing w:val="-2"/>
                <w:sz w:val="24"/>
              </w:rPr>
              <w:t> </w:t>
            </w:r>
            <w:r>
              <w:rPr>
                <w:sz w:val="24"/>
              </w:rPr>
              <w:t>;</w:t>
            </w:r>
          </w:p>
        </w:tc>
      </w:tr>
      <w:tr>
        <w:trPr>
          <w:trHeight w:val="1130" w:hRule="atLeast"/>
        </w:trPr>
        <w:tc>
          <w:tcPr>
            <w:tcW w:w="2139" w:type="dxa"/>
            <w:tcBorders>
              <w:top w:val="single" w:sz="2" w:space="0" w:color="000000"/>
              <w:bottom w:val="single" w:sz="2" w:space="0" w:color="000000"/>
            </w:tcBorders>
          </w:tcPr>
          <w:p>
            <w:pPr>
              <w:pStyle w:val="TableParagraph"/>
              <w:spacing w:before="9"/>
              <w:rPr>
                <w:b/>
                <w:sz w:val="36"/>
              </w:rPr>
            </w:pPr>
          </w:p>
          <w:p>
            <w:pPr>
              <w:pStyle w:val="TableParagraph"/>
              <w:spacing w:before="1"/>
              <w:ind w:left="107"/>
              <w:rPr>
                <w:b/>
                <w:sz w:val="24"/>
              </w:rPr>
            </w:pPr>
            <w:r>
              <w:rPr>
                <w:b/>
                <w:sz w:val="24"/>
              </w:rPr>
              <w:t>Attributions</w:t>
            </w:r>
          </w:p>
        </w:tc>
        <w:tc>
          <w:tcPr>
            <w:tcW w:w="7717" w:type="dxa"/>
            <w:tcBorders>
              <w:top w:val="single" w:sz="2" w:space="0" w:color="000000"/>
              <w:bottom w:val="single" w:sz="2" w:space="0" w:color="000000"/>
            </w:tcBorders>
          </w:tcPr>
          <w:p>
            <w:pPr>
              <w:pStyle w:val="TableParagraph"/>
              <w:spacing w:before="1"/>
              <w:rPr>
                <w:b/>
                <w:sz w:val="24"/>
              </w:rPr>
            </w:pPr>
          </w:p>
          <w:p>
            <w:pPr>
              <w:pStyle w:val="TableParagraph"/>
              <w:numPr>
                <w:ilvl w:val="0"/>
                <w:numId w:val="123"/>
              </w:numPr>
              <w:tabs>
                <w:tab w:pos="469" w:val="left" w:leader="none"/>
                <w:tab w:pos="470" w:val="left" w:leader="none"/>
              </w:tabs>
              <w:spacing w:line="237" w:lineRule="auto" w:before="0" w:after="0"/>
              <w:ind w:left="469" w:right="166" w:hanging="360"/>
              <w:jc w:val="left"/>
              <w:rPr>
                <w:sz w:val="24"/>
              </w:rPr>
            </w:pPr>
            <w:r>
              <w:rPr>
                <w:sz w:val="24"/>
              </w:rPr>
              <w:t>Traitement des Plaintes et des différends liés aux procédures engagées</w:t>
            </w:r>
            <w:r>
              <w:rPr>
                <w:spacing w:val="-13"/>
                <w:sz w:val="24"/>
              </w:rPr>
              <w:t> </w:t>
            </w:r>
            <w:r>
              <w:rPr>
                <w:sz w:val="24"/>
              </w:rPr>
              <w:t>en matière de marchés du</w:t>
            </w:r>
            <w:r>
              <w:rPr>
                <w:spacing w:val="-1"/>
                <w:sz w:val="24"/>
              </w:rPr>
              <w:t> </w:t>
            </w:r>
            <w:r>
              <w:rPr>
                <w:sz w:val="24"/>
              </w:rPr>
              <w:t>GCT</w:t>
            </w:r>
          </w:p>
        </w:tc>
      </w:tr>
      <w:tr>
        <w:trPr>
          <w:trHeight w:val="551" w:hRule="atLeast"/>
        </w:trPr>
        <w:tc>
          <w:tcPr>
            <w:tcW w:w="2139" w:type="dxa"/>
            <w:tcBorders>
              <w:top w:val="single" w:sz="2" w:space="0" w:color="000000"/>
              <w:bottom w:val="single" w:sz="2" w:space="0" w:color="000000"/>
            </w:tcBorders>
          </w:tcPr>
          <w:p>
            <w:pPr>
              <w:pStyle w:val="TableParagraph"/>
              <w:spacing w:line="273" w:lineRule="exact"/>
              <w:ind w:left="107"/>
              <w:rPr>
                <w:b/>
                <w:sz w:val="24"/>
              </w:rPr>
            </w:pPr>
            <w:r>
              <w:rPr>
                <w:b/>
                <w:sz w:val="24"/>
              </w:rPr>
              <w:t>Quorum (présence</w:t>
            </w:r>
          </w:p>
          <w:p>
            <w:pPr>
              <w:pStyle w:val="TableParagraph"/>
              <w:spacing w:line="259" w:lineRule="exact"/>
              <w:ind w:left="107"/>
              <w:rPr>
                <w:b/>
                <w:sz w:val="24"/>
              </w:rPr>
            </w:pPr>
            <w:r>
              <w:rPr>
                <w:b/>
                <w:sz w:val="24"/>
              </w:rPr>
              <w:t>/signature)</w:t>
            </w:r>
          </w:p>
        </w:tc>
        <w:tc>
          <w:tcPr>
            <w:tcW w:w="7717" w:type="dxa"/>
            <w:tcBorders>
              <w:top w:val="single" w:sz="2" w:space="0" w:color="000000"/>
              <w:bottom w:val="single" w:sz="2" w:space="0" w:color="000000"/>
            </w:tcBorders>
          </w:tcPr>
          <w:p>
            <w:pPr>
              <w:pStyle w:val="TableParagraph"/>
              <w:spacing w:before="131"/>
              <w:ind w:left="109"/>
              <w:rPr>
                <w:sz w:val="24"/>
              </w:rPr>
            </w:pPr>
            <w:r>
              <w:rPr>
                <w:sz w:val="24"/>
              </w:rPr>
              <w:t>Ne peut se réunir qu'en présence de tous ses membres</w:t>
            </w:r>
          </w:p>
        </w:tc>
      </w:tr>
      <w:tr>
        <w:trPr>
          <w:trHeight w:val="731" w:hRule="atLeast"/>
        </w:trPr>
        <w:tc>
          <w:tcPr>
            <w:tcW w:w="2139" w:type="dxa"/>
            <w:tcBorders>
              <w:top w:val="single" w:sz="2" w:space="0" w:color="000000"/>
            </w:tcBorders>
          </w:tcPr>
          <w:p>
            <w:pPr>
              <w:pStyle w:val="TableParagraph"/>
              <w:spacing w:before="225"/>
              <w:ind w:left="107"/>
              <w:rPr>
                <w:b/>
                <w:sz w:val="24"/>
              </w:rPr>
            </w:pPr>
            <w:r>
              <w:rPr>
                <w:b/>
                <w:sz w:val="24"/>
              </w:rPr>
              <w:t>Secrétariat</w:t>
            </w:r>
          </w:p>
        </w:tc>
        <w:tc>
          <w:tcPr>
            <w:tcW w:w="7717" w:type="dxa"/>
            <w:tcBorders>
              <w:top w:val="single" w:sz="2" w:space="0" w:color="000000"/>
            </w:tcBorders>
          </w:tcPr>
          <w:p>
            <w:pPr>
              <w:pStyle w:val="TableParagraph"/>
              <w:spacing w:before="220"/>
              <w:ind w:left="109"/>
              <w:rPr>
                <w:sz w:val="24"/>
              </w:rPr>
            </w:pPr>
            <w:r>
              <w:rPr>
                <w:sz w:val="24"/>
              </w:rPr>
              <w:t>Cellule de la Bonne Gouvernance du GCT</w:t>
            </w:r>
          </w:p>
        </w:tc>
      </w:tr>
    </w:tbl>
    <w:p>
      <w:pPr>
        <w:spacing w:after="0"/>
        <w:rPr>
          <w:sz w:val="24"/>
        </w:rPr>
        <w:sectPr>
          <w:pgSz w:w="11910" w:h="16840"/>
          <w:pgMar w:header="722" w:footer="0" w:top="1860" w:bottom="280" w:left="700" w:right="380"/>
        </w:sectPr>
      </w:pPr>
    </w:p>
    <w:p>
      <w:pPr>
        <w:pStyle w:val="BodyText"/>
        <w:spacing w:before="8"/>
        <w:ind w:left="0" w:firstLine="0"/>
        <w:jc w:val="left"/>
        <w:rPr>
          <w:b/>
          <w:sz w:val="16"/>
        </w:rPr>
      </w:pPr>
    </w:p>
    <w:p>
      <w:pPr>
        <w:pStyle w:val="Heading2"/>
        <w:spacing w:line="276" w:lineRule="auto" w:after="3"/>
        <w:ind w:left="2410" w:right="760" w:hanging="1961"/>
        <w:jc w:val="left"/>
      </w:pPr>
      <w:bookmarkStart w:name="_TOC_250009" w:id="134"/>
      <w:bookmarkEnd w:id="134"/>
      <w:r>
        <w:rPr/>
        <w:t>Annexe n°13 : Entités d’ouverture, d’évaluation et de contrôle pour chaque seuil de compétence (Achat hors matières premières)</w:t>
      </w: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245"/>
        <w:gridCol w:w="1844"/>
        <w:gridCol w:w="1844"/>
        <w:gridCol w:w="1844"/>
        <w:gridCol w:w="2120"/>
      </w:tblGrid>
      <w:tr>
        <w:trPr>
          <w:trHeight w:val="375" w:hRule="atLeast"/>
        </w:trPr>
        <w:tc>
          <w:tcPr>
            <w:tcW w:w="2245" w:type="dxa"/>
          </w:tcPr>
          <w:p>
            <w:pPr>
              <w:pStyle w:val="TableParagraph"/>
              <w:rPr>
                <w:sz w:val="22"/>
              </w:rPr>
            </w:pPr>
          </w:p>
        </w:tc>
        <w:tc>
          <w:tcPr>
            <w:tcW w:w="5532" w:type="dxa"/>
            <w:gridSpan w:val="3"/>
          </w:tcPr>
          <w:p>
            <w:pPr>
              <w:pStyle w:val="TableParagraph"/>
              <w:spacing w:before="60"/>
              <w:ind w:left="1781"/>
              <w:rPr>
                <w:b/>
                <w:sz w:val="22"/>
              </w:rPr>
            </w:pPr>
            <w:r>
              <w:rPr>
                <w:b/>
                <w:sz w:val="22"/>
              </w:rPr>
              <w:t>Achats hors marchés</w:t>
            </w:r>
          </w:p>
        </w:tc>
        <w:tc>
          <w:tcPr>
            <w:tcW w:w="2120" w:type="dxa"/>
          </w:tcPr>
          <w:p>
            <w:pPr>
              <w:pStyle w:val="TableParagraph"/>
              <w:spacing w:before="60"/>
              <w:ind w:left="147" w:right="108"/>
              <w:jc w:val="center"/>
              <w:rPr>
                <w:b/>
                <w:sz w:val="22"/>
              </w:rPr>
            </w:pPr>
            <w:r>
              <w:rPr>
                <w:b/>
                <w:sz w:val="22"/>
              </w:rPr>
              <w:t>Marchés</w:t>
            </w:r>
          </w:p>
        </w:tc>
      </w:tr>
      <w:tr>
        <w:trPr>
          <w:trHeight w:val="315" w:hRule="atLeast"/>
        </w:trPr>
        <w:tc>
          <w:tcPr>
            <w:tcW w:w="2245" w:type="dxa"/>
            <w:tcBorders>
              <w:bottom w:val="single" w:sz="12" w:space="0" w:color="000000"/>
            </w:tcBorders>
          </w:tcPr>
          <w:p>
            <w:pPr>
              <w:pStyle w:val="TableParagraph"/>
              <w:spacing w:before="31"/>
              <w:ind w:left="107"/>
              <w:rPr>
                <w:b/>
                <w:sz w:val="22"/>
              </w:rPr>
            </w:pPr>
            <w:r>
              <w:rPr>
                <w:b/>
                <w:sz w:val="22"/>
              </w:rPr>
              <w:t>Seuil de compétence</w:t>
            </w:r>
          </w:p>
        </w:tc>
        <w:tc>
          <w:tcPr>
            <w:tcW w:w="1844" w:type="dxa"/>
            <w:tcBorders>
              <w:bottom w:val="single" w:sz="12" w:space="0" w:color="000000"/>
            </w:tcBorders>
          </w:tcPr>
          <w:p>
            <w:pPr>
              <w:pStyle w:val="TableParagraph"/>
              <w:spacing w:before="31"/>
              <w:ind w:left="124" w:right="83"/>
              <w:jc w:val="center"/>
              <w:rPr>
                <w:b/>
                <w:sz w:val="22"/>
              </w:rPr>
            </w:pPr>
            <w:r>
              <w:rPr>
                <w:b/>
                <w:sz w:val="22"/>
              </w:rPr>
              <w:t>DAR</w:t>
            </w:r>
          </w:p>
        </w:tc>
        <w:tc>
          <w:tcPr>
            <w:tcW w:w="1844" w:type="dxa"/>
            <w:tcBorders>
              <w:bottom w:val="single" w:sz="12" w:space="0" w:color="000000"/>
            </w:tcBorders>
          </w:tcPr>
          <w:p>
            <w:pPr>
              <w:pStyle w:val="TableParagraph"/>
              <w:spacing w:before="31"/>
              <w:ind w:left="118" w:right="83"/>
              <w:jc w:val="center"/>
              <w:rPr>
                <w:b/>
                <w:sz w:val="22"/>
              </w:rPr>
            </w:pPr>
            <w:r>
              <w:rPr>
                <w:b/>
                <w:sz w:val="22"/>
              </w:rPr>
              <w:t>CRA</w:t>
            </w:r>
          </w:p>
        </w:tc>
        <w:tc>
          <w:tcPr>
            <w:tcW w:w="1844" w:type="dxa"/>
            <w:tcBorders>
              <w:bottom w:val="single" w:sz="12" w:space="0" w:color="000000"/>
            </w:tcBorders>
          </w:tcPr>
          <w:p>
            <w:pPr>
              <w:pStyle w:val="TableParagraph"/>
              <w:spacing w:before="31"/>
              <w:ind w:left="120" w:right="83"/>
              <w:jc w:val="center"/>
              <w:rPr>
                <w:b/>
                <w:sz w:val="22"/>
              </w:rPr>
            </w:pPr>
            <w:r>
              <w:rPr>
                <w:b/>
                <w:sz w:val="22"/>
              </w:rPr>
              <w:t>CAE</w:t>
            </w:r>
          </w:p>
        </w:tc>
        <w:tc>
          <w:tcPr>
            <w:tcW w:w="2120" w:type="dxa"/>
            <w:tcBorders>
              <w:bottom w:val="single" w:sz="12" w:space="0" w:color="000000"/>
            </w:tcBorders>
          </w:tcPr>
          <w:p>
            <w:pPr>
              <w:pStyle w:val="TableParagraph"/>
              <w:spacing w:before="31"/>
              <w:ind w:left="145" w:right="108"/>
              <w:jc w:val="center"/>
              <w:rPr>
                <w:b/>
                <w:sz w:val="22"/>
              </w:rPr>
            </w:pPr>
            <w:r>
              <w:rPr>
                <w:b/>
                <w:sz w:val="22"/>
              </w:rPr>
              <w:t>CME</w:t>
            </w:r>
          </w:p>
        </w:tc>
      </w:tr>
      <w:tr>
        <w:trPr>
          <w:trHeight w:val="2276" w:hRule="atLeast"/>
        </w:trPr>
        <w:tc>
          <w:tcPr>
            <w:tcW w:w="2245" w:type="dxa"/>
            <w:tcBorders>
              <w:top w:val="single" w:sz="12" w:space="0" w:color="000000"/>
            </w:tcBorders>
          </w:tcPr>
          <w:p>
            <w:pPr>
              <w:pStyle w:val="TableParagraph"/>
              <w:rPr>
                <w:b/>
                <w:sz w:val="24"/>
              </w:rPr>
            </w:pPr>
          </w:p>
          <w:p>
            <w:pPr>
              <w:pStyle w:val="TableParagraph"/>
              <w:rPr>
                <w:b/>
                <w:sz w:val="24"/>
              </w:rPr>
            </w:pPr>
          </w:p>
          <w:p>
            <w:pPr>
              <w:pStyle w:val="TableParagraph"/>
              <w:rPr>
                <w:b/>
                <w:sz w:val="24"/>
              </w:rPr>
            </w:pPr>
          </w:p>
          <w:p>
            <w:pPr>
              <w:pStyle w:val="TableParagraph"/>
              <w:spacing w:before="183"/>
              <w:ind w:left="107"/>
              <w:rPr>
                <w:b/>
                <w:sz w:val="22"/>
              </w:rPr>
            </w:pPr>
            <w:r>
              <w:rPr>
                <w:b/>
                <w:sz w:val="22"/>
              </w:rPr>
              <w:t>Ouverture des offres</w:t>
            </w:r>
          </w:p>
        </w:tc>
        <w:tc>
          <w:tcPr>
            <w:tcW w:w="1844" w:type="dxa"/>
            <w:tcBorders>
              <w:top w:val="single" w:sz="12" w:space="0" w:color="000000"/>
            </w:tcBorders>
          </w:tcPr>
          <w:p>
            <w:pPr>
              <w:pStyle w:val="TableParagraph"/>
              <w:spacing w:line="242" w:lineRule="auto"/>
              <w:ind w:left="541" w:right="413" w:hanging="68"/>
              <w:rPr>
                <w:sz w:val="22"/>
              </w:rPr>
            </w:pPr>
            <w:r>
              <w:rPr>
                <w:sz w:val="22"/>
              </w:rPr>
              <w:t>Structures d’achat :</w:t>
            </w:r>
          </w:p>
          <w:p>
            <w:pPr>
              <w:pStyle w:val="TableParagraph"/>
              <w:ind w:left="322" w:right="275" w:firstLine="43"/>
              <w:jc w:val="both"/>
              <w:rPr>
                <w:sz w:val="22"/>
              </w:rPr>
            </w:pPr>
            <w:r>
              <w:rPr>
                <w:sz w:val="22"/>
              </w:rPr>
              <w:t>S App Tunis D App Gabes D App Gafsa D App Sfax</w:t>
            </w:r>
          </w:p>
        </w:tc>
        <w:tc>
          <w:tcPr>
            <w:tcW w:w="1844" w:type="dxa"/>
            <w:tcBorders>
              <w:top w:val="single" w:sz="12" w:space="0" w:color="000000"/>
            </w:tcBorders>
          </w:tcPr>
          <w:p>
            <w:pPr>
              <w:pStyle w:val="TableParagraph"/>
              <w:ind w:left="124" w:right="83"/>
              <w:jc w:val="center"/>
              <w:rPr>
                <w:sz w:val="22"/>
              </w:rPr>
            </w:pPr>
            <w:r>
              <w:rPr>
                <w:sz w:val="22"/>
              </w:rPr>
              <w:t>Commissions Régionales d’Ouverture des Offres des</w:t>
            </w:r>
            <w:r>
              <w:rPr>
                <w:spacing w:val="1"/>
                <w:sz w:val="22"/>
              </w:rPr>
              <w:t> </w:t>
            </w:r>
            <w:r>
              <w:rPr>
                <w:spacing w:val="-3"/>
                <w:sz w:val="22"/>
              </w:rPr>
              <w:t>achats</w:t>
            </w:r>
          </w:p>
          <w:p>
            <w:pPr>
              <w:pStyle w:val="TableParagraph"/>
              <w:spacing w:line="252" w:lineRule="exact"/>
              <w:ind w:left="39"/>
              <w:jc w:val="center"/>
              <w:rPr>
                <w:sz w:val="22"/>
              </w:rPr>
            </w:pPr>
            <w:r>
              <w:rPr>
                <w:w w:val="100"/>
                <w:sz w:val="22"/>
              </w:rPr>
              <w:t>:</w:t>
            </w:r>
          </w:p>
          <w:p>
            <w:pPr>
              <w:pStyle w:val="TableParagraph"/>
              <w:ind w:left="125" w:right="83"/>
              <w:jc w:val="center"/>
              <w:rPr>
                <w:sz w:val="22"/>
              </w:rPr>
            </w:pPr>
            <w:r>
              <w:rPr>
                <w:sz w:val="22"/>
              </w:rPr>
              <w:t>(CROOA </w:t>
            </w:r>
            <w:r>
              <w:rPr>
                <w:spacing w:val="-4"/>
                <w:sz w:val="22"/>
              </w:rPr>
              <w:t>Tunis </w:t>
            </w:r>
            <w:r>
              <w:rPr>
                <w:sz w:val="22"/>
              </w:rPr>
              <w:t>CROOA</w:t>
            </w:r>
            <w:r>
              <w:rPr>
                <w:spacing w:val="-5"/>
                <w:sz w:val="22"/>
              </w:rPr>
              <w:t> </w:t>
            </w:r>
            <w:r>
              <w:rPr>
                <w:sz w:val="22"/>
              </w:rPr>
              <w:t>Gabes</w:t>
            </w:r>
          </w:p>
          <w:p>
            <w:pPr>
              <w:pStyle w:val="TableParagraph"/>
              <w:spacing w:line="252" w:lineRule="exact"/>
              <w:ind w:left="125" w:right="83"/>
              <w:jc w:val="center"/>
              <w:rPr>
                <w:sz w:val="22"/>
              </w:rPr>
            </w:pPr>
            <w:r>
              <w:rPr>
                <w:sz w:val="22"/>
              </w:rPr>
              <w:t>CROOA Gafsa CROOA Sfax</w:t>
            </w:r>
          </w:p>
        </w:tc>
        <w:tc>
          <w:tcPr>
            <w:tcW w:w="1844" w:type="dxa"/>
            <w:tcBorders>
              <w:top w:val="single" w:sz="12" w:space="0" w:color="000000"/>
            </w:tcBorders>
          </w:tcPr>
          <w:p>
            <w:pPr>
              <w:pStyle w:val="TableParagraph"/>
              <w:ind w:left="122" w:right="83"/>
              <w:jc w:val="center"/>
              <w:rPr>
                <w:sz w:val="22"/>
              </w:rPr>
            </w:pPr>
            <w:r>
              <w:rPr>
                <w:sz w:val="22"/>
              </w:rPr>
              <w:t>Commissions Régionales d’Ouverture des Offres des</w:t>
            </w:r>
            <w:r>
              <w:rPr>
                <w:spacing w:val="1"/>
                <w:sz w:val="22"/>
              </w:rPr>
              <w:t> </w:t>
            </w:r>
            <w:r>
              <w:rPr>
                <w:spacing w:val="-3"/>
                <w:sz w:val="22"/>
              </w:rPr>
              <w:t>achats</w:t>
            </w:r>
          </w:p>
          <w:p>
            <w:pPr>
              <w:pStyle w:val="TableParagraph"/>
              <w:spacing w:line="252" w:lineRule="exact"/>
              <w:ind w:left="39"/>
              <w:jc w:val="center"/>
              <w:rPr>
                <w:sz w:val="22"/>
              </w:rPr>
            </w:pPr>
            <w:r>
              <w:rPr>
                <w:w w:val="100"/>
                <w:sz w:val="22"/>
              </w:rPr>
              <w:t>:</w:t>
            </w:r>
          </w:p>
          <w:p>
            <w:pPr>
              <w:pStyle w:val="TableParagraph"/>
              <w:ind w:left="124" w:right="83"/>
              <w:jc w:val="center"/>
              <w:rPr>
                <w:sz w:val="22"/>
              </w:rPr>
            </w:pPr>
            <w:r>
              <w:rPr>
                <w:sz w:val="22"/>
              </w:rPr>
              <w:t>(CROOA </w:t>
            </w:r>
            <w:r>
              <w:rPr>
                <w:spacing w:val="-4"/>
                <w:sz w:val="22"/>
              </w:rPr>
              <w:t>Tunis </w:t>
            </w:r>
            <w:r>
              <w:rPr>
                <w:sz w:val="22"/>
              </w:rPr>
              <w:t>CROOA</w:t>
            </w:r>
            <w:r>
              <w:rPr>
                <w:spacing w:val="-3"/>
                <w:sz w:val="22"/>
              </w:rPr>
              <w:t> </w:t>
            </w:r>
            <w:r>
              <w:rPr>
                <w:sz w:val="22"/>
              </w:rPr>
              <w:t>Gabes</w:t>
            </w:r>
          </w:p>
          <w:p>
            <w:pPr>
              <w:pStyle w:val="TableParagraph"/>
              <w:spacing w:line="252" w:lineRule="exact"/>
              <w:ind w:left="124" w:right="83"/>
              <w:jc w:val="center"/>
              <w:rPr>
                <w:sz w:val="22"/>
              </w:rPr>
            </w:pPr>
            <w:r>
              <w:rPr>
                <w:sz w:val="22"/>
              </w:rPr>
              <w:t>CROOA </w:t>
            </w:r>
            <w:r>
              <w:rPr>
                <w:spacing w:val="-4"/>
                <w:sz w:val="22"/>
              </w:rPr>
              <w:t>Gafsa </w:t>
            </w:r>
            <w:r>
              <w:rPr>
                <w:sz w:val="22"/>
              </w:rPr>
              <w:t>CROOA</w:t>
            </w:r>
            <w:r>
              <w:rPr>
                <w:spacing w:val="-1"/>
                <w:sz w:val="22"/>
              </w:rPr>
              <w:t> </w:t>
            </w:r>
            <w:r>
              <w:rPr>
                <w:sz w:val="22"/>
              </w:rPr>
              <w:t>Sfax)</w:t>
            </w:r>
          </w:p>
        </w:tc>
        <w:tc>
          <w:tcPr>
            <w:tcW w:w="2120" w:type="dxa"/>
            <w:tcBorders>
              <w:top w:val="single" w:sz="12" w:space="0" w:color="000000"/>
            </w:tcBorders>
          </w:tcPr>
          <w:p>
            <w:pPr>
              <w:pStyle w:val="TableParagraph"/>
              <w:ind w:left="144" w:right="108"/>
              <w:jc w:val="center"/>
              <w:rPr>
                <w:sz w:val="22"/>
              </w:rPr>
            </w:pPr>
            <w:r>
              <w:rPr>
                <w:sz w:val="22"/>
              </w:rPr>
              <w:t>Commissions Régionales d’Ouverture</w:t>
            </w:r>
            <w:r>
              <w:rPr>
                <w:spacing w:val="1"/>
                <w:sz w:val="22"/>
              </w:rPr>
              <w:t> </w:t>
            </w:r>
            <w:r>
              <w:rPr>
                <w:spacing w:val="-6"/>
                <w:sz w:val="22"/>
              </w:rPr>
              <w:t>des</w:t>
            </w:r>
          </w:p>
          <w:p>
            <w:pPr>
              <w:pStyle w:val="TableParagraph"/>
              <w:ind w:left="148" w:right="108"/>
              <w:jc w:val="center"/>
              <w:rPr>
                <w:sz w:val="22"/>
              </w:rPr>
            </w:pPr>
            <w:r>
              <w:rPr>
                <w:sz w:val="22"/>
              </w:rPr>
              <w:t>Offres des marchés </w:t>
            </w:r>
            <w:r>
              <w:rPr>
                <w:spacing w:val="-13"/>
                <w:sz w:val="22"/>
              </w:rPr>
              <w:t>: </w:t>
            </w:r>
            <w:r>
              <w:rPr>
                <w:sz w:val="22"/>
              </w:rPr>
              <w:t>(CROOM Tunis CROOM Gabes CROOM Gafsa CROOM Sfax)</w:t>
            </w:r>
          </w:p>
        </w:tc>
      </w:tr>
      <w:tr>
        <w:trPr>
          <w:trHeight w:val="758" w:hRule="atLeast"/>
        </w:trPr>
        <w:tc>
          <w:tcPr>
            <w:tcW w:w="2245" w:type="dxa"/>
          </w:tcPr>
          <w:p>
            <w:pPr>
              <w:pStyle w:val="TableParagraph"/>
              <w:spacing w:before="10"/>
              <w:rPr>
                <w:b/>
                <w:sz w:val="21"/>
              </w:rPr>
            </w:pPr>
          </w:p>
          <w:p>
            <w:pPr>
              <w:pStyle w:val="TableParagraph"/>
              <w:ind w:left="107"/>
              <w:rPr>
                <w:b/>
                <w:sz w:val="22"/>
              </w:rPr>
            </w:pPr>
            <w:r>
              <w:rPr>
                <w:b/>
                <w:sz w:val="22"/>
              </w:rPr>
              <w:t>Evaluation des offres</w:t>
            </w:r>
          </w:p>
        </w:tc>
        <w:tc>
          <w:tcPr>
            <w:tcW w:w="1844" w:type="dxa"/>
          </w:tcPr>
          <w:p>
            <w:pPr>
              <w:pStyle w:val="TableParagraph"/>
              <w:ind w:left="377" w:right="314" w:firstLine="14"/>
              <w:rPr>
                <w:sz w:val="22"/>
              </w:rPr>
            </w:pPr>
            <w:r>
              <w:rPr>
                <w:sz w:val="22"/>
              </w:rPr>
              <w:t>La structure demandeuse</w:t>
            </w:r>
          </w:p>
        </w:tc>
        <w:tc>
          <w:tcPr>
            <w:tcW w:w="1844" w:type="dxa"/>
          </w:tcPr>
          <w:p>
            <w:pPr>
              <w:pStyle w:val="TableParagraph"/>
              <w:ind w:left="375" w:right="316" w:firstLine="14"/>
              <w:rPr>
                <w:sz w:val="22"/>
              </w:rPr>
            </w:pPr>
            <w:r>
              <w:rPr>
                <w:sz w:val="22"/>
              </w:rPr>
              <w:t>La structure demandeuse</w:t>
            </w:r>
          </w:p>
        </w:tc>
        <w:tc>
          <w:tcPr>
            <w:tcW w:w="1844" w:type="dxa"/>
          </w:tcPr>
          <w:p>
            <w:pPr>
              <w:pStyle w:val="TableParagraph"/>
              <w:spacing w:line="248" w:lineRule="exact"/>
              <w:ind w:left="118" w:right="83"/>
              <w:jc w:val="center"/>
              <w:rPr>
                <w:sz w:val="22"/>
              </w:rPr>
            </w:pPr>
            <w:r>
              <w:rPr>
                <w:sz w:val="22"/>
              </w:rPr>
              <w:t>Commission</w:t>
            </w:r>
          </w:p>
          <w:p>
            <w:pPr>
              <w:pStyle w:val="TableParagraph"/>
              <w:spacing w:line="252" w:lineRule="exact" w:before="3"/>
              <w:ind w:left="121" w:right="83"/>
              <w:jc w:val="center"/>
              <w:rPr>
                <w:sz w:val="22"/>
              </w:rPr>
            </w:pPr>
            <w:r>
              <w:rPr>
                <w:sz w:val="22"/>
              </w:rPr>
              <w:t>d’évaluation ad hoc</w:t>
            </w:r>
          </w:p>
        </w:tc>
        <w:tc>
          <w:tcPr>
            <w:tcW w:w="2120" w:type="dxa"/>
          </w:tcPr>
          <w:p>
            <w:pPr>
              <w:pStyle w:val="TableParagraph"/>
              <w:ind w:left="189" w:right="131" w:firstLine="309"/>
              <w:rPr>
                <w:sz w:val="22"/>
              </w:rPr>
            </w:pPr>
            <w:r>
              <w:rPr>
                <w:sz w:val="22"/>
              </w:rPr>
              <w:t>Commission d’évaluation ad hoc</w:t>
            </w:r>
          </w:p>
        </w:tc>
      </w:tr>
      <w:tr>
        <w:trPr>
          <w:trHeight w:val="1769" w:hRule="atLeast"/>
        </w:trPr>
        <w:tc>
          <w:tcPr>
            <w:tcW w:w="2245" w:type="dxa"/>
          </w:tcPr>
          <w:p>
            <w:pPr>
              <w:pStyle w:val="TableParagraph"/>
              <w:rPr>
                <w:b/>
                <w:sz w:val="24"/>
              </w:rPr>
            </w:pPr>
          </w:p>
          <w:p>
            <w:pPr>
              <w:pStyle w:val="TableParagraph"/>
              <w:spacing w:before="10"/>
              <w:rPr>
                <w:b/>
                <w:sz w:val="30"/>
              </w:rPr>
            </w:pPr>
          </w:p>
          <w:p>
            <w:pPr>
              <w:pStyle w:val="TableParagraph"/>
              <w:tabs>
                <w:tab w:pos="1831" w:val="left" w:leader="none"/>
              </w:tabs>
              <w:ind w:left="107" w:right="62"/>
              <w:rPr>
                <w:b/>
                <w:sz w:val="22"/>
              </w:rPr>
            </w:pPr>
            <w:r>
              <w:rPr>
                <w:b/>
                <w:sz w:val="22"/>
              </w:rPr>
              <w:t>Attribution</w:t>
              <w:tab/>
            </w:r>
            <w:r>
              <w:rPr>
                <w:b/>
                <w:spacing w:val="-7"/>
                <w:sz w:val="22"/>
              </w:rPr>
              <w:t>des </w:t>
            </w:r>
            <w:r>
              <w:rPr>
                <w:b/>
                <w:sz w:val="22"/>
              </w:rPr>
              <w:t>achats</w:t>
            </w:r>
          </w:p>
        </w:tc>
        <w:tc>
          <w:tcPr>
            <w:tcW w:w="1844" w:type="dxa"/>
          </w:tcPr>
          <w:p>
            <w:pPr>
              <w:pStyle w:val="TableParagraph"/>
              <w:ind w:left="130" w:right="83"/>
              <w:jc w:val="center"/>
              <w:rPr>
                <w:sz w:val="22"/>
              </w:rPr>
            </w:pPr>
            <w:r>
              <w:rPr>
                <w:sz w:val="22"/>
              </w:rPr>
              <w:t>Directions Achats des Régions (DAR) :</w:t>
            </w:r>
          </w:p>
          <w:p>
            <w:pPr>
              <w:pStyle w:val="TableParagraph"/>
              <w:ind w:left="322" w:right="275" w:firstLine="2"/>
              <w:jc w:val="center"/>
              <w:rPr>
                <w:sz w:val="22"/>
              </w:rPr>
            </w:pPr>
            <w:r>
              <w:rPr>
                <w:sz w:val="22"/>
              </w:rPr>
              <w:t>DMG Tunis D App</w:t>
            </w:r>
            <w:r>
              <w:rPr>
                <w:spacing w:val="4"/>
                <w:sz w:val="22"/>
              </w:rPr>
              <w:t> </w:t>
            </w:r>
            <w:r>
              <w:rPr>
                <w:spacing w:val="-4"/>
                <w:sz w:val="22"/>
              </w:rPr>
              <w:t>Gabes</w:t>
            </w:r>
          </w:p>
          <w:p>
            <w:pPr>
              <w:pStyle w:val="TableParagraph"/>
              <w:spacing w:line="252" w:lineRule="exact"/>
              <w:ind w:left="341" w:right="292"/>
              <w:jc w:val="center"/>
              <w:rPr>
                <w:sz w:val="22"/>
              </w:rPr>
            </w:pPr>
            <w:r>
              <w:rPr>
                <w:sz w:val="22"/>
              </w:rPr>
              <w:t>D App </w:t>
            </w:r>
            <w:r>
              <w:rPr>
                <w:spacing w:val="-4"/>
                <w:sz w:val="22"/>
              </w:rPr>
              <w:t>Gafsa </w:t>
            </w:r>
            <w:r>
              <w:rPr>
                <w:sz w:val="22"/>
              </w:rPr>
              <w:t>D App</w:t>
            </w:r>
            <w:r>
              <w:rPr>
                <w:spacing w:val="-1"/>
                <w:sz w:val="22"/>
              </w:rPr>
              <w:t> </w:t>
            </w:r>
            <w:r>
              <w:rPr>
                <w:sz w:val="22"/>
              </w:rPr>
              <w:t>Sfax</w:t>
            </w:r>
          </w:p>
        </w:tc>
        <w:tc>
          <w:tcPr>
            <w:tcW w:w="1844" w:type="dxa"/>
          </w:tcPr>
          <w:p>
            <w:pPr>
              <w:pStyle w:val="TableParagraph"/>
              <w:ind w:left="255" w:right="215" w:firstLine="2"/>
              <w:jc w:val="center"/>
              <w:rPr>
                <w:sz w:val="22"/>
              </w:rPr>
            </w:pPr>
            <w:r>
              <w:rPr>
                <w:sz w:val="22"/>
              </w:rPr>
              <w:t>Commissions Régionales des Achats :</w:t>
            </w:r>
          </w:p>
          <w:p>
            <w:pPr>
              <w:pStyle w:val="TableParagraph"/>
              <w:ind w:left="334" w:right="292"/>
              <w:jc w:val="center"/>
              <w:rPr>
                <w:sz w:val="22"/>
              </w:rPr>
            </w:pPr>
            <w:r>
              <w:rPr>
                <w:sz w:val="22"/>
              </w:rPr>
              <w:t>(CRA </w:t>
            </w:r>
            <w:r>
              <w:rPr>
                <w:spacing w:val="-4"/>
                <w:sz w:val="22"/>
              </w:rPr>
              <w:t>Tunis </w:t>
            </w:r>
            <w:r>
              <w:rPr>
                <w:sz w:val="22"/>
              </w:rPr>
              <w:t>CRA</w:t>
            </w:r>
            <w:r>
              <w:rPr>
                <w:spacing w:val="-2"/>
                <w:sz w:val="22"/>
              </w:rPr>
              <w:t> </w:t>
            </w:r>
            <w:r>
              <w:rPr>
                <w:sz w:val="22"/>
              </w:rPr>
              <w:t>Gabes</w:t>
            </w:r>
          </w:p>
          <w:p>
            <w:pPr>
              <w:pStyle w:val="TableParagraph"/>
              <w:spacing w:line="252" w:lineRule="exact"/>
              <w:ind w:left="333" w:right="292"/>
              <w:jc w:val="center"/>
              <w:rPr>
                <w:sz w:val="22"/>
              </w:rPr>
            </w:pPr>
            <w:r>
              <w:rPr>
                <w:sz w:val="22"/>
              </w:rPr>
              <w:t>CRA </w:t>
            </w:r>
            <w:r>
              <w:rPr>
                <w:spacing w:val="-5"/>
                <w:sz w:val="22"/>
              </w:rPr>
              <w:t>Gafsa </w:t>
            </w:r>
            <w:r>
              <w:rPr>
                <w:sz w:val="22"/>
              </w:rPr>
              <w:t>CRA Sfax)</w:t>
            </w:r>
          </w:p>
        </w:tc>
        <w:tc>
          <w:tcPr>
            <w:tcW w:w="1844" w:type="dxa"/>
          </w:tcPr>
          <w:p>
            <w:pPr>
              <w:pStyle w:val="TableParagraph"/>
              <w:ind w:left="123" w:right="83"/>
              <w:jc w:val="center"/>
              <w:rPr>
                <w:sz w:val="22"/>
              </w:rPr>
            </w:pPr>
            <w:r>
              <w:rPr>
                <w:sz w:val="22"/>
              </w:rPr>
              <w:t>Commission des Achats d'Entreprise (CAE)</w:t>
            </w:r>
          </w:p>
        </w:tc>
        <w:tc>
          <w:tcPr>
            <w:tcW w:w="2120" w:type="dxa"/>
          </w:tcPr>
          <w:p>
            <w:pPr>
              <w:pStyle w:val="TableParagraph"/>
              <w:ind w:left="215" w:right="174" w:hanging="5"/>
              <w:jc w:val="center"/>
              <w:rPr>
                <w:sz w:val="22"/>
              </w:rPr>
            </w:pPr>
            <w:r>
              <w:rPr>
                <w:sz w:val="22"/>
              </w:rPr>
              <w:t>Commission des Marchés de l'Entreprise (CME)</w:t>
            </w:r>
          </w:p>
        </w:tc>
      </w:tr>
    </w:tbl>
    <w:p>
      <w:pPr>
        <w:spacing w:after="0"/>
        <w:jc w:val="center"/>
        <w:rPr>
          <w:sz w:val="22"/>
        </w:rPr>
        <w:sectPr>
          <w:pgSz w:w="11910" w:h="16840"/>
          <w:pgMar w:header="722" w:footer="0" w:top="1860" w:bottom="280" w:left="700" w:right="380"/>
        </w:sectPr>
      </w:pPr>
    </w:p>
    <w:tbl>
      <w:tblPr>
        <w:tblW w:w="0" w:type="auto"/>
        <w:jc w:val="left"/>
        <w:tblInd w:w="22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1"/>
        <w:gridCol w:w="6481"/>
        <w:gridCol w:w="2340"/>
      </w:tblGrid>
      <w:tr>
        <w:trPr>
          <w:trHeight w:val="260" w:hRule="atLeast"/>
        </w:trPr>
        <w:tc>
          <w:tcPr>
            <w:tcW w:w="1441" w:type="dxa"/>
            <w:vMerge w:val="restart"/>
          </w:tcPr>
          <w:p>
            <w:pPr>
              <w:pStyle w:val="TableParagraph"/>
              <w:ind w:left="59" w:right="-15"/>
              <w:rPr>
                <w:sz w:val="20"/>
              </w:rPr>
            </w:pPr>
            <w:r>
              <w:rPr>
                <w:sz w:val="20"/>
              </w:rPr>
              <w:drawing>
                <wp:inline distT="0" distB="0" distL="0" distR="0">
                  <wp:extent cx="840480" cy="672084"/>
                  <wp:effectExtent l="0" t="0" r="0" b="0"/>
                  <wp:docPr id="9" name="image1.jpeg"/>
                  <wp:cNvGraphicFramePr>
                    <a:graphicFrameLocks noChangeAspect="1"/>
                  </wp:cNvGraphicFramePr>
                  <a:graphic>
                    <a:graphicData uri="http://schemas.openxmlformats.org/drawingml/2006/picture">
                      <pic:pic>
                        <pic:nvPicPr>
                          <pic:cNvPr id="10" name="image1.jpeg"/>
                          <pic:cNvPicPr/>
                        </pic:nvPicPr>
                        <pic:blipFill>
                          <a:blip r:embed="rId17" cstate="print"/>
                          <a:stretch>
                            <a:fillRect/>
                          </a:stretch>
                        </pic:blipFill>
                        <pic:spPr>
                          <a:xfrm>
                            <a:off x="0" y="0"/>
                            <a:ext cx="840480" cy="672084"/>
                          </a:xfrm>
                          <a:prstGeom prst="rect">
                            <a:avLst/>
                          </a:prstGeom>
                        </pic:spPr>
                      </pic:pic>
                    </a:graphicData>
                  </a:graphic>
                </wp:inline>
              </w:drawing>
            </w:r>
            <w:r>
              <w:rPr>
                <w:sz w:val="20"/>
              </w:rPr>
            </w:r>
          </w:p>
        </w:tc>
        <w:tc>
          <w:tcPr>
            <w:tcW w:w="6481" w:type="dxa"/>
            <w:vMerge w:val="restart"/>
          </w:tcPr>
          <w:p>
            <w:pPr>
              <w:pStyle w:val="TableParagraph"/>
              <w:spacing w:before="4"/>
              <w:rPr>
                <w:b/>
                <w:sz w:val="26"/>
              </w:rPr>
            </w:pPr>
          </w:p>
          <w:p>
            <w:pPr>
              <w:pStyle w:val="TableParagraph"/>
              <w:ind w:left="653" w:right="625"/>
              <w:jc w:val="center"/>
              <w:rPr>
                <w:b/>
                <w:sz w:val="22"/>
              </w:rPr>
            </w:pPr>
            <w:r>
              <w:rPr>
                <w:b/>
                <w:sz w:val="22"/>
              </w:rPr>
              <w:t>MANUEL DES PROCEDURES</w:t>
            </w:r>
          </w:p>
          <w:p>
            <w:pPr>
              <w:pStyle w:val="TableParagraph"/>
              <w:spacing w:before="1"/>
              <w:ind w:left="653" w:right="627"/>
              <w:jc w:val="center"/>
              <w:rPr>
                <w:b/>
                <w:sz w:val="22"/>
              </w:rPr>
            </w:pPr>
            <w:r>
              <w:rPr>
                <w:b/>
                <w:sz w:val="22"/>
              </w:rPr>
              <w:t>DES ACHATS DU GROUPE CHIMIQUE TUNISIEN</w:t>
            </w:r>
          </w:p>
        </w:tc>
        <w:tc>
          <w:tcPr>
            <w:tcW w:w="2340" w:type="dxa"/>
            <w:tcBorders>
              <w:bottom w:val="single" w:sz="6" w:space="0" w:color="000000"/>
            </w:tcBorders>
          </w:tcPr>
          <w:p>
            <w:pPr>
              <w:pStyle w:val="TableParagraph"/>
              <w:spacing w:line="241" w:lineRule="exact"/>
              <w:ind w:left="30"/>
              <w:rPr>
                <w:rFonts w:ascii="Calibri" w:hAnsi="Calibri"/>
                <w:b/>
                <w:sz w:val="22"/>
              </w:rPr>
            </w:pPr>
            <w:r>
              <w:rPr>
                <w:rFonts w:ascii="Calibri" w:hAnsi="Calibri"/>
                <w:b/>
                <w:sz w:val="22"/>
              </w:rPr>
              <w:t>Réf. :MPRC_001</w:t>
            </w:r>
          </w:p>
        </w:tc>
      </w:tr>
      <w:tr>
        <w:trPr>
          <w:trHeight w:val="253" w:hRule="atLeast"/>
        </w:trPr>
        <w:tc>
          <w:tcPr>
            <w:tcW w:w="1441"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6" w:space="0" w:color="000000"/>
              <w:bottom w:val="single" w:sz="4" w:space="0" w:color="000000"/>
            </w:tcBorders>
          </w:tcPr>
          <w:p>
            <w:pPr>
              <w:pStyle w:val="TableParagraph"/>
              <w:spacing w:line="233" w:lineRule="exact"/>
              <w:ind w:left="30"/>
              <w:rPr>
                <w:rFonts w:ascii="Calibri"/>
                <w:b/>
                <w:sz w:val="22"/>
              </w:rPr>
            </w:pPr>
            <w:r>
              <w:rPr>
                <w:rFonts w:ascii="Calibri"/>
                <w:b/>
                <w:sz w:val="22"/>
              </w:rPr>
              <w:t>Version : 1.1</w:t>
            </w:r>
          </w:p>
        </w:tc>
      </w:tr>
      <w:tr>
        <w:trPr>
          <w:trHeight w:val="253" w:hRule="atLeast"/>
        </w:trPr>
        <w:tc>
          <w:tcPr>
            <w:tcW w:w="1441"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0"/>
              <w:rPr>
                <w:rFonts w:ascii="Calibri"/>
                <w:b/>
                <w:sz w:val="22"/>
              </w:rPr>
            </w:pPr>
            <w:r>
              <w:rPr>
                <w:rFonts w:ascii="Calibri"/>
                <w:b/>
                <w:sz w:val="22"/>
              </w:rPr>
              <w:t>Date: 29/12/2022</w:t>
            </w:r>
          </w:p>
        </w:tc>
      </w:tr>
      <w:tr>
        <w:trPr>
          <w:trHeight w:val="257" w:hRule="atLeast"/>
        </w:trPr>
        <w:tc>
          <w:tcPr>
            <w:tcW w:w="1441"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0"/>
              <w:rPr>
                <w:rFonts w:ascii="Calibri"/>
                <w:b/>
                <w:sz w:val="22"/>
              </w:rPr>
            </w:pPr>
            <w:r>
              <w:rPr>
                <w:rFonts w:ascii="Calibri"/>
                <w:b/>
                <w:sz w:val="22"/>
              </w:rPr>
              <w:t>Page : xv</w:t>
            </w:r>
          </w:p>
        </w:tc>
      </w:tr>
    </w:tbl>
    <w:p>
      <w:pPr>
        <w:pStyle w:val="BodyText"/>
        <w:ind w:left="0" w:firstLine="0"/>
        <w:jc w:val="left"/>
        <w:rPr>
          <w:b/>
          <w:sz w:val="20"/>
        </w:rPr>
      </w:pPr>
    </w:p>
    <w:p>
      <w:pPr>
        <w:pStyle w:val="BodyText"/>
        <w:spacing w:before="3"/>
        <w:ind w:left="0" w:firstLine="0"/>
        <w:jc w:val="left"/>
        <w:rPr>
          <w:b/>
          <w:sz w:val="16"/>
        </w:rPr>
      </w:pPr>
    </w:p>
    <w:p>
      <w:pPr>
        <w:pStyle w:val="Heading2"/>
        <w:ind w:left="3241" w:right="3521"/>
        <w:jc w:val="center"/>
      </w:pPr>
      <w:bookmarkStart w:name="_TOC_250008" w:id="135"/>
      <w:bookmarkEnd w:id="135"/>
      <w:r>
        <w:rPr/>
        <w:t>Annexe n°14 : Délais de passation des achats hors matières premières</w:t>
      </w:r>
    </w:p>
    <w:p>
      <w:pPr>
        <w:pStyle w:val="BodyText"/>
        <w:spacing w:before="9"/>
        <w:ind w:left="0" w:firstLine="0"/>
        <w:jc w:val="left"/>
        <w:rPr>
          <w:b/>
          <w:sz w:val="14"/>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3008"/>
        <w:gridCol w:w="3370"/>
        <w:gridCol w:w="1656"/>
        <w:gridCol w:w="1654"/>
        <w:gridCol w:w="1656"/>
        <w:gridCol w:w="1653"/>
      </w:tblGrid>
      <w:tr>
        <w:trPr>
          <w:trHeight w:val="696" w:hRule="atLeast"/>
        </w:trPr>
        <w:tc>
          <w:tcPr>
            <w:tcW w:w="1839" w:type="dxa"/>
          </w:tcPr>
          <w:p>
            <w:pPr>
              <w:pStyle w:val="TableParagraph"/>
              <w:spacing w:before="1"/>
              <w:rPr>
                <w:b/>
                <w:sz w:val="19"/>
              </w:rPr>
            </w:pPr>
          </w:p>
          <w:p>
            <w:pPr>
              <w:pStyle w:val="TableParagraph"/>
              <w:ind w:left="110"/>
              <w:rPr>
                <w:b/>
                <w:sz w:val="22"/>
              </w:rPr>
            </w:pPr>
            <w:r>
              <w:rPr>
                <w:b/>
                <w:sz w:val="22"/>
              </w:rPr>
              <w:t>Délai</w:t>
            </w:r>
          </w:p>
        </w:tc>
        <w:tc>
          <w:tcPr>
            <w:tcW w:w="3008" w:type="dxa"/>
          </w:tcPr>
          <w:p>
            <w:pPr>
              <w:pStyle w:val="TableParagraph"/>
              <w:spacing w:before="1"/>
              <w:rPr>
                <w:b/>
                <w:sz w:val="19"/>
              </w:rPr>
            </w:pPr>
          </w:p>
          <w:p>
            <w:pPr>
              <w:pStyle w:val="TableParagraph"/>
              <w:ind w:left="107"/>
              <w:rPr>
                <w:b/>
                <w:sz w:val="22"/>
              </w:rPr>
            </w:pPr>
            <w:r>
              <w:rPr>
                <w:b/>
                <w:sz w:val="22"/>
              </w:rPr>
              <w:t>Date début</w:t>
            </w:r>
          </w:p>
        </w:tc>
        <w:tc>
          <w:tcPr>
            <w:tcW w:w="3370" w:type="dxa"/>
          </w:tcPr>
          <w:p>
            <w:pPr>
              <w:pStyle w:val="TableParagraph"/>
              <w:spacing w:before="1"/>
              <w:rPr>
                <w:b/>
                <w:sz w:val="19"/>
              </w:rPr>
            </w:pPr>
          </w:p>
          <w:p>
            <w:pPr>
              <w:pStyle w:val="TableParagraph"/>
              <w:ind w:left="109"/>
              <w:rPr>
                <w:b/>
                <w:sz w:val="22"/>
              </w:rPr>
            </w:pPr>
            <w:r>
              <w:rPr>
                <w:b/>
                <w:sz w:val="22"/>
              </w:rPr>
              <w:t>Date fin</w:t>
            </w:r>
          </w:p>
        </w:tc>
        <w:tc>
          <w:tcPr>
            <w:tcW w:w="1656" w:type="dxa"/>
          </w:tcPr>
          <w:p>
            <w:pPr>
              <w:pStyle w:val="TableParagraph"/>
              <w:spacing w:before="162"/>
              <w:ind w:left="319" w:right="311"/>
              <w:jc w:val="center"/>
              <w:rPr>
                <w:b/>
                <w:sz w:val="32"/>
              </w:rPr>
            </w:pPr>
            <w:r>
              <w:rPr>
                <w:b/>
                <w:sz w:val="32"/>
              </w:rPr>
              <w:t>DAR</w:t>
            </w:r>
          </w:p>
        </w:tc>
        <w:tc>
          <w:tcPr>
            <w:tcW w:w="1654" w:type="dxa"/>
          </w:tcPr>
          <w:p>
            <w:pPr>
              <w:pStyle w:val="TableParagraph"/>
              <w:spacing w:before="162"/>
              <w:ind w:left="458" w:right="451"/>
              <w:jc w:val="center"/>
              <w:rPr>
                <w:b/>
                <w:sz w:val="32"/>
              </w:rPr>
            </w:pPr>
            <w:r>
              <w:rPr>
                <w:b/>
                <w:sz w:val="32"/>
              </w:rPr>
              <w:t>CRA</w:t>
            </w:r>
          </w:p>
        </w:tc>
        <w:tc>
          <w:tcPr>
            <w:tcW w:w="1656" w:type="dxa"/>
          </w:tcPr>
          <w:p>
            <w:pPr>
              <w:pStyle w:val="TableParagraph"/>
              <w:spacing w:before="162"/>
              <w:ind w:left="321" w:right="311"/>
              <w:jc w:val="center"/>
              <w:rPr>
                <w:b/>
                <w:sz w:val="32"/>
              </w:rPr>
            </w:pPr>
            <w:r>
              <w:rPr>
                <w:b/>
                <w:sz w:val="32"/>
              </w:rPr>
              <w:t>CAE</w:t>
            </w:r>
          </w:p>
        </w:tc>
        <w:tc>
          <w:tcPr>
            <w:tcW w:w="1653" w:type="dxa"/>
          </w:tcPr>
          <w:p>
            <w:pPr>
              <w:pStyle w:val="TableParagraph"/>
              <w:spacing w:before="162"/>
              <w:ind w:left="432" w:right="423"/>
              <w:jc w:val="center"/>
              <w:rPr>
                <w:b/>
                <w:sz w:val="32"/>
              </w:rPr>
            </w:pPr>
            <w:r>
              <w:rPr>
                <w:b/>
                <w:sz w:val="32"/>
              </w:rPr>
              <w:t>CME</w:t>
            </w:r>
          </w:p>
        </w:tc>
      </w:tr>
      <w:tr>
        <w:trPr>
          <w:trHeight w:val="1137" w:hRule="atLeast"/>
        </w:trPr>
        <w:tc>
          <w:tcPr>
            <w:tcW w:w="1839" w:type="dxa"/>
          </w:tcPr>
          <w:p>
            <w:pPr>
              <w:pStyle w:val="TableParagraph"/>
              <w:spacing w:before="4"/>
              <w:rPr>
                <w:b/>
                <w:sz w:val="27"/>
              </w:rPr>
            </w:pPr>
          </w:p>
          <w:p>
            <w:pPr>
              <w:pStyle w:val="TableParagraph"/>
              <w:ind w:left="110" w:right="177"/>
              <w:rPr>
                <w:b/>
                <w:sz w:val="22"/>
              </w:rPr>
            </w:pPr>
            <w:r>
              <w:rPr>
                <w:b/>
                <w:sz w:val="22"/>
              </w:rPr>
              <w:t>Délai de mise en concurrence</w:t>
            </w:r>
          </w:p>
        </w:tc>
        <w:tc>
          <w:tcPr>
            <w:tcW w:w="3008" w:type="dxa"/>
          </w:tcPr>
          <w:p>
            <w:pPr>
              <w:pStyle w:val="TableParagraph"/>
              <w:spacing w:before="11"/>
              <w:rPr>
                <w:b/>
                <w:sz w:val="26"/>
              </w:rPr>
            </w:pPr>
          </w:p>
          <w:p>
            <w:pPr>
              <w:pStyle w:val="TableParagraph"/>
              <w:ind w:left="107" w:right="186"/>
              <w:rPr>
                <w:sz w:val="22"/>
              </w:rPr>
            </w:pPr>
            <w:r>
              <w:rPr>
                <w:sz w:val="22"/>
              </w:rPr>
              <w:t>Date de lancement de l'appel à la concurrence</w:t>
            </w:r>
          </w:p>
        </w:tc>
        <w:tc>
          <w:tcPr>
            <w:tcW w:w="3370" w:type="dxa"/>
          </w:tcPr>
          <w:p>
            <w:pPr>
              <w:pStyle w:val="TableParagraph"/>
              <w:rPr>
                <w:b/>
                <w:sz w:val="24"/>
              </w:rPr>
            </w:pPr>
          </w:p>
          <w:p>
            <w:pPr>
              <w:pStyle w:val="TableParagraph"/>
              <w:spacing w:before="159"/>
              <w:ind w:left="109"/>
              <w:rPr>
                <w:sz w:val="22"/>
              </w:rPr>
            </w:pPr>
            <w:r>
              <w:rPr>
                <w:sz w:val="22"/>
              </w:rPr>
              <w:t>Date limite de réception des offres</w:t>
            </w:r>
          </w:p>
        </w:tc>
        <w:tc>
          <w:tcPr>
            <w:tcW w:w="1656" w:type="dxa"/>
          </w:tcPr>
          <w:p>
            <w:pPr>
              <w:pStyle w:val="TableParagraph"/>
              <w:numPr>
                <w:ilvl w:val="0"/>
                <w:numId w:val="124"/>
              </w:numPr>
              <w:tabs>
                <w:tab w:pos="213" w:val="left" w:leader="none"/>
              </w:tabs>
              <w:spacing w:line="287" w:lineRule="exact" w:before="0" w:after="0"/>
              <w:ind w:left="213" w:right="0" w:hanging="142"/>
              <w:jc w:val="left"/>
              <w:rPr>
                <w:sz w:val="24"/>
              </w:rPr>
            </w:pPr>
            <w:r>
              <w:rPr>
                <w:sz w:val="24"/>
              </w:rPr>
              <w:t>≥ 07j</w:t>
            </w:r>
          </w:p>
          <w:p>
            <w:pPr>
              <w:pStyle w:val="TableParagraph"/>
              <w:numPr>
                <w:ilvl w:val="0"/>
                <w:numId w:val="124"/>
              </w:numPr>
              <w:tabs>
                <w:tab w:pos="213" w:val="left" w:leader="none"/>
              </w:tabs>
              <w:spacing w:line="237" w:lineRule="auto" w:before="2" w:after="0"/>
              <w:ind w:left="212" w:right="674" w:hanging="142"/>
              <w:jc w:val="right"/>
              <w:rPr>
                <w:sz w:val="24"/>
              </w:rPr>
            </w:pPr>
            <w:r>
              <w:rPr>
                <w:sz w:val="24"/>
              </w:rPr>
              <w:t>≥</w:t>
            </w:r>
            <w:r>
              <w:rPr>
                <w:spacing w:val="-1"/>
                <w:sz w:val="24"/>
              </w:rPr>
              <w:t> </w:t>
            </w:r>
            <w:r>
              <w:rPr>
                <w:sz w:val="24"/>
              </w:rPr>
              <w:t>01j si</w:t>
            </w:r>
            <w:r>
              <w:rPr>
                <w:w w:val="99"/>
                <w:sz w:val="24"/>
              </w:rPr>
              <w:t> </w:t>
            </w:r>
            <w:r>
              <w:rPr>
                <w:spacing w:val="-1"/>
                <w:sz w:val="24"/>
              </w:rPr>
              <w:t>urgence</w:t>
            </w:r>
          </w:p>
          <w:p>
            <w:pPr>
              <w:pStyle w:val="TableParagraph"/>
              <w:spacing w:line="264" w:lineRule="exact"/>
              <w:ind w:right="657"/>
              <w:jc w:val="right"/>
              <w:rPr>
                <w:sz w:val="24"/>
              </w:rPr>
            </w:pPr>
            <w:r>
              <w:rPr>
                <w:spacing w:val="-1"/>
                <w:sz w:val="24"/>
              </w:rPr>
              <w:t>justifiée</w:t>
            </w:r>
          </w:p>
        </w:tc>
        <w:tc>
          <w:tcPr>
            <w:tcW w:w="1654" w:type="dxa"/>
          </w:tcPr>
          <w:p>
            <w:pPr>
              <w:pStyle w:val="TableParagraph"/>
              <w:numPr>
                <w:ilvl w:val="0"/>
                <w:numId w:val="125"/>
              </w:numPr>
              <w:tabs>
                <w:tab w:pos="212" w:val="left" w:leader="none"/>
              </w:tabs>
              <w:spacing w:line="287" w:lineRule="exact" w:before="0" w:after="0"/>
              <w:ind w:left="211" w:right="0" w:hanging="143"/>
              <w:jc w:val="left"/>
              <w:rPr>
                <w:sz w:val="24"/>
              </w:rPr>
            </w:pPr>
            <w:r>
              <w:rPr>
                <w:sz w:val="24"/>
              </w:rPr>
              <w:t>≥ 07j</w:t>
            </w:r>
          </w:p>
          <w:p>
            <w:pPr>
              <w:pStyle w:val="TableParagraph"/>
              <w:numPr>
                <w:ilvl w:val="0"/>
                <w:numId w:val="125"/>
              </w:numPr>
              <w:tabs>
                <w:tab w:pos="212" w:val="left" w:leader="none"/>
              </w:tabs>
              <w:spacing w:line="237" w:lineRule="auto" w:before="2" w:after="0"/>
              <w:ind w:left="211" w:right="673" w:hanging="142"/>
              <w:jc w:val="right"/>
              <w:rPr>
                <w:sz w:val="24"/>
              </w:rPr>
            </w:pPr>
            <w:r>
              <w:rPr>
                <w:sz w:val="24"/>
              </w:rPr>
              <w:t>≥</w:t>
            </w:r>
            <w:r>
              <w:rPr>
                <w:spacing w:val="-1"/>
                <w:sz w:val="24"/>
              </w:rPr>
              <w:t> </w:t>
            </w:r>
            <w:r>
              <w:rPr>
                <w:sz w:val="24"/>
              </w:rPr>
              <w:t>01j si</w:t>
            </w:r>
            <w:r>
              <w:rPr>
                <w:w w:val="99"/>
                <w:sz w:val="24"/>
              </w:rPr>
              <w:t> </w:t>
            </w:r>
            <w:r>
              <w:rPr>
                <w:spacing w:val="-1"/>
                <w:sz w:val="24"/>
              </w:rPr>
              <w:t>urgence</w:t>
            </w:r>
          </w:p>
          <w:p>
            <w:pPr>
              <w:pStyle w:val="TableParagraph"/>
              <w:spacing w:line="264" w:lineRule="exact"/>
              <w:ind w:right="657"/>
              <w:jc w:val="right"/>
              <w:rPr>
                <w:sz w:val="24"/>
              </w:rPr>
            </w:pPr>
            <w:r>
              <w:rPr>
                <w:spacing w:val="-1"/>
                <w:sz w:val="24"/>
              </w:rPr>
              <w:t>justifiée</w:t>
            </w:r>
          </w:p>
        </w:tc>
        <w:tc>
          <w:tcPr>
            <w:tcW w:w="1656" w:type="dxa"/>
          </w:tcPr>
          <w:p>
            <w:pPr>
              <w:pStyle w:val="TableParagraph"/>
              <w:numPr>
                <w:ilvl w:val="0"/>
                <w:numId w:val="126"/>
              </w:numPr>
              <w:tabs>
                <w:tab w:pos="214" w:val="left" w:leader="none"/>
              </w:tabs>
              <w:spacing w:line="287" w:lineRule="exact" w:before="0" w:after="0"/>
              <w:ind w:left="213" w:right="0" w:hanging="143"/>
              <w:jc w:val="left"/>
              <w:rPr>
                <w:sz w:val="24"/>
              </w:rPr>
            </w:pPr>
            <w:r>
              <w:rPr>
                <w:sz w:val="24"/>
              </w:rPr>
              <w:t>≥ 10j</w:t>
            </w:r>
          </w:p>
          <w:p>
            <w:pPr>
              <w:pStyle w:val="TableParagraph"/>
              <w:numPr>
                <w:ilvl w:val="0"/>
                <w:numId w:val="126"/>
              </w:numPr>
              <w:tabs>
                <w:tab w:pos="214" w:val="left" w:leader="none"/>
              </w:tabs>
              <w:spacing w:line="237" w:lineRule="auto" w:before="2" w:after="0"/>
              <w:ind w:left="213" w:right="673" w:hanging="142"/>
              <w:jc w:val="right"/>
              <w:rPr>
                <w:sz w:val="24"/>
              </w:rPr>
            </w:pPr>
            <w:r>
              <w:rPr>
                <w:sz w:val="24"/>
              </w:rPr>
              <w:t>≥</w:t>
            </w:r>
            <w:r>
              <w:rPr>
                <w:spacing w:val="-1"/>
                <w:sz w:val="24"/>
              </w:rPr>
              <w:t> </w:t>
            </w:r>
            <w:r>
              <w:rPr>
                <w:sz w:val="24"/>
              </w:rPr>
              <w:t>03j si</w:t>
            </w:r>
            <w:r>
              <w:rPr>
                <w:w w:val="99"/>
                <w:sz w:val="24"/>
              </w:rPr>
              <w:t> </w:t>
            </w:r>
            <w:r>
              <w:rPr>
                <w:spacing w:val="-1"/>
                <w:sz w:val="24"/>
              </w:rPr>
              <w:t>urgence</w:t>
            </w:r>
          </w:p>
          <w:p>
            <w:pPr>
              <w:pStyle w:val="TableParagraph"/>
              <w:spacing w:line="264" w:lineRule="exact"/>
              <w:ind w:right="657"/>
              <w:jc w:val="right"/>
              <w:rPr>
                <w:sz w:val="24"/>
              </w:rPr>
            </w:pPr>
            <w:r>
              <w:rPr>
                <w:spacing w:val="-1"/>
                <w:sz w:val="24"/>
              </w:rPr>
              <w:t>justifiée</w:t>
            </w:r>
          </w:p>
        </w:tc>
        <w:tc>
          <w:tcPr>
            <w:tcW w:w="1653" w:type="dxa"/>
          </w:tcPr>
          <w:p>
            <w:pPr>
              <w:pStyle w:val="TableParagraph"/>
              <w:numPr>
                <w:ilvl w:val="0"/>
                <w:numId w:val="127"/>
              </w:numPr>
              <w:tabs>
                <w:tab w:pos="212" w:val="left" w:leader="none"/>
              </w:tabs>
              <w:spacing w:line="287" w:lineRule="exact" w:before="0" w:after="0"/>
              <w:ind w:left="211" w:right="0" w:hanging="143"/>
              <w:jc w:val="left"/>
              <w:rPr>
                <w:sz w:val="24"/>
              </w:rPr>
            </w:pPr>
            <w:r>
              <w:rPr>
                <w:sz w:val="24"/>
              </w:rPr>
              <w:t>≥ 30j</w:t>
            </w:r>
          </w:p>
          <w:p>
            <w:pPr>
              <w:pStyle w:val="TableParagraph"/>
              <w:numPr>
                <w:ilvl w:val="0"/>
                <w:numId w:val="127"/>
              </w:numPr>
              <w:tabs>
                <w:tab w:pos="212" w:val="left" w:leader="none"/>
              </w:tabs>
              <w:spacing w:line="237" w:lineRule="auto" w:before="2" w:after="0"/>
              <w:ind w:left="211" w:right="672" w:hanging="142"/>
              <w:jc w:val="right"/>
              <w:rPr>
                <w:sz w:val="24"/>
              </w:rPr>
            </w:pPr>
            <w:r>
              <w:rPr>
                <w:sz w:val="24"/>
              </w:rPr>
              <w:t>≥</w:t>
            </w:r>
            <w:r>
              <w:rPr>
                <w:spacing w:val="-1"/>
                <w:sz w:val="24"/>
              </w:rPr>
              <w:t> </w:t>
            </w:r>
            <w:r>
              <w:rPr>
                <w:sz w:val="24"/>
              </w:rPr>
              <w:t>15j si</w:t>
            </w:r>
            <w:r>
              <w:rPr>
                <w:w w:val="99"/>
                <w:sz w:val="24"/>
              </w:rPr>
              <w:t> </w:t>
            </w:r>
            <w:r>
              <w:rPr>
                <w:spacing w:val="-1"/>
                <w:sz w:val="24"/>
              </w:rPr>
              <w:t>urgence</w:t>
            </w:r>
          </w:p>
          <w:p>
            <w:pPr>
              <w:pStyle w:val="TableParagraph"/>
              <w:spacing w:line="264" w:lineRule="exact"/>
              <w:ind w:right="656"/>
              <w:jc w:val="right"/>
              <w:rPr>
                <w:sz w:val="24"/>
              </w:rPr>
            </w:pPr>
            <w:r>
              <w:rPr>
                <w:spacing w:val="-1"/>
                <w:sz w:val="24"/>
              </w:rPr>
              <w:t>justifiée</w:t>
            </w:r>
          </w:p>
        </w:tc>
      </w:tr>
      <w:tr>
        <w:trPr>
          <w:trHeight w:val="1012" w:hRule="atLeast"/>
        </w:trPr>
        <w:tc>
          <w:tcPr>
            <w:tcW w:w="1839" w:type="dxa"/>
          </w:tcPr>
          <w:p>
            <w:pPr>
              <w:pStyle w:val="TableParagraph"/>
              <w:spacing w:before="11"/>
              <w:rPr>
                <w:b/>
                <w:sz w:val="21"/>
              </w:rPr>
            </w:pPr>
          </w:p>
          <w:p>
            <w:pPr>
              <w:pStyle w:val="TableParagraph"/>
              <w:ind w:left="110" w:right="586"/>
              <w:rPr>
                <w:b/>
                <w:sz w:val="22"/>
              </w:rPr>
            </w:pPr>
            <w:r>
              <w:rPr>
                <w:b/>
                <w:sz w:val="22"/>
              </w:rPr>
              <w:t>Délai d'ouverture</w:t>
            </w:r>
          </w:p>
        </w:tc>
        <w:tc>
          <w:tcPr>
            <w:tcW w:w="3008" w:type="dxa"/>
          </w:tcPr>
          <w:p>
            <w:pPr>
              <w:pStyle w:val="TableParagraph"/>
              <w:spacing w:before="6"/>
              <w:rPr>
                <w:b/>
                <w:sz w:val="21"/>
              </w:rPr>
            </w:pPr>
          </w:p>
          <w:p>
            <w:pPr>
              <w:pStyle w:val="TableParagraph"/>
              <w:ind w:left="107" w:right="403"/>
              <w:rPr>
                <w:sz w:val="22"/>
              </w:rPr>
            </w:pPr>
            <w:r>
              <w:rPr>
                <w:sz w:val="22"/>
              </w:rPr>
              <w:t>Date limite de réception des offres</w:t>
            </w:r>
          </w:p>
        </w:tc>
        <w:tc>
          <w:tcPr>
            <w:tcW w:w="3370" w:type="dxa"/>
          </w:tcPr>
          <w:p>
            <w:pPr>
              <w:pStyle w:val="TableParagraph"/>
              <w:ind w:left="109" w:right="163"/>
              <w:rPr>
                <w:sz w:val="22"/>
              </w:rPr>
            </w:pPr>
            <w:r>
              <w:rPr>
                <w:sz w:val="22"/>
              </w:rPr>
              <w:t>Date de publication du PV d'ouverture/date de la séance d’ouverture (Cas de non utilisation</w:t>
            </w:r>
          </w:p>
          <w:p>
            <w:pPr>
              <w:pStyle w:val="TableParagraph"/>
              <w:spacing w:line="238" w:lineRule="exact"/>
              <w:ind w:left="109"/>
              <w:rPr>
                <w:sz w:val="22"/>
              </w:rPr>
            </w:pPr>
            <w:r>
              <w:rPr>
                <w:sz w:val="22"/>
              </w:rPr>
              <w:t>de TUNEPS)</w:t>
            </w:r>
          </w:p>
        </w:tc>
        <w:tc>
          <w:tcPr>
            <w:tcW w:w="1656" w:type="dxa"/>
          </w:tcPr>
          <w:p>
            <w:pPr>
              <w:pStyle w:val="TableParagraph"/>
              <w:spacing w:before="4"/>
              <w:rPr>
                <w:b/>
                <w:sz w:val="32"/>
              </w:rPr>
            </w:pPr>
          </w:p>
          <w:p>
            <w:pPr>
              <w:pStyle w:val="TableParagraph"/>
              <w:spacing w:before="1"/>
              <w:ind w:left="323" w:right="311"/>
              <w:jc w:val="center"/>
              <w:rPr>
                <w:sz w:val="22"/>
              </w:rPr>
            </w:pPr>
            <w:r>
              <w:rPr>
                <w:sz w:val="22"/>
              </w:rPr>
              <w:t>Même jour</w:t>
            </w:r>
          </w:p>
        </w:tc>
        <w:tc>
          <w:tcPr>
            <w:tcW w:w="1654" w:type="dxa"/>
          </w:tcPr>
          <w:p>
            <w:pPr>
              <w:pStyle w:val="TableParagraph"/>
              <w:spacing w:before="4"/>
              <w:rPr>
                <w:b/>
                <w:sz w:val="32"/>
              </w:rPr>
            </w:pPr>
          </w:p>
          <w:p>
            <w:pPr>
              <w:pStyle w:val="TableParagraph"/>
              <w:spacing w:before="1"/>
              <w:ind w:left="458" w:right="448"/>
              <w:jc w:val="center"/>
              <w:rPr>
                <w:sz w:val="22"/>
              </w:rPr>
            </w:pPr>
            <w:r>
              <w:rPr>
                <w:sz w:val="22"/>
              </w:rPr>
              <w:t>≤ 03j</w:t>
            </w:r>
          </w:p>
        </w:tc>
        <w:tc>
          <w:tcPr>
            <w:tcW w:w="1656" w:type="dxa"/>
          </w:tcPr>
          <w:p>
            <w:pPr>
              <w:pStyle w:val="TableParagraph"/>
              <w:spacing w:before="4"/>
              <w:rPr>
                <w:b/>
                <w:sz w:val="32"/>
              </w:rPr>
            </w:pPr>
          </w:p>
          <w:p>
            <w:pPr>
              <w:pStyle w:val="TableParagraph"/>
              <w:spacing w:before="1"/>
              <w:ind w:left="323" w:right="311"/>
              <w:jc w:val="center"/>
              <w:rPr>
                <w:sz w:val="22"/>
              </w:rPr>
            </w:pPr>
            <w:r>
              <w:rPr>
                <w:sz w:val="22"/>
              </w:rPr>
              <w:t>≤ 03j</w:t>
            </w:r>
          </w:p>
        </w:tc>
        <w:tc>
          <w:tcPr>
            <w:tcW w:w="1653" w:type="dxa"/>
          </w:tcPr>
          <w:p>
            <w:pPr>
              <w:pStyle w:val="TableParagraph"/>
              <w:spacing w:before="4"/>
              <w:rPr>
                <w:b/>
                <w:sz w:val="32"/>
              </w:rPr>
            </w:pPr>
          </w:p>
          <w:p>
            <w:pPr>
              <w:pStyle w:val="TableParagraph"/>
              <w:spacing w:before="1"/>
              <w:ind w:left="432" w:right="421"/>
              <w:jc w:val="center"/>
              <w:rPr>
                <w:sz w:val="22"/>
              </w:rPr>
            </w:pPr>
            <w:r>
              <w:rPr>
                <w:sz w:val="22"/>
              </w:rPr>
              <w:t>≤ 03j</w:t>
            </w:r>
          </w:p>
        </w:tc>
      </w:tr>
      <w:tr>
        <w:trPr>
          <w:trHeight w:val="1134" w:hRule="atLeast"/>
        </w:trPr>
        <w:tc>
          <w:tcPr>
            <w:tcW w:w="1839" w:type="dxa"/>
          </w:tcPr>
          <w:p>
            <w:pPr>
              <w:pStyle w:val="TableParagraph"/>
              <w:spacing w:before="185"/>
              <w:ind w:left="110" w:right="177"/>
              <w:rPr>
                <w:b/>
                <w:sz w:val="22"/>
              </w:rPr>
            </w:pPr>
            <w:r>
              <w:rPr>
                <w:b/>
                <w:sz w:val="22"/>
              </w:rPr>
              <w:t>Délai d'évaluation des offres</w:t>
            </w:r>
          </w:p>
        </w:tc>
        <w:tc>
          <w:tcPr>
            <w:tcW w:w="3008" w:type="dxa"/>
          </w:tcPr>
          <w:p>
            <w:pPr>
              <w:pStyle w:val="TableParagraph"/>
              <w:spacing w:before="56"/>
              <w:ind w:left="107" w:right="333"/>
              <w:rPr>
                <w:sz w:val="22"/>
              </w:rPr>
            </w:pPr>
            <w:r>
              <w:rPr>
                <w:sz w:val="22"/>
              </w:rPr>
              <w:t>Date de publication du PV d'ouverture/date de la séance d’ouverture (Cas de non utilisation de TUNEPS)</w:t>
            </w:r>
          </w:p>
        </w:tc>
        <w:tc>
          <w:tcPr>
            <w:tcW w:w="3370" w:type="dxa"/>
          </w:tcPr>
          <w:p>
            <w:pPr>
              <w:pStyle w:val="TableParagraph"/>
              <w:spacing w:before="56"/>
              <w:ind w:left="109" w:right="163"/>
              <w:rPr>
                <w:sz w:val="22"/>
              </w:rPr>
            </w:pPr>
            <w:r>
              <w:rPr>
                <w:sz w:val="22"/>
              </w:rPr>
              <w:t>Date de notification des résultats d'évaluation à la Commission de contrôle compétente pour examen et avis</w:t>
            </w:r>
          </w:p>
        </w:tc>
        <w:tc>
          <w:tcPr>
            <w:tcW w:w="1656" w:type="dxa"/>
          </w:tcPr>
          <w:p>
            <w:pPr>
              <w:pStyle w:val="TableParagraph"/>
              <w:rPr>
                <w:b/>
                <w:sz w:val="24"/>
              </w:rPr>
            </w:pPr>
          </w:p>
          <w:p>
            <w:pPr>
              <w:pStyle w:val="TableParagraph"/>
              <w:spacing w:before="159"/>
              <w:ind w:left="318" w:right="311"/>
              <w:jc w:val="center"/>
              <w:rPr>
                <w:sz w:val="22"/>
              </w:rPr>
            </w:pPr>
            <w:r>
              <w:rPr>
                <w:sz w:val="22"/>
              </w:rPr>
              <w:t>≤ 07j</w:t>
            </w:r>
          </w:p>
        </w:tc>
        <w:tc>
          <w:tcPr>
            <w:tcW w:w="1654" w:type="dxa"/>
          </w:tcPr>
          <w:p>
            <w:pPr>
              <w:pStyle w:val="TableParagraph"/>
              <w:rPr>
                <w:b/>
                <w:sz w:val="24"/>
              </w:rPr>
            </w:pPr>
          </w:p>
          <w:p>
            <w:pPr>
              <w:pStyle w:val="TableParagraph"/>
              <w:spacing w:before="159"/>
              <w:ind w:left="458" w:right="445"/>
              <w:jc w:val="center"/>
              <w:rPr>
                <w:sz w:val="22"/>
              </w:rPr>
            </w:pPr>
            <w:r>
              <w:rPr>
                <w:sz w:val="22"/>
              </w:rPr>
              <w:t>≤ 30j</w:t>
            </w:r>
          </w:p>
        </w:tc>
        <w:tc>
          <w:tcPr>
            <w:tcW w:w="1656" w:type="dxa"/>
          </w:tcPr>
          <w:p>
            <w:pPr>
              <w:pStyle w:val="TableParagraph"/>
              <w:rPr>
                <w:b/>
                <w:sz w:val="24"/>
              </w:rPr>
            </w:pPr>
          </w:p>
          <w:p>
            <w:pPr>
              <w:pStyle w:val="TableParagraph"/>
              <w:spacing w:before="159"/>
              <w:ind w:left="323" w:right="308"/>
              <w:jc w:val="center"/>
              <w:rPr>
                <w:sz w:val="22"/>
              </w:rPr>
            </w:pPr>
            <w:r>
              <w:rPr>
                <w:sz w:val="22"/>
              </w:rPr>
              <w:t>≤ 30j</w:t>
            </w:r>
          </w:p>
        </w:tc>
        <w:tc>
          <w:tcPr>
            <w:tcW w:w="1653" w:type="dxa"/>
          </w:tcPr>
          <w:p>
            <w:pPr>
              <w:pStyle w:val="TableParagraph"/>
              <w:rPr>
                <w:b/>
                <w:sz w:val="24"/>
              </w:rPr>
            </w:pPr>
          </w:p>
          <w:p>
            <w:pPr>
              <w:pStyle w:val="TableParagraph"/>
              <w:spacing w:before="159"/>
              <w:ind w:left="432" w:right="418"/>
              <w:jc w:val="center"/>
              <w:rPr>
                <w:sz w:val="22"/>
              </w:rPr>
            </w:pPr>
            <w:r>
              <w:rPr>
                <w:sz w:val="22"/>
              </w:rPr>
              <w:t>≤ 60j</w:t>
            </w:r>
          </w:p>
        </w:tc>
      </w:tr>
      <w:tr>
        <w:trPr>
          <w:trHeight w:val="1265" w:hRule="atLeast"/>
        </w:trPr>
        <w:tc>
          <w:tcPr>
            <w:tcW w:w="1839" w:type="dxa"/>
          </w:tcPr>
          <w:p>
            <w:pPr>
              <w:pStyle w:val="TableParagraph"/>
              <w:spacing w:before="8"/>
              <w:rPr>
                <w:b/>
                <w:sz w:val="21"/>
              </w:rPr>
            </w:pPr>
          </w:p>
          <w:p>
            <w:pPr>
              <w:pStyle w:val="TableParagraph"/>
              <w:spacing w:before="1"/>
              <w:ind w:left="110" w:right="354"/>
              <w:rPr>
                <w:b/>
                <w:sz w:val="22"/>
              </w:rPr>
            </w:pPr>
            <w:r>
              <w:rPr>
                <w:b/>
                <w:sz w:val="22"/>
              </w:rPr>
              <w:t>Délai d'approbation des achats</w:t>
            </w:r>
          </w:p>
        </w:tc>
        <w:tc>
          <w:tcPr>
            <w:tcW w:w="3008" w:type="dxa"/>
          </w:tcPr>
          <w:p>
            <w:pPr>
              <w:pStyle w:val="TableParagraph"/>
              <w:ind w:left="107" w:right="445"/>
              <w:rPr>
                <w:sz w:val="22"/>
              </w:rPr>
            </w:pPr>
            <w:r>
              <w:rPr>
                <w:sz w:val="22"/>
              </w:rPr>
              <w:t>Date de notification des résultats d'évaluation à la Commission de contrôle compétente pour examen et</w:t>
            </w:r>
          </w:p>
          <w:p>
            <w:pPr>
              <w:pStyle w:val="TableParagraph"/>
              <w:spacing w:line="239" w:lineRule="exact"/>
              <w:ind w:left="107"/>
              <w:rPr>
                <w:sz w:val="22"/>
              </w:rPr>
            </w:pPr>
            <w:r>
              <w:rPr>
                <w:sz w:val="22"/>
              </w:rPr>
              <w:t>avis</w:t>
            </w:r>
          </w:p>
        </w:tc>
        <w:tc>
          <w:tcPr>
            <w:tcW w:w="3370" w:type="dxa"/>
          </w:tcPr>
          <w:p>
            <w:pPr>
              <w:pStyle w:val="TableParagraph"/>
              <w:spacing w:before="4"/>
              <w:rPr>
                <w:b/>
                <w:sz w:val="21"/>
              </w:rPr>
            </w:pPr>
          </w:p>
          <w:p>
            <w:pPr>
              <w:pStyle w:val="TableParagraph"/>
              <w:ind w:left="109" w:right="396"/>
              <w:rPr>
                <w:sz w:val="22"/>
              </w:rPr>
            </w:pPr>
            <w:r>
              <w:rPr>
                <w:sz w:val="22"/>
              </w:rPr>
              <w:t>Date de réception de l’avis de la Commission de contrôle compétente</w:t>
            </w:r>
          </w:p>
        </w:tc>
        <w:tc>
          <w:tcPr>
            <w:tcW w:w="1656" w:type="dxa"/>
          </w:tcPr>
          <w:p>
            <w:pPr>
              <w:pStyle w:val="TableParagraph"/>
              <w:rPr>
                <w:b/>
                <w:sz w:val="24"/>
              </w:rPr>
            </w:pPr>
          </w:p>
          <w:p>
            <w:pPr>
              <w:pStyle w:val="TableParagraph"/>
              <w:spacing w:before="6"/>
              <w:rPr>
                <w:b/>
                <w:sz w:val="19"/>
              </w:rPr>
            </w:pPr>
          </w:p>
          <w:p>
            <w:pPr>
              <w:pStyle w:val="TableParagraph"/>
              <w:ind w:left="318" w:right="311"/>
              <w:jc w:val="center"/>
              <w:rPr>
                <w:sz w:val="22"/>
              </w:rPr>
            </w:pPr>
            <w:r>
              <w:rPr>
                <w:sz w:val="22"/>
              </w:rPr>
              <w:t>≤ 03j</w:t>
            </w:r>
          </w:p>
        </w:tc>
        <w:tc>
          <w:tcPr>
            <w:tcW w:w="1654" w:type="dxa"/>
          </w:tcPr>
          <w:p>
            <w:pPr>
              <w:pStyle w:val="TableParagraph"/>
              <w:rPr>
                <w:b/>
                <w:sz w:val="24"/>
              </w:rPr>
            </w:pPr>
          </w:p>
          <w:p>
            <w:pPr>
              <w:pStyle w:val="TableParagraph"/>
              <w:spacing w:before="6"/>
              <w:rPr>
                <w:b/>
                <w:sz w:val="19"/>
              </w:rPr>
            </w:pPr>
          </w:p>
          <w:p>
            <w:pPr>
              <w:pStyle w:val="TableParagraph"/>
              <w:ind w:left="458" w:right="445"/>
              <w:jc w:val="center"/>
              <w:rPr>
                <w:sz w:val="22"/>
              </w:rPr>
            </w:pPr>
            <w:r>
              <w:rPr>
                <w:sz w:val="22"/>
              </w:rPr>
              <w:t>≤ 10j</w:t>
            </w:r>
          </w:p>
        </w:tc>
        <w:tc>
          <w:tcPr>
            <w:tcW w:w="1656" w:type="dxa"/>
          </w:tcPr>
          <w:p>
            <w:pPr>
              <w:pStyle w:val="TableParagraph"/>
              <w:rPr>
                <w:b/>
                <w:sz w:val="24"/>
              </w:rPr>
            </w:pPr>
          </w:p>
          <w:p>
            <w:pPr>
              <w:pStyle w:val="TableParagraph"/>
              <w:spacing w:before="6"/>
              <w:rPr>
                <w:b/>
                <w:sz w:val="19"/>
              </w:rPr>
            </w:pPr>
          </w:p>
          <w:p>
            <w:pPr>
              <w:pStyle w:val="TableParagraph"/>
              <w:ind w:left="323" w:right="308"/>
              <w:jc w:val="center"/>
              <w:rPr>
                <w:sz w:val="22"/>
              </w:rPr>
            </w:pPr>
            <w:r>
              <w:rPr>
                <w:sz w:val="22"/>
              </w:rPr>
              <w:t>≤ 10j</w:t>
            </w:r>
          </w:p>
        </w:tc>
        <w:tc>
          <w:tcPr>
            <w:tcW w:w="1653" w:type="dxa"/>
          </w:tcPr>
          <w:p>
            <w:pPr>
              <w:pStyle w:val="TableParagraph"/>
              <w:rPr>
                <w:b/>
                <w:sz w:val="24"/>
              </w:rPr>
            </w:pPr>
          </w:p>
          <w:p>
            <w:pPr>
              <w:pStyle w:val="TableParagraph"/>
              <w:spacing w:before="6"/>
              <w:rPr>
                <w:b/>
                <w:sz w:val="19"/>
              </w:rPr>
            </w:pPr>
          </w:p>
          <w:p>
            <w:pPr>
              <w:pStyle w:val="TableParagraph"/>
              <w:ind w:left="432" w:right="366"/>
              <w:jc w:val="center"/>
              <w:rPr>
                <w:sz w:val="22"/>
              </w:rPr>
            </w:pPr>
            <w:r>
              <w:rPr>
                <w:sz w:val="22"/>
              </w:rPr>
              <w:t>≤ 20j</w:t>
            </w:r>
          </w:p>
        </w:tc>
      </w:tr>
      <w:tr>
        <w:trPr>
          <w:trHeight w:val="1264" w:hRule="atLeast"/>
        </w:trPr>
        <w:tc>
          <w:tcPr>
            <w:tcW w:w="1839" w:type="dxa"/>
          </w:tcPr>
          <w:p>
            <w:pPr>
              <w:pStyle w:val="TableParagraph"/>
              <w:ind w:left="110" w:right="103"/>
              <w:rPr>
                <w:b/>
                <w:sz w:val="22"/>
              </w:rPr>
            </w:pPr>
            <w:r>
              <w:rPr>
                <w:b/>
                <w:sz w:val="22"/>
              </w:rPr>
              <w:t>Délai d'émission de l'avis final d'attribution par le conseil</w:t>
            </w:r>
          </w:p>
          <w:p>
            <w:pPr>
              <w:pStyle w:val="TableParagraph"/>
              <w:spacing w:line="233" w:lineRule="exact"/>
              <w:ind w:left="110"/>
              <w:rPr>
                <w:b/>
                <w:sz w:val="22"/>
              </w:rPr>
            </w:pPr>
            <w:r>
              <w:rPr>
                <w:b/>
                <w:sz w:val="22"/>
              </w:rPr>
              <w:t>d'administration</w:t>
            </w:r>
          </w:p>
        </w:tc>
        <w:tc>
          <w:tcPr>
            <w:tcW w:w="3008" w:type="dxa"/>
          </w:tcPr>
          <w:p>
            <w:pPr>
              <w:pStyle w:val="TableParagraph"/>
              <w:spacing w:before="4"/>
              <w:rPr>
                <w:b/>
                <w:sz w:val="21"/>
              </w:rPr>
            </w:pPr>
          </w:p>
          <w:p>
            <w:pPr>
              <w:pStyle w:val="TableParagraph"/>
              <w:ind w:left="107" w:right="299"/>
              <w:rPr>
                <w:sz w:val="22"/>
              </w:rPr>
            </w:pPr>
            <w:r>
              <w:rPr>
                <w:sz w:val="22"/>
              </w:rPr>
              <w:t>Date réception de l’avis de la Commission de contrôle compétente</w:t>
            </w:r>
          </w:p>
        </w:tc>
        <w:tc>
          <w:tcPr>
            <w:tcW w:w="3370" w:type="dxa"/>
          </w:tcPr>
          <w:p>
            <w:pPr>
              <w:pStyle w:val="TableParagraph"/>
              <w:spacing w:before="4"/>
              <w:rPr>
                <w:b/>
                <w:sz w:val="32"/>
              </w:rPr>
            </w:pPr>
          </w:p>
          <w:p>
            <w:pPr>
              <w:pStyle w:val="TableParagraph"/>
              <w:spacing w:before="1"/>
              <w:ind w:left="109" w:right="96"/>
              <w:rPr>
                <w:sz w:val="22"/>
              </w:rPr>
            </w:pPr>
            <w:r>
              <w:rPr>
                <w:sz w:val="22"/>
              </w:rPr>
              <w:t>Date de Publication des résultats de l'appel à la concurrence</w:t>
            </w:r>
          </w:p>
        </w:tc>
        <w:tc>
          <w:tcPr>
            <w:tcW w:w="1656" w:type="dxa"/>
          </w:tcPr>
          <w:p>
            <w:pPr>
              <w:pStyle w:val="TableParagraph"/>
              <w:rPr>
                <w:b/>
                <w:sz w:val="24"/>
              </w:rPr>
            </w:pPr>
          </w:p>
          <w:p>
            <w:pPr>
              <w:pStyle w:val="TableParagraph"/>
              <w:spacing w:before="5"/>
              <w:rPr>
                <w:b/>
                <w:sz w:val="19"/>
              </w:rPr>
            </w:pPr>
          </w:p>
          <w:p>
            <w:pPr>
              <w:pStyle w:val="TableParagraph"/>
              <w:ind w:left="15"/>
              <w:jc w:val="center"/>
              <w:rPr>
                <w:sz w:val="22"/>
              </w:rPr>
            </w:pPr>
            <w:r>
              <w:rPr>
                <w:w w:val="100"/>
                <w:sz w:val="22"/>
              </w:rPr>
              <w:t>-</w:t>
            </w:r>
          </w:p>
        </w:tc>
        <w:tc>
          <w:tcPr>
            <w:tcW w:w="1654" w:type="dxa"/>
          </w:tcPr>
          <w:p>
            <w:pPr>
              <w:pStyle w:val="TableParagraph"/>
              <w:rPr>
                <w:b/>
                <w:sz w:val="24"/>
              </w:rPr>
            </w:pPr>
          </w:p>
          <w:p>
            <w:pPr>
              <w:pStyle w:val="TableParagraph"/>
              <w:spacing w:before="5"/>
              <w:rPr>
                <w:b/>
                <w:sz w:val="19"/>
              </w:rPr>
            </w:pPr>
          </w:p>
          <w:p>
            <w:pPr>
              <w:pStyle w:val="TableParagraph"/>
              <w:ind w:left="8"/>
              <w:jc w:val="center"/>
              <w:rPr>
                <w:sz w:val="22"/>
              </w:rPr>
            </w:pPr>
            <w:r>
              <w:rPr>
                <w:w w:val="100"/>
                <w:sz w:val="22"/>
              </w:rPr>
              <w:t>-</w:t>
            </w:r>
          </w:p>
        </w:tc>
        <w:tc>
          <w:tcPr>
            <w:tcW w:w="1656" w:type="dxa"/>
          </w:tcPr>
          <w:p>
            <w:pPr>
              <w:pStyle w:val="TableParagraph"/>
              <w:rPr>
                <w:b/>
                <w:sz w:val="24"/>
              </w:rPr>
            </w:pPr>
          </w:p>
          <w:p>
            <w:pPr>
              <w:pStyle w:val="TableParagraph"/>
              <w:spacing w:before="5"/>
              <w:rPr>
                <w:b/>
                <w:sz w:val="19"/>
              </w:rPr>
            </w:pPr>
          </w:p>
          <w:p>
            <w:pPr>
              <w:pStyle w:val="TableParagraph"/>
              <w:ind w:left="68"/>
              <w:jc w:val="center"/>
              <w:rPr>
                <w:sz w:val="22"/>
              </w:rPr>
            </w:pPr>
            <w:r>
              <w:rPr>
                <w:w w:val="100"/>
                <w:sz w:val="22"/>
              </w:rPr>
              <w:t>-</w:t>
            </w:r>
          </w:p>
        </w:tc>
        <w:tc>
          <w:tcPr>
            <w:tcW w:w="1653" w:type="dxa"/>
          </w:tcPr>
          <w:p>
            <w:pPr>
              <w:pStyle w:val="TableParagraph"/>
              <w:ind w:left="180" w:right="163" w:hanging="5"/>
              <w:jc w:val="center"/>
              <w:rPr>
                <w:sz w:val="22"/>
              </w:rPr>
            </w:pPr>
            <w:r>
              <w:rPr>
                <w:sz w:val="22"/>
              </w:rPr>
              <w:t>1</w:t>
            </w:r>
            <w:r>
              <w:rPr>
                <w:position w:val="8"/>
                <w:sz w:val="14"/>
              </w:rPr>
              <w:t>er </w:t>
            </w:r>
            <w:r>
              <w:rPr>
                <w:sz w:val="22"/>
              </w:rPr>
              <w:t>Conseil après la réception de la décision de la</w:t>
            </w:r>
          </w:p>
          <w:p>
            <w:pPr>
              <w:pStyle w:val="TableParagraph"/>
              <w:spacing w:line="238" w:lineRule="exact"/>
              <w:ind w:left="432" w:right="422"/>
              <w:jc w:val="center"/>
              <w:rPr>
                <w:sz w:val="22"/>
              </w:rPr>
            </w:pPr>
            <w:r>
              <w:rPr>
                <w:sz w:val="22"/>
              </w:rPr>
              <w:t>CME</w:t>
            </w:r>
          </w:p>
        </w:tc>
      </w:tr>
    </w:tbl>
    <w:p>
      <w:pPr>
        <w:spacing w:before="0"/>
        <w:ind w:left="112" w:right="0" w:firstLine="0"/>
        <w:jc w:val="left"/>
        <w:rPr>
          <w:sz w:val="20"/>
        </w:rPr>
      </w:pPr>
      <w:r>
        <w:rPr>
          <w:sz w:val="20"/>
        </w:rPr>
        <w:t>(j : jours)</w:t>
      </w:r>
    </w:p>
    <w:p>
      <w:pPr>
        <w:spacing w:after="0"/>
        <w:jc w:val="left"/>
        <w:rPr>
          <w:sz w:val="20"/>
        </w:rPr>
        <w:sectPr>
          <w:headerReference w:type="default" r:id="rId16"/>
          <w:pgSz w:w="16840" w:h="11910" w:orient="landscape"/>
          <w:pgMar w:header="0" w:footer="0" w:top="700" w:bottom="280" w:left="1020" w:right="740"/>
        </w:sectPr>
      </w:pPr>
    </w:p>
    <w:p>
      <w:pPr>
        <w:pStyle w:val="BodyText"/>
        <w:ind w:left="0" w:firstLine="0"/>
        <w:jc w:val="left"/>
        <w:rPr>
          <w:sz w:val="20"/>
        </w:rPr>
      </w:pPr>
    </w:p>
    <w:p>
      <w:pPr>
        <w:pStyle w:val="BodyText"/>
        <w:spacing w:before="6"/>
        <w:ind w:left="0" w:firstLine="0"/>
        <w:jc w:val="left"/>
        <w:rPr>
          <w:sz w:val="17"/>
        </w:rPr>
      </w:pPr>
    </w:p>
    <w:p>
      <w:pPr>
        <w:pStyle w:val="Heading2"/>
        <w:ind w:left="2091"/>
        <w:jc w:val="left"/>
      </w:pPr>
      <w:bookmarkStart w:name="_TOC_250007" w:id="136"/>
      <w:bookmarkEnd w:id="136"/>
      <w:r>
        <w:rPr/>
        <w:t>Annexe n°15 : Contenu du PV d’ouverture des offres</w:t>
      </w:r>
    </w:p>
    <w:p>
      <w:pPr>
        <w:pStyle w:val="ListParagraph"/>
        <w:numPr>
          <w:ilvl w:val="1"/>
          <w:numId w:val="91"/>
        </w:numPr>
        <w:tabs>
          <w:tab w:pos="1000" w:val="left" w:leader="none"/>
        </w:tabs>
        <w:spacing w:line="240" w:lineRule="auto" w:before="42" w:after="0"/>
        <w:ind w:left="999" w:right="462" w:hanging="284"/>
        <w:jc w:val="left"/>
        <w:rPr>
          <w:sz w:val="28"/>
        </w:rPr>
      </w:pPr>
      <w:r>
        <w:rPr>
          <w:sz w:val="28"/>
        </w:rPr>
        <w:t>Les numéros d’ordre attribués aux plis, leur date d’arrivée et les noms des participants.</w:t>
      </w:r>
    </w:p>
    <w:p>
      <w:pPr>
        <w:pStyle w:val="ListParagraph"/>
        <w:numPr>
          <w:ilvl w:val="1"/>
          <w:numId w:val="91"/>
        </w:numPr>
        <w:tabs>
          <w:tab w:pos="1000" w:val="left" w:leader="none"/>
        </w:tabs>
        <w:spacing w:line="343" w:lineRule="exact" w:before="0" w:after="0"/>
        <w:ind w:left="999" w:right="0" w:hanging="284"/>
        <w:jc w:val="left"/>
        <w:rPr>
          <w:sz w:val="28"/>
        </w:rPr>
      </w:pPr>
      <w:r>
        <w:rPr>
          <w:sz w:val="28"/>
        </w:rPr>
        <w:t>Les documents exigés et accompagnant les</w:t>
      </w:r>
      <w:r>
        <w:rPr>
          <w:spacing w:val="-3"/>
          <w:sz w:val="28"/>
        </w:rPr>
        <w:t> </w:t>
      </w:r>
      <w:r>
        <w:rPr>
          <w:sz w:val="28"/>
        </w:rPr>
        <w:t>offres.</w:t>
      </w:r>
    </w:p>
    <w:p>
      <w:pPr>
        <w:pStyle w:val="ListParagraph"/>
        <w:numPr>
          <w:ilvl w:val="1"/>
          <w:numId w:val="91"/>
        </w:numPr>
        <w:tabs>
          <w:tab w:pos="1000" w:val="left" w:leader="none"/>
        </w:tabs>
        <w:spacing w:line="240" w:lineRule="auto" w:before="0" w:after="0"/>
        <w:ind w:left="999" w:right="459" w:hanging="284"/>
        <w:jc w:val="left"/>
        <w:rPr>
          <w:sz w:val="28"/>
        </w:rPr>
      </w:pPr>
      <w:r>
        <w:rPr>
          <w:sz w:val="28"/>
        </w:rPr>
        <w:t>Les documents exigés mais non présentés avec les offres ou dont la validité a expiré.</w:t>
      </w:r>
    </w:p>
    <w:p>
      <w:pPr>
        <w:pStyle w:val="ListParagraph"/>
        <w:numPr>
          <w:ilvl w:val="1"/>
          <w:numId w:val="91"/>
        </w:numPr>
        <w:tabs>
          <w:tab w:pos="1000" w:val="left" w:leader="none"/>
        </w:tabs>
        <w:spacing w:line="240" w:lineRule="auto" w:before="0" w:after="0"/>
        <w:ind w:left="999" w:right="459" w:hanging="284"/>
        <w:jc w:val="left"/>
        <w:rPr>
          <w:sz w:val="28"/>
        </w:rPr>
      </w:pPr>
      <w:r>
        <w:rPr>
          <w:sz w:val="28"/>
        </w:rPr>
        <w:t>Les offres recevables, les offres irrecevables et les motifs de leur irrecevabilité, les débats des membres de l’entité d’ouverture et les réserves, le cas</w:t>
      </w:r>
      <w:r>
        <w:rPr>
          <w:spacing w:val="-24"/>
          <w:sz w:val="28"/>
        </w:rPr>
        <w:t> </w:t>
      </w:r>
      <w:r>
        <w:rPr>
          <w:sz w:val="28"/>
        </w:rPr>
        <w:t>échéant.</w:t>
      </w:r>
    </w:p>
    <w:p>
      <w:pPr>
        <w:pStyle w:val="ListParagraph"/>
        <w:numPr>
          <w:ilvl w:val="1"/>
          <w:numId w:val="91"/>
        </w:numPr>
        <w:tabs>
          <w:tab w:pos="1000" w:val="left" w:leader="none"/>
        </w:tabs>
        <w:spacing w:line="240" w:lineRule="auto" w:before="0" w:after="0"/>
        <w:ind w:left="999" w:right="458" w:hanging="284"/>
        <w:jc w:val="left"/>
        <w:rPr>
          <w:sz w:val="28"/>
        </w:rPr>
      </w:pPr>
      <w:r>
        <w:rPr>
          <w:sz w:val="28"/>
        </w:rPr>
        <w:t>Le délai accordé pour compléter les documents manquants et les signatures exigées des cahiers des charges, le cas</w:t>
      </w:r>
      <w:r>
        <w:rPr>
          <w:spacing w:val="-4"/>
          <w:sz w:val="28"/>
        </w:rPr>
        <w:t> </w:t>
      </w:r>
      <w:r>
        <w:rPr>
          <w:sz w:val="28"/>
        </w:rPr>
        <w:t>échéant.</w:t>
      </w:r>
    </w:p>
    <w:p>
      <w:pPr>
        <w:pStyle w:val="ListParagraph"/>
        <w:numPr>
          <w:ilvl w:val="1"/>
          <w:numId w:val="91"/>
        </w:numPr>
        <w:tabs>
          <w:tab w:pos="1000" w:val="left" w:leader="none"/>
        </w:tabs>
        <w:spacing w:line="240" w:lineRule="auto" w:before="0" w:after="0"/>
        <w:ind w:left="999" w:right="459" w:hanging="284"/>
        <w:jc w:val="left"/>
        <w:rPr>
          <w:sz w:val="28"/>
        </w:rPr>
      </w:pPr>
      <w:r>
        <w:rPr>
          <w:sz w:val="28"/>
        </w:rPr>
        <w:t>La liste des offres acceptées, leurs montants ainsi que toute autre donnée financière et notamment les rabais</w:t>
      </w:r>
      <w:r>
        <w:rPr>
          <w:spacing w:val="-5"/>
          <w:sz w:val="28"/>
        </w:rPr>
        <w:t> </w:t>
      </w:r>
      <w:r>
        <w:rPr>
          <w:sz w:val="28"/>
        </w:rPr>
        <w:t>consentis.</w:t>
      </w:r>
    </w:p>
    <w:p>
      <w:pPr>
        <w:pStyle w:val="Heading2"/>
        <w:spacing w:before="241"/>
        <w:ind w:left="1779"/>
      </w:pPr>
      <w:bookmarkStart w:name="_TOC_250006" w:id="137"/>
      <w:bookmarkEnd w:id="137"/>
      <w:r>
        <w:rPr/>
        <w:t>Annexe n°16 : Contenu du rapport d’évaluation des offres</w:t>
      </w:r>
    </w:p>
    <w:p>
      <w:pPr>
        <w:pStyle w:val="ListParagraph"/>
        <w:numPr>
          <w:ilvl w:val="1"/>
          <w:numId w:val="91"/>
        </w:numPr>
        <w:tabs>
          <w:tab w:pos="1000" w:val="left" w:leader="none"/>
        </w:tabs>
        <w:spacing w:line="240" w:lineRule="auto" w:before="44" w:after="0"/>
        <w:ind w:left="999" w:right="461" w:hanging="284"/>
        <w:jc w:val="both"/>
        <w:rPr>
          <w:sz w:val="28"/>
        </w:rPr>
      </w:pPr>
      <w:r>
        <w:rPr>
          <w:sz w:val="28"/>
        </w:rPr>
        <w:t>Les détails et les résultats des travaux de l’entité d’évaluation compétente ainsi que sa proposition au sujet de l'attribution de</w:t>
      </w:r>
      <w:r>
        <w:rPr>
          <w:spacing w:val="-17"/>
          <w:sz w:val="28"/>
        </w:rPr>
        <w:t> </w:t>
      </w:r>
      <w:r>
        <w:rPr>
          <w:sz w:val="28"/>
        </w:rPr>
        <w:t>l’achat.</w:t>
      </w:r>
    </w:p>
    <w:p>
      <w:pPr>
        <w:pStyle w:val="ListParagraph"/>
        <w:numPr>
          <w:ilvl w:val="1"/>
          <w:numId w:val="91"/>
        </w:numPr>
        <w:tabs>
          <w:tab w:pos="1000" w:val="left" w:leader="none"/>
        </w:tabs>
        <w:spacing w:line="240" w:lineRule="auto" w:before="0" w:after="0"/>
        <w:ind w:left="999" w:right="452" w:hanging="284"/>
        <w:jc w:val="both"/>
        <w:rPr>
          <w:sz w:val="28"/>
        </w:rPr>
      </w:pPr>
      <w:r>
        <w:rPr>
          <w:sz w:val="28"/>
        </w:rPr>
        <w:t>L'appréciation des résultats de la concurrence en rapprochant le nombre de candidats ayant retiré les cahiers des charges avec le nombre effectif des soumissionnaires et avec celui des offres éliminées pour non-conformité aux cahiers des charges et l'appréciation des résultats de la concurrence au regard de l'état objectif de la concurrence dans le secteur concerné par la</w:t>
      </w:r>
      <w:r>
        <w:rPr>
          <w:spacing w:val="-26"/>
          <w:sz w:val="28"/>
        </w:rPr>
        <w:t> </w:t>
      </w:r>
      <w:r>
        <w:rPr>
          <w:sz w:val="28"/>
        </w:rPr>
        <w:t>commande,</w:t>
      </w:r>
    </w:p>
    <w:p>
      <w:pPr>
        <w:pStyle w:val="ListParagraph"/>
        <w:numPr>
          <w:ilvl w:val="1"/>
          <w:numId w:val="91"/>
        </w:numPr>
        <w:tabs>
          <w:tab w:pos="1000" w:val="left" w:leader="none"/>
        </w:tabs>
        <w:spacing w:line="240" w:lineRule="auto" w:before="0" w:after="0"/>
        <w:ind w:left="999" w:right="463" w:hanging="284"/>
        <w:jc w:val="both"/>
        <w:rPr>
          <w:sz w:val="28"/>
        </w:rPr>
      </w:pPr>
      <w:r>
        <w:rPr>
          <w:sz w:val="28"/>
        </w:rPr>
        <w:t>La présentation, le cas échéant, des questions soulevées par les participants au sujet des cahiers des charges et des éclaircissements qui leur ont été</w:t>
      </w:r>
      <w:r>
        <w:rPr>
          <w:spacing w:val="-27"/>
          <w:sz w:val="28"/>
        </w:rPr>
        <w:t> </w:t>
      </w:r>
      <w:r>
        <w:rPr>
          <w:sz w:val="28"/>
        </w:rPr>
        <w:t>apportés,</w:t>
      </w:r>
    </w:p>
    <w:p>
      <w:pPr>
        <w:pStyle w:val="ListParagraph"/>
        <w:numPr>
          <w:ilvl w:val="1"/>
          <w:numId w:val="91"/>
        </w:numPr>
        <w:tabs>
          <w:tab w:pos="1000" w:val="left" w:leader="none"/>
        </w:tabs>
        <w:spacing w:line="240" w:lineRule="auto" w:before="0" w:after="0"/>
        <w:ind w:left="999" w:right="454" w:hanging="284"/>
        <w:jc w:val="both"/>
        <w:rPr>
          <w:sz w:val="28"/>
        </w:rPr>
      </w:pPr>
      <w:r>
        <w:rPr>
          <w:sz w:val="28"/>
        </w:rPr>
        <w:t>La</w:t>
      </w:r>
      <w:r>
        <w:rPr>
          <w:spacing w:val="-11"/>
          <w:sz w:val="28"/>
        </w:rPr>
        <w:t> </w:t>
      </w:r>
      <w:r>
        <w:rPr>
          <w:sz w:val="28"/>
        </w:rPr>
        <w:t>justification</w:t>
      </w:r>
      <w:r>
        <w:rPr>
          <w:spacing w:val="-9"/>
          <w:sz w:val="28"/>
        </w:rPr>
        <w:t> </w:t>
      </w:r>
      <w:r>
        <w:rPr>
          <w:sz w:val="28"/>
        </w:rPr>
        <w:t>de</w:t>
      </w:r>
      <w:r>
        <w:rPr>
          <w:spacing w:val="-10"/>
          <w:sz w:val="28"/>
        </w:rPr>
        <w:t> </w:t>
      </w:r>
      <w:r>
        <w:rPr>
          <w:sz w:val="28"/>
        </w:rPr>
        <w:t>la</w:t>
      </w:r>
      <w:r>
        <w:rPr>
          <w:spacing w:val="-12"/>
          <w:sz w:val="28"/>
        </w:rPr>
        <w:t> </w:t>
      </w:r>
      <w:r>
        <w:rPr>
          <w:sz w:val="28"/>
        </w:rPr>
        <w:t>prorogation</w:t>
      </w:r>
      <w:r>
        <w:rPr>
          <w:spacing w:val="-9"/>
          <w:sz w:val="28"/>
        </w:rPr>
        <w:t> </w:t>
      </w:r>
      <w:r>
        <w:rPr>
          <w:sz w:val="28"/>
        </w:rPr>
        <w:t>des</w:t>
      </w:r>
      <w:r>
        <w:rPr>
          <w:spacing w:val="-11"/>
          <w:sz w:val="28"/>
        </w:rPr>
        <w:t> </w:t>
      </w:r>
      <w:r>
        <w:rPr>
          <w:sz w:val="28"/>
        </w:rPr>
        <w:t>délais</w:t>
      </w:r>
      <w:r>
        <w:rPr>
          <w:spacing w:val="-9"/>
          <w:sz w:val="28"/>
        </w:rPr>
        <w:t> </w:t>
      </w:r>
      <w:r>
        <w:rPr>
          <w:sz w:val="28"/>
        </w:rPr>
        <w:t>de</w:t>
      </w:r>
      <w:r>
        <w:rPr>
          <w:spacing w:val="-4"/>
          <w:sz w:val="28"/>
        </w:rPr>
        <w:t> </w:t>
      </w:r>
      <w:r>
        <w:rPr>
          <w:sz w:val="28"/>
        </w:rPr>
        <w:t>réception</w:t>
      </w:r>
      <w:r>
        <w:rPr>
          <w:spacing w:val="-9"/>
          <w:sz w:val="28"/>
        </w:rPr>
        <w:t> </w:t>
      </w:r>
      <w:r>
        <w:rPr>
          <w:sz w:val="28"/>
        </w:rPr>
        <w:t>des</w:t>
      </w:r>
      <w:r>
        <w:rPr>
          <w:spacing w:val="-9"/>
          <w:sz w:val="28"/>
        </w:rPr>
        <w:t> </w:t>
      </w:r>
      <w:r>
        <w:rPr>
          <w:sz w:val="28"/>
        </w:rPr>
        <w:t>offres</w:t>
      </w:r>
      <w:r>
        <w:rPr>
          <w:spacing w:val="-9"/>
          <w:sz w:val="28"/>
        </w:rPr>
        <w:t> </w:t>
      </w:r>
      <w:r>
        <w:rPr>
          <w:sz w:val="28"/>
        </w:rPr>
        <w:t>et</w:t>
      </w:r>
      <w:r>
        <w:rPr>
          <w:spacing w:val="-10"/>
          <w:sz w:val="28"/>
        </w:rPr>
        <w:t> </w:t>
      </w:r>
      <w:r>
        <w:rPr>
          <w:sz w:val="28"/>
        </w:rPr>
        <w:t>ses</w:t>
      </w:r>
      <w:r>
        <w:rPr>
          <w:spacing w:val="-9"/>
          <w:sz w:val="28"/>
        </w:rPr>
        <w:t> </w:t>
      </w:r>
      <w:r>
        <w:rPr>
          <w:sz w:val="28"/>
        </w:rPr>
        <w:t>résultats sur la participation le cas</w:t>
      </w:r>
      <w:r>
        <w:rPr>
          <w:spacing w:val="-12"/>
          <w:sz w:val="28"/>
        </w:rPr>
        <w:t> </w:t>
      </w:r>
      <w:r>
        <w:rPr>
          <w:sz w:val="28"/>
        </w:rPr>
        <w:t>échéant,</w:t>
      </w:r>
    </w:p>
    <w:p>
      <w:pPr>
        <w:pStyle w:val="ListParagraph"/>
        <w:numPr>
          <w:ilvl w:val="1"/>
          <w:numId w:val="91"/>
        </w:numPr>
        <w:tabs>
          <w:tab w:pos="1000" w:val="left" w:leader="none"/>
        </w:tabs>
        <w:spacing w:line="342" w:lineRule="exact" w:before="0" w:after="0"/>
        <w:ind w:left="999" w:right="0" w:hanging="284"/>
        <w:jc w:val="both"/>
        <w:rPr>
          <w:sz w:val="28"/>
        </w:rPr>
      </w:pPr>
      <w:r>
        <w:rPr>
          <w:sz w:val="28"/>
        </w:rPr>
        <w:t>Les réserves et les oppositions des participants s'il y a</w:t>
      </w:r>
      <w:r>
        <w:rPr>
          <w:spacing w:val="-3"/>
          <w:sz w:val="28"/>
        </w:rPr>
        <w:t> </w:t>
      </w:r>
      <w:r>
        <w:rPr>
          <w:sz w:val="28"/>
        </w:rPr>
        <w:t>lieu,</w:t>
      </w:r>
    </w:p>
    <w:p>
      <w:pPr>
        <w:pStyle w:val="ListParagraph"/>
        <w:numPr>
          <w:ilvl w:val="1"/>
          <w:numId w:val="91"/>
        </w:numPr>
        <w:tabs>
          <w:tab w:pos="1000" w:val="left" w:leader="none"/>
        </w:tabs>
        <w:spacing w:line="240" w:lineRule="auto" w:before="0" w:after="0"/>
        <w:ind w:left="999" w:right="462" w:hanging="284"/>
        <w:jc w:val="both"/>
        <w:rPr>
          <w:sz w:val="28"/>
        </w:rPr>
      </w:pPr>
      <w:r>
        <w:rPr>
          <w:sz w:val="28"/>
        </w:rPr>
        <w:t>Les motifs de rejet des offres non retenues ou pour cause d'une interdiction de soumissionner,</w:t>
      </w:r>
    </w:p>
    <w:p>
      <w:pPr>
        <w:pStyle w:val="ListParagraph"/>
        <w:numPr>
          <w:ilvl w:val="1"/>
          <w:numId w:val="91"/>
        </w:numPr>
        <w:tabs>
          <w:tab w:pos="1000" w:val="left" w:leader="none"/>
        </w:tabs>
        <w:spacing w:line="240" w:lineRule="auto" w:before="0" w:after="0"/>
        <w:ind w:left="999" w:right="448" w:hanging="284"/>
        <w:jc w:val="both"/>
        <w:rPr>
          <w:sz w:val="28"/>
        </w:rPr>
      </w:pPr>
      <w:r>
        <w:rPr>
          <w:sz w:val="28"/>
        </w:rPr>
        <w:t>L'analyse des prix proposés par les soumissionnaires. Lorsque l’offre la mieux- disant s’avère supérieure à l’offre la moins-disant pour les offres évaluées selon la méthodologie se basant sur la pondération entre la qualité et le coût, l’entité d’évaluation doit justifier le coût supplémentaire au vu des plus-values techniques. Pour cela une analyse approfondie des prix afin de s’assurer du caractère acceptable des prix est</w:t>
      </w:r>
      <w:r>
        <w:rPr>
          <w:spacing w:val="-5"/>
          <w:sz w:val="28"/>
        </w:rPr>
        <w:t> </w:t>
      </w:r>
      <w:r>
        <w:rPr>
          <w:sz w:val="28"/>
        </w:rPr>
        <w:t>nécessaire.</w:t>
      </w:r>
    </w:p>
    <w:p>
      <w:pPr>
        <w:pStyle w:val="ListParagraph"/>
        <w:numPr>
          <w:ilvl w:val="1"/>
          <w:numId w:val="91"/>
        </w:numPr>
        <w:tabs>
          <w:tab w:pos="1000" w:val="left" w:leader="none"/>
        </w:tabs>
        <w:spacing w:line="341" w:lineRule="exact" w:before="0" w:after="0"/>
        <w:ind w:left="999" w:right="0" w:hanging="284"/>
        <w:jc w:val="both"/>
        <w:rPr>
          <w:sz w:val="28"/>
        </w:rPr>
      </w:pPr>
      <w:r>
        <w:rPr>
          <w:sz w:val="28"/>
        </w:rPr>
        <w:t>La proposition de la commission en ce qui concerne d’attribution de</w:t>
      </w:r>
      <w:r>
        <w:rPr>
          <w:spacing w:val="-14"/>
          <w:sz w:val="28"/>
        </w:rPr>
        <w:t> </w:t>
      </w:r>
      <w:r>
        <w:rPr>
          <w:sz w:val="28"/>
        </w:rPr>
        <w:t>l’achat.</w:t>
      </w:r>
    </w:p>
    <w:p>
      <w:pPr>
        <w:spacing w:after="0" w:line="341" w:lineRule="exact"/>
        <w:jc w:val="both"/>
        <w:rPr>
          <w:sz w:val="28"/>
        </w:rPr>
        <w:sectPr>
          <w:headerReference w:type="default" r:id="rId18"/>
          <w:pgSz w:w="11910" w:h="16840"/>
          <w:pgMar w:header="722" w:footer="0" w:top="1860" w:bottom="280" w:left="700" w:right="680"/>
          <w:pgNumType w:start="16"/>
        </w:sectPr>
      </w:pPr>
    </w:p>
    <w:p>
      <w:pPr>
        <w:pStyle w:val="BodyText"/>
        <w:spacing w:before="8"/>
        <w:ind w:left="0" w:firstLine="0"/>
        <w:jc w:val="left"/>
        <w:rPr>
          <w:sz w:val="16"/>
        </w:rPr>
      </w:pPr>
    </w:p>
    <w:p>
      <w:pPr>
        <w:pStyle w:val="Heading2"/>
        <w:spacing w:line="276" w:lineRule="auto"/>
        <w:ind w:left="4927" w:right="671" w:hanging="4269"/>
        <w:jc w:val="left"/>
      </w:pPr>
      <w:bookmarkStart w:name="_TOC_250005" w:id="138"/>
      <w:bookmarkEnd w:id="138"/>
      <w:r>
        <w:rPr/>
        <w:t>Annexe n°17 : Contenu de la note de présentation du dossier à soumettre à la CME</w:t>
      </w:r>
    </w:p>
    <w:p>
      <w:pPr>
        <w:pStyle w:val="ListParagraph"/>
        <w:numPr>
          <w:ilvl w:val="1"/>
          <w:numId w:val="91"/>
        </w:numPr>
        <w:tabs>
          <w:tab w:pos="1000" w:val="left" w:leader="none"/>
        </w:tabs>
        <w:spacing w:line="240" w:lineRule="auto" w:before="0" w:after="0"/>
        <w:ind w:left="999" w:right="465" w:hanging="284"/>
        <w:jc w:val="both"/>
        <w:rPr>
          <w:sz w:val="28"/>
        </w:rPr>
      </w:pPr>
      <w:r>
        <w:rPr>
          <w:sz w:val="28"/>
        </w:rPr>
        <w:t>Une présentation générale de la commande, son opportunité, son efficacité et les modalités de son</w:t>
      </w:r>
      <w:r>
        <w:rPr>
          <w:spacing w:val="-2"/>
          <w:sz w:val="28"/>
        </w:rPr>
        <w:t> </w:t>
      </w:r>
      <w:r>
        <w:rPr>
          <w:sz w:val="28"/>
        </w:rPr>
        <w:t>financement,</w:t>
      </w:r>
    </w:p>
    <w:p>
      <w:pPr>
        <w:pStyle w:val="ListParagraph"/>
        <w:numPr>
          <w:ilvl w:val="1"/>
          <w:numId w:val="91"/>
        </w:numPr>
        <w:tabs>
          <w:tab w:pos="1000" w:val="left" w:leader="none"/>
        </w:tabs>
        <w:spacing w:line="240" w:lineRule="auto" w:before="0" w:after="0"/>
        <w:ind w:left="999" w:right="462" w:hanging="284"/>
        <w:jc w:val="both"/>
        <w:rPr>
          <w:sz w:val="28"/>
        </w:rPr>
      </w:pPr>
      <w:r>
        <w:rPr>
          <w:sz w:val="28"/>
        </w:rPr>
        <w:t>Les éclaircissements relatifs à l'allotissement proposé de la commande et du nombre maximum de lots pouvant être attribués à un seul candidat et à défaut d'allotissement, exposer les raisons de cette</w:t>
      </w:r>
      <w:r>
        <w:rPr>
          <w:spacing w:val="-6"/>
          <w:sz w:val="28"/>
        </w:rPr>
        <w:t> </w:t>
      </w:r>
      <w:r>
        <w:rPr>
          <w:sz w:val="28"/>
        </w:rPr>
        <w:t>démarche,</w:t>
      </w:r>
    </w:p>
    <w:p>
      <w:pPr>
        <w:pStyle w:val="ListParagraph"/>
        <w:numPr>
          <w:ilvl w:val="1"/>
          <w:numId w:val="91"/>
        </w:numPr>
        <w:tabs>
          <w:tab w:pos="1000" w:val="left" w:leader="none"/>
        </w:tabs>
        <w:spacing w:line="240" w:lineRule="auto" w:before="0" w:after="0"/>
        <w:ind w:left="999" w:right="0" w:hanging="284"/>
        <w:jc w:val="both"/>
        <w:rPr>
          <w:sz w:val="28"/>
        </w:rPr>
      </w:pPr>
      <w:r>
        <w:rPr>
          <w:sz w:val="28"/>
        </w:rPr>
        <w:t>Les motifs de l'interdiction de présenter des offres variantes, le cas</w:t>
      </w:r>
      <w:r>
        <w:rPr>
          <w:spacing w:val="-19"/>
          <w:sz w:val="28"/>
        </w:rPr>
        <w:t> </w:t>
      </w:r>
      <w:r>
        <w:rPr>
          <w:sz w:val="28"/>
        </w:rPr>
        <w:t>échéant,</w:t>
      </w:r>
    </w:p>
    <w:p>
      <w:pPr>
        <w:pStyle w:val="ListParagraph"/>
        <w:numPr>
          <w:ilvl w:val="1"/>
          <w:numId w:val="91"/>
        </w:numPr>
        <w:tabs>
          <w:tab w:pos="1000" w:val="left" w:leader="none"/>
        </w:tabs>
        <w:spacing w:line="342" w:lineRule="exact" w:before="0" w:after="0"/>
        <w:ind w:left="999" w:right="0" w:hanging="284"/>
        <w:jc w:val="both"/>
        <w:rPr>
          <w:sz w:val="28"/>
        </w:rPr>
      </w:pPr>
      <w:r>
        <w:rPr>
          <w:sz w:val="28"/>
        </w:rPr>
        <w:t>Les motifs justifiants la méthodologie adoptée pour l’évaluation des</w:t>
      </w:r>
      <w:r>
        <w:rPr>
          <w:spacing w:val="-17"/>
          <w:sz w:val="28"/>
        </w:rPr>
        <w:t> </w:t>
      </w:r>
      <w:r>
        <w:rPr>
          <w:sz w:val="28"/>
        </w:rPr>
        <w:t>offres,</w:t>
      </w:r>
    </w:p>
    <w:p>
      <w:pPr>
        <w:pStyle w:val="ListParagraph"/>
        <w:numPr>
          <w:ilvl w:val="1"/>
          <w:numId w:val="91"/>
        </w:numPr>
        <w:tabs>
          <w:tab w:pos="1000" w:val="left" w:leader="none"/>
        </w:tabs>
        <w:spacing w:line="240" w:lineRule="auto" w:before="0" w:after="0"/>
        <w:ind w:left="999" w:right="463" w:hanging="284"/>
        <w:jc w:val="both"/>
        <w:rPr>
          <w:sz w:val="28"/>
        </w:rPr>
      </w:pPr>
      <w:r>
        <w:rPr>
          <w:sz w:val="28"/>
        </w:rPr>
        <w:t>Les données prises en considération pour la détermination du ou des délais d'exécution et l'évaluation de son impact sur la</w:t>
      </w:r>
      <w:r>
        <w:rPr>
          <w:spacing w:val="-7"/>
          <w:sz w:val="28"/>
        </w:rPr>
        <w:t> </w:t>
      </w:r>
      <w:r>
        <w:rPr>
          <w:sz w:val="28"/>
        </w:rPr>
        <w:t>concurrence,</w:t>
      </w:r>
    </w:p>
    <w:p>
      <w:pPr>
        <w:pStyle w:val="ListParagraph"/>
        <w:numPr>
          <w:ilvl w:val="1"/>
          <w:numId w:val="91"/>
        </w:numPr>
        <w:tabs>
          <w:tab w:pos="1000" w:val="left" w:leader="none"/>
        </w:tabs>
        <w:spacing w:line="240" w:lineRule="auto" w:before="0" w:after="0"/>
        <w:ind w:left="999" w:right="458" w:hanging="284"/>
        <w:jc w:val="both"/>
        <w:rPr>
          <w:sz w:val="28"/>
        </w:rPr>
      </w:pPr>
      <w:r>
        <w:rPr>
          <w:sz w:val="28"/>
        </w:rPr>
        <w:t>L'évaluation des résultats de l’appel d’offres par rapprochement du nombre des candidats</w:t>
      </w:r>
      <w:r>
        <w:rPr>
          <w:spacing w:val="-14"/>
          <w:sz w:val="28"/>
        </w:rPr>
        <w:t> </w:t>
      </w:r>
      <w:r>
        <w:rPr>
          <w:sz w:val="28"/>
        </w:rPr>
        <w:t>ayant</w:t>
      </w:r>
      <w:r>
        <w:rPr>
          <w:spacing w:val="-14"/>
          <w:sz w:val="28"/>
        </w:rPr>
        <w:t> </w:t>
      </w:r>
      <w:r>
        <w:rPr>
          <w:sz w:val="28"/>
        </w:rPr>
        <w:t>retiré</w:t>
      </w:r>
      <w:r>
        <w:rPr>
          <w:spacing w:val="-17"/>
          <w:sz w:val="28"/>
        </w:rPr>
        <w:t> </w:t>
      </w:r>
      <w:r>
        <w:rPr>
          <w:sz w:val="28"/>
        </w:rPr>
        <w:t>le</w:t>
      </w:r>
      <w:r>
        <w:rPr>
          <w:spacing w:val="-15"/>
          <w:sz w:val="28"/>
        </w:rPr>
        <w:t> </w:t>
      </w:r>
      <w:r>
        <w:rPr>
          <w:sz w:val="28"/>
        </w:rPr>
        <w:t>CCT</w:t>
      </w:r>
      <w:r>
        <w:rPr>
          <w:spacing w:val="-15"/>
          <w:sz w:val="28"/>
        </w:rPr>
        <w:t> </w:t>
      </w:r>
      <w:r>
        <w:rPr>
          <w:sz w:val="28"/>
        </w:rPr>
        <w:t>avec</w:t>
      </w:r>
      <w:r>
        <w:rPr>
          <w:spacing w:val="-15"/>
          <w:sz w:val="28"/>
        </w:rPr>
        <w:t> </w:t>
      </w:r>
      <w:r>
        <w:rPr>
          <w:sz w:val="28"/>
        </w:rPr>
        <w:t>le</w:t>
      </w:r>
      <w:r>
        <w:rPr>
          <w:spacing w:val="-17"/>
          <w:sz w:val="28"/>
        </w:rPr>
        <w:t> </w:t>
      </w:r>
      <w:r>
        <w:rPr>
          <w:sz w:val="28"/>
        </w:rPr>
        <w:t>nombre</w:t>
      </w:r>
      <w:r>
        <w:rPr>
          <w:spacing w:val="-15"/>
          <w:sz w:val="28"/>
        </w:rPr>
        <w:t> </w:t>
      </w:r>
      <w:r>
        <w:rPr>
          <w:sz w:val="28"/>
        </w:rPr>
        <w:t>effectif</w:t>
      </w:r>
      <w:r>
        <w:rPr>
          <w:spacing w:val="-16"/>
          <w:sz w:val="28"/>
        </w:rPr>
        <w:t> </w:t>
      </w:r>
      <w:r>
        <w:rPr>
          <w:sz w:val="28"/>
        </w:rPr>
        <w:t>des</w:t>
      </w:r>
      <w:r>
        <w:rPr>
          <w:spacing w:val="-14"/>
          <w:sz w:val="28"/>
        </w:rPr>
        <w:t> </w:t>
      </w:r>
      <w:r>
        <w:rPr>
          <w:sz w:val="28"/>
        </w:rPr>
        <w:t>participants</w:t>
      </w:r>
      <w:r>
        <w:rPr>
          <w:spacing w:val="-14"/>
          <w:sz w:val="28"/>
        </w:rPr>
        <w:t> </w:t>
      </w:r>
      <w:r>
        <w:rPr>
          <w:sz w:val="28"/>
        </w:rPr>
        <w:t>et</w:t>
      </w:r>
      <w:r>
        <w:rPr>
          <w:spacing w:val="-14"/>
          <w:sz w:val="28"/>
        </w:rPr>
        <w:t> </w:t>
      </w:r>
      <w:r>
        <w:rPr>
          <w:sz w:val="28"/>
        </w:rPr>
        <w:t>avec</w:t>
      </w:r>
      <w:r>
        <w:rPr>
          <w:spacing w:val="-15"/>
          <w:sz w:val="28"/>
        </w:rPr>
        <w:t> </w:t>
      </w:r>
      <w:r>
        <w:rPr>
          <w:sz w:val="28"/>
        </w:rPr>
        <w:t>celui des offres éliminées pour non-conformité et l'appréciation des résultats au regard de l'état général de la concurrence dans le secteur concerné par la</w:t>
      </w:r>
      <w:r>
        <w:rPr>
          <w:spacing w:val="-22"/>
          <w:sz w:val="28"/>
        </w:rPr>
        <w:t> </w:t>
      </w:r>
      <w:r>
        <w:rPr>
          <w:sz w:val="28"/>
        </w:rPr>
        <w:t>commande,</w:t>
      </w:r>
    </w:p>
    <w:p>
      <w:pPr>
        <w:pStyle w:val="ListParagraph"/>
        <w:numPr>
          <w:ilvl w:val="1"/>
          <w:numId w:val="91"/>
        </w:numPr>
        <w:tabs>
          <w:tab w:pos="1000" w:val="left" w:leader="none"/>
        </w:tabs>
        <w:spacing w:line="240" w:lineRule="auto" w:before="0" w:after="0"/>
        <w:ind w:left="999" w:right="460" w:hanging="284"/>
        <w:jc w:val="both"/>
        <w:rPr>
          <w:sz w:val="28"/>
        </w:rPr>
      </w:pPr>
      <w:r>
        <w:rPr>
          <w:sz w:val="28"/>
        </w:rPr>
        <w:t>Les motifs de détermination du délai séparant la date de publication de l’appel d’offres</w:t>
      </w:r>
      <w:r>
        <w:rPr>
          <w:spacing w:val="-14"/>
          <w:sz w:val="28"/>
        </w:rPr>
        <w:t> </w:t>
      </w:r>
      <w:r>
        <w:rPr>
          <w:sz w:val="28"/>
        </w:rPr>
        <w:t>et</w:t>
      </w:r>
      <w:r>
        <w:rPr>
          <w:spacing w:val="-13"/>
          <w:sz w:val="28"/>
        </w:rPr>
        <w:t> </w:t>
      </w:r>
      <w:r>
        <w:rPr>
          <w:sz w:val="28"/>
        </w:rPr>
        <w:t>celui</w:t>
      </w:r>
      <w:r>
        <w:rPr>
          <w:spacing w:val="-13"/>
          <w:sz w:val="28"/>
        </w:rPr>
        <w:t> </w:t>
      </w:r>
      <w:r>
        <w:rPr>
          <w:sz w:val="28"/>
        </w:rPr>
        <w:t>de</w:t>
      </w:r>
      <w:r>
        <w:rPr>
          <w:spacing w:val="-14"/>
          <w:sz w:val="28"/>
        </w:rPr>
        <w:t> </w:t>
      </w:r>
      <w:r>
        <w:rPr>
          <w:sz w:val="28"/>
        </w:rPr>
        <w:t>remise</w:t>
      </w:r>
      <w:r>
        <w:rPr>
          <w:spacing w:val="-14"/>
          <w:sz w:val="28"/>
        </w:rPr>
        <w:t> </w:t>
      </w:r>
      <w:r>
        <w:rPr>
          <w:sz w:val="28"/>
        </w:rPr>
        <w:t>des</w:t>
      </w:r>
      <w:r>
        <w:rPr>
          <w:spacing w:val="-13"/>
          <w:sz w:val="28"/>
        </w:rPr>
        <w:t> </w:t>
      </w:r>
      <w:r>
        <w:rPr>
          <w:sz w:val="28"/>
        </w:rPr>
        <w:t>offres</w:t>
      </w:r>
      <w:r>
        <w:rPr>
          <w:spacing w:val="-13"/>
          <w:sz w:val="28"/>
        </w:rPr>
        <w:t> </w:t>
      </w:r>
      <w:r>
        <w:rPr>
          <w:sz w:val="28"/>
        </w:rPr>
        <w:t>compte</w:t>
      </w:r>
      <w:r>
        <w:rPr>
          <w:spacing w:val="-14"/>
          <w:sz w:val="28"/>
        </w:rPr>
        <w:t> </w:t>
      </w:r>
      <w:r>
        <w:rPr>
          <w:sz w:val="28"/>
        </w:rPr>
        <w:t>tenu</w:t>
      </w:r>
      <w:r>
        <w:rPr>
          <w:spacing w:val="-14"/>
          <w:sz w:val="28"/>
        </w:rPr>
        <w:t> </w:t>
      </w:r>
      <w:r>
        <w:rPr>
          <w:sz w:val="28"/>
        </w:rPr>
        <w:t>de</w:t>
      </w:r>
      <w:r>
        <w:rPr>
          <w:spacing w:val="-14"/>
          <w:sz w:val="28"/>
        </w:rPr>
        <w:t> </w:t>
      </w:r>
      <w:r>
        <w:rPr>
          <w:sz w:val="28"/>
        </w:rPr>
        <w:t>l'importance</w:t>
      </w:r>
      <w:r>
        <w:rPr>
          <w:spacing w:val="-16"/>
          <w:sz w:val="28"/>
        </w:rPr>
        <w:t> </w:t>
      </w:r>
      <w:r>
        <w:rPr>
          <w:sz w:val="28"/>
        </w:rPr>
        <w:t>de</w:t>
      </w:r>
      <w:r>
        <w:rPr>
          <w:spacing w:val="-14"/>
          <w:sz w:val="28"/>
        </w:rPr>
        <w:t> </w:t>
      </w:r>
      <w:r>
        <w:rPr>
          <w:sz w:val="28"/>
        </w:rPr>
        <w:t>l’achat</w:t>
      </w:r>
      <w:r>
        <w:rPr>
          <w:spacing w:val="-13"/>
          <w:sz w:val="28"/>
        </w:rPr>
        <w:t> </w:t>
      </w:r>
      <w:r>
        <w:rPr>
          <w:sz w:val="28"/>
        </w:rPr>
        <w:t>et</w:t>
      </w:r>
      <w:r>
        <w:rPr>
          <w:spacing w:val="-15"/>
          <w:sz w:val="28"/>
        </w:rPr>
        <w:t> </w:t>
      </w:r>
      <w:r>
        <w:rPr>
          <w:sz w:val="28"/>
        </w:rPr>
        <w:t>son degré de</w:t>
      </w:r>
      <w:r>
        <w:rPr>
          <w:spacing w:val="-1"/>
          <w:sz w:val="28"/>
        </w:rPr>
        <w:t> </w:t>
      </w:r>
      <w:r>
        <w:rPr>
          <w:sz w:val="28"/>
        </w:rPr>
        <w:t>complexité,</w:t>
      </w:r>
    </w:p>
    <w:p>
      <w:pPr>
        <w:pStyle w:val="ListParagraph"/>
        <w:numPr>
          <w:ilvl w:val="1"/>
          <w:numId w:val="91"/>
        </w:numPr>
        <w:tabs>
          <w:tab w:pos="1000" w:val="left" w:leader="none"/>
        </w:tabs>
        <w:spacing w:line="342" w:lineRule="exact" w:before="0" w:after="0"/>
        <w:ind w:left="999" w:right="0" w:hanging="284"/>
        <w:jc w:val="both"/>
        <w:rPr>
          <w:sz w:val="28"/>
        </w:rPr>
      </w:pPr>
      <w:r>
        <w:rPr>
          <w:sz w:val="28"/>
        </w:rPr>
        <w:t>Les motifs du choix du caractère des prix,</w:t>
      </w:r>
    </w:p>
    <w:p>
      <w:pPr>
        <w:pStyle w:val="ListParagraph"/>
        <w:numPr>
          <w:ilvl w:val="1"/>
          <w:numId w:val="91"/>
        </w:numPr>
        <w:tabs>
          <w:tab w:pos="1000" w:val="left" w:leader="none"/>
        </w:tabs>
        <w:spacing w:line="240" w:lineRule="auto" w:before="0" w:after="0"/>
        <w:ind w:left="999" w:right="455" w:hanging="284"/>
        <w:jc w:val="left"/>
        <w:rPr>
          <w:sz w:val="28"/>
        </w:rPr>
      </w:pPr>
      <w:r>
        <w:rPr>
          <w:sz w:val="28"/>
        </w:rPr>
        <w:t>L'analyse, le cas échéant, des questions soulevées par les participants concernant la consultation et des éclaircissements qui leur ont été</w:t>
      </w:r>
      <w:r>
        <w:rPr>
          <w:spacing w:val="-14"/>
          <w:sz w:val="28"/>
        </w:rPr>
        <w:t> </w:t>
      </w:r>
      <w:r>
        <w:rPr>
          <w:sz w:val="28"/>
        </w:rPr>
        <w:t>apportés,</w:t>
      </w:r>
    </w:p>
    <w:p>
      <w:pPr>
        <w:pStyle w:val="ListParagraph"/>
        <w:numPr>
          <w:ilvl w:val="1"/>
          <w:numId w:val="91"/>
        </w:numPr>
        <w:tabs>
          <w:tab w:pos="1000" w:val="left" w:leader="none"/>
        </w:tabs>
        <w:spacing w:line="240" w:lineRule="auto" w:before="0" w:after="0"/>
        <w:ind w:left="999" w:right="461" w:hanging="284"/>
        <w:jc w:val="left"/>
        <w:rPr>
          <w:sz w:val="28"/>
        </w:rPr>
      </w:pPr>
      <w:r>
        <w:rPr>
          <w:sz w:val="28"/>
        </w:rPr>
        <w:t>La</w:t>
      </w:r>
      <w:r>
        <w:rPr>
          <w:spacing w:val="-9"/>
          <w:sz w:val="28"/>
        </w:rPr>
        <w:t> </w:t>
      </w:r>
      <w:r>
        <w:rPr>
          <w:sz w:val="28"/>
        </w:rPr>
        <w:t>justification</w:t>
      </w:r>
      <w:r>
        <w:rPr>
          <w:spacing w:val="-10"/>
          <w:sz w:val="28"/>
        </w:rPr>
        <w:t> </w:t>
      </w:r>
      <w:r>
        <w:rPr>
          <w:sz w:val="28"/>
        </w:rPr>
        <w:t>des</w:t>
      </w:r>
      <w:r>
        <w:rPr>
          <w:spacing w:val="-8"/>
          <w:sz w:val="28"/>
        </w:rPr>
        <w:t> </w:t>
      </w:r>
      <w:r>
        <w:rPr>
          <w:sz w:val="28"/>
        </w:rPr>
        <w:t>décisions</w:t>
      </w:r>
      <w:r>
        <w:rPr>
          <w:spacing w:val="-10"/>
          <w:sz w:val="28"/>
        </w:rPr>
        <w:t> </w:t>
      </w:r>
      <w:r>
        <w:rPr>
          <w:sz w:val="28"/>
        </w:rPr>
        <w:t>de</w:t>
      </w:r>
      <w:r>
        <w:rPr>
          <w:spacing w:val="-9"/>
          <w:sz w:val="28"/>
        </w:rPr>
        <w:t> </w:t>
      </w:r>
      <w:r>
        <w:rPr>
          <w:sz w:val="28"/>
        </w:rPr>
        <w:t>prorogation</w:t>
      </w:r>
      <w:r>
        <w:rPr>
          <w:spacing w:val="-10"/>
          <w:sz w:val="28"/>
        </w:rPr>
        <w:t> </w:t>
      </w:r>
      <w:r>
        <w:rPr>
          <w:sz w:val="28"/>
        </w:rPr>
        <w:t>des</w:t>
      </w:r>
      <w:r>
        <w:rPr>
          <w:spacing w:val="-8"/>
          <w:sz w:val="28"/>
        </w:rPr>
        <w:t> </w:t>
      </w:r>
      <w:r>
        <w:rPr>
          <w:sz w:val="28"/>
        </w:rPr>
        <w:t>délais</w:t>
      </w:r>
      <w:r>
        <w:rPr>
          <w:spacing w:val="-10"/>
          <w:sz w:val="28"/>
        </w:rPr>
        <w:t> </w:t>
      </w:r>
      <w:r>
        <w:rPr>
          <w:sz w:val="28"/>
        </w:rPr>
        <w:t>de</w:t>
      </w:r>
      <w:r>
        <w:rPr>
          <w:spacing w:val="-9"/>
          <w:sz w:val="28"/>
        </w:rPr>
        <w:t> </w:t>
      </w:r>
      <w:r>
        <w:rPr>
          <w:sz w:val="28"/>
        </w:rPr>
        <w:t>remise</w:t>
      </w:r>
      <w:r>
        <w:rPr>
          <w:spacing w:val="-9"/>
          <w:sz w:val="28"/>
        </w:rPr>
        <w:t> </w:t>
      </w:r>
      <w:r>
        <w:rPr>
          <w:sz w:val="28"/>
        </w:rPr>
        <w:t>des</w:t>
      </w:r>
      <w:r>
        <w:rPr>
          <w:spacing w:val="-8"/>
          <w:sz w:val="28"/>
        </w:rPr>
        <w:t> </w:t>
      </w:r>
      <w:r>
        <w:rPr>
          <w:sz w:val="28"/>
        </w:rPr>
        <w:t>offres</w:t>
      </w:r>
      <w:r>
        <w:rPr>
          <w:spacing w:val="-8"/>
          <w:sz w:val="28"/>
        </w:rPr>
        <w:t> </w:t>
      </w:r>
      <w:r>
        <w:rPr>
          <w:sz w:val="28"/>
        </w:rPr>
        <w:t>et</w:t>
      </w:r>
      <w:r>
        <w:rPr>
          <w:spacing w:val="-10"/>
          <w:sz w:val="28"/>
        </w:rPr>
        <w:t> </w:t>
      </w:r>
      <w:r>
        <w:rPr>
          <w:sz w:val="28"/>
        </w:rPr>
        <w:t>ses résultats, sur le niveau de participation le cas</w:t>
      </w:r>
      <w:r>
        <w:rPr>
          <w:spacing w:val="-8"/>
          <w:sz w:val="28"/>
        </w:rPr>
        <w:t> </w:t>
      </w:r>
      <w:r>
        <w:rPr>
          <w:sz w:val="28"/>
        </w:rPr>
        <w:t>échéant,</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Les réserves et les oppositions des soumissionnaires s'il y a</w:t>
      </w:r>
      <w:r>
        <w:rPr>
          <w:spacing w:val="-7"/>
          <w:sz w:val="28"/>
        </w:rPr>
        <w:t> </w:t>
      </w:r>
      <w:r>
        <w:rPr>
          <w:sz w:val="28"/>
        </w:rPr>
        <w:t>lieu,</w:t>
      </w:r>
    </w:p>
    <w:p>
      <w:pPr>
        <w:pStyle w:val="ListParagraph"/>
        <w:numPr>
          <w:ilvl w:val="1"/>
          <w:numId w:val="91"/>
        </w:numPr>
        <w:tabs>
          <w:tab w:pos="1003" w:val="left" w:leader="none"/>
        </w:tabs>
        <w:spacing w:line="342" w:lineRule="exact" w:before="0" w:after="0"/>
        <w:ind w:left="1002" w:right="0" w:hanging="287"/>
        <w:jc w:val="left"/>
        <w:rPr>
          <w:sz w:val="28"/>
        </w:rPr>
      </w:pPr>
      <w:r>
        <w:rPr>
          <w:sz w:val="28"/>
        </w:rPr>
        <w:t>L’avis sur le caractère acceptable des</w:t>
      </w:r>
      <w:r>
        <w:rPr>
          <w:spacing w:val="-6"/>
          <w:sz w:val="28"/>
        </w:rPr>
        <w:t> </w:t>
      </w:r>
      <w:r>
        <w:rPr>
          <w:sz w:val="28"/>
        </w:rPr>
        <w:t>prix.</w:t>
      </w:r>
    </w:p>
    <w:p>
      <w:pPr>
        <w:pStyle w:val="Heading2"/>
        <w:spacing w:before="236"/>
        <w:ind w:left="3107"/>
        <w:jc w:val="left"/>
      </w:pPr>
      <w:bookmarkStart w:name="_TOC_250004" w:id="139"/>
      <w:bookmarkEnd w:id="139"/>
      <w:r>
        <w:rPr/>
        <w:t>Annexe n°18 : Contenu des contrats</w:t>
      </w:r>
    </w:p>
    <w:p>
      <w:pPr>
        <w:pStyle w:val="ListParagraph"/>
        <w:numPr>
          <w:ilvl w:val="1"/>
          <w:numId w:val="91"/>
        </w:numPr>
        <w:tabs>
          <w:tab w:pos="1000" w:val="left" w:leader="none"/>
        </w:tabs>
        <w:spacing w:line="240" w:lineRule="auto" w:before="42" w:after="0"/>
        <w:ind w:left="999" w:right="0" w:hanging="284"/>
        <w:jc w:val="left"/>
        <w:rPr>
          <w:sz w:val="28"/>
        </w:rPr>
      </w:pPr>
      <w:r>
        <w:rPr>
          <w:sz w:val="28"/>
        </w:rPr>
        <w:t>L’identification des parties</w:t>
      </w:r>
      <w:r>
        <w:rPr>
          <w:spacing w:val="-2"/>
          <w:sz w:val="28"/>
        </w:rPr>
        <w:t> </w:t>
      </w:r>
      <w:r>
        <w:rPr>
          <w:sz w:val="28"/>
        </w:rPr>
        <w:t>contractantes,</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L'objet du</w:t>
      </w:r>
      <w:r>
        <w:rPr>
          <w:spacing w:val="-3"/>
          <w:sz w:val="28"/>
        </w:rPr>
        <w:t> </w:t>
      </w:r>
      <w:r>
        <w:rPr>
          <w:sz w:val="28"/>
        </w:rPr>
        <w:t>contrat,</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La clause d’incitation à la sous-traitance</w:t>
      </w:r>
      <w:r>
        <w:rPr>
          <w:spacing w:val="-8"/>
          <w:sz w:val="28"/>
        </w:rPr>
        <w:t> </w:t>
      </w:r>
      <w:r>
        <w:rPr>
          <w:sz w:val="28"/>
        </w:rPr>
        <w:t>nationale,</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L'énumération par ordre de priorité des pièces constitutives du</w:t>
      </w:r>
      <w:r>
        <w:rPr>
          <w:spacing w:val="-12"/>
          <w:sz w:val="28"/>
        </w:rPr>
        <w:t> </w:t>
      </w:r>
      <w:r>
        <w:rPr>
          <w:sz w:val="28"/>
        </w:rPr>
        <w:t>contrat,</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Le prix de l’achat avec indication de son caractère ferme ou</w:t>
      </w:r>
      <w:r>
        <w:rPr>
          <w:spacing w:val="-10"/>
          <w:sz w:val="28"/>
        </w:rPr>
        <w:t> </w:t>
      </w:r>
      <w:r>
        <w:rPr>
          <w:sz w:val="28"/>
        </w:rPr>
        <w:t>révisable,</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Le délai d'exécution du contrat et les pénalités pour</w:t>
      </w:r>
      <w:r>
        <w:rPr>
          <w:spacing w:val="-7"/>
          <w:sz w:val="28"/>
        </w:rPr>
        <w:t> </w:t>
      </w:r>
      <w:r>
        <w:rPr>
          <w:sz w:val="28"/>
        </w:rPr>
        <w:t>retard,</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Les conditions de livraison et de réception des prestations objet du</w:t>
      </w:r>
      <w:r>
        <w:rPr>
          <w:spacing w:val="-17"/>
          <w:sz w:val="28"/>
        </w:rPr>
        <w:t> </w:t>
      </w:r>
      <w:r>
        <w:rPr>
          <w:sz w:val="28"/>
        </w:rPr>
        <w:t>contrat,</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Les conditions de règlement et les délais de</w:t>
      </w:r>
      <w:r>
        <w:rPr>
          <w:spacing w:val="-11"/>
          <w:sz w:val="28"/>
        </w:rPr>
        <w:t> </w:t>
      </w:r>
      <w:r>
        <w:rPr>
          <w:sz w:val="28"/>
        </w:rPr>
        <w:t>paiement,</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Les cas et les conditions de</w:t>
      </w:r>
      <w:r>
        <w:rPr>
          <w:spacing w:val="2"/>
          <w:sz w:val="28"/>
        </w:rPr>
        <w:t> </w:t>
      </w:r>
      <w:r>
        <w:rPr>
          <w:sz w:val="28"/>
        </w:rPr>
        <w:t>résiliation,</w:t>
      </w:r>
    </w:p>
    <w:p>
      <w:pPr>
        <w:pStyle w:val="ListParagraph"/>
        <w:numPr>
          <w:ilvl w:val="1"/>
          <w:numId w:val="91"/>
        </w:numPr>
        <w:tabs>
          <w:tab w:pos="1000" w:val="left" w:leader="none"/>
        </w:tabs>
        <w:spacing w:line="342" w:lineRule="exact" w:before="1" w:after="0"/>
        <w:ind w:left="999" w:right="0" w:hanging="284"/>
        <w:jc w:val="left"/>
        <w:rPr>
          <w:sz w:val="28"/>
        </w:rPr>
      </w:pPr>
      <w:r>
        <w:rPr>
          <w:sz w:val="28"/>
        </w:rPr>
        <w:t>Les procédures de règlement des</w:t>
      </w:r>
      <w:r>
        <w:rPr>
          <w:spacing w:val="-4"/>
          <w:sz w:val="28"/>
        </w:rPr>
        <w:t> </w:t>
      </w:r>
      <w:r>
        <w:rPr>
          <w:sz w:val="28"/>
        </w:rPr>
        <w:t>litiges,</w:t>
      </w:r>
    </w:p>
    <w:p>
      <w:pPr>
        <w:pStyle w:val="ListParagraph"/>
        <w:numPr>
          <w:ilvl w:val="1"/>
          <w:numId w:val="91"/>
        </w:numPr>
        <w:tabs>
          <w:tab w:pos="1000" w:val="left" w:leader="none"/>
        </w:tabs>
        <w:spacing w:line="342" w:lineRule="exact" w:before="0" w:after="0"/>
        <w:ind w:left="999" w:right="0" w:hanging="284"/>
        <w:jc w:val="left"/>
        <w:rPr>
          <w:sz w:val="28"/>
        </w:rPr>
      </w:pPr>
      <w:r>
        <w:rPr>
          <w:sz w:val="28"/>
        </w:rPr>
        <w:t>La date de la conclusion et la date de mise en vigueur du</w:t>
      </w:r>
      <w:r>
        <w:rPr>
          <w:spacing w:val="-10"/>
          <w:sz w:val="28"/>
        </w:rPr>
        <w:t> </w:t>
      </w:r>
      <w:r>
        <w:rPr>
          <w:sz w:val="28"/>
        </w:rPr>
        <w:t>contrat.</w:t>
      </w:r>
    </w:p>
    <w:p>
      <w:pPr>
        <w:spacing w:after="0" w:line="342" w:lineRule="exact"/>
        <w:jc w:val="left"/>
        <w:rPr>
          <w:sz w:val="28"/>
        </w:rPr>
        <w:sectPr>
          <w:pgSz w:w="11910" w:h="16840"/>
          <w:pgMar w:header="722" w:footer="0" w:top="1860" w:bottom="280" w:left="700" w:right="680"/>
        </w:sectPr>
      </w:pPr>
    </w:p>
    <w:tbl>
      <w:tblPr>
        <w:tblW w:w="0" w:type="auto"/>
        <w:jc w:val="left"/>
        <w:tblInd w:w="26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1"/>
      </w:tblGrid>
      <w:tr>
        <w:trPr>
          <w:trHeight w:val="260" w:hRule="atLeast"/>
        </w:trPr>
        <w:tc>
          <w:tcPr>
            <w:tcW w:w="1440" w:type="dxa"/>
            <w:vMerge w:val="restart"/>
          </w:tcPr>
          <w:p>
            <w:pPr>
              <w:pStyle w:val="TableParagraph"/>
              <w:ind w:left="59" w:right="-15"/>
              <w:rPr>
                <w:sz w:val="20"/>
              </w:rPr>
            </w:pPr>
            <w:r>
              <w:rPr>
                <w:sz w:val="20"/>
              </w:rPr>
              <w:drawing>
                <wp:inline distT="0" distB="0" distL="0" distR="0">
                  <wp:extent cx="838977" cy="672083"/>
                  <wp:effectExtent l="0" t="0" r="0" b="0"/>
                  <wp:docPr id="13" name="image1.jpeg"/>
                  <wp:cNvGraphicFramePr>
                    <a:graphicFrameLocks noChangeAspect="1"/>
                  </wp:cNvGraphicFramePr>
                  <a:graphic>
                    <a:graphicData uri="http://schemas.openxmlformats.org/drawingml/2006/picture">
                      <pic:pic>
                        <pic:nvPicPr>
                          <pic:cNvPr id="14" name="image1.jpeg"/>
                          <pic:cNvPicPr/>
                        </pic:nvPicPr>
                        <pic:blipFill>
                          <a:blip r:embed="rId17" cstate="print"/>
                          <a:stretch>
                            <a:fillRect/>
                          </a:stretch>
                        </pic:blipFill>
                        <pic:spPr>
                          <a:xfrm>
                            <a:off x="0" y="0"/>
                            <a:ext cx="838977" cy="672083"/>
                          </a:xfrm>
                          <a:prstGeom prst="rect">
                            <a:avLst/>
                          </a:prstGeom>
                        </pic:spPr>
                      </pic:pic>
                    </a:graphicData>
                  </a:graphic>
                </wp:inline>
              </w:drawing>
            </w:r>
            <w:r>
              <w:rPr>
                <w:sz w:val="20"/>
              </w:rPr>
            </w:r>
          </w:p>
        </w:tc>
        <w:tc>
          <w:tcPr>
            <w:tcW w:w="6481" w:type="dxa"/>
            <w:vMerge w:val="restart"/>
          </w:tcPr>
          <w:p>
            <w:pPr>
              <w:pStyle w:val="TableParagraph"/>
              <w:spacing w:before="10"/>
              <w:rPr>
                <w:sz w:val="25"/>
              </w:rPr>
            </w:pPr>
          </w:p>
          <w:p>
            <w:pPr>
              <w:pStyle w:val="TableParagraph"/>
              <w:ind w:left="652" w:right="627"/>
              <w:jc w:val="center"/>
              <w:rPr>
                <w:b/>
                <w:sz w:val="22"/>
              </w:rPr>
            </w:pPr>
            <w:r>
              <w:rPr>
                <w:b/>
                <w:sz w:val="22"/>
              </w:rPr>
              <w:t>MANUEL DES PROCEDURES</w:t>
            </w:r>
          </w:p>
          <w:p>
            <w:pPr>
              <w:pStyle w:val="TableParagraph"/>
              <w:spacing w:before="2"/>
              <w:ind w:left="650" w:right="627"/>
              <w:jc w:val="center"/>
              <w:rPr>
                <w:b/>
                <w:sz w:val="22"/>
              </w:rPr>
            </w:pPr>
            <w:r>
              <w:rPr>
                <w:b/>
                <w:sz w:val="22"/>
              </w:rPr>
              <w:t>DES ACHATS DU GROUPE CHIMIQUE TUNISIEN</w:t>
            </w:r>
          </w:p>
        </w:tc>
        <w:tc>
          <w:tcPr>
            <w:tcW w:w="2341" w:type="dxa"/>
            <w:tcBorders>
              <w:bottom w:val="single" w:sz="4" w:space="0" w:color="000000"/>
            </w:tcBorders>
          </w:tcPr>
          <w:p>
            <w:pPr>
              <w:pStyle w:val="TableParagraph"/>
              <w:spacing w:line="240" w:lineRule="exact"/>
              <w:ind w:left="28"/>
              <w:rPr>
                <w:rFonts w:ascii="Calibri" w:hAnsi="Calibri"/>
                <w:b/>
                <w:sz w:val="22"/>
              </w:rPr>
            </w:pPr>
            <w:r>
              <w:rPr>
                <w:rFonts w:ascii="Calibri" w:hAnsi="Calibri"/>
                <w:b/>
                <w:sz w:val="22"/>
              </w:rPr>
              <w:t>Réf. :MPRC_001</w:t>
            </w:r>
          </w:p>
        </w:tc>
      </w:tr>
      <w:tr>
        <w:trPr>
          <w:trHeight w:val="250"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1" w:type="dxa"/>
            <w:tcBorders>
              <w:top w:val="single" w:sz="4" w:space="0" w:color="000000"/>
              <w:bottom w:val="single" w:sz="4" w:space="0" w:color="000000"/>
            </w:tcBorders>
          </w:tcPr>
          <w:p>
            <w:pPr>
              <w:pStyle w:val="TableParagraph"/>
              <w:spacing w:line="231" w:lineRule="exact"/>
              <w:ind w:left="28"/>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1" w:type="dxa"/>
            <w:tcBorders>
              <w:top w:val="single" w:sz="4" w:space="0" w:color="000000"/>
              <w:bottom w:val="single" w:sz="6" w:space="0" w:color="000000"/>
            </w:tcBorders>
          </w:tcPr>
          <w:p>
            <w:pPr>
              <w:pStyle w:val="TableParagraph"/>
              <w:spacing w:line="233" w:lineRule="exact"/>
              <w:ind w:left="28"/>
              <w:rPr>
                <w:rFonts w:ascii="Calibri"/>
                <w:b/>
                <w:sz w:val="22"/>
              </w:rPr>
            </w:pPr>
            <w:r>
              <w:rPr>
                <w:rFonts w:ascii="Calibri"/>
                <w:b/>
                <w:sz w:val="22"/>
              </w:rPr>
              <w:t>Date: 29/12/2022</w:t>
            </w:r>
          </w:p>
        </w:tc>
      </w:tr>
      <w:tr>
        <w:trPr>
          <w:trHeight w:val="260"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1" w:type="dxa"/>
            <w:tcBorders>
              <w:top w:val="single" w:sz="6" w:space="0" w:color="000000"/>
            </w:tcBorders>
          </w:tcPr>
          <w:p>
            <w:pPr>
              <w:pStyle w:val="TableParagraph"/>
              <w:spacing w:line="241" w:lineRule="exact"/>
              <w:ind w:left="28"/>
              <w:rPr>
                <w:rFonts w:ascii="Calibri"/>
                <w:b/>
                <w:sz w:val="22"/>
              </w:rPr>
            </w:pPr>
            <w:r>
              <w:rPr>
                <w:rFonts w:ascii="Calibri"/>
                <w:b/>
                <w:sz w:val="22"/>
              </w:rPr>
              <w:t>Page : xviii</w:t>
            </w:r>
          </w:p>
        </w:tc>
      </w:tr>
    </w:tbl>
    <w:p>
      <w:pPr>
        <w:pStyle w:val="BodyText"/>
        <w:ind w:left="0" w:firstLine="0"/>
        <w:jc w:val="left"/>
        <w:rPr>
          <w:sz w:val="15"/>
        </w:rPr>
      </w:pPr>
      <w:r>
        <w:rPr/>
        <w:pict>
          <v:group style="position:absolute;margin-left:580.430359pt;margin-top:197.952011pt;width:187.15pt;height:191.8pt;mso-position-horizontal-relative:page;mso-position-vertical-relative:page;z-index:-256609280" coordorigin="11609,3959" coordsize="3743,3836">
            <v:shape style="position:absolute;left:12559;top:5424;width:980;height:485" coordorigin="12559,5424" coordsize="980,485" path="m13538,5424l13538,5616,12559,5616,12559,5909e" filled="false" stroked="true" strokeweight=".684826pt" strokecolor="#000000">
              <v:path arrowok="t"/>
              <v:stroke dashstyle="solid"/>
            </v:shape>
            <v:shape style="position:absolute;left:12506;top:5896;width:105;height:100" coordorigin="12507,5896" coordsize="105,100" path="m12612,5896l12507,5896,12559,5996,12612,5896xe" filled="true" fillcolor="#000000" stroked="false">
              <v:path arrowok="t"/>
              <v:fill type="solid"/>
            </v:shape>
            <v:shape style="position:absolute;left:13538;top:5424;width:1079;height:491" coordorigin="13538,5424" coordsize="1079,491" path="m13538,5424l13538,5599,14617,5599,14617,5914e" filled="false" stroked="true" strokeweight=".683897pt" strokecolor="#000000">
              <v:path arrowok="t"/>
              <v:stroke dashstyle="solid"/>
            </v:shape>
            <v:shape style="position:absolute;left:14564;top:5901;width:106;height:100" coordorigin="14565,5902" coordsize="106,100" path="m14670,5902l14565,5902,14617,6001,14670,5902xe" filled="true" fillcolor="#000000" stroked="false">
              <v:path arrowok="t"/>
              <v:fill type="solid"/>
            </v:shape>
            <v:shape style="position:absolute;left:11733;top:3965;width:3611;height:1459" type="#_x0000_t202" filled="false" stroked="true" strokeweight=".683251pt" strokecolor="#000000">
              <v:textbox inset="0,0,0,0">
                <w:txbxContent>
                  <w:p>
                    <w:pPr>
                      <w:spacing w:before="204"/>
                      <w:ind w:left="90" w:right="65" w:firstLine="0"/>
                      <w:jc w:val="center"/>
                      <w:rPr>
                        <w:sz w:val="21"/>
                      </w:rPr>
                    </w:pPr>
                    <w:r>
                      <w:rPr>
                        <w:w w:val="110"/>
                        <w:sz w:val="21"/>
                      </w:rPr>
                      <w:t>Procédures</w:t>
                    </w:r>
                  </w:p>
                  <w:p>
                    <w:pPr>
                      <w:spacing w:before="19"/>
                      <w:ind w:left="87" w:right="68" w:firstLine="0"/>
                      <w:jc w:val="center"/>
                      <w:rPr>
                        <w:sz w:val="21"/>
                      </w:rPr>
                    </w:pPr>
                    <w:r>
                      <w:rPr>
                        <w:w w:val="110"/>
                        <w:sz w:val="21"/>
                      </w:rPr>
                      <w:t>d Achat des services d affrètement</w:t>
                    </w:r>
                  </w:p>
                  <w:p>
                    <w:pPr>
                      <w:spacing w:line="259" w:lineRule="auto" w:before="19"/>
                      <w:ind w:left="1275" w:right="1255" w:firstLine="0"/>
                      <w:jc w:val="center"/>
                      <w:rPr>
                        <w:sz w:val="21"/>
                      </w:rPr>
                    </w:pPr>
                    <w:r>
                      <w:rPr>
                        <w:w w:val="110"/>
                        <w:sz w:val="21"/>
                      </w:rPr>
                      <w:t>des navires </w:t>
                    </w:r>
                    <w:r>
                      <w:rPr>
                        <w:color w:val="7E7E7E"/>
                        <w:w w:val="110"/>
                        <w:sz w:val="21"/>
                      </w:rPr>
                      <w:t>Chapitre 4</w:t>
                    </w:r>
                  </w:p>
                </w:txbxContent>
              </v:textbox>
              <v:stroke dashstyle="solid"/>
              <w10:wrap type="none"/>
            </v:shape>
            <v:shape style="position:absolute;left:11615;top:5995;width:1888;height:1792" type="#_x0000_t202" filled="false" stroked="true" strokeweight=".695903pt" strokecolor="#000000">
              <v:textbox inset="0,0,0,0">
                <w:txbxContent>
                  <w:p>
                    <w:pPr>
                      <w:spacing w:line="240" w:lineRule="auto" w:before="0"/>
                      <w:rPr>
                        <w:b/>
                        <w:sz w:val="18"/>
                      </w:rPr>
                    </w:pPr>
                  </w:p>
                  <w:p>
                    <w:pPr>
                      <w:spacing w:line="240" w:lineRule="auto" w:before="5"/>
                      <w:rPr>
                        <w:b/>
                        <w:sz w:val="22"/>
                      </w:rPr>
                    </w:pPr>
                  </w:p>
                  <w:p>
                    <w:pPr>
                      <w:spacing w:line="266" w:lineRule="auto" w:before="1"/>
                      <w:ind w:left="154" w:right="134" w:hanging="2"/>
                      <w:jc w:val="center"/>
                      <w:rPr>
                        <w:sz w:val="17"/>
                      </w:rPr>
                    </w:pPr>
                    <w:r>
                      <w:rPr>
                        <w:w w:val="110"/>
                        <w:sz w:val="17"/>
                      </w:rPr>
                      <w:t>Procédure de passation des Achats d affrètement hors marchés</w:t>
                    </w:r>
                  </w:p>
                </w:txbxContent>
              </v:textbox>
              <v:stroke dashstyle="solid"/>
              <w10:wrap type="none"/>
            </v:shape>
            <w10:wrap type="none"/>
          </v:group>
        </w:pict>
      </w:r>
    </w:p>
    <w:p>
      <w:pPr>
        <w:pStyle w:val="Heading2"/>
        <w:ind w:left="227"/>
        <w:jc w:val="left"/>
      </w:pPr>
      <w:r>
        <w:rPr/>
        <w:pict>
          <v:group style="position:absolute;margin-left:174.754562pt;margin-top:48.82436pt;width:504.8pt;height:74.850pt;mso-position-horizontal-relative:page;mso-position-vertical-relative:paragraph;z-index:251697152" coordorigin="3495,976" coordsize="10096,1497">
            <v:shape style="position:absolute;left:3547;top:1846;width:4599;height:539" coordorigin="3548,1847" coordsize="4599,539" path="m8146,1847l8146,2129,3548,2129,3548,2385e" filled="false" stroked="true" strokeweight=".678148pt" strokecolor="#000000">
              <v:path arrowok="t"/>
              <v:stroke dashstyle="solid"/>
            </v:shape>
            <v:shape style="position:absolute;left:3495;top:2373;width:106;height:100" coordorigin="3495,2373" coordsize="106,100" path="m3600,2373l3495,2373,3548,2473,3600,2373xe" filled="true" fillcolor="#000000" stroked="false">
              <v:path arrowok="t"/>
              <v:fill type="solid"/>
            </v:shape>
            <v:shape style="position:absolute;left:8145;top:1846;width:826;height:539" coordorigin="8146,1847" coordsize="826,539" path="m8146,1847l8146,2129,8971,2129,8971,2385e" filled="false" stroked="true" strokeweight=".688553pt" strokecolor="#000000">
              <v:path arrowok="t"/>
              <v:stroke dashstyle="solid"/>
            </v:shape>
            <v:shape style="position:absolute;left:8918;top:2373;width:106;height:100" coordorigin="8918,2373" coordsize="106,100" path="m9023,2373l8918,2373,8971,2473,9023,2373xe" filled="true" fillcolor="#000000" stroked="false">
              <v:path arrowok="t"/>
              <v:fill type="solid"/>
            </v:shape>
            <v:shape style="position:absolute;left:8145;top:1846;width:5393;height:539" coordorigin="8146,1847" coordsize="5393,539" path="m8146,1847l8146,2129,13538,2129,13538,2385e" filled="false" stroked="true" strokeweight=".678014pt" strokecolor="#000000">
              <v:path arrowok="t"/>
              <v:stroke dashstyle="solid"/>
            </v:shape>
            <v:shape style="position:absolute;left:13486;top:2373;width:105;height:100" coordorigin="13486,2373" coordsize="105,100" path="m13591,2373l13486,2373,13538,2473,13591,2373xe" filled="true" fillcolor="#000000" stroked="false">
              <v:path arrowok="t"/>
              <v:fill type="solid"/>
            </v:shape>
            <v:shape style="position:absolute;left:6610;top:983;width:3072;height:864" type="#_x0000_t202" filled="false" stroked="true" strokeweight=".680599pt" strokecolor="#000000">
              <v:textbox inset="0,0,0,0">
                <w:txbxContent>
                  <w:p>
                    <w:pPr>
                      <w:spacing w:before="225"/>
                      <w:ind w:left="383" w:right="0" w:firstLine="0"/>
                      <w:jc w:val="left"/>
                      <w:rPr>
                        <w:b/>
                        <w:sz w:val="32"/>
                      </w:rPr>
                    </w:pPr>
                    <w:r>
                      <w:rPr>
                        <w:b/>
                        <w:w w:val="105"/>
                        <w:sz w:val="32"/>
                      </w:rPr>
                      <w:t>Achats du GCT</w:t>
                    </w:r>
                  </w:p>
                </w:txbxContent>
              </v:textbox>
              <v:stroke dashstyle="solid"/>
              <w10:wrap type="none"/>
            </v:shape>
            <w10:wrap type="none"/>
          </v:group>
        </w:pict>
      </w:r>
      <w:bookmarkStart w:name="_TOC_250003" w:id="140"/>
      <w:bookmarkEnd w:id="140"/>
      <w:r>
        <w:rPr/>
        <w:t>Annexe n°19 : Logigramme récapitulatif des procédures d’achat du GCT</w:t>
      </w: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spacing w:before="3"/>
        <w:ind w:left="0" w:firstLine="0"/>
        <w:jc w:val="left"/>
        <w:rPr>
          <w:b/>
          <w:sz w:val="15"/>
        </w:rPr>
      </w:pPr>
      <w:r>
        <w:rPr/>
        <w:pict>
          <v:group style="position:absolute;margin-left:29.438896pt;margin-top:10.766915pt;width:318.9pt;height:191.8pt;mso-position-horizontal-relative:page;mso-position-vertical-relative:paragraph;z-index:-251638784;mso-wrap-distance-left:0;mso-wrap-distance-right:0" coordorigin="589,215" coordsize="6378,3836">
            <v:line style="position:absolute" from="3548,1681" to="3544,2165" stroked="true" strokeweight=".714135pt" strokecolor="#000000">
              <v:stroke dashstyle="solid"/>
            </v:line>
            <v:shape style="position:absolute;left:3491;top:2152;width:105;height:101" coordorigin="3491,2152" coordsize="105,101" path="m3491,2152l3543,2252,3596,2153,3491,2152xe" filled="true" fillcolor="#000000" stroked="false">
              <v:path arrowok="t"/>
              <v:fill type="solid"/>
            </v:shape>
            <v:shape style="position:absolute;left:1539;top:1680;width:2009;height:485" coordorigin="1539,1681" coordsize="2009,485" path="m3548,1681l3548,1936,1539,1936,1539,2165e" filled="false" stroked="true" strokeweight=".67966pt" strokecolor="#000000">
              <v:path arrowok="t"/>
              <v:stroke dashstyle="solid"/>
            </v:shape>
            <v:shape style="position:absolute;left:1487;top:2152;width:105;height:100" coordorigin="1487,2152" coordsize="105,100" path="m1592,2152l1487,2152,1539,2252,1592,2152xe" filled="true" fillcolor="#000000" stroked="false">
              <v:path arrowok="t"/>
              <v:fill type="solid"/>
            </v:shape>
            <v:shape style="position:absolute;left:3547;top:1680;width:2253;height:572" coordorigin="3548,1681" coordsize="2253,572" path="m3548,1681l3548,1936,5800,1936,5800,2252e" filled="false" stroked="true" strokeweight=".679862pt" strokecolor="#000000">
              <v:path arrowok="t"/>
              <v:stroke dashstyle="solid"/>
            </v:shape>
            <v:shape style="position:absolute;left:4640;top:2252;width:2319;height:1792" type="#_x0000_t202" filled="false" stroked="true" strokeweight=".6922pt" strokecolor="#000000">
              <v:textbox inset="0,0,0,0">
                <w:txbxContent>
                  <w:p>
                    <w:pPr>
                      <w:spacing w:line="240" w:lineRule="auto" w:before="5"/>
                      <w:rPr>
                        <w:b/>
                        <w:sz w:val="22"/>
                      </w:rPr>
                    </w:pPr>
                  </w:p>
                  <w:p>
                    <w:pPr>
                      <w:spacing w:line="249" w:lineRule="auto" w:before="0"/>
                      <w:ind w:left="70" w:right="56" w:firstLine="0"/>
                      <w:jc w:val="center"/>
                      <w:rPr>
                        <w:sz w:val="20"/>
                      </w:rPr>
                    </w:pPr>
                    <w:r>
                      <w:rPr>
                        <w:w w:val="105"/>
                        <w:sz w:val="20"/>
                      </w:rPr>
                      <w:t>Dispositions particulières aux Achats hors marchés et Marchés de prestations intellectuelles et des</w:t>
                    </w:r>
                  </w:p>
                  <w:p>
                    <w:pPr>
                      <w:spacing w:before="47"/>
                      <w:ind w:left="60" w:right="56" w:firstLine="0"/>
                      <w:jc w:val="center"/>
                      <w:rPr>
                        <w:sz w:val="20"/>
                      </w:rPr>
                    </w:pPr>
                    <w:r>
                      <w:rPr>
                        <w:w w:val="105"/>
                        <w:sz w:val="20"/>
                      </w:rPr>
                      <w:t>biens d occasion usagés</w:t>
                    </w:r>
                  </w:p>
                </w:txbxContent>
              </v:textbox>
              <v:stroke dashstyle="solid"/>
              <w10:wrap type="none"/>
            </v:shape>
            <v:shape style="position:absolute;left:1742;top:222;width:3611;height:1459" type="#_x0000_t202" filled="false" stroked="true" strokeweight=".683251pt" strokecolor="#000000">
              <v:textbox inset="0,0,0,0">
                <w:txbxContent>
                  <w:p>
                    <w:pPr>
                      <w:spacing w:before="204"/>
                      <w:ind w:left="74" w:right="68" w:firstLine="0"/>
                      <w:jc w:val="center"/>
                      <w:rPr>
                        <w:sz w:val="21"/>
                      </w:rPr>
                    </w:pPr>
                    <w:r>
                      <w:rPr>
                        <w:w w:val="110"/>
                        <w:sz w:val="21"/>
                      </w:rPr>
                      <w:t>Procédures</w:t>
                    </w:r>
                  </w:p>
                  <w:p>
                    <w:pPr>
                      <w:spacing w:before="19"/>
                      <w:ind w:left="69" w:right="68" w:firstLine="0"/>
                      <w:jc w:val="center"/>
                      <w:rPr>
                        <w:sz w:val="21"/>
                      </w:rPr>
                    </w:pPr>
                    <w:r>
                      <w:rPr>
                        <w:w w:val="110"/>
                        <w:sz w:val="21"/>
                      </w:rPr>
                      <w:t>d Achat Hors matières Premières</w:t>
                    </w:r>
                  </w:p>
                  <w:p>
                    <w:pPr>
                      <w:spacing w:line="240" w:lineRule="auto" w:before="3"/>
                      <w:rPr>
                        <w:sz w:val="24"/>
                      </w:rPr>
                    </w:pPr>
                  </w:p>
                  <w:p>
                    <w:pPr>
                      <w:spacing w:before="0"/>
                      <w:ind w:left="73" w:right="68" w:firstLine="0"/>
                      <w:jc w:val="center"/>
                      <w:rPr>
                        <w:sz w:val="21"/>
                      </w:rPr>
                    </w:pPr>
                    <w:r>
                      <w:rPr>
                        <w:color w:val="7E7E7E"/>
                        <w:w w:val="110"/>
                        <w:sz w:val="21"/>
                      </w:rPr>
                      <w:t>Chapitre 2</w:t>
                    </w:r>
                  </w:p>
                </w:txbxContent>
              </v:textbox>
              <v:stroke dashstyle="solid"/>
              <w10:wrap type="none"/>
            </v:shape>
            <v:shape style="position:absolute;left:595;top:2252;width:1888;height:1792" type="#_x0000_t202" filled="false" stroked="true" strokeweight=".695903pt" strokecolor="#000000">
              <v:textbox inset="0,0,0,0">
                <w:txbxContent>
                  <w:p>
                    <w:pPr>
                      <w:spacing w:line="240" w:lineRule="auto" w:before="0"/>
                      <w:rPr>
                        <w:b/>
                        <w:sz w:val="22"/>
                      </w:rPr>
                    </w:pPr>
                  </w:p>
                  <w:p>
                    <w:pPr>
                      <w:spacing w:line="249" w:lineRule="auto" w:before="158"/>
                      <w:ind w:left="326" w:right="324" w:firstLine="0"/>
                      <w:jc w:val="center"/>
                      <w:rPr>
                        <w:sz w:val="20"/>
                      </w:rPr>
                    </w:pPr>
                    <w:r>
                      <w:rPr>
                        <w:w w:val="105"/>
                        <w:sz w:val="20"/>
                      </w:rPr>
                      <w:t>Procédures de passation des Achats hors marchés</w:t>
                    </w:r>
                  </w:p>
                </w:txbxContent>
              </v:textbox>
              <v:stroke dashstyle="solid"/>
              <w10:wrap type="none"/>
            </v:shape>
            <v:shape style="position:absolute;left:2599;top:2252;width:1888;height:1792" type="#_x0000_t202" filled="false" stroked="true" strokeweight=".695903pt" strokecolor="#000000">
              <v:textbox inset="0,0,0,0">
                <w:txbxContent>
                  <w:p>
                    <w:pPr>
                      <w:spacing w:line="240" w:lineRule="auto" w:before="0"/>
                      <w:rPr>
                        <w:b/>
                        <w:sz w:val="22"/>
                      </w:rPr>
                    </w:pPr>
                  </w:p>
                  <w:p>
                    <w:pPr>
                      <w:spacing w:line="240" w:lineRule="auto" w:before="0"/>
                      <w:rPr>
                        <w:b/>
                        <w:sz w:val="24"/>
                      </w:rPr>
                    </w:pPr>
                  </w:p>
                  <w:p>
                    <w:pPr>
                      <w:spacing w:line="249" w:lineRule="auto" w:before="1"/>
                      <w:ind w:left="322" w:right="371" w:hanging="6"/>
                      <w:jc w:val="center"/>
                      <w:rPr>
                        <w:sz w:val="20"/>
                      </w:rPr>
                    </w:pPr>
                    <w:r>
                      <w:rPr>
                        <w:w w:val="105"/>
                        <w:sz w:val="20"/>
                      </w:rPr>
                      <w:t>Procédures de passation des Marchés</w:t>
                    </w:r>
                  </w:p>
                </w:txbxContent>
              </v:textbox>
              <v:stroke dashstyle="solid"/>
              <w10:wrap type="none"/>
            </v:shape>
            <w10:wrap type="topAndBottom"/>
          </v:group>
        </w:pict>
      </w:r>
      <w:r>
        <w:rPr/>
        <w:pict>
          <v:group style="position:absolute;margin-left:353.009888pt;margin-top:10.766915pt;width:217.45pt;height:191.8pt;mso-position-horizontal-relative:page;mso-position-vertical-relative:paragraph;z-index:-251634688;mso-wrap-distance-left:0;mso-wrap-distance-right:0" coordorigin="7060,215" coordsize="4349,3836">
            <v:shape style="position:absolute;left:8010;top:1680;width:960;height:485" coordorigin="8011,1681" coordsize="960,485" path="m8971,1681l8971,1963,8011,1963,8011,2165e" filled="false" stroked="true" strokeweight=".685057pt" strokecolor="#000000">
              <v:path arrowok="t"/>
              <v:stroke dashstyle="solid"/>
            </v:shape>
            <v:shape style="position:absolute;left:7958;top:2152;width:105;height:100" coordorigin="7958,2152" coordsize="105,100" path="m8063,2152l7958,2152,8011,2252,8063,2152xe" filled="true" fillcolor="#000000" stroked="false">
              <v:path arrowok="t"/>
              <v:fill type="solid"/>
            </v:shape>
            <v:shape style="position:absolute;left:8970;top:1680;width:1272;height:485" coordorigin="8971,1681" coordsize="1272,485" path="m8971,1681l8971,1936,10242,1936,10242,2165e" filled="false" stroked="true" strokeweight=".682278pt" strokecolor="#000000">
              <v:path arrowok="t"/>
              <v:stroke dashstyle="solid"/>
            </v:shape>
            <v:shape style="position:absolute;left:10189;top:2152;width:105;height:100" coordorigin="10190,2152" coordsize="105,100" path="m10294,2152l10190,2152,10242,2252,10294,2152xe" filled="true" fillcolor="#000000" stroked="false">
              <v:path arrowok="t"/>
              <v:fill type="solid"/>
            </v:shape>
            <v:shape style="position:absolute;left:7165;top:222;width:3611;height:1459" type="#_x0000_t202" filled="false" stroked="true" strokeweight=".683251pt" strokecolor="#000000">
              <v:textbox inset="0,0,0,0">
                <w:txbxContent>
                  <w:p>
                    <w:pPr>
                      <w:spacing w:before="96"/>
                      <w:ind w:left="83" w:right="68" w:firstLine="0"/>
                      <w:jc w:val="center"/>
                      <w:rPr>
                        <w:sz w:val="21"/>
                      </w:rPr>
                    </w:pPr>
                    <w:r>
                      <w:rPr>
                        <w:w w:val="110"/>
                        <w:sz w:val="21"/>
                      </w:rPr>
                      <w:t>Procédures</w:t>
                    </w:r>
                  </w:p>
                  <w:p>
                    <w:pPr>
                      <w:spacing w:before="19"/>
                      <w:ind w:left="84" w:right="68" w:firstLine="0"/>
                      <w:jc w:val="center"/>
                      <w:rPr>
                        <w:sz w:val="21"/>
                      </w:rPr>
                    </w:pPr>
                    <w:r>
                      <w:rPr>
                        <w:w w:val="110"/>
                        <w:sz w:val="21"/>
                      </w:rPr>
                      <w:t>d Achats des matières premières</w:t>
                    </w:r>
                  </w:p>
                  <w:p>
                    <w:pPr>
                      <w:spacing w:line="307" w:lineRule="auto" w:before="23"/>
                      <w:ind w:left="90" w:right="68" w:firstLine="0"/>
                      <w:jc w:val="center"/>
                      <w:rPr>
                        <w:sz w:val="17"/>
                      </w:rPr>
                    </w:pPr>
                    <w:r>
                      <w:rPr>
                        <w:w w:val="110"/>
                        <w:sz w:val="17"/>
                      </w:rPr>
                      <w:t>et des produits destines a être vendus en l'état ou conditionnes</w:t>
                    </w:r>
                  </w:p>
                  <w:p>
                    <w:pPr>
                      <w:spacing w:line="214" w:lineRule="exact" w:before="0"/>
                      <w:ind w:left="84" w:right="68" w:firstLine="0"/>
                      <w:jc w:val="center"/>
                      <w:rPr>
                        <w:sz w:val="21"/>
                      </w:rPr>
                    </w:pPr>
                    <w:r>
                      <w:rPr>
                        <w:color w:val="7E7E7E"/>
                        <w:w w:val="110"/>
                        <w:sz w:val="21"/>
                      </w:rPr>
                      <w:t>Chapitre 3</w:t>
                    </w:r>
                  </w:p>
                </w:txbxContent>
              </v:textbox>
              <v:stroke dashstyle="solid"/>
              <w10:wrap type="none"/>
            </v:shape>
            <v:shape style="position:absolute;left:9082;top:2252;width:2319;height:1792" type="#_x0000_t202" filled="false" stroked="true" strokeweight=".6922pt" strokecolor="#000000">
              <v:textbox inset="0,0,0,0">
                <w:txbxContent>
                  <w:p>
                    <w:pPr>
                      <w:spacing w:line="240" w:lineRule="auto" w:before="0"/>
                      <w:rPr>
                        <w:b/>
                        <w:sz w:val="22"/>
                      </w:rPr>
                    </w:pPr>
                  </w:p>
                  <w:p>
                    <w:pPr>
                      <w:spacing w:line="249" w:lineRule="auto" w:before="134"/>
                      <w:ind w:left="111" w:right="147" w:firstLine="1"/>
                      <w:jc w:val="center"/>
                      <w:rPr>
                        <w:sz w:val="20"/>
                      </w:rPr>
                    </w:pPr>
                    <w:r>
                      <w:rPr>
                        <w:spacing w:val="-3"/>
                        <w:w w:val="105"/>
                        <w:sz w:val="20"/>
                      </w:rPr>
                      <w:t>Procédure </w:t>
                    </w:r>
                    <w:r>
                      <w:rPr>
                        <w:spacing w:val="-4"/>
                        <w:w w:val="105"/>
                        <w:sz w:val="20"/>
                      </w:rPr>
                      <w:t>de </w:t>
                    </w:r>
                    <w:r>
                      <w:rPr>
                        <w:spacing w:val="-3"/>
                        <w:w w:val="105"/>
                        <w:sz w:val="20"/>
                      </w:rPr>
                      <w:t>passation </w:t>
                    </w:r>
                    <w:r>
                      <w:rPr>
                        <w:w w:val="105"/>
                        <w:sz w:val="20"/>
                      </w:rPr>
                      <w:t>des </w:t>
                    </w:r>
                    <w:r>
                      <w:rPr>
                        <w:spacing w:val="-3"/>
                        <w:w w:val="105"/>
                        <w:sz w:val="20"/>
                      </w:rPr>
                      <w:t>Marchés spécifiques</w:t>
                    </w:r>
                  </w:p>
                  <w:p>
                    <w:pPr>
                      <w:spacing w:line="242" w:lineRule="auto" w:before="0"/>
                      <w:ind w:left="126" w:right="152" w:firstLine="12"/>
                      <w:jc w:val="center"/>
                      <w:rPr>
                        <w:sz w:val="15"/>
                      </w:rPr>
                    </w:pPr>
                    <w:r>
                      <w:rPr>
                        <w:w w:val="105"/>
                        <w:sz w:val="15"/>
                      </w:rPr>
                      <w:t>d'acide</w:t>
                    </w:r>
                    <w:r>
                      <w:rPr>
                        <w:spacing w:val="-18"/>
                        <w:w w:val="105"/>
                        <w:sz w:val="15"/>
                      </w:rPr>
                      <w:t> </w:t>
                    </w:r>
                    <w:r>
                      <w:rPr>
                        <w:w w:val="105"/>
                        <w:sz w:val="15"/>
                      </w:rPr>
                      <w:t>sulfurique</w:t>
                    </w:r>
                    <w:r>
                      <w:rPr>
                        <w:spacing w:val="-19"/>
                        <w:w w:val="105"/>
                        <w:sz w:val="15"/>
                      </w:rPr>
                      <w:t> </w:t>
                    </w:r>
                    <w:r>
                      <w:rPr>
                        <w:w w:val="105"/>
                        <w:sz w:val="15"/>
                      </w:rPr>
                      <w:t>et</w:t>
                    </w:r>
                    <w:r>
                      <w:rPr>
                        <w:spacing w:val="-18"/>
                        <w:w w:val="105"/>
                        <w:sz w:val="15"/>
                      </w:rPr>
                      <w:t> </w:t>
                    </w:r>
                    <w:r>
                      <w:rPr>
                        <w:spacing w:val="-3"/>
                        <w:w w:val="105"/>
                        <w:sz w:val="15"/>
                      </w:rPr>
                      <w:t>des</w:t>
                    </w:r>
                    <w:r>
                      <w:rPr>
                        <w:spacing w:val="-14"/>
                        <w:w w:val="105"/>
                        <w:sz w:val="15"/>
                      </w:rPr>
                      <w:t> </w:t>
                    </w:r>
                    <w:r>
                      <w:rPr>
                        <w:w w:val="105"/>
                        <w:sz w:val="15"/>
                      </w:rPr>
                      <w:t>produits </w:t>
                    </w:r>
                    <w:r>
                      <w:rPr>
                        <w:spacing w:val="-3"/>
                        <w:w w:val="105"/>
                        <w:sz w:val="15"/>
                      </w:rPr>
                      <w:t>destinés </w:t>
                    </w:r>
                    <w:r>
                      <w:rPr>
                        <w:w w:val="105"/>
                        <w:sz w:val="15"/>
                      </w:rPr>
                      <w:t>à </w:t>
                    </w:r>
                    <w:r>
                      <w:rPr>
                        <w:spacing w:val="-3"/>
                        <w:w w:val="105"/>
                        <w:sz w:val="15"/>
                      </w:rPr>
                      <w:t>être vendus </w:t>
                    </w:r>
                    <w:r>
                      <w:rPr>
                        <w:w w:val="105"/>
                        <w:sz w:val="15"/>
                      </w:rPr>
                      <w:t>en </w:t>
                    </w:r>
                    <w:r>
                      <w:rPr>
                        <w:spacing w:val="-3"/>
                        <w:w w:val="105"/>
                        <w:sz w:val="15"/>
                      </w:rPr>
                      <w:t>l'état </w:t>
                    </w:r>
                    <w:r>
                      <w:rPr>
                        <w:spacing w:val="-7"/>
                        <w:w w:val="105"/>
                        <w:sz w:val="15"/>
                      </w:rPr>
                      <w:t>ou </w:t>
                    </w:r>
                    <w:r>
                      <w:rPr>
                        <w:spacing w:val="-3"/>
                        <w:w w:val="105"/>
                        <w:sz w:val="15"/>
                      </w:rPr>
                      <w:t>conditionnés</w:t>
                    </w:r>
                  </w:p>
                </w:txbxContent>
              </v:textbox>
              <v:stroke dashstyle="solid"/>
              <w10:wrap type="none"/>
            </v:shape>
            <v:shape style="position:absolute;left:7067;top:2252;width:1888;height:1792" type="#_x0000_t202" filled="false" stroked="true" strokeweight=".695903pt" strokecolor="#000000">
              <v:textbox inset="0,0,0,0">
                <w:txbxContent>
                  <w:p>
                    <w:pPr>
                      <w:spacing w:line="240" w:lineRule="auto" w:before="3"/>
                      <w:rPr>
                        <w:b/>
                        <w:sz w:val="25"/>
                      </w:rPr>
                    </w:pPr>
                  </w:p>
                  <w:p>
                    <w:pPr>
                      <w:spacing w:line="249" w:lineRule="auto" w:before="0"/>
                      <w:ind w:left="75" w:right="78" w:hanging="44"/>
                      <w:jc w:val="center"/>
                      <w:rPr>
                        <w:sz w:val="20"/>
                      </w:rPr>
                    </w:pPr>
                    <w:r>
                      <w:rPr>
                        <w:spacing w:val="-3"/>
                        <w:w w:val="105"/>
                        <w:sz w:val="20"/>
                      </w:rPr>
                      <w:t>Procédures </w:t>
                    </w:r>
                    <w:r>
                      <w:rPr>
                        <w:spacing w:val="-8"/>
                        <w:w w:val="105"/>
                        <w:sz w:val="20"/>
                      </w:rPr>
                      <w:t>de </w:t>
                    </w:r>
                    <w:r>
                      <w:rPr>
                        <w:spacing w:val="-3"/>
                        <w:w w:val="105"/>
                        <w:sz w:val="20"/>
                      </w:rPr>
                      <w:t>passation </w:t>
                    </w:r>
                    <w:r>
                      <w:rPr>
                        <w:w w:val="105"/>
                        <w:sz w:val="20"/>
                      </w:rPr>
                      <w:t>des </w:t>
                    </w:r>
                    <w:r>
                      <w:rPr>
                        <w:spacing w:val="-3"/>
                        <w:w w:val="105"/>
                        <w:sz w:val="20"/>
                      </w:rPr>
                      <w:t>Marchés </w:t>
                    </w:r>
                    <w:r>
                      <w:rPr>
                        <w:spacing w:val="-4"/>
                        <w:w w:val="105"/>
                        <w:sz w:val="20"/>
                      </w:rPr>
                      <w:t>de </w:t>
                    </w:r>
                    <w:r>
                      <w:rPr>
                        <w:w w:val="105"/>
                        <w:sz w:val="20"/>
                      </w:rPr>
                      <w:t>Soufre , </w:t>
                    </w:r>
                    <w:r>
                      <w:rPr>
                        <w:spacing w:val="-4"/>
                        <w:w w:val="105"/>
                        <w:sz w:val="20"/>
                      </w:rPr>
                      <w:t>de </w:t>
                    </w:r>
                    <w:r>
                      <w:rPr>
                        <w:spacing w:val="-3"/>
                        <w:w w:val="105"/>
                        <w:sz w:val="20"/>
                      </w:rPr>
                      <w:t>l'Ammoniac </w:t>
                    </w:r>
                    <w:r>
                      <w:rPr>
                        <w:w w:val="105"/>
                        <w:sz w:val="20"/>
                      </w:rPr>
                      <w:t>et </w:t>
                    </w:r>
                    <w:r>
                      <w:rPr>
                        <w:spacing w:val="-8"/>
                        <w:w w:val="105"/>
                        <w:sz w:val="20"/>
                      </w:rPr>
                      <w:t>de </w:t>
                    </w:r>
                    <w:r>
                      <w:rPr>
                        <w:w w:val="105"/>
                        <w:sz w:val="20"/>
                      </w:rPr>
                      <w:t>phosphate</w:t>
                    </w:r>
                  </w:p>
                </w:txbxContent>
              </v:textbox>
              <v:stroke dashstyle="solid"/>
              <w10:wrap type="none"/>
            </v:shape>
            <w10:wrap type="topAndBottom"/>
          </v:group>
        </w:pict>
      </w:r>
      <w:r>
        <w:rPr/>
        <w:pict>
          <v:shape style="position:absolute;margin-left:683.663513pt;margin-top:112.887993pt;width:94.4pt;height:89.05pt;mso-position-horizontal-relative:page;mso-position-vertical-relative:paragraph;z-index:-251633664;mso-wrap-distance-left:0;mso-wrap-distance-right:0" type="#_x0000_t202" filled="false" stroked="true" strokeweight=".695788pt" strokecolor="#000000">
            <v:textbox inset="0,0,0,0">
              <w:txbxContent>
                <w:p>
                  <w:pPr>
                    <w:pStyle w:val="BodyText"/>
                    <w:ind w:left="0" w:firstLine="0"/>
                    <w:jc w:val="left"/>
                    <w:rPr>
                      <w:b/>
                      <w:sz w:val="18"/>
                    </w:rPr>
                  </w:pPr>
                </w:p>
                <w:p>
                  <w:pPr>
                    <w:pStyle w:val="BodyText"/>
                    <w:ind w:left="0" w:firstLine="0"/>
                    <w:jc w:val="left"/>
                    <w:rPr>
                      <w:b/>
                      <w:sz w:val="18"/>
                    </w:rPr>
                  </w:pPr>
                </w:p>
                <w:p>
                  <w:pPr>
                    <w:spacing w:line="266" w:lineRule="auto" w:before="154"/>
                    <w:ind w:left="93" w:right="67" w:hanging="3"/>
                    <w:jc w:val="center"/>
                    <w:rPr>
                      <w:sz w:val="17"/>
                    </w:rPr>
                  </w:pPr>
                  <w:r>
                    <w:rPr>
                      <w:w w:val="110"/>
                      <w:sz w:val="17"/>
                    </w:rPr>
                    <w:t>Procédure </w:t>
                  </w:r>
                  <w:r>
                    <w:rPr>
                      <w:spacing w:val="3"/>
                      <w:w w:val="110"/>
                      <w:sz w:val="17"/>
                    </w:rPr>
                    <w:t>de </w:t>
                  </w:r>
                  <w:r>
                    <w:rPr>
                      <w:w w:val="110"/>
                      <w:sz w:val="17"/>
                    </w:rPr>
                    <w:t>passation </w:t>
                  </w:r>
                  <w:r>
                    <w:rPr>
                      <w:spacing w:val="3"/>
                      <w:w w:val="110"/>
                      <w:sz w:val="17"/>
                    </w:rPr>
                    <w:t>des </w:t>
                  </w:r>
                  <w:r>
                    <w:rPr>
                      <w:w w:val="110"/>
                      <w:sz w:val="17"/>
                    </w:rPr>
                    <w:t>Marchés d</w:t>
                  </w:r>
                  <w:r>
                    <w:rPr>
                      <w:spacing w:val="18"/>
                      <w:w w:val="110"/>
                      <w:sz w:val="17"/>
                    </w:rPr>
                    <w:t> </w:t>
                  </w:r>
                  <w:r>
                    <w:rPr>
                      <w:w w:val="110"/>
                      <w:sz w:val="17"/>
                    </w:rPr>
                    <w:t>affrètement</w:t>
                  </w:r>
                </w:p>
              </w:txbxContent>
            </v:textbox>
            <v:stroke dashstyle="solid"/>
            <w10:wrap type="topAndBottom"/>
          </v:shape>
        </w:pict>
      </w:r>
      <w:r>
        <w:rPr/>
        <w:pict>
          <v:group style="position:absolute;margin-left:29.433428pt;margin-top:211.607025pt;width:95.1pt;height:179.85pt;mso-position-horizontal-relative:page;mso-position-vertical-relative:paragraph;z-index:-251631616;mso-wrap-distance-left:0;mso-wrap-distance-right:0" coordorigin="589,4232" coordsize="1902,3597">
            <v:shape style="position:absolute;left:595;top:4239;width:1888;height:3583" coordorigin="596,4239" coordsize="1888,3583" path="m865,7821l2483,7821,2483,4495,2474,4427,2446,4366,2404,4314,2350,4274,2285,4248,2214,4239,596,4239,596,7565,605,7633,633,7695,675,7746,729,7786,794,7812,865,7821xe" filled="false" stroked="true" strokeweight=".706209pt" strokecolor="#000000">
              <v:path arrowok="t"/>
              <v:stroke dashstyle="dot"/>
            </v:shape>
            <v:shape style="position:absolute;left:588;top:4232;width:1902;height:3597" type="#_x0000_t202" filled="false" stroked="false">
              <v:textbox inset="0,0,0,0">
                <w:txbxContent>
                  <w:p>
                    <w:pPr>
                      <w:numPr>
                        <w:ilvl w:val="0"/>
                        <w:numId w:val="128"/>
                      </w:numPr>
                      <w:tabs>
                        <w:tab w:pos="425" w:val="left" w:leader="none"/>
                        <w:tab w:pos="427" w:val="left" w:leader="none"/>
                      </w:tabs>
                      <w:spacing w:before="69"/>
                      <w:ind w:left="426" w:right="0" w:hanging="344"/>
                      <w:jc w:val="left"/>
                      <w:rPr>
                        <w:sz w:val="15"/>
                      </w:rPr>
                    </w:pPr>
                    <w:r>
                      <w:rPr>
                        <w:spacing w:val="-4"/>
                        <w:w w:val="105"/>
                        <w:sz w:val="15"/>
                      </w:rPr>
                      <w:t>Demande</w:t>
                    </w:r>
                    <w:r>
                      <w:rPr>
                        <w:spacing w:val="4"/>
                        <w:w w:val="105"/>
                        <w:sz w:val="15"/>
                      </w:rPr>
                      <w:t> </w:t>
                    </w:r>
                    <w:r>
                      <w:rPr>
                        <w:spacing w:val="-3"/>
                        <w:w w:val="105"/>
                        <w:sz w:val="15"/>
                      </w:rPr>
                      <w:t>directe</w:t>
                    </w:r>
                  </w:p>
                  <w:p>
                    <w:pPr>
                      <w:spacing w:line="168" w:lineRule="exact" w:before="0"/>
                      <w:ind w:left="426" w:right="0" w:firstLine="0"/>
                      <w:jc w:val="left"/>
                      <w:rPr>
                        <w:sz w:val="15"/>
                      </w:rPr>
                    </w:pPr>
                    <w:r>
                      <w:rPr>
                        <w:w w:val="105"/>
                        <w:sz w:val="15"/>
                      </w:rPr>
                      <w:t>d achat (régie)</w:t>
                    </w:r>
                  </w:p>
                  <w:p>
                    <w:pPr>
                      <w:numPr>
                        <w:ilvl w:val="0"/>
                        <w:numId w:val="128"/>
                      </w:numPr>
                      <w:tabs>
                        <w:tab w:pos="425" w:val="left" w:leader="none"/>
                        <w:tab w:pos="427" w:val="left" w:leader="none"/>
                      </w:tabs>
                      <w:spacing w:line="174" w:lineRule="exact" w:before="0"/>
                      <w:ind w:left="426" w:right="0" w:hanging="344"/>
                      <w:jc w:val="left"/>
                      <w:rPr>
                        <w:sz w:val="15"/>
                      </w:rPr>
                    </w:pPr>
                    <w:r>
                      <w:rPr>
                        <w:spacing w:val="-4"/>
                        <w:w w:val="105"/>
                        <w:sz w:val="15"/>
                      </w:rPr>
                      <w:t>Demande de</w:t>
                    </w:r>
                    <w:r>
                      <w:rPr>
                        <w:spacing w:val="-6"/>
                        <w:w w:val="105"/>
                        <w:sz w:val="15"/>
                      </w:rPr>
                      <w:t> </w:t>
                    </w:r>
                    <w:r>
                      <w:rPr>
                        <w:w w:val="105"/>
                        <w:sz w:val="15"/>
                      </w:rPr>
                      <w:t>cotations</w:t>
                    </w:r>
                  </w:p>
                  <w:p>
                    <w:pPr>
                      <w:numPr>
                        <w:ilvl w:val="0"/>
                        <w:numId w:val="128"/>
                      </w:numPr>
                      <w:tabs>
                        <w:tab w:pos="425" w:val="left" w:leader="none"/>
                        <w:tab w:pos="427" w:val="left" w:leader="none"/>
                      </w:tabs>
                      <w:spacing w:line="179" w:lineRule="exact" w:before="0"/>
                      <w:ind w:left="426" w:right="0" w:hanging="344"/>
                      <w:jc w:val="left"/>
                      <w:rPr>
                        <w:sz w:val="15"/>
                      </w:rPr>
                    </w:pPr>
                    <w:r>
                      <w:rPr>
                        <w:spacing w:val="-3"/>
                        <w:w w:val="105"/>
                        <w:sz w:val="15"/>
                      </w:rPr>
                      <w:t>Consultation</w:t>
                    </w:r>
                    <w:r>
                      <w:rPr>
                        <w:spacing w:val="-2"/>
                        <w:w w:val="105"/>
                        <w:sz w:val="15"/>
                      </w:rPr>
                      <w:t> </w:t>
                    </w:r>
                    <w:r>
                      <w:rPr>
                        <w:w w:val="105"/>
                        <w:sz w:val="15"/>
                      </w:rPr>
                      <w:t>à</w:t>
                    </w:r>
                  </w:p>
                  <w:p>
                    <w:pPr>
                      <w:spacing w:line="168" w:lineRule="exact" w:before="1"/>
                      <w:ind w:left="0" w:right="134" w:firstLine="0"/>
                      <w:jc w:val="right"/>
                      <w:rPr>
                        <w:sz w:val="15"/>
                      </w:rPr>
                    </w:pPr>
                    <w:r>
                      <w:rPr>
                        <w:spacing w:val="-1"/>
                        <w:w w:val="105"/>
                        <w:sz w:val="15"/>
                      </w:rPr>
                      <w:t>compétition</w:t>
                    </w:r>
                    <w:r>
                      <w:rPr>
                        <w:spacing w:val="-27"/>
                        <w:w w:val="105"/>
                        <w:sz w:val="15"/>
                      </w:rPr>
                      <w:t> </w:t>
                    </w:r>
                    <w:r>
                      <w:rPr>
                        <w:spacing w:val="-1"/>
                        <w:w w:val="105"/>
                        <w:sz w:val="15"/>
                      </w:rPr>
                      <w:t>restreinte</w:t>
                    </w:r>
                  </w:p>
                  <w:p>
                    <w:pPr>
                      <w:numPr>
                        <w:ilvl w:val="0"/>
                        <w:numId w:val="128"/>
                      </w:numPr>
                      <w:tabs>
                        <w:tab w:pos="342" w:val="left" w:leader="none"/>
                        <w:tab w:pos="427" w:val="left" w:leader="none"/>
                      </w:tabs>
                      <w:spacing w:line="179" w:lineRule="exact" w:before="0"/>
                      <w:ind w:left="426" w:right="103" w:hanging="427"/>
                      <w:jc w:val="right"/>
                      <w:rPr>
                        <w:sz w:val="15"/>
                      </w:rPr>
                    </w:pPr>
                    <w:r>
                      <w:rPr>
                        <w:spacing w:val="-3"/>
                        <w:w w:val="105"/>
                        <w:sz w:val="15"/>
                      </w:rPr>
                      <w:t>Consultation </w:t>
                    </w:r>
                    <w:r>
                      <w:rPr>
                        <w:w w:val="105"/>
                        <w:sz w:val="15"/>
                      </w:rPr>
                      <w:t>d achat</w:t>
                    </w:r>
                    <w:r>
                      <w:rPr>
                        <w:spacing w:val="-4"/>
                        <w:w w:val="105"/>
                        <w:sz w:val="15"/>
                      </w:rPr>
                      <w:t> </w:t>
                    </w:r>
                    <w:r>
                      <w:rPr>
                        <w:w w:val="105"/>
                        <w:sz w:val="15"/>
                      </w:rPr>
                      <w:t>a</w:t>
                    </w:r>
                  </w:p>
                  <w:p>
                    <w:pPr>
                      <w:spacing w:line="168" w:lineRule="exact" w:before="1"/>
                      <w:ind w:left="0" w:right="248" w:firstLine="0"/>
                      <w:jc w:val="right"/>
                      <w:rPr>
                        <w:sz w:val="15"/>
                      </w:rPr>
                    </w:pPr>
                    <w:r>
                      <w:rPr>
                        <w:w w:val="105"/>
                        <w:sz w:val="15"/>
                      </w:rPr>
                      <w:t>compétition</w:t>
                    </w:r>
                    <w:r>
                      <w:rPr>
                        <w:spacing w:val="-28"/>
                        <w:w w:val="105"/>
                        <w:sz w:val="15"/>
                      </w:rPr>
                      <w:t> </w:t>
                    </w:r>
                    <w:r>
                      <w:rPr>
                        <w:spacing w:val="-3"/>
                        <w:w w:val="105"/>
                        <w:sz w:val="15"/>
                      </w:rPr>
                      <w:t>ouverte</w:t>
                    </w:r>
                  </w:p>
                  <w:p>
                    <w:pPr>
                      <w:numPr>
                        <w:ilvl w:val="0"/>
                        <w:numId w:val="128"/>
                      </w:numPr>
                      <w:tabs>
                        <w:tab w:pos="342" w:val="left" w:leader="none"/>
                        <w:tab w:pos="427" w:val="left" w:leader="none"/>
                      </w:tabs>
                      <w:spacing w:line="179" w:lineRule="exact" w:before="0"/>
                      <w:ind w:left="426" w:right="277" w:hanging="427"/>
                      <w:jc w:val="right"/>
                      <w:rPr>
                        <w:sz w:val="15"/>
                      </w:rPr>
                    </w:pPr>
                    <w:r>
                      <w:rPr>
                        <w:spacing w:val="-3"/>
                        <w:w w:val="105"/>
                        <w:sz w:val="15"/>
                      </w:rPr>
                      <w:t>Négociation</w:t>
                    </w:r>
                    <w:r>
                      <w:rPr>
                        <w:spacing w:val="5"/>
                        <w:w w:val="105"/>
                        <w:sz w:val="15"/>
                      </w:rPr>
                      <w:t> </w:t>
                    </w:r>
                    <w:r>
                      <w:rPr>
                        <w:spacing w:val="-3"/>
                        <w:w w:val="105"/>
                        <w:sz w:val="15"/>
                      </w:rPr>
                      <w:t>directe</w:t>
                    </w:r>
                  </w:p>
                </w:txbxContent>
              </v:textbox>
              <w10:wrap type="none"/>
            </v:shape>
            <w10:wrap type="topAndBottom"/>
          </v:group>
        </w:pict>
      </w:r>
      <w:r>
        <w:rPr/>
        <w:pict>
          <v:group style="position:absolute;margin-left:131.900101pt;margin-top:211.607025pt;width:95.1pt;height:179.85pt;mso-position-horizontal-relative:page;mso-position-vertical-relative:paragraph;z-index:-251629568;mso-wrap-distance-left:0;mso-wrap-distance-right:0" coordorigin="2638,4232" coordsize="1902,3597">
            <v:shape style="position:absolute;left:2645;top:4239;width:1888;height:3583" coordorigin="2645,4239" coordsize="1888,3583" path="m2915,7821l4533,7821,4533,4495,4523,4427,4496,4366,4454,4314,4399,4274,4335,4248,4263,4239,2645,4239,2645,7565,2655,7633,2682,7695,2724,7746,2779,7786,2843,7812,2915,7821xe" filled="false" stroked="true" strokeweight=".706209pt" strokecolor="#000000">
              <v:path arrowok="t"/>
              <v:stroke dashstyle="dot"/>
            </v:shape>
            <v:shape style="position:absolute;left:2638;top:4232;width:1902;height:3597" type="#_x0000_t202" filled="false" stroked="false">
              <v:textbox inset="0,0,0,0">
                <w:txbxContent>
                  <w:p>
                    <w:pPr>
                      <w:numPr>
                        <w:ilvl w:val="0"/>
                        <w:numId w:val="129"/>
                      </w:numPr>
                      <w:tabs>
                        <w:tab w:pos="427" w:val="left" w:leader="none"/>
                        <w:tab w:pos="429" w:val="left" w:leader="none"/>
                      </w:tabs>
                      <w:spacing w:before="75"/>
                      <w:ind w:left="428" w:right="149" w:hanging="344"/>
                      <w:jc w:val="left"/>
                      <w:rPr>
                        <w:sz w:val="15"/>
                      </w:rPr>
                    </w:pPr>
                    <w:r>
                      <w:rPr>
                        <w:spacing w:val="-3"/>
                        <w:w w:val="105"/>
                        <w:sz w:val="15"/>
                      </w:rPr>
                      <w:t>Appel </w:t>
                    </w:r>
                    <w:r>
                      <w:rPr>
                        <w:spacing w:val="-6"/>
                        <w:w w:val="105"/>
                        <w:sz w:val="15"/>
                      </w:rPr>
                      <w:t>d </w:t>
                    </w:r>
                    <w:r>
                      <w:rPr>
                        <w:w w:val="105"/>
                        <w:sz w:val="15"/>
                      </w:rPr>
                      <w:t>offres </w:t>
                    </w:r>
                    <w:r>
                      <w:rPr>
                        <w:spacing w:val="-4"/>
                        <w:w w:val="105"/>
                        <w:sz w:val="15"/>
                      </w:rPr>
                      <w:t>ouvert </w:t>
                    </w:r>
                    <w:r>
                      <w:rPr>
                        <w:spacing w:val="-3"/>
                        <w:w w:val="105"/>
                        <w:sz w:val="15"/>
                      </w:rPr>
                      <w:t>Appel </w:t>
                    </w:r>
                    <w:r>
                      <w:rPr>
                        <w:spacing w:val="-6"/>
                        <w:w w:val="105"/>
                        <w:sz w:val="15"/>
                      </w:rPr>
                      <w:t>d </w:t>
                    </w:r>
                    <w:r>
                      <w:rPr>
                        <w:w w:val="105"/>
                        <w:sz w:val="15"/>
                      </w:rPr>
                      <w:t>offres </w:t>
                    </w:r>
                    <w:r>
                      <w:rPr>
                        <w:spacing w:val="-4"/>
                        <w:w w:val="105"/>
                        <w:sz w:val="15"/>
                      </w:rPr>
                      <w:t>précédé </w:t>
                    </w:r>
                    <w:r>
                      <w:rPr>
                        <w:spacing w:val="-5"/>
                        <w:w w:val="105"/>
                        <w:sz w:val="15"/>
                      </w:rPr>
                      <w:t>d </w:t>
                    </w:r>
                    <w:r>
                      <w:rPr>
                        <w:w w:val="105"/>
                        <w:sz w:val="15"/>
                      </w:rPr>
                      <w:t>une pré- qualification</w:t>
                    </w:r>
                  </w:p>
                  <w:p>
                    <w:pPr>
                      <w:numPr>
                        <w:ilvl w:val="0"/>
                        <w:numId w:val="129"/>
                      </w:numPr>
                      <w:tabs>
                        <w:tab w:pos="427" w:val="left" w:leader="none"/>
                        <w:tab w:pos="429" w:val="left" w:leader="none"/>
                      </w:tabs>
                      <w:spacing w:line="177" w:lineRule="exact" w:before="0"/>
                      <w:ind w:left="428" w:right="0" w:hanging="344"/>
                      <w:jc w:val="left"/>
                      <w:rPr>
                        <w:sz w:val="15"/>
                      </w:rPr>
                    </w:pPr>
                    <w:r>
                      <w:rPr>
                        <w:spacing w:val="-3"/>
                        <w:w w:val="105"/>
                        <w:sz w:val="15"/>
                      </w:rPr>
                      <w:t>Appel </w:t>
                    </w:r>
                    <w:r>
                      <w:rPr>
                        <w:spacing w:val="-6"/>
                        <w:w w:val="105"/>
                        <w:sz w:val="15"/>
                      </w:rPr>
                      <w:t>d </w:t>
                    </w:r>
                    <w:r>
                      <w:rPr>
                        <w:w w:val="105"/>
                        <w:sz w:val="15"/>
                      </w:rPr>
                      <w:t>offres</w:t>
                    </w:r>
                    <w:r>
                      <w:rPr>
                        <w:spacing w:val="-15"/>
                        <w:w w:val="105"/>
                        <w:sz w:val="15"/>
                      </w:rPr>
                      <w:t> </w:t>
                    </w:r>
                    <w:r>
                      <w:rPr>
                        <w:spacing w:val="-7"/>
                        <w:w w:val="105"/>
                        <w:sz w:val="15"/>
                      </w:rPr>
                      <w:t>en</w:t>
                    </w:r>
                  </w:p>
                  <w:p>
                    <w:pPr>
                      <w:spacing w:line="168" w:lineRule="exact" w:before="0"/>
                      <w:ind w:left="428" w:right="0" w:firstLine="0"/>
                      <w:jc w:val="left"/>
                      <w:rPr>
                        <w:sz w:val="15"/>
                      </w:rPr>
                    </w:pPr>
                    <w:r>
                      <w:rPr>
                        <w:w w:val="105"/>
                        <w:sz w:val="15"/>
                      </w:rPr>
                      <w:t>deux étapes</w:t>
                    </w:r>
                  </w:p>
                  <w:p>
                    <w:pPr>
                      <w:numPr>
                        <w:ilvl w:val="0"/>
                        <w:numId w:val="129"/>
                      </w:numPr>
                      <w:tabs>
                        <w:tab w:pos="427" w:val="left" w:leader="none"/>
                        <w:tab w:pos="429" w:val="left" w:leader="none"/>
                      </w:tabs>
                      <w:spacing w:line="174" w:lineRule="exact" w:before="0"/>
                      <w:ind w:left="428" w:right="0" w:hanging="344"/>
                      <w:jc w:val="left"/>
                      <w:rPr>
                        <w:sz w:val="15"/>
                      </w:rPr>
                    </w:pPr>
                    <w:r>
                      <w:rPr>
                        <w:spacing w:val="-3"/>
                        <w:w w:val="105"/>
                        <w:sz w:val="15"/>
                      </w:rPr>
                      <w:t>Consultation</w:t>
                    </w:r>
                  </w:p>
                  <w:p>
                    <w:pPr>
                      <w:numPr>
                        <w:ilvl w:val="0"/>
                        <w:numId w:val="129"/>
                      </w:numPr>
                      <w:tabs>
                        <w:tab w:pos="427" w:val="left" w:leader="none"/>
                        <w:tab w:pos="429" w:val="left" w:leader="none"/>
                      </w:tabs>
                      <w:spacing w:line="174" w:lineRule="exact" w:before="0"/>
                      <w:ind w:left="428" w:right="0" w:hanging="344"/>
                      <w:jc w:val="left"/>
                      <w:rPr>
                        <w:sz w:val="15"/>
                      </w:rPr>
                    </w:pPr>
                    <w:r>
                      <w:rPr>
                        <w:spacing w:val="-3"/>
                        <w:w w:val="105"/>
                        <w:sz w:val="15"/>
                      </w:rPr>
                      <w:t>Négociation</w:t>
                    </w:r>
                    <w:r>
                      <w:rPr>
                        <w:spacing w:val="-4"/>
                        <w:w w:val="105"/>
                        <w:sz w:val="15"/>
                      </w:rPr>
                      <w:t> </w:t>
                    </w:r>
                    <w:r>
                      <w:rPr>
                        <w:spacing w:val="-3"/>
                        <w:w w:val="105"/>
                        <w:sz w:val="15"/>
                      </w:rPr>
                      <w:t>directe</w:t>
                    </w:r>
                  </w:p>
                  <w:p>
                    <w:pPr>
                      <w:numPr>
                        <w:ilvl w:val="0"/>
                        <w:numId w:val="129"/>
                      </w:numPr>
                      <w:tabs>
                        <w:tab w:pos="427" w:val="left" w:leader="none"/>
                        <w:tab w:pos="429" w:val="left" w:leader="none"/>
                      </w:tabs>
                      <w:spacing w:line="240" w:lineRule="auto" w:before="0"/>
                      <w:ind w:left="428" w:right="265" w:hanging="344"/>
                      <w:jc w:val="left"/>
                      <w:rPr>
                        <w:sz w:val="15"/>
                      </w:rPr>
                    </w:pPr>
                    <w:r>
                      <w:rPr>
                        <w:spacing w:val="-3"/>
                        <w:w w:val="105"/>
                        <w:sz w:val="15"/>
                      </w:rPr>
                      <w:t>Appel </w:t>
                    </w:r>
                    <w:r>
                      <w:rPr>
                        <w:spacing w:val="-6"/>
                        <w:w w:val="105"/>
                        <w:sz w:val="15"/>
                      </w:rPr>
                      <w:t>d </w:t>
                    </w:r>
                    <w:r>
                      <w:rPr>
                        <w:w w:val="105"/>
                        <w:sz w:val="15"/>
                      </w:rPr>
                      <w:t>offres </w:t>
                    </w:r>
                    <w:r>
                      <w:rPr>
                        <w:spacing w:val="-5"/>
                        <w:w w:val="105"/>
                        <w:sz w:val="15"/>
                      </w:rPr>
                      <w:t>avec </w:t>
                    </w:r>
                    <w:r>
                      <w:rPr>
                        <w:spacing w:val="-3"/>
                        <w:w w:val="105"/>
                        <w:sz w:val="15"/>
                      </w:rPr>
                      <w:t>demande </w:t>
                    </w:r>
                    <w:r>
                      <w:rPr>
                        <w:spacing w:val="3"/>
                        <w:w w:val="105"/>
                        <w:sz w:val="15"/>
                      </w:rPr>
                      <w:t>de </w:t>
                    </w:r>
                    <w:r>
                      <w:rPr>
                        <w:spacing w:val="-3"/>
                        <w:w w:val="105"/>
                        <w:sz w:val="15"/>
                      </w:rPr>
                      <w:t>financement</w:t>
                    </w:r>
                  </w:p>
                  <w:p>
                    <w:pPr>
                      <w:numPr>
                        <w:ilvl w:val="0"/>
                        <w:numId w:val="129"/>
                      </w:numPr>
                      <w:tabs>
                        <w:tab w:pos="427" w:val="left" w:leader="none"/>
                        <w:tab w:pos="429" w:val="left" w:leader="none"/>
                      </w:tabs>
                      <w:spacing w:line="176" w:lineRule="exact" w:before="0"/>
                      <w:ind w:left="428" w:right="0" w:hanging="344"/>
                      <w:jc w:val="left"/>
                      <w:rPr>
                        <w:sz w:val="15"/>
                      </w:rPr>
                    </w:pPr>
                    <w:r>
                      <w:rPr>
                        <w:spacing w:val="-3"/>
                        <w:w w:val="105"/>
                        <w:sz w:val="15"/>
                      </w:rPr>
                      <w:t>Appel </w:t>
                    </w:r>
                    <w:r>
                      <w:rPr>
                        <w:spacing w:val="-6"/>
                        <w:w w:val="105"/>
                        <w:sz w:val="15"/>
                      </w:rPr>
                      <w:t>d </w:t>
                    </w:r>
                    <w:r>
                      <w:rPr>
                        <w:w w:val="105"/>
                        <w:sz w:val="15"/>
                      </w:rPr>
                      <w:t>offres</w:t>
                    </w:r>
                    <w:r>
                      <w:rPr>
                        <w:spacing w:val="-17"/>
                        <w:w w:val="105"/>
                        <w:sz w:val="15"/>
                      </w:rPr>
                      <w:t> </w:t>
                    </w:r>
                    <w:r>
                      <w:rPr>
                        <w:spacing w:val="-5"/>
                        <w:w w:val="105"/>
                        <w:sz w:val="15"/>
                      </w:rPr>
                      <w:t>avec</w:t>
                    </w:r>
                  </w:p>
                  <w:p>
                    <w:pPr>
                      <w:spacing w:line="168" w:lineRule="exact" w:before="0"/>
                      <w:ind w:left="428" w:right="0" w:firstLine="0"/>
                      <w:jc w:val="left"/>
                      <w:rPr>
                        <w:sz w:val="15"/>
                      </w:rPr>
                    </w:pPr>
                    <w:r>
                      <w:rPr>
                        <w:w w:val="105"/>
                        <w:sz w:val="15"/>
                      </w:rPr>
                      <w:t>concours</w:t>
                    </w:r>
                  </w:p>
                  <w:p>
                    <w:pPr>
                      <w:numPr>
                        <w:ilvl w:val="0"/>
                        <w:numId w:val="129"/>
                      </w:numPr>
                      <w:tabs>
                        <w:tab w:pos="427" w:val="left" w:leader="none"/>
                        <w:tab w:pos="429" w:val="left" w:leader="none"/>
                      </w:tabs>
                      <w:spacing w:line="174" w:lineRule="exact" w:before="0"/>
                      <w:ind w:left="428" w:right="0" w:hanging="344"/>
                      <w:jc w:val="left"/>
                      <w:rPr>
                        <w:sz w:val="15"/>
                      </w:rPr>
                    </w:pPr>
                    <w:r>
                      <w:rPr>
                        <w:spacing w:val="-4"/>
                        <w:w w:val="105"/>
                        <w:sz w:val="15"/>
                      </w:rPr>
                      <w:t>Dialogue</w:t>
                    </w:r>
                    <w:r>
                      <w:rPr>
                        <w:spacing w:val="5"/>
                        <w:w w:val="105"/>
                        <w:sz w:val="15"/>
                      </w:rPr>
                      <w:t> </w:t>
                    </w:r>
                    <w:r>
                      <w:rPr>
                        <w:spacing w:val="-3"/>
                        <w:w w:val="105"/>
                        <w:sz w:val="15"/>
                      </w:rPr>
                      <w:t>compétitif</w:t>
                    </w:r>
                  </w:p>
                  <w:p>
                    <w:pPr>
                      <w:numPr>
                        <w:ilvl w:val="0"/>
                        <w:numId w:val="129"/>
                      </w:numPr>
                      <w:tabs>
                        <w:tab w:pos="427" w:val="left" w:leader="none"/>
                        <w:tab w:pos="429" w:val="left" w:leader="none"/>
                      </w:tabs>
                      <w:spacing w:line="242" w:lineRule="auto" w:before="0"/>
                      <w:ind w:left="428" w:right="198" w:hanging="344"/>
                      <w:jc w:val="left"/>
                      <w:rPr>
                        <w:sz w:val="15"/>
                      </w:rPr>
                    </w:pPr>
                    <w:r>
                      <w:rPr>
                        <w:spacing w:val="-3"/>
                        <w:w w:val="105"/>
                        <w:sz w:val="15"/>
                      </w:rPr>
                      <w:t>Appel </w:t>
                    </w:r>
                    <w:r>
                      <w:rPr>
                        <w:w w:val="105"/>
                        <w:sz w:val="15"/>
                      </w:rPr>
                      <w:t>à </w:t>
                    </w:r>
                    <w:r>
                      <w:rPr>
                        <w:spacing w:val="-3"/>
                        <w:w w:val="105"/>
                        <w:sz w:val="15"/>
                      </w:rPr>
                      <w:t>Propositions </w:t>
                    </w:r>
                    <w:r>
                      <w:rPr>
                        <w:w w:val="105"/>
                        <w:sz w:val="15"/>
                      </w:rPr>
                      <w:t>avec meilleure offre finale </w:t>
                    </w:r>
                    <w:r>
                      <w:rPr>
                        <w:spacing w:val="-4"/>
                        <w:w w:val="105"/>
                        <w:sz w:val="15"/>
                      </w:rPr>
                      <w:t>après </w:t>
                    </w:r>
                    <w:r>
                      <w:rPr>
                        <w:spacing w:val="-3"/>
                        <w:w w:val="105"/>
                        <w:sz w:val="15"/>
                      </w:rPr>
                      <w:t>négociation</w:t>
                    </w:r>
                  </w:p>
                  <w:p>
                    <w:pPr>
                      <w:numPr>
                        <w:ilvl w:val="0"/>
                        <w:numId w:val="129"/>
                      </w:numPr>
                      <w:tabs>
                        <w:tab w:pos="427" w:val="left" w:leader="none"/>
                        <w:tab w:pos="429" w:val="left" w:leader="none"/>
                      </w:tabs>
                      <w:spacing w:line="170" w:lineRule="exact" w:before="0"/>
                      <w:ind w:left="428" w:right="0" w:hanging="344"/>
                      <w:jc w:val="left"/>
                      <w:rPr>
                        <w:sz w:val="15"/>
                      </w:rPr>
                    </w:pPr>
                    <w:r>
                      <w:rPr>
                        <w:spacing w:val="-3"/>
                        <w:w w:val="105"/>
                        <w:sz w:val="15"/>
                      </w:rPr>
                      <w:t>Négociation</w:t>
                    </w:r>
                    <w:r>
                      <w:rPr>
                        <w:spacing w:val="-4"/>
                        <w:w w:val="105"/>
                        <w:sz w:val="15"/>
                      </w:rPr>
                      <w:t> </w:t>
                    </w:r>
                    <w:r>
                      <w:rPr>
                        <w:spacing w:val="-3"/>
                        <w:w w:val="105"/>
                        <w:sz w:val="15"/>
                      </w:rPr>
                      <w:t>directe</w:t>
                    </w:r>
                  </w:p>
                </w:txbxContent>
              </v:textbox>
              <w10:wrap type="none"/>
            </v:shape>
            <w10:wrap type="topAndBottom"/>
          </v:group>
        </w:pict>
      </w:r>
      <w:r>
        <w:rPr/>
        <w:pict>
          <v:group style="position:absolute;margin-left:231.666641pt;margin-top:211.608368pt;width:116.65pt;height:179.85pt;mso-position-horizontal-relative:page;mso-position-vertical-relative:paragraph;z-index:-251627520;mso-wrap-distance-left:0;mso-wrap-distance-right:0" coordorigin="4633,4232" coordsize="2333,3597">
            <v:shape style="position:absolute;left:4640;top:4239;width:2319;height:3583" coordorigin="4640,4239" coordsize="2319,3583" path="m4910,7821l6959,7821,6959,4495,6950,4427,6922,4366,6880,4314,6826,4274,6761,4248,6690,4239,4640,4239,4640,7565,4650,7633,4677,7695,4719,7746,4774,7786,4838,7812,4910,7821xe" filled="false" stroked="true" strokeweight=".703363pt" strokecolor="#000000">
              <v:path arrowok="t"/>
              <v:stroke dashstyle="dot"/>
            </v:shape>
            <v:shape style="position:absolute;left:4633;top:4232;width:2333;height:3597" type="#_x0000_t202" filled="false" stroked="false">
              <v:textbox inset="0,0,0,0">
                <w:txbxContent>
                  <w:p>
                    <w:pPr>
                      <w:spacing w:before="88"/>
                      <w:ind w:left="86" w:right="0" w:firstLine="0"/>
                      <w:jc w:val="left"/>
                      <w:rPr>
                        <w:sz w:val="15"/>
                      </w:rPr>
                    </w:pPr>
                    <w:r>
                      <w:rPr>
                        <w:w w:val="105"/>
                        <w:sz w:val="15"/>
                      </w:rPr>
                      <w:t>Modes relatifs aux prestations</w:t>
                    </w:r>
                  </w:p>
                  <w:p>
                    <w:pPr>
                      <w:spacing w:line="168" w:lineRule="exact" w:before="1"/>
                      <w:ind w:left="86" w:right="0" w:firstLine="0"/>
                      <w:jc w:val="left"/>
                      <w:rPr>
                        <w:sz w:val="15"/>
                      </w:rPr>
                    </w:pPr>
                    <w:r>
                      <w:rPr>
                        <w:w w:val="105"/>
                        <w:sz w:val="15"/>
                      </w:rPr>
                      <w:t>intellectuelles:</w:t>
                    </w:r>
                  </w:p>
                  <w:p>
                    <w:pPr>
                      <w:numPr>
                        <w:ilvl w:val="0"/>
                        <w:numId w:val="130"/>
                      </w:numPr>
                      <w:tabs>
                        <w:tab w:pos="429" w:val="left" w:leader="none"/>
                        <w:tab w:pos="430" w:val="left" w:leader="none"/>
                      </w:tabs>
                      <w:spacing w:line="179" w:lineRule="exact" w:before="0"/>
                      <w:ind w:left="429" w:right="0" w:hanging="344"/>
                      <w:jc w:val="left"/>
                      <w:rPr>
                        <w:sz w:val="15"/>
                      </w:rPr>
                    </w:pPr>
                    <w:r>
                      <w:rPr>
                        <w:spacing w:val="-3"/>
                        <w:w w:val="105"/>
                        <w:sz w:val="15"/>
                      </w:rPr>
                      <w:t>Sélection </w:t>
                    </w:r>
                    <w:r>
                      <w:rPr>
                        <w:w w:val="105"/>
                        <w:sz w:val="15"/>
                      </w:rPr>
                      <w:t>fondée sur</w:t>
                    </w:r>
                    <w:r>
                      <w:rPr>
                        <w:spacing w:val="-20"/>
                        <w:w w:val="105"/>
                        <w:sz w:val="15"/>
                      </w:rPr>
                      <w:t> </w:t>
                    </w:r>
                    <w:r>
                      <w:rPr>
                        <w:w w:val="105"/>
                        <w:sz w:val="15"/>
                      </w:rPr>
                      <w:t>la</w:t>
                    </w:r>
                  </w:p>
                  <w:p>
                    <w:pPr>
                      <w:spacing w:line="168" w:lineRule="exact" w:before="1"/>
                      <w:ind w:left="429" w:right="0" w:firstLine="0"/>
                      <w:jc w:val="left"/>
                      <w:rPr>
                        <w:sz w:val="15"/>
                      </w:rPr>
                    </w:pPr>
                    <w:r>
                      <w:rPr>
                        <w:w w:val="105"/>
                        <w:sz w:val="15"/>
                      </w:rPr>
                      <w:t>qualité et le coût (SFQC)</w:t>
                    </w:r>
                  </w:p>
                  <w:p>
                    <w:pPr>
                      <w:numPr>
                        <w:ilvl w:val="0"/>
                        <w:numId w:val="130"/>
                      </w:numPr>
                      <w:tabs>
                        <w:tab w:pos="429" w:val="left" w:leader="none"/>
                        <w:tab w:pos="430" w:val="left" w:leader="none"/>
                      </w:tabs>
                      <w:spacing w:line="240" w:lineRule="auto" w:before="0"/>
                      <w:ind w:left="429" w:right="186" w:hanging="344"/>
                      <w:jc w:val="left"/>
                      <w:rPr>
                        <w:sz w:val="15"/>
                      </w:rPr>
                    </w:pPr>
                    <w:r>
                      <w:rPr>
                        <w:spacing w:val="-3"/>
                        <w:w w:val="105"/>
                        <w:sz w:val="15"/>
                      </w:rPr>
                      <w:t>Sélection </w:t>
                    </w:r>
                    <w:r>
                      <w:rPr>
                        <w:w w:val="105"/>
                        <w:sz w:val="15"/>
                      </w:rPr>
                      <w:t>dans le </w:t>
                    </w:r>
                    <w:r>
                      <w:rPr>
                        <w:spacing w:val="-4"/>
                        <w:w w:val="105"/>
                        <w:sz w:val="15"/>
                      </w:rPr>
                      <w:t>cadre </w:t>
                    </w:r>
                    <w:r>
                      <w:rPr>
                        <w:spacing w:val="-5"/>
                        <w:w w:val="105"/>
                        <w:sz w:val="15"/>
                      </w:rPr>
                      <w:t>d </w:t>
                    </w:r>
                    <w:r>
                      <w:rPr>
                        <w:spacing w:val="-4"/>
                        <w:w w:val="105"/>
                        <w:sz w:val="15"/>
                      </w:rPr>
                      <w:t>un </w:t>
                    </w:r>
                    <w:r>
                      <w:rPr>
                        <w:spacing w:val="-3"/>
                        <w:w w:val="105"/>
                        <w:sz w:val="15"/>
                      </w:rPr>
                      <w:t>budget déterminé</w:t>
                    </w:r>
                    <w:r>
                      <w:rPr>
                        <w:spacing w:val="-1"/>
                        <w:w w:val="105"/>
                        <w:sz w:val="15"/>
                      </w:rPr>
                      <w:t> </w:t>
                    </w:r>
                    <w:r>
                      <w:rPr>
                        <w:spacing w:val="-3"/>
                        <w:w w:val="105"/>
                        <w:sz w:val="15"/>
                      </w:rPr>
                      <w:t>(SCBD)</w:t>
                    </w:r>
                  </w:p>
                  <w:p>
                    <w:pPr>
                      <w:numPr>
                        <w:ilvl w:val="0"/>
                        <w:numId w:val="130"/>
                      </w:numPr>
                      <w:tabs>
                        <w:tab w:pos="429" w:val="left" w:leader="none"/>
                        <w:tab w:pos="430" w:val="left" w:leader="none"/>
                      </w:tabs>
                      <w:spacing w:line="240" w:lineRule="auto" w:before="0"/>
                      <w:ind w:left="429" w:right="113" w:hanging="344"/>
                      <w:jc w:val="left"/>
                      <w:rPr>
                        <w:sz w:val="15"/>
                      </w:rPr>
                    </w:pPr>
                    <w:r>
                      <w:rPr>
                        <w:spacing w:val="-3"/>
                        <w:w w:val="105"/>
                        <w:sz w:val="15"/>
                      </w:rPr>
                      <w:t>Sélection </w:t>
                    </w:r>
                    <w:r>
                      <w:rPr>
                        <w:w w:val="105"/>
                        <w:sz w:val="15"/>
                      </w:rPr>
                      <w:t>fondée sur </w:t>
                    </w:r>
                    <w:r>
                      <w:rPr>
                        <w:spacing w:val="-5"/>
                        <w:w w:val="105"/>
                        <w:sz w:val="15"/>
                      </w:rPr>
                      <w:t>les </w:t>
                    </w:r>
                    <w:r>
                      <w:rPr>
                        <w:spacing w:val="-3"/>
                        <w:w w:val="105"/>
                        <w:sz w:val="15"/>
                      </w:rPr>
                      <w:t>qualifications des </w:t>
                    </w:r>
                    <w:r>
                      <w:rPr>
                        <w:spacing w:val="-4"/>
                        <w:w w:val="105"/>
                        <w:sz w:val="15"/>
                      </w:rPr>
                      <w:t>consultants </w:t>
                    </w:r>
                    <w:r>
                      <w:rPr>
                        <w:spacing w:val="-3"/>
                        <w:w w:val="105"/>
                        <w:sz w:val="15"/>
                      </w:rPr>
                      <w:t>Individuels</w:t>
                    </w:r>
                    <w:r>
                      <w:rPr>
                        <w:spacing w:val="-5"/>
                        <w:w w:val="105"/>
                        <w:sz w:val="15"/>
                      </w:rPr>
                      <w:t> </w:t>
                    </w:r>
                    <w:r>
                      <w:rPr>
                        <w:spacing w:val="-3"/>
                        <w:w w:val="105"/>
                        <w:sz w:val="15"/>
                      </w:rPr>
                      <w:t>(QC)</w:t>
                    </w:r>
                  </w:p>
                  <w:p>
                    <w:pPr>
                      <w:numPr>
                        <w:ilvl w:val="0"/>
                        <w:numId w:val="130"/>
                      </w:numPr>
                      <w:tabs>
                        <w:tab w:pos="429" w:val="left" w:leader="none"/>
                        <w:tab w:pos="430" w:val="left" w:leader="none"/>
                      </w:tabs>
                      <w:spacing w:line="176" w:lineRule="exact" w:before="0"/>
                      <w:ind w:left="429" w:right="0" w:hanging="344"/>
                      <w:jc w:val="left"/>
                      <w:rPr>
                        <w:sz w:val="15"/>
                      </w:rPr>
                    </w:pPr>
                    <w:r>
                      <w:rPr>
                        <w:spacing w:val="-3"/>
                        <w:w w:val="105"/>
                        <w:sz w:val="15"/>
                      </w:rPr>
                      <w:t>Sélection par entente</w:t>
                    </w:r>
                    <w:r>
                      <w:rPr>
                        <w:spacing w:val="5"/>
                        <w:w w:val="105"/>
                        <w:sz w:val="15"/>
                      </w:rPr>
                      <w:t> </w:t>
                    </w:r>
                    <w:r>
                      <w:rPr>
                        <w:spacing w:val="-3"/>
                        <w:w w:val="105"/>
                        <w:sz w:val="15"/>
                      </w:rPr>
                      <w:t>directe</w:t>
                    </w:r>
                  </w:p>
                  <w:p>
                    <w:pPr>
                      <w:spacing w:before="0"/>
                      <w:ind w:left="429" w:right="0" w:firstLine="0"/>
                      <w:jc w:val="left"/>
                      <w:rPr>
                        <w:sz w:val="15"/>
                      </w:rPr>
                    </w:pPr>
                    <w:r>
                      <w:rPr>
                        <w:spacing w:val="-3"/>
                        <w:w w:val="105"/>
                        <w:sz w:val="15"/>
                      </w:rPr>
                      <w:t>(SED)</w:t>
                    </w:r>
                  </w:p>
                </w:txbxContent>
              </v:textbox>
              <w10:wrap type="none"/>
            </v:shape>
            <w10:wrap type="topAndBottom"/>
          </v:group>
        </w:pict>
      </w:r>
      <w:r>
        <w:rPr/>
        <w:pict>
          <v:group style="position:absolute;margin-left:353.004395pt;margin-top:211.607025pt;width:95.1pt;height:179.85pt;mso-position-horizontal-relative:page;mso-position-vertical-relative:paragraph;z-index:-251625472;mso-wrap-distance-left:0;mso-wrap-distance-right:0" coordorigin="7060,4232" coordsize="1902,3597">
            <v:shape style="position:absolute;left:7067;top:4239;width:1888;height:3583" coordorigin="7067,4239" coordsize="1888,3583" path="m7337,7821l8955,7821,8955,4495,8945,4427,8918,4366,8876,4314,8821,4274,8757,4248,8685,4239,7067,4239,7067,7565,7077,7633,7104,7695,7146,7746,7201,7786,7265,7812,7337,7821xe" filled="false" stroked="true" strokeweight=".706209pt" strokecolor="#000000">
              <v:path arrowok="t"/>
              <v:stroke dashstyle="dot"/>
            </v:shape>
            <v:shape style="position:absolute;left:7060;top:4232;width:1902;height:3597" type="#_x0000_t202" filled="false" stroked="false">
              <v:textbox inset="0,0,0,0">
                <w:txbxContent>
                  <w:p>
                    <w:pPr>
                      <w:numPr>
                        <w:ilvl w:val="0"/>
                        <w:numId w:val="131"/>
                      </w:numPr>
                      <w:tabs>
                        <w:tab w:pos="342" w:val="left" w:leader="none"/>
                        <w:tab w:pos="344" w:val="left" w:leader="none"/>
                      </w:tabs>
                      <w:spacing w:before="98"/>
                      <w:ind w:left="432" w:right="278" w:hanging="433"/>
                      <w:jc w:val="right"/>
                      <w:rPr>
                        <w:sz w:val="15"/>
                      </w:rPr>
                    </w:pPr>
                    <w:r>
                      <w:rPr>
                        <w:spacing w:val="-3"/>
                        <w:w w:val="105"/>
                        <w:sz w:val="15"/>
                      </w:rPr>
                      <w:t>Contrats-cadres</w:t>
                    </w:r>
                    <w:r>
                      <w:rPr>
                        <w:spacing w:val="7"/>
                        <w:w w:val="105"/>
                        <w:sz w:val="15"/>
                      </w:rPr>
                      <w:t> </w:t>
                    </w:r>
                    <w:r>
                      <w:rPr>
                        <w:spacing w:val="-3"/>
                        <w:w w:val="105"/>
                        <w:sz w:val="15"/>
                      </w:rPr>
                      <w:t>par</w:t>
                    </w:r>
                  </w:p>
                  <w:p>
                    <w:pPr>
                      <w:spacing w:line="168" w:lineRule="exact" w:before="1"/>
                      <w:ind w:left="0" w:right="299" w:firstLine="0"/>
                      <w:jc w:val="right"/>
                      <w:rPr>
                        <w:sz w:val="15"/>
                      </w:rPr>
                    </w:pPr>
                    <w:r>
                      <w:rPr>
                        <w:spacing w:val="-3"/>
                        <w:w w:val="105"/>
                        <w:sz w:val="15"/>
                      </w:rPr>
                      <w:t>négociation</w:t>
                    </w:r>
                    <w:r>
                      <w:rPr>
                        <w:spacing w:val="-12"/>
                        <w:w w:val="105"/>
                        <w:sz w:val="15"/>
                      </w:rPr>
                      <w:t> </w:t>
                    </w:r>
                    <w:r>
                      <w:rPr>
                        <w:w w:val="105"/>
                        <w:sz w:val="15"/>
                      </w:rPr>
                      <w:t>directe</w:t>
                    </w:r>
                  </w:p>
                  <w:p>
                    <w:pPr>
                      <w:numPr>
                        <w:ilvl w:val="0"/>
                        <w:numId w:val="131"/>
                      </w:numPr>
                      <w:tabs>
                        <w:tab w:pos="431" w:val="left" w:leader="none"/>
                        <w:tab w:pos="433" w:val="left" w:leader="none"/>
                      </w:tabs>
                      <w:spacing w:line="242" w:lineRule="auto" w:before="0"/>
                      <w:ind w:left="432" w:right="299" w:hanging="344"/>
                      <w:jc w:val="left"/>
                      <w:rPr>
                        <w:sz w:val="15"/>
                      </w:rPr>
                    </w:pPr>
                    <w:r>
                      <w:rPr>
                        <w:w w:val="105"/>
                        <w:sz w:val="15"/>
                      </w:rPr>
                      <w:t>Marchés</w:t>
                    </w:r>
                    <w:r>
                      <w:rPr>
                        <w:spacing w:val="-29"/>
                        <w:w w:val="105"/>
                        <w:sz w:val="15"/>
                      </w:rPr>
                      <w:t> </w:t>
                    </w:r>
                    <w:r>
                      <w:rPr>
                        <w:w w:val="105"/>
                        <w:sz w:val="15"/>
                      </w:rPr>
                      <w:t>ponctuels </w:t>
                    </w:r>
                    <w:r>
                      <w:rPr>
                        <w:spacing w:val="-3"/>
                        <w:w w:val="105"/>
                        <w:sz w:val="15"/>
                      </w:rPr>
                      <w:t>(SPOT) par négociation</w:t>
                    </w:r>
                    <w:r>
                      <w:rPr>
                        <w:spacing w:val="-10"/>
                        <w:w w:val="105"/>
                        <w:sz w:val="15"/>
                      </w:rPr>
                      <w:t> </w:t>
                    </w:r>
                    <w:r>
                      <w:rPr>
                        <w:w w:val="105"/>
                        <w:sz w:val="15"/>
                      </w:rPr>
                      <w:t>directe</w:t>
                    </w:r>
                  </w:p>
                </w:txbxContent>
              </v:textbox>
              <w10:wrap type="none"/>
            </v:shape>
            <w10:wrap type="topAndBottom"/>
          </v:group>
        </w:pict>
      </w:r>
      <w:r>
        <w:rPr/>
        <w:pict>
          <v:group style="position:absolute;margin-left:453.779236pt;margin-top:211.608368pt;width:116.65pt;height:179.85pt;mso-position-horizontal-relative:page;mso-position-vertical-relative:paragraph;z-index:-251623424;mso-wrap-distance-left:0;mso-wrap-distance-right:0" coordorigin="9076,4232" coordsize="2333,3597">
            <v:shape style="position:absolute;left:9082;top:4239;width:2319;height:3583" coordorigin="9083,4239" coordsize="2319,3583" path="m9352,7821l11402,7821,11402,4495,11392,4427,11365,4366,11323,4314,11268,4274,11204,4248,11132,4239,9083,4239,9083,7565,9092,7633,9119,7695,9162,7746,9216,7786,9281,7812,9352,7821xe" filled="false" stroked="true" strokeweight=".703363pt" strokecolor="#000000">
              <v:path arrowok="t"/>
              <v:stroke dashstyle="dot"/>
            </v:shape>
            <v:shape style="position:absolute;left:9166;top:4323;width:1141;height:183" type="#_x0000_t202" filled="false" stroked="false">
              <v:textbox inset="0,0,0,0">
                <w:txbxContent>
                  <w:p>
                    <w:pPr>
                      <w:numPr>
                        <w:ilvl w:val="0"/>
                        <w:numId w:val="132"/>
                      </w:numPr>
                      <w:tabs>
                        <w:tab w:pos="342" w:val="left" w:leader="none"/>
                        <w:tab w:pos="344" w:val="left" w:leader="none"/>
                      </w:tabs>
                      <w:spacing w:line="182" w:lineRule="exact" w:before="0"/>
                      <w:ind w:left="343" w:right="0" w:hanging="344"/>
                      <w:jc w:val="left"/>
                      <w:rPr>
                        <w:sz w:val="15"/>
                      </w:rPr>
                    </w:pPr>
                    <w:r>
                      <w:rPr>
                        <w:spacing w:val="-3"/>
                        <w:w w:val="105"/>
                        <w:sz w:val="15"/>
                      </w:rPr>
                      <w:t>Consultation</w:t>
                    </w:r>
                  </w:p>
                </w:txbxContent>
              </v:textbox>
              <w10:wrap type="none"/>
            </v:shape>
            <w10:wrap type="topAndBottom"/>
          </v:group>
        </w:pict>
      </w:r>
      <w:r>
        <w:rPr/>
        <w:pict>
          <v:group style="position:absolute;margin-left:580.43042pt;margin-top:211.612579pt;width:191.25pt;height:179.85pt;mso-position-horizontal-relative:page;mso-position-vertical-relative:paragraph;z-index:-251621376;mso-wrap-distance-left:0;mso-wrap-distance-right:0" coordorigin="11609,4232" coordsize="3825,3597">
            <v:shape style="position:absolute;left:11615;top:4239;width:3811;height:3583" coordorigin="11616,4239" coordsize="3811,3583" path="m11885,7821l15426,7821,15426,4495,15416,4427,15389,4366,15347,4314,15292,4274,15228,4248,15156,4239,11616,4239,11616,7565,11625,7633,11652,7695,11694,7746,11749,7786,11813,7812,11885,7821xe" filled="false" stroked="true" strokeweight=".69477pt" strokecolor="#000000">
              <v:path arrowok="t"/>
              <v:stroke dashstyle="dot"/>
            </v:shape>
            <v:shape style="position:absolute;left:11608;top:4232;width:3825;height:3597" type="#_x0000_t202" filled="false" stroked="false">
              <v:textbox inset="0,0,0,0">
                <w:txbxContent>
                  <w:p>
                    <w:pPr>
                      <w:numPr>
                        <w:ilvl w:val="0"/>
                        <w:numId w:val="133"/>
                      </w:numPr>
                      <w:tabs>
                        <w:tab w:pos="436" w:val="left" w:leader="none"/>
                        <w:tab w:pos="437" w:val="left" w:leader="none"/>
                      </w:tabs>
                      <w:spacing w:before="80"/>
                      <w:ind w:left="436" w:right="131" w:hanging="343"/>
                      <w:jc w:val="left"/>
                      <w:rPr>
                        <w:sz w:val="15"/>
                      </w:rPr>
                    </w:pPr>
                    <w:r>
                      <w:rPr>
                        <w:spacing w:val="-3"/>
                        <w:w w:val="105"/>
                        <w:sz w:val="15"/>
                      </w:rPr>
                      <w:t>Appel </w:t>
                    </w:r>
                    <w:r>
                      <w:rPr>
                        <w:spacing w:val="-6"/>
                        <w:w w:val="105"/>
                        <w:sz w:val="15"/>
                      </w:rPr>
                      <w:t>d </w:t>
                    </w:r>
                    <w:r>
                      <w:rPr>
                        <w:spacing w:val="-3"/>
                        <w:w w:val="105"/>
                        <w:sz w:val="15"/>
                      </w:rPr>
                      <w:t>Offres </w:t>
                    </w:r>
                    <w:r>
                      <w:rPr>
                        <w:spacing w:val="-4"/>
                        <w:w w:val="105"/>
                        <w:sz w:val="15"/>
                      </w:rPr>
                      <w:t>mixte </w:t>
                    </w:r>
                    <w:r>
                      <w:rPr>
                        <w:spacing w:val="-3"/>
                        <w:w w:val="105"/>
                        <w:sz w:val="15"/>
                      </w:rPr>
                      <w:t>(via </w:t>
                    </w:r>
                    <w:r>
                      <w:rPr>
                        <w:spacing w:val="-4"/>
                        <w:w w:val="105"/>
                        <w:sz w:val="15"/>
                      </w:rPr>
                      <w:t>TUNEPS </w:t>
                    </w:r>
                    <w:r>
                      <w:rPr>
                        <w:spacing w:val="-7"/>
                        <w:w w:val="105"/>
                        <w:sz w:val="15"/>
                      </w:rPr>
                      <w:t>et </w:t>
                    </w:r>
                    <w:r>
                      <w:rPr>
                        <w:spacing w:val="-3"/>
                        <w:w w:val="105"/>
                        <w:sz w:val="15"/>
                      </w:rPr>
                      <w:t>hors </w:t>
                    </w:r>
                    <w:r>
                      <w:rPr>
                        <w:spacing w:val="-4"/>
                        <w:w w:val="105"/>
                        <w:sz w:val="15"/>
                      </w:rPr>
                      <w:t>TUNEPS </w:t>
                    </w:r>
                    <w:r>
                      <w:rPr>
                        <w:w w:val="105"/>
                        <w:sz w:val="15"/>
                      </w:rPr>
                      <w:t>à la</w:t>
                    </w:r>
                    <w:r>
                      <w:rPr>
                        <w:spacing w:val="-6"/>
                        <w:w w:val="105"/>
                        <w:sz w:val="15"/>
                      </w:rPr>
                      <w:t> </w:t>
                    </w:r>
                    <w:r>
                      <w:rPr>
                        <w:spacing w:val="-3"/>
                        <w:w w:val="105"/>
                        <w:sz w:val="15"/>
                      </w:rPr>
                      <w:t>fois)</w:t>
                    </w:r>
                  </w:p>
                  <w:p>
                    <w:pPr>
                      <w:numPr>
                        <w:ilvl w:val="0"/>
                        <w:numId w:val="133"/>
                      </w:numPr>
                      <w:tabs>
                        <w:tab w:pos="436" w:val="left" w:leader="none"/>
                        <w:tab w:pos="437" w:val="left" w:leader="none"/>
                      </w:tabs>
                      <w:spacing w:line="174" w:lineRule="exact" w:before="0"/>
                      <w:ind w:left="436" w:right="0" w:hanging="344"/>
                      <w:jc w:val="left"/>
                      <w:rPr>
                        <w:sz w:val="15"/>
                      </w:rPr>
                    </w:pPr>
                    <w:r>
                      <w:rPr>
                        <w:spacing w:val="-3"/>
                        <w:w w:val="105"/>
                        <w:sz w:val="15"/>
                      </w:rPr>
                      <w:t>Négociation</w:t>
                    </w:r>
                    <w:r>
                      <w:rPr>
                        <w:spacing w:val="-5"/>
                        <w:w w:val="105"/>
                        <w:sz w:val="15"/>
                      </w:rPr>
                      <w:t> </w:t>
                    </w:r>
                    <w:r>
                      <w:rPr>
                        <w:spacing w:val="-3"/>
                        <w:w w:val="105"/>
                        <w:sz w:val="15"/>
                      </w:rPr>
                      <w:t>directe</w:t>
                    </w:r>
                  </w:p>
                </w:txbxContent>
              </v:textbox>
              <w10:wrap type="none"/>
            </v:shape>
            <w10:wrap type="topAndBottom"/>
          </v:group>
        </w:pict>
      </w:r>
    </w:p>
    <w:p>
      <w:pPr>
        <w:pStyle w:val="BodyText"/>
        <w:spacing w:before="8"/>
        <w:ind w:left="0" w:firstLine="0"/>
        <w:jc w:val="left"/>
        <w:rPr>
          <w:b/>
          <w:sz w:val="9"/>
        </w:rPr>
      </w:pPr>
    </w:p>
    <w:p>
      <w:pPr>
        <w:spacing w:after="0"/>
        <w:jc w:val="left"/>
        <w:rPr>
          <w:sz w:val="9"/>
        </w:rPr>
        <w:sectPr>
          <w:headerReference w:type="default" r:id="rId19"/>
          <w:pgSz w:w="16840" w:h="11910" w:orient="landscape"/>
          <w:pgMar w:header="0" w:footer="0" w:top="140" w:bottom="0" w:left="480" w:right="1160"/>
        </w:sectPr>
      </w:pPr>
    </w:p>
    <w:p>
      <w:pPr>
        <w:pStyle w:val="BodyText"/>
        <w:spacing w:before="8"/>
        <w:ind w:left="0" w:firstLine="0"/>
        <w:jc w:val="left"/>
        <w:rPr>
          <w:b/>
          <w:sz w:val="16"/>
        </w:rPr>
      </w:pPr>
    </w:p>
    <w:p>
      <w:pPr>
        <w:pStyle w:val="Heading2"/>
        <w:spacing w:line="276" w:lineRule="auto"/>
        <w:ind w:left="293" w:right="312"/>
      </w:pPr>
      <w:bookmarkStart w:name="_TOC_250002" w:id="141"/>
      <w:bookmarkEnd w:id="141"/>
      <w:r>
        <w:rPr/>
        <w:t>Annexe n°20 : Procédure d’actualisation de la liste des Armateurs/Courtiers du GCT</w:t>
      </w:r>
    </w:p>
    <w:p>
      <w:pPr>
        <w:pStyle w:val="BodyText"/>
        <w:ind w:left="293" w:right="305" w:firstLine="283"/>
      </w:pPr>
      <w:r>
        <w:rPr/>
        <w:t>La structure chargée d'affrètements veille à l’actualisation de la "Liste des armateurs/courtiers</w:t>
      </w:r>
      <w:r>
        <w:rPr>
          <w:spacing w:val="-19"/>
        </w:rPr>
        <w:t> </w:t>
      </w:r>
      <w:r>
        <w:rPr/>
        <w:t>du</w:t>
      </w:r>
      <w:r>
        <w:rPr>
          <w:spacing w:val="-18"/>
        </w:rPr>
        <w:t> </w:t>
      </w:r>
      <w:r>
        <w:rPr/>
        <w:t>GCT".</w:t>
      </w:r>
      <w:r>
        <w:rPr>
          <w:spacing w:val="-25"/>
        </w:rPr>
        <w:t> </w:t>
      </w:r>
      <w:r>
        <w:rPr/>
        <w:t>A</w:t>
      </w:r>
      <w:r>
        <w:rPr>
          <w:spacing w:val="-20"/>
        </w:rPr>
        <w:t> </w:t>
      </w:r>
      <w:r>
        <w:rPr/>
        <w:t>cet</w:t>
      </w:r>
      <w:r>
        <w:rPr>
          <w:spacing w:val="-18"/>
        </w:rPr>
        <w:t> </w:t>
      </w:r>
      <w:r>
        <w:rPr/>
        <w:t>effet,</w:t>
      </w:r>
      <w:r>
        <w:rPr>
          <w:spacing w:val="-19"/>
        </w:rPr>
        <w:t> </w:t>
      </w:r>
      <w:r>
        <w:rPr/>
        <w:t>le</w:t>
      </w:r>
      <w:r>
        <w:rPr>
          <w:spacing w:val="-19"/>
        </w:rPr>
        <w:t> </w:t>
      </w:r>
      <w:r>
        <w:rPr/>
        <w:t>GCT</w:t>
      </w:r>
      <w:r>
        <w:rPr>
          <w:spacing w:val="-20"/>
        </w:rPr>
        <w:t> </w:t>
      </w:r>
      <w:r>
        <w:rPr/>
        <w:t>publie</w:t>
      </w:r>
      <w:r>
        <w:rPr>
          <w:spacing w:val="-19"/>
        </w:rPr>
        <w:t> </w:t>
      </w:r>
      <w:r>
        <w:rPr/>
        <w:t>dans</w:t>
      </w:r>
      <w:r>
        <w:rPr>
          <w:spacing w:val="-19"/>
        </w:rPr>
        <w:t> </w:t>
      </w:r>
      <w:r>
        <w:rPr/>
        <w:t>son</w:t>
      </w:r>
      <w:r>
        <w:rPr>
          <w:spacing w:val="-18"/>
        </w:rPr>
        <w:t> </w:t>
      </w:r>
      <w:r>
        <w:rPr/>
        <w:t>site</w:t>
      </w:r>
      <w:r>
        <w:rPr>
          <w:spacing w:val="-19"/>
        </w:rPr>
        <w:t> </w:t>
      </w:r>
      <w:r>
        <w:rPr/>
        <w:t>web</w:t>
      </w:r>
      <w:r>
        <w:rPr>
          <w:spacing w:val="-18"/>
        </w:rPr>
        <w:t> </w:t>
      </w:r>
      <w:r>
        <w:rPr/>
        <w:t>un</w:t>
      </w:r>
      <w:r>
        <w:rPr>
          <w:spacing w:val="-18"/>
        </w:rPr>
        <w:t> </w:t>
      </w:r>
      <w:r>
        <w:rPr/>
        <w:t>appel</w:t>
      </w:r>
      <w:r>
        <w:rPr>
          <w:spacing w:val="-14"/>
        </w:rPr>
        <w:t> </w:t>
      </w:r>
      <w:r>
        <w:rPr/>
        <w:t>ouvert auprès</w:t>
      </w:r>
      <w:r>
        <w:rPr>
          <w:spacing w:val="-17"/>
        </w:rPr>
        <w:t> </w:t>
      </w:r>
      <w:r>
        <w:rPr/>
        <w:t>des</w:t>
      </w:r>
      <w:r>
        <w:rPr>
          <w:spacing w:val="-14"/>
        </w:rPr>
        <w:t> </w:t>
      </w:r>
      <w:r>
        <w:rPr/>
        <w:t>courtiers</w:t>
      </w:r>
      <w:r>
        <w:rPr>
          <w:spacing w:val="-14"/>
        </w:rPr>
        <w:t> </w:t>
      </w:r>
      <w:r>
        <w:rPr/>
        <w:t>et</w:t>
      </w:r>
      <w:r>
        <w:rPr>
          <w:spacing w:val="-14"/>
        </w:rPr>
        <w:t> </w:t>
      </w:r>
      <w:r>
        <w:rPr/>
        <w:t>des</w:t>
      </w:r>
      <w:r>
        <w:rPr>
          <w:spacing w:val="-14"/>
        </w:rPr>
        <w:t> </w:t>
      </w:r>
      <w:r>
        <w:rPr/>
        <w:t>armateurs</w:t>
      </w:r>
      <w:r>
        <w:rPr>
          <w:spacing w:val="-14"/>
        </w:rPr>
        <w:t> </w:t>
      </w:r>
      <w:r>
        <w:rPr/>
        <w:t>pour</w:t>
      </w:r>
      <w:r>
        <w:rPr>
          <w:spacing w:val="-16"/>
        </w:rPr>
        <w:t> </w:t>
      </w:r>
      <w:r>
        <w:rPr/>
        <w:t>la</w:t>
      </w:r>
      <w:r>
        <w:rPr>
          <w:spacing w:val="-15"/>
        </w:rPr>
        <w:t> </w:t>
      </w:r>
      <w:r>
        <w:rPr/>
        <w:t>candidature</w:t>
      </w:r>
      <w:r>
        <w:rPr>
          <w:spacing w:val="-15"/>
        </w:rPr>
        <w:t> </w:t>
      </w:r>
      <w:r>
        <w:rPr/>
        <w:t>à</w:t>
      </w:r>
      <w:r>
        <w:rPr>
          <w:spacing w:val="-15"/>
        </w:rPr>
        <w:t> </w:t>
      </w:r>
      <w:r>
        <w:rPr/>
        <w:t>la</w:t>
      </w:r>
      <w:r>
        <w:rPr>
          <w:spacing w:val="-15"/>
        </w:rPr>
        <w:t> </w:t>
      </w:r>
      <w:r>
        <w:rPr/>
        <w:t>liste</w:t>
      </w:r>
      <w:r>
        <w:rPr>
          <w:spacing w:val="-15"/>
        </w:rPr>
        <w:t> </w:t>
      </w:r>
      <w:r>
        <w:rPr/>
        <w:t>des</w:t>
      </w:r>
      <w:r>
        <w:rPr>
          <w:spacing w:val="-14"/>
        </w:rPr>
        <w:t> </w:t>
      </w:r>
      <w:r>
        <w:rPr/>
        <w:t>candidats</w:t>
      </w:r>
      <w:r>
        <w:rPr>
          <w:spacing w:val="-15"/>
        </w:rPr>
        <w:t> </w:t>
      </w:r>
      <w:r>
        <w:rPr/>
        <w:t>potentiels qui seront consultés pour satisfaire les besoins du GCT en matière de services d’affrètement des</w:t>
      </w:r>
      <w:r>
        <w:rPr>
          <w:spacing w:val="-5"/>
        </w:rPr>
        <w:t> </w:t>
      </w:r>
      <w:r>
        <w:rPr/>
        <w:t>navires.</w:t>
      </w:r>
    </w:p>
    <w:p>
      <w:pPr>
        <w:pStyle w:val="BodyText"/>
        <w:ind w:left="293" w:right="309" w:firstLine="283"/>
      </w:pPr>
      <w:r>
        <w:rPr/>
        <w:t>La liste des armateurs/courtiers du GCT est revue par la </w:t>
      </w:r>
      <w:r>
        <w:rPr>
          <w:b/>
        </w:rPr>
        <w:t>Commission des Affrètements </w:t>
      </w:r>
      <w:r>
        <w:rPr/>
        <w:t>pour actualisation selon le besoin et au moins une fois par trimestre. La liste peut être actualisée soit par insertion d’un nouveau armateur/courtier, soit par radiation d’un opérateur existant, comme suit :</w:t>
      </w:r>
    </w:p>
    <w:p>
      <w:pPr>
        <w:pStyle w:val="Heading3"/>
        <w:numPr>
          <w:ilvl w:val="0"/>
          <w:numId w:val="134"/>
        </w:numPr>
        <w:tabs>
          <w:tab w:pos="578" w:val="left" w:leader="none"/>
        </w:tabs>
        <w:spacing w:line="240" w:lineRule="auto" w:before="123" w:after="0"/>
        <w:ind w:left="577" w:right="0" w:hanging="285"/>
        <w:jc w:val="both"/>
        <w:rPr>
          <w:i/>
        </w:rPr>
      </w:pPr>
      <w:r>
        <w:rPr>
          <w:i/>
        </w:rPr>
        <w:t>Insertion d’un armateur/courtier à la</w:t>
      </w:r>
      <w:r>
        <w:rPr>
          <w:i/>
          <w:spacing w:val="-22"/>
        </w:rPr>
        <w:t> </w:t>
      </w:r>
      <w:r>
        <w:rPr>
          <w:i/>
        </w:rPr>
        <w:t>liste</w:t>
      </w:r>
    </w:p>
    <w:p>
      <w:pPr>
        <w:pStyle w:val="BodyText"/>
        <w:spacing w:before="160"/>
        <w:ind w:left="293" w:right="305" w:firstLine="283"/>
      </w:pPr>
      <w:r>
        <w:rPr/>
        <w:t>L’insertion d’un nouveau armateur/courtier à la liste est faite chaque fois que de nouveaux opérateurs se présentent (demande de candidature spontanée, conférences et foires internationales, etc). Toutefois les demandes d’insertion sont reçues par la messagerie électronique spécifique : gct_chartering@gct.com.tn)</w:t>
      </w:r>
    </w:p>
    <w:p>
      <w:pPr>
        <w:pStyle w:val="BodyText"/>
        <w:spacing w:line="322" w:lineRule="exact" w:before="122"/>
        <w:ind w:left="577" w:firstLine="0"/>
      </w:pPr>
      <w:r>
        <w:rPr/>
        <w:t>Pour se faire, la structure chargée des affrètements procède comme suit :</w:t>
      </w:r>
    </w:p>
    <w:p>
      <w:pPr>
        <w:pStyle w:val="ListParagraph"/>
        <w:numPr>
          <w:ilvl w:val="0"/>
          <w:numId w:val="135"/>
        </w:numPr>
        <w:tabs>
          <w:tab w:pos="578" w:val="left" w:leader="none"/>
        </w:tabs>
        <w:spacing w:line="230" w:lineRule="auto" w:before="10" w:after="0"/>
        <w:ind w:left="577" w:right="316" w:hanging="284"/>
        <w:jc w:val="left"/>
        <w:rPr>
          <w:sz w:val="28"/>
        </w:rPr>
      </w:pPr>
      <w:r>
        <w:rPr>
          <w:sz w:val="28"/>
        </w:rPr>
        <w:t>Adresser un questionnaire à l’armateur/courtier pour recueillir les informations nécessaires permettant de l’évaluer (voir formulaire d'insertion)</w:t>
      </w:r>
      <w:r>
        <w:rPr>
          <w:spacing w:val="-7"/>
          <w:sz w:val="28"/>
        </w:rPr>
        <w:t> </w:t>
      </w:r>
      <w:r>
        <w:rPr>
          <w:sz w:val="28"/>
        </w:rPr>
        <w:t>;</w:t>
      </w:r>
    </w:p>
    <w:p>
      <w:pPr>
        <w:pStyle w:val="ListParagraph"/>
        <w:numPr>
          <w:ilvl w:val="0"/>
          <w:numId w:val="135"/>
        </w:numPr>
        <w:tabs>
          <w:tab w:pos="578" w:val="left" w:leader="none"/>
        </w:tabs>
        <w:spacing w:line="230" w:lineRule="auto" w:before="11" w:after="0"/>
        <w:ind w:left="577" w:right="314" w:hanging="284"/>
        <w:jc w:val="left"/>
        <w:rPr>
          <w:sz w:val="28"/>
        </w:rPr>
      </w:pPr>
      <w:r>
        <w:rPr>
          <w:sz w:val="28"/>
        </w:rPr>
        <w:t>Préparer</w:t>
      </w:r>
      <w:r>
        <w:rPr>
          <w:spacing w:val="-16"/>
          <w:sz w:val="28"/>
        </w:rPr>
        <w:t> </w:t>
      </w:r>
      <w:r>
        <w:rPr>
          <w:sz w:val="28"/>
        </w:rPr>
        <w:t>une</w:t>
      </w:r>
      <w:r>
        <w:rPr>
          <w:spacing w:val="-16"/>
          <w:sz w:val="28"/>
        </w:rPr>
        <w:t> </w:t>
      </w:r>
      <w:r>
        <w:rPr>
          <w:sz w:val="28"/>
        </w:rPr>
        <w:t>note</w:t>
      </w:r>
      <w:r>
        <w:rPr>
          <w:spacing w:val="-16"/>
          <w:sz w:val="28"/>
        </w:rPr>
        <w:t> </w:t>
      </w:r>
      <w:r>
        <w:rPr>
          <w:sz w:val="28"/>
        </w:rPr>
        <w:t>d’opportunité</w:t>
      </w:r>
      <w:r>
        <w:rPr>
          <w:spacing w:val="-16"/>
          <w:sz w:val="28"/>
        </w:rPr>
        <w:t> </w:t>
      </w:r>
      <w:r>
        <w:rPr>
          <w:sz w:val="28"/>
        </w:rPr>
        <w:t>comprenant</w:t>
      </w:r>
      <w:r>
        <w:rPr>
          <w:spacing w:val="-15"/>
          <w:sz w:val="28"/>
        </w:rPr>
        <w:t> </w:t>
      </w:r>
      <w:r>
        <w:rPr>
          <w:sz w:val="28"/>
        </w:rPr>
        <w:t>son</w:t>
      </w:r>
      <w:r>
        <w:rPr>
          <w:spacing w:val="-15"/>
          <w:sz w:val="28"/>
        </w:rPr>
        <w:t> </w:t>
      </w:r>
      <w:r>
        <w:rPr>
          <w:sz w:val="28"/>
        </w:rPr>
        <w:t>avis</w:t>
      </w:r>
      <w:r>
        <w:rPr>
          <w:spacing w:val="-15"/>
          <w:sz w:val="28"/>
        </w:rPr>
        <w:t> </w:t>
      </w:r>
      <w:r>
        <w:rPr>
          <w:sz w:val="28"/>
        </w:rPr>
        <w:t>et</w:t>
      </w:r>
      <w:r>
        <w:rPr>
          <w:spacing w:val="-15"/>
          <w:sz w:val="28"/>
        </w:rPr>
        <w:t> </w:t>
      </w:r>
      <w:r>
        <w:rPr>
          <w:sz w:val="28"/>
        </w:rPr>
        <w:t>les</w:t>
      </w:r>
      <w:r>
        <w:rPr>
          <w:spacing w:val="-15"/>
          <w:sz w:val="28"/>
        </w:rPr>
        <w:t> </w:t>
      </w:r>
      <w:r>
        <w:rPr>
          <w:sz w:val="28"/>
        </w:rPr>
        <w:t>éléments</w:t>
      </w:r>
      <w:r>
        <w:rPr>
          <w:spacing w:val="-15"/>
          <w:sz w:val="28"/>
        </w:rPr>
        <w:t> </w:t>
      </w:r>
      <w:r>
        <w:rPr>
          <w:sz w:val="28"/>
        </w:rPr>
        <w:t>d’appréciation</w:t>
      </w:r>
      <w:r>
        <w:rPr>
          <w:spacing w:val="-15"/>
          <w:sz w:val="28"/>
        </w:rPr>
        <w:t> </w:t>
      </w:r>
      <w:r>
        <w:rPr>
          <w:sz w:val="28"/>
        </w:rPr>
        <w:t>sur la base des lettres des motivations envoyées par les armateurs et les</w:t>
      </w:r>
      <w:r>
        <w:rPr>
          <w:spacing w:val="-19"/>
          <w:sz w:val="28"/>
        </w:rPr>
        <w:t> </w:t>
      </w:r>
      <w:r>
        <w:rPr>
          <w:sz w:val="28"/>
        </w:rPr>
        <w:t>courtiers.</w:t>
      </w:r>
    </w:p>
    <w:p>
      <w:pPr>
        <w:pStyle w:val="ListParagraph"/>
        <w:numPr>
          <w:ilvl w:val="0"/>
          <w:numId w:val="135"/>
        </w:numPr>
        <w:tabs>
          <w:tab w:pos="578" w:val="left" w:leader="none"/>
        </w:tabs>
        <w:spacing w:line="240" w:lineRule="auto" w:before="2" w:after="0"/>
        <w:ind w:left="577" w:right="0" w:hanging="285"/>
        <w:jc w:val="left"/>
        <w:rPr>
          <w:sz w:val="28"/>
        </w:rPr>
      </w:pPr>
      <w:r>
        <w:rPr>
          <w:sz w:val="28"/>
        </w:rPr>
        <w:t>Présenter la note d’opportunité à la </w:t>
      </w:r>
      <w:r>
        <w:rPr>
          <w:b/>
          <w:sz w:val="28"/>
        </w:rPr>
        <w:t>Commission des Affrètements </w:t>
      </w:r>
      <w:r>
        <w:rPr>
          <w:sz w:val="28"/>
        </w:rPr>
        <w:t>pour</w:t>
      </w:r>
      <w:r>
        <w:rPr>
          <w:spacing w:val="-17"/>
          <w:sz w:val="28"/>
        </w:rPr>
        <w:t> </w:t>
      </w:r>
      <w:r>
        <w:rPr>
          <w:sz w:val="28"/>
        </w:rPr>
        <w:t>décision.</w:t>
      </w:r>
    </w:p>
    <w:p>
      <w:pPr>
        <w:pStyle w:val="Heading3"/>
        <w:numPr>
          <w:ilvl w:val="0"/>
          <w:numId w:val="134"/>
        </w:numPr>
        <w:tabs>
          <w:tab w:pos="578" w:val="left" w:leader="none"/>
        </w:tabs>
        <w:spacing w:line="240" w:lineRule="auto" w:before="112" w:after="0"/>
        <w:ind w:left="577" w:right="0" w:hanging="285"/>
        <w:jc w:val="left"/>
        <w:rPr>
          <w:i/>
        </w:rPr>
      </w:pPr>
      <w:r>
        <w:rPr>
          <w:i/>
        </w:rPr>
        <w:t>Radiation d’un armateur/courtier de la</w:t>
      </w:r>
      <w:r>
        <w:rPr>
          <w:i/>
          <w:spacing w:val="-7"/>
        </w:rPr>
        <w:t> </w:t>
      </w:r>
      <w:r>
        <w:rPr>
          <w:i/>
        </w:rPr>
        <w:t>liste</w:t>
      </w:r>
    </w:p>
    <w:p>
      <w:pPr>
        <w:pStyle w:val="BodyText"/>
        <w:spacing w:before="161"/>
        <w:ind w:left="293" w:right="46" w:firstLine="283"/>
        <w:jc w:val="left"/>
      </w:pPr>
      <w:r>
        <w:rPr/>
        <w:t>La radiation d’un armateur/courtier de la liste peut être faite exceptionnellement pour des cas dûment justifiés, notamment :</w:t>
      </w:r>
    </w:p>
    <w:p>
      <w:pPr>
        <w:pStyle w:val="ListParagraph"/>
        <w:numPr>
          <w:ilvl w:val="0"/>
          <w:numId w:val="136"/>
        </w:numPr>
        <w:tabs>
          <w:tab w:pos="578" w:val="left" w:leader="none"/>
        </w:tabs>
        <w:spacing w:line="240" w:lineRule="auto" w:before="1" w:after="0"/>
        <w:ind w:left="577" w:right="306" w:hanging="284"/>
        <w:jc w:val="left"/>
        <w:rPr>
          <w:sz w:val="28"/>
        </w:rPr>
      </w:pPr>
      <w:r>
        <w:rPr>
          <w:sz w:val="28"/>
        </w:rPr>
        <w:t>La non-participation aux appels d'offres lancés par le GCT pendant une période successive supérieure ou égale à 3</w:t>
      </w:r>
      <w:r>
        <w:rPr>
          <w:spacing w:val="-4"/>
          <w:sz w:val="28"/>
        </w:rPr>
        <w:t> </w:t>
      </w:r>
      <w:r>
        <w:rPr>
          <w:sz w:val="28"/>
        </w:rPr>
        <w:t>ans,</w:t>
      </w:r>
    </w:p>
    <w:p>
      <w:pPr>
        <w:pStyle w:val="ListParagraph"/>
        <w:numPr>
          <w:ilvl w:val="0"/>
          <w:numId w:val="136"/>
        </w:numPr>
        <w:tabs>
          <w:tab w:pos="578" w:val="left" w:leader="none"/>
        </w:tabs>
        <w:spacing w:line="340" w:lineRule="exact" w:before="0" w:after="0"/>
        <w:ind w:left="577" w:right="0" w:hanging="285"/>
        <w:jc w:val="left"/>
        <w:rPr>
          <w:sz w:val="28"/>
        </w:rPr>
      </w:pPr>
      <w:r>
        <w:rPr>
          <w:sz w:val="28"/>
        </w:rPr>
        <w:t>En cas de litiges, non résolus à l'amiable, entre le GCT et l'un des</w:t>
      </w:r>
      <w:r>
        <w:rPr>
          <w:spacing w:val="-30"/>
          <w:sz w:val="28"/>
        </w:rPr>
        <w:t> </w:t>
      </w:r>
      <w:r>
        <w:rPr>
          <w:sz w:val="28"/>
        </w:rPr>
        <w:t>armateurs/courtiers,</w:t>
      </w:r>
    </w:p>
    <w:p>
      <w:pPr>
        <w:pStyle w:val="ListParagraph"/>
        <w:numPr>
          <w:ilvl w:val="0"/>
          <w:numId w:val="136"/>
        </w:numPr>
        <w:tabs>
          <w:tab w:pos="578" w:val="left" w:leader="none"/>
        </w:tabs>
        <w:spacing w:line="240" w:lineRule="auto" w:before="0" w:after="0"/>
        <w:ind w:left="577" w:right="318" w:hanging="284"/>
        <w:jc w:val="left"/>
        <w:rPr>
          <w:sz w:val="28"/>
        </w:rPr>
      </w:pPr>
      <w:r>
        <w:rPr>
          <w:sz w:val="28"/>
        </w:rPr>
        <w:t>L'armateur/courtier n'a pas honoré ses engagements envers du GCT et a causé des préjudices au GCT (un surcoût/ impact sur le déroulement normal de l'activité,</w:t>
      </w:r>
      <w:r>
        <w:rPr>
          <w:spacing w:val="-18"/>
          <w:sz w:val="28"/>
        </w:rPr>
        <w:t> </w:t>
      </w:r>
      <w:r>
        <w:rPr>
          <w:sz w:val="28"/>
        </w:rPr>
        <w:t>etc.)</w:t>
      </w:r>
    </w:p>
    <w:p>
      <w:pPr>
        <w:pStyle w:val="BodyText"/>
        <w:spacing w:line="322" w:lineRule="exact" w:before="200"/>
        <w:ind w:left="577" w:firstLine="0"/>
        <w:jc w:val="left"/>
      </w:pPr>
      <w:r>
        <w:rPr/>
        <w:t>Pour se faire, la structure chargée des affrètements procède comme suit :</w:t>
      </w:r>
    </w:p>
    <w:p>
      <w:pPr>
        <w:pStyle w:val="ListParagraph"/>
        <w:numPr>
          <w:ilvl w:val="0"/>
          <w:numId w:val="135"/>
        </w:numPr>
        <w:tabs>
          <w:tab w:pos="578" w:val="left" w:leader="none"/>
        </w:tabs>
        <w:spacing w:line="230" w:lineRule="auto" w:before="10" w:after="0"/>
        <w:ind w:left="577" w:right="317" w:hanging="284"/>
        <w:jc w:val="left"/>
        <w:rPr>
          <w:sz w:val="28"/>
        </w:rPr>
      </w:pPr>
      <w:r>
        <w:rPr>
          <w:sz w:val="28"/>
        </w:rPr>
        <w:t>Préparer</w:t>
      </w:r>
      <w:r>
        <w:rPr>
          <w:spacing w:val="-12"/>
          <w:sz w:val="28"/>
        </w:rPr>
        <w:t> </w:t>
      </w:r>
      <w:r>
        <w:rPr>
          <w:sz w:val="28"/>
        </w:rPr>
        <w:t>un</w:t>
      </w:r>
      <w:r>
        <w:rPr>
          <w:spacing w:val="-10"/>
          <w:sz w:val="28"/>
        </w:rPr>
        <w:t> </w:t>
      </w:r>
      <w:r>
        <w:rPr>
          <w:sz w:val="28"/>
        </w:rPr>
        <w:t>rapport</w:t>
      </w:r>
      <w:r>
        <w:rPr>
          <w:spacing w:val="-10"/>
          <w:sz w:val="28"/>
        </w:rPr>
        <w:t> </w:t>
      </w:r>
      <w:r>
        <w:rPr>
          <w:sz w:val="28"/>
        </w:rPr>
        <w:t>circonstancié</w:t>
      </w:r>
      <w:r>
        <w:rPr>
          <w:spacing w:val="-11"/>
          <w:sz w:val="28"/>
        </w:rPr>
        <w:t> </w:t>
      </w:r>
      <w:r>
        <w:rPr>
          <w:sz w:val="28"/>
        </w:rPr>
        <w:t>relatant</w:t>
      </w:r>
      <w:r>
        <w:rPr>
          <w:spacing w:val="-10"/>
          <w:sz w:val="28"/>
        </w:rPr>
        <w:t> </w:t>
      </w:r>
      <w:r>
        <w:rPr>
          <w:sz w:val="28"/>
        </w:rPr>
        <w:t>les</w:t>
      </w:r>
      <w:r>
        <w:rPr>
          <w:spacing w:val="-10"/>
          <w:sz w:val="28"/>
        </w:rPr>
        <w:t> </w:t>
      </w:r>
      <w:r>
        <w:rPr>
          <w:sz w:val="28"/>
        </w:rPr>
        <w:t>faits</w:t>
      </w:r>
      <w:r>
        <w:rPr>
          <w:spacing w:val="-10"/>
          <w:sz w:val="28"/>
        </w:rPr>
        <w:t> </w:t>
      </w:r>
      <w:r>
        <w:rPr>
          <w:sz w:val="28"/>
        </w:rPr>
        <w:t>et</w:t>
      </w:r>
      <w:r>
        <w:rPr>
          <w:spacing w:val="-10"/>
          <w:sz w:val="28"/>
        </w:rPr>
        <w:t> </w:t>
      </w:r>
      <w:r>
        <w:rPr>
          <w:sz w:val="28"/>
        </w:rPr>
        <w:t>les</w:t>
      </w:r>
      <w:r>
        <w:rPr>
          <w:spacing w:val="-10"/>
          <w:sz w:val="28"/>
        </w:rPr>
        <w:t> </w:t>
      </w:r>
      <w:r>
        <w:rPr>
          <w:sz w:val="28"/>
        </w:rPr>
        <w:t>préjudices</w:t>
      </w:r>
      <w:r>
        <w:rPr>
          <w:spacing w:val="-10"/>
          <w:sz w:val="28"/>
        </w:rPr>
        <w:t> </w:t>
      </w:r>
      <w:r>
        <w:rPr>
          <w:sz w:val="28"/>
        </w:rPr>
        <w:t>subis</w:t>
      </w:r>
      <w:r>
        <w:rPr>
          <w:spacing w:val="-13"/>
          <w:sz w:val="28"/>
        </w:rPr>
        <w:t> </w:t>
      </w:r>
      <w:r>
        <w:rPr>
          <w:sz w:val="28"/>
        </w:rPr>
        <w:t>ou</w:t>
      </w:r>
      <w:r>
        <w:rPr>
          <w:spacing w:val="-13"/>
          <w:sz w:val="28"/>
        </w:rPr>
        <w:t> </w:t>
      </w:r>
      <w:r>
        <w:rPr>
          <w:sz w:val="28"/>
        </w:rPr>
        <w:t>prévisibles le cas échéant</w:t>
      </w:r>
      <w:r>
        <w:rPr>
          <w:spacing w:val="-3"/>
          <w:sz w:val="28"/>
        </w:rPr>
        <w:t> </w:t>
      </w:r>
      <w:r>
        <w:rPr>
          <w:sz w:val="28"/>
        </w:rPr>
        <w:t>;</w:t>
      </w:r>
    </w:p>
    <w:p>
      <w:pPr>
        <w:pStyle w:val="ListParagraph"/>
        <w:numPr>
          <w:ilvl w:val="0"/>
          <w:numId w:val="135"/>
        </w:numPr>
        <w:tabs>
          <w:tab w:pos="578" w:val="left" w:leader="none"/>
        </w:tabs>
        <w:spacing w:line="334" w:lineRule="exact" w:before="1" w:after="0"/>
        <w:ind w:left="577" w:right="0" w:hanging="285"/>
        <w:jc w:val="left"/>
        <w:rPr>
          <w:sz w:val="28"/>
        </w:rPr>
      </w:pPr>
      <w:r>
        <w:rPr>
          <w:sz w:val="28"/>
        </w:rPr>
        <w:t>Présenter ledit rapport à la </w:t>
      </w:r>
      <w:r>
        <w:rPr>
          <w:b/>
          <w:sz w:val="28"/>
        </w:rPr>
        <w:t>Commission des Affrètements </w:t>
      </w:r>
      <w:r>
        <w:rPr>
          <w:sz w:val="28"/>
        </w:rPr>
        <w:t>pour avis</w:t>
      </w:r>
      <w:r>
        <w:rPr>
          <w:spacing w:val="-5"/>
          <w:sz w:val="28"/>
        </w:rPr>
        <w:t> </w:t>
      </w:r>
      <w:r>
        <w:rPr>
          <w:sz w:val="28"/>
        </w:rPr>
        <w:t>;</w:t>
      </w:r>
    </w:p>
    <w:p>
      <w:pPr>
        <w:pStyle w:val="ListParagraph"/>
        <w:numPr>
          <w:ilvl w:val="0"/>
          <w:numId w:val="135"/>
        </w:numPr>
        <w:tabs>
          <w:tab w:pos="578" w:val="left" w:leader="none"/>
        </w:tabs>
        <w:spacing w:line="334" w:lineRule="exact" w:before="0" w:after="0"/>
        <w:ind w:left="577" w:right="0" w:hanging="285"/>
        <w:jc w:val="left"/>
        <w:rPr>
          <w:sz w:val="28"/>
        </w:rPr>
      </w:pPr>
      <w:r>
        <w:rPr>
          <w:sz w:val="28"/>
        </w:rPr>
        <w:t>Présenter l'avis de la commission au </w:t>
      </w:r>
      <w:r>
        <w:rPr>
          <w:b/>
          <w:sz w:val="28"/>
        </w:rPr>
        <w:t>Directeur Général </w:t>
      </w:r>
      <w:r>
        <w:rPr>
          <w:sz w:val="28"/>
        </w:rPr>
        <w:t>pour décision</w:t>
      </w:r>
      <w:r>
        <w:rPr>
          <w:spacing w:val="-4"/>
          <w:sz w:val="28"/>
        </w:rPr>
        <w:t> </w:t>
      </w:r>
      <w:r>
        <w:rPr>
          <w:sz w:val="28"/>
        </w:rPr>
        <w:t>;</w:t>
      </w:r>
    </w:p>
    <w:p>
      <w:pPr>
        <w:pStyle w:val="BodyText"/>
        <w:spacing w:before="148"/>
        <w:ind w:left="293" w:firstLine="283"/>
        <w:jc w:val="left"/>
      </w:pPr>
      <w:r>
        <w:rPr/>
        <w:t>Cette radiation peut être réexaminée sur demande motivée de l'armateur/courtier ou lorsque les intérêts de GCT nécessitent le recours à cette démarche.</w:t>
      </w:r>
    </w:p>
    <w:p>
      <w:pPr>
        <w:spacing w:after="0"/>
        <w:jc w:val="left"/>
        <w:sectPr>
          <w:headerReference w:type="default" r:id="rId20"/>
          <w:pgSz w:w="11910" w:h="16840"/>
          <w:pgMar w:header="722" w:footer="0" w:top="1860" w:bottom="280" w:left="700" w:right="680"/>
          <w:pgNumType w:start="19"/>
        </w:sectPr>
      </w:pPr>
    </w:p>
    <w:p>
      <w:pPr>
        <w:pStyle w:val="BodyText"/>
        <w:spacing w:before="8"/>
        <w:ind w:left="0" w:firstLine="0"/>
        <w:jc w:val="left"/>
        <w:rPr>
          <w:sz w:val="16"/>
        </w:rPr>
      </w:pPr>
    </w:p>
    <w:p>
      <w:pPr>
        <w:pStyle w:val="Heading2"/>
        <w:spacing w:line="276" w:lineRule="auto"/>
        <w:ind w:left="293"/>
        <w:jc w:val="left"/>
      </w:pPr>
      <w:r>
        <w:rPr/>
        <w:pict>
          <v:group style="position:absolute;margin-left:49.68pt;margin-top:41.520287pt;width:496.2pt;height:352.15pt;mso-position-horizontal-relative:page;mso-position-vertical-relative:paragraph;z-index:-256607232" coordorigin="994,830" coordsize="9924,7043">
            <v:line style="position:absolute" from="1003,835" to="10908,835" stroked="true" strokeweight=".48001pt" strokecolor="#000000">
              <v:stroke dashstyle="solid"/>
            </v:line>
            <v:line style="position:absolute" from="998,830" to="998,7873" stroked="true" strokeweight=".48pt" strokecolor="#000000">
              <v:stroke dashstyle="solid"/>
            </v:line>
            <v:line style="position:absolute" from="1003,7868" to="10908,7868" stroked="true" strokeweight=".48001pt" strokecolor="#000000">
              <v:stroke dashstyle="solid"/>
            </v:line>
            <v:line style="position:absolute" from="10913,830" to="10913,7873" stroked="true" strokeweight=".47998pt" strokecolor="#000000">
              <v:stroke dashstyle="solid"/>
            </v:line>
            <w10:wrap type="none"/>
          </v:group>
        </w:pict>
      </w:r>
      <w:bookmarkStart w:name="_TOC_250001" w:id="142"/>
      <w:bookmarkEnd w:id="142"/>
      <w:r>
        <w:rPr/>
        <w:t>Annexe n°21 : Formulaire de lettre d'insertion d'un nouvel armateur/courtier Tunisien à la liste des Armateurs/Courtiers du GCT</w:t>
      </w:r>
    </w:p>
    <w:p>
      <w:pPr>
        <w:pStyle w:val="Heading3"/>
        <w:spacing w:line="242" w:lineRule="auto" w:before="10"/>
        <w:ind w:left="2783" w:right="1240" w:hanging="1549"/>
        <w:jc w:val="left"/>
      </w:pPr>
      <w:r>
        <w:rPr>
          <w:i/>
        </w:rPr>
        <w:t>OBJET : INSERTION DE VOTRE COMPAGNIE A LA LISTE DES </w:t>
      </w:r>
      <w:r>
        <w:rPr/>
        <w:t>ARMATEURS/COURTIERS TUNISIENS</w:t>
      </w:r>
    </w:p>
    <w:p>
      <w:pPr>
        <w:pStyle w:val="BodyText"/>
        <w:ind w:left="0" w:firstLine="0"/>
        <w:jc w:val="left"/>
        <w:rPr>
          <w:b/>
          <w:i/>
          <w:sz w:val="30"/>
        </w:rPr>
      </w:pPr>
    </w:p>
    <w:p>
      <w:pPr>
        <w:spacing w:before="205"/>
        <w:ind w:left="406" w:right="0" w:firstLine="566"/>
        <w:jc w:val="left"/>
        <w:rPr>
          <w:i/>
          <w:sz w:val="28"/>
        </w:rPr>
      </w:pPr>
      <w:r>
        <w:rPr>
          <w:i/>
          <w:sz w:val="28"/>
        </w:rPr>
        <w:t>Nous vous prions de bien vouloir nous fournir les documents et informations </w:t>
      </w:r>
      <w:r>
        <w:rPr>
          <w:i/>
          <w:sz w:val="28"/>
        </w:rPr>
        <w:t>disponibles, énumérés ci-après concernant votre entreprise :</w:t>
      </w:r>
    </w:p>
    <w:p>
      <w:pPr>
        <w:pStyle w:val="ListParagraph"/>
        <w:numPr>
          <w:ilvl w:val="1"/>
          <w:numId w:val="134"/>
        </w:numPr>
        <w:tabs>
          <w:tab w:pos="835" w:val="left" w:leader="none"/>
        </w:tabs>
        <w:spacing w:line="240" w:lineRule="auto" w:before="120" w:after="0"/>
        <w:ind w:left="834" w:right="0" w:hanging="361"/>
        <w:jc w:val="left"/>
        <w:rPr>
          <w:i/>
          <w:sz w:val="28"/>
        </w:rPr>
      </w:pPr>
      <w:r>
        <w:rPr>
          <w:i/>
          <w:sz w:val="28"/>
        </w:rPr>
        <w:t>Nom et Raison</w:t>
      </w:r>
      <w:r>
        <w:rPr>
          <w:i/>
          <w:spacing w:val="-1"/>
          <w:sz w:val="28"/>
        </w:rPr>
        <w:t> </w:t>
      </w:r>
      <w:r>
        <w:rPr>
          <w:i/>
          <w:sz w:val="28"/>
        </w:rPr>
        <w:t>sociale</w:t>
      </w:r>
    </w:p>
    <w:p>
      <w:pPr>
        <w:pStyle w:val="ListParagraph"/>
        <w:numPr>
          <w:ilvl w:val="1"/>
          <w:numId w:val="134"/>
        </w:numPr>
        <w:tabs>
          <w:tab w:pos="835" w:val="left" w:leader="none"/>
        </w:tabs>
        <w:spacing w:line="240" w:lineRule="auto" w:before="47" w:after="0"/>
        <w:ind w:left="834" w:right="0" w:hanging="361"/>
        <w:jc w:val="left"/>
        <w:rPr>
          <w:i/>
          <w:sz w:val="28"/>
        </w:rPr>
      </w:pPr>
      <w:r>
        <w:rPr>
          <w:i/>
          <w:sz w:val="28"/>
        </w:rPr>
        <w:t>N° de registre de commerce</w:t>
      </w:r>
      <w:r>
        <w:rPr>
          <w:i/>
          <w:spacing w:val="-5"/>
          <w:sz w:val="28"/>
        </w:rPr>
        <w:t> </w:t>
      </w:r>
      <w:r>
        <w:rPr>
          <w:i/>
          <w:sz w:val="28"/>
        </w:rPr>
        <w:t>;</w:t>
      </w:r>
    </w:p>
    <w:p>
      <w:pPr>
        <w:pStyle w:val="ListParagraph"/>
        <w:numPr>
          <w:ilvl w:val="1"/>
          <w:numId w:val="134"/>
        </w:numPr>
        <w:tabs>
          <w:tab w:pos="835" w:val="left" w:leader="none"/>
        </w:tabs>
        <w:spacing w:line="240" w:lineRule="auto" w:before="51" w:after="0"/>
        <w:ind w:left="834" w:right="0" w:hanging="361"/>
        <w:jc w:val="left"/>
        <w:rPr>
          <w:i/>
          <w:sz w:val="28"/>
        </w:rPr>
      </w:pPr>
      <w:r>
        <w:rPr>
          <w:i/>
          <w:sz w:val="28"/>
        </w:rPr>
        <w:t>Chiffre d’affaires durant les 3 dernières années</w:t>
      </w:r>
      <w:r>
        <w:rPr>
          <w:i/>
          <w:spacing w:val="2"/>
          <w:sz w:val="28"/>
        </w:rPr>
        <w:t> </w:t>
      </w:r>
      <w:r>
        <w:rPr>
          <w:i/>
          <w:sz w:val="28"/>
        </w:rPr>
        <w:t>;</w:t>
      </w:r>
    </w:p>
    <w:p>
      <w:pPr>
        <w:pStyle w:val="ListParagraph"/>
        <w:numPr>
          <w:ilvl w:val="1"/>
          <w:numId w:val="134"/>
        </w:numPr>
        <w:tabs>
          <w:tab w:pos="835" w:val="left" w:leader="none"/>
        </w:tabs>
        <w:spacing w:line="240" w:lineRule="auto" w:before="47" w:after="0"/>
        <w:ind w:left="834" w:right="0" w:hanging="361"/>
        <w:jc w:val="left"/>
        <w:rPr>
          <w:i/>
          <w:sz w:val="28"/>
        </w:rPr>
      </w:pPr>
      <w:r>
        <w:rPr>
          <w:i/>
          <w:sz w:val="28"/>
        </w:rPr>
        <w:t>Rapport d’activités des 3 dernières années</w:t>
      </w:r>
      <w:r>
        <w:rPr>
          <w:i/>
          <w:spacing w:val="-4"/>
          <w:sz w:val="28"/>
        </w:rPr>
        <w:t> </w:t>
      </w:r>
      <w:r>
        <w:rPr>
          <w:i/>
          <w:sz w:val="28"/>
        </w:rPr>
        <w:t>;</w:t>
      </w:r>
    </w:p>
    <w:p>
      <w:pPr>
        <w:pStyle w:val="ListParagraph"/>
        <w:numPr>
          <w:ilvl w:val="1"/>
          <w:numId w:val="134"/>
        </w:numPr>
        <w:tabs>
          <w:tab w:pos="835" w:val="left" w:leader="none"/>
        </w:tabs>
        <w:spacing w:line="240" w:lineRule="auto" w:before="48" w:after="0"/>
        <w:ind w:left="834" w:right="0" w:hanging="361"/>
        <w:jc w:val="left"/>
        <w:rPr>
          <w:i/>
          <w:sz w:val="28"/>
        </w:rPr>
      </w:pPr>
      <w:r>
        <w:rPr>
          <w:i/>
          <w:sz w:val="28"/>
        </w:rPr>
        <w:t>Attestation de</w:t>
      </w:r>
      <w:r>
        <w:rPr>
          <w:i/>
          <w:spacing w:val="-7"/>
          <w:sz w:val="28"/>
        </w:rPr>
        <w:t> </w:t>
      </w:r>
      <w:r>
        <w:rPr>
          <w:i/>
          <w:sz w:val="28"/>
        </w:rPr>
        <w:t>non-faillite</w:t>
      </w:r>
    </w:p>
    <w:p>
      <w:pPr>
        <w:pStyle w:val="ListParagraph"/>
        <w:numPr>
          <w:ilvl w:val="1"/>
          <w:numId w:val="134"/>
        </w:numPr>
        <w:tabs>
          <w:tab w:pos="835" w:val="left" w:leader="none"/>
        </w:tabs>
        <w:spacing w:line="240" w:lineRule="auto" w:before="50" w:after="0"/>
        <w:ind w:left="834" w:right="0" w:hanging="361"/>
        <w:jc w:val="left"/>
        <w:rPr>
          <w:i/>
          <w:sz w:val="28"/>
        </w:rPr>
      </w:pPr>
      <w:r>
        <w:rPr>
          <w:i/>
          <w:sz w:val="28"/>
        </w:rPr>
        <w:t>Références</w:t>
      </w:r>
      <w:r>
        <w:rPr>
          <w:i/>
          <w:spacing w:val="-3"/>
          <w:sz w:val="28"/>
        </w:rPr>
        <w:t> </w:t>
      </w:r>
      <w:r>
        <w:rPr>
          <w:i/>
          <w:sz w:val="28"/>
        </w:rPr>
        <w:t>bancaires</w:t>
      </w:r>
    </w:p>
    <w:p>
      <w:pPr>
        <w:pStyle w:val="ListParagraph"/>
        <w:numPr>
          <w:ilvl w:val="1"/>
          <w:numId w:val="134"/>
        </w:numPr>
        <w:tabs>
          <w:tab w:pos="835" w:val="left" w:leader="none"/>
        </w:tabs>
        <w:spacing w:line="240" w:lineRule="auto" w:before="47" w:after="0"/>
        <w:ind w:left="834" w:right="0" w:hanging="361"/>
        <w:jc w:val="left"/>
        <w:rPr>
          <w:i/>
          <w:sz w:val="28"/>
        </w:rPr>
      </w:pPr>
      <w:r>
        <w:rPr>
          <w:i/>
          <w:sz w:val="28"/>
        </w:rPr>
        <w:t>Adresse postale et e-mail</w:t>
      </w:r>
      <w:r>
        <w:rPr>
          <w:i/>
          <w:spacing w:val="1"/>
          <w:sz w:val="28"/>
        </w:rPr>
        <w:t> </w:t>
      </w:r>
      <w:r>
        <w:rPr>
          <w:i/>
          <w:sz w:val="28"/>
        </w:rPr>
        <w:t>;</w:t>
      </w:r>
    </w:p>
    <w:p>
      <w:pPr>
        <w:pStyle w:val="ListParagraph"/>
        <w:numPr>
          <w:ilvl w:val="1"/>
          <w:numId w:val="134"/>
        </w:numPr>
        <w:tabs>
          <w:tab w:pos="835" w:val="left" w:leader="none"/>
        </w:tabs>
        <w:spacing w:line="240" w:lineRule="auto" w:before="48" w:after="0"/>
        <w:ind w:left="834" w:right="0" w:hanging="361"/>
        <w:jc w:val="left"/>
        <w:rPr>
          <w:i/>
          <w:sz w:val="28"/>
        </w:rPr>
      </w:pPr>
      <w:r>
        <w:rPr>
          <w:i/>
          <w:sz w:val="28"/>
        </w:rPr>
        <w:t>Spécifications techniques des navires sous votre</w:t>
      </w:r>
      <w:r>
        <w:rPr>
          <w:i/>
          <w:spacing w:val="-13"/>
          <w:sz w:val="28"/>
        </w:rPr>
        <w:t> </w:t>
      </w:r>
      <w:r>
        <w:rPr>
          <w:i/>
          <w:sz w:val="28"/>
        </w:rPr>
        <w:t>responsabilité</w:t>
      </w:r>
    </w:p>
    <w:p>
      <w:pPr>
        <w:spacing w:line="240" w:lineRule="auto" w:before="168"/>
        <w:ind w:left="406" w:right="425" w:firstLine="566"/>
        <w:jc w:val="both"/>
        <w:rPr>
          <w:i/>
          <w:sz w:val="28"/>
        </w:rPr>
      </w:pPr>
      <w:r>
        <w:rPr>
          <w:i/>
          <w:sz w:val="28"/>
        </w:rPr>
        <w:t>Nous</w:t>
      </w:r>
      <w:r>
        <w:rPr>
          <w:i/>
          <w:spacing w:val="-8"/>
          <w:sz w:val="28"/>
        </w:rPr>
        <w:t> </w:t>
      </w:r>
      <w:r>
        <w:rPr>
          <w:i/>
          <w:sz w:val="28"/>
        </w:rPr>
        <w:t>espérons</w:t>
      </w:r>
      <w:r>
        <w:rPr>
          <w:i/>
          <w:spacing w:val="-9"/>
          <w:sz w:val="28"/>
        </w:rPr>
        <w:t> </w:t>
      </w:r>
      <w:r>
        <w:rPr>
          <w:i/>
          <w:sz w:val="28"/>
        </w:rPr>
        <w:t>pouvoir</w:t>
      </w:r>
      <w:r>
        <w:rPr>
          <w:i/>
          <w:spacing w:val="-9"/>
          <w:sz w:val="28"/>
        </w:rPr>
        <w:t> </w:t>
      </w:r>
      <w:r>
        <w:rPr>
          <w:i/>
          <w:sz w:val="28"/>
        </w:rPr>
        <w:t>vous</w:t>
      </w:r>
      <w:r>
        <w:rPr>
          <w:i/>
          <w:spacing w:val="-10"/>
          <w:sz w:val="28"/>
        </w:rPr>
        <w:t> </w:t>
      </w:r>
      <w:r>
        <w:rPr>
          <w:i/>
          <w:sz w:val="28"/>
        </w:rPr>
        <w:t>compter</w:t>
      </w:r>
      <w:r>
        <w:rPr>
          <w:i/>
          <w:spacing w:val="-8"/>
          <w:sz w:val="28"/>
        </w:rPr>
        <w:t> </w:t>
      </w:r>
      <w:r>
        <w:rPr>
          <w:i/>
          <w:sz w:val="28"/>
        </w:rPr>
        <w:t>parmi</w:t>
      </w:r>
      <w:r>
        <w:rPr>
          <w:i/>
          <w:spacing w:val="-7"/>
          <w:sz w:val="28"/>
        </w:rPr>
        <w:t> </w:t>
      </w:r>
      <w:r>
        <w:rPr>
          <w:i/>
          <w:sz w:val="28"/>
        </w:rPr>
        <w:t>nos</w:t>
      </w:r>
      <w:r>
        <w:rPr>
          <w:i/>
          <w:spacing w:val="-9"/>
          <w:sz w:val="28"/>
        </w:rPr>
        <w:t> </w:t>
      </w:r>
      <w:r>
        <w:rPr>
          <w:i/>
          <w:sz w:val="28"/>
        </w:rPr>
        <w:t>partenaires</w:t>
      </w:r>
      <w:r>
        <w:rPr>
          <w:i/>
          <w:spacing w:val="-8"/>
          <w:sz w:val="28"/>
        </w:rPr>
        <w:t> </w:t>
      </w:r>
      <w:r>
        <w:rPr>
          <w:i/>
          <w:sz w:val="28"/>
        </w:rPr>
        <w:t>commerciaux</w:t>
      </w:r>
      <w:r>
        <w:rPr>
          <w:i/>
          <w:spacing w:val="-7"/>
          <w:sz w:val="28"/>
        </w:rPr>
        <w:t> </w:t>
      </w:r>
      <w:r>
        <w:rPr>
          <w:i/>
          <w:sz w:val="28"/>
        </w:rPr>
        <w:t>et</w:t>
      </w:r>
      <w:r>
        <w:rPr>
          <w:i/>
          <w:spacing w:val="-9"/>
          <w:sz w:val="28"/>
        </w:rPr>
        <w:t> </w:t>
      </w:r>
      <w:r>
        <w:rPr>
          <w:i/>
          <w:sz w:val="28"/>
        </w:rPr>
        <w:t>nous </w:t>
      </w:r>
      <w:r>
        <w:rPr>
          <w:i/>
          <w:sz w:val="28"/>
        </w:rPr>
        <w:t>nous faisons un plaisir de vous consulter à l’occasion de nos consultations d’affrètement des navires et ce, dès la constitution de votre</w:t>
      </w:r>
      <w:r>
        <w:rPr>
          <w:i/>
          <w:spacing w:val="-7"/>
          <w:sz w:val="28"/>
        </w:rPr>
        <w:t> </w:t>
      </w:r>
      <w:r>
        <w:rPr>
          <w:i/>
          <w:sz w:val="28"/>
        </w:rPr>
        <w:t>dossier.</w:t>
      </w:r>
    </w:p>
    <w:p>
      <w:pPr>
        <w:spacing w:before="121"/>
        <w:ind w:left="406" w:right="0" w:firstLine="0"/>
        <w:jc w:val="left"/>
        <w:rPr>
          <w:i/>
          <w:sz w:val="28"/>
        </w:rPr>
      </w:pPr>
      <w:r>
        <w:rPr>
          <w:i/>
          <w:sz w:val="28"/>
        </w:rPr>
        <w:t>Salutations.</w:t>
      </w:r>
    </w:p>
    <w:p>
      <w:pPr>
        <w:spacing w:after="0"/>
        <w:jc w:val="left"/>
        <w:rPr>
          <w:sz w:val="28"/>
        </w:rPr>
        <w:sectPr>
          <w:pgSz w:w="11910" w:h="16840"/>
          <w:pgMar w:header="722" w:footer="0" w:top="1860" w:bottom="280" w:left="700" w:right="680"/>
        </w:sectPr>
      </w:pPr>
    </w:p>
    <w:p>
      <w:pPr>
        <w:pStyle w:val="BodyText"/>
        <w:spacing w:before="8"/>
        <w:ind w:left="0" w:firstLine="0"/>
        <w:jc w:val="left"/>
        <w:rPr>
          <w:i/>
          <w:sz w:val="16"/>
        </w:rPr>
      </w:pPr>
    </w:p>
    <w:p>
      <w:pPr>
        <w:pStyle w:val="Heading2"/>
        <w:spacing w:line="276" w:lineRule="auto"/>
        <w:ind w:left="293"/>
        <w:jc w:val="left"/>
      </w:pPr>
      <w:r>
        <w:rPr/>
        <w:pict>
          <v:group style="position:absolute;margin-left:49.68pt;margin-top:41.520287pt;width:516.4pt;height:603.7pt;mso-position-horizontal-relative:page;mso-position-vertical-relative:paragraph;z-index:-256606208" coordorigin="994,830" coordsize="10328,12074">
            <v:line style="position:absolute" from="1003,835" to="11311,835" stroked="true" strokeweight=".48001pt" strokecolor="#000000">
              <v:stroke dashstyle="solid"/>
            </v:line>
            <v:line style="position:absolute" from="998,830" to="998,12895" stroked="true" strokeweight=".48pt" strokecolor="#000000">
              <v:stroke dashstyle="solid"/>
            </v:line>
            <v:rect style="position:absolute;left:993;top:12894;width:10;height:10" filled="true" fillcolor="#000000" stroked="false">
              <v:fill type="solid"/>
            </v:rect>
            <v:line style="position:absolute" from="1003,12900" to="11311,12900" stroked="true" strokeweight=".47998pt" strokecolor="#000000">
              <v:stroke dashstyle="solid"/>
            </v:line>
            <v:line style="position:absolute" from="11316,830" to="11316,12895" stroked="true" strokeweight=".47998pt" strokecolor="#000000">
              <v:stroke dashstyle="solid"/>
            </v:line>
            <v:rect style="position:absolute;left:11311;top:12894;width:10;height:10" filled="true" fillcolor="#000000" stroked="false">
              <v:fill type="solid"/>
            </v:rect>
            <w10:wrap type="none"/>
          </v:group>
        </w:pict>
      </w:r>
      <w:bookmarkStart w:name="_TOC_250000" w:id="143"/>
      <w:bookmarkEnd w:id="143"/>
      <w:r>
        <w:rPr/>
        <w:t>Annexe n°22 : Formulaire d'insertion d'un nouvel armateur/courtier Etranger à la liste des Armateurs/Courtiers du GCT</w:t>
      </w:r>
    </w:p>
    <w:p>
      <w:pPr>
        <w:spacing w:before="10"/>
        <w:ind w:left="3986" w:right="3602" w:firstLine="0"/>
        <w:jc w:val="center"/>
        <w:rPr>
          <w:b/>
          <w:i/>
          <w:sz w:val="28"/>
        </w:rPr>
      </w:pPr>
      <w:r>
        <w:rPr>
          <w:b/>
          <w:i/>
          <w:sz w:val="28"/>
          <w:u w:val="thick"/>
        </w:rPr>
        <w:t>INFORMATION FORM</w:t>
      </w:r>
    </w:p>
    <w:p>
      <w:pPr>
        <w:tabs>
          <w:tab w:pos="4312" w:val="left" w:leader="none"/>
        </w:tabs>
        <w:spacing w:before="115"/>
        <w:ind w:left="406" w:right="0" w:firstLine="0"/>
        <w:jc w:val="left"/>
        <w:rPr>
          <w:i/>
          <w:sz w:val="28"/>
        </w:rPr>
      </w:pPr>
      <w:r>
        <w:rPr>
          <w:b/>
          <w:i/>
          <w:sz w:val="28"/>
        </w:rPr>
        <w:t>NAME of</w:t>
      </w:r>
      <w:r>
        <w:rPr>
          <w:b/>
          <w:i/>
          <w:spacing w:val="-2"/>
          <w:sz w:val="28"/>
        </w:rPr>
        <w:t> </w:t>
      </w:r>
      <w:r>
        <w:rPr>
          <w:b/>
          <w:i/>
          <w:sz w:val="28"/>
        </w:rPr>
        <w:t>the</w:t>
      </w:r>
      <w:r>
        <w:rPr>
          <w:b/>
          <w:i/>
          <w:spacing w:val="-1"/>
          <w:sz w:val="28"/>
        </w:rPr>
        <w:t> </w:t>
      </w:r>
      <w:r>
        <w:rPr>
          <w:b/>
          <w:i/>
          <w:sz w:val="28"/>
        </w:rPr>
        <w:t>COMPANY</w:t>
        <w:tab/>
      </w:r>
      <w:r>
        <w:rPr>
          <w:i/>
          <w:sz w:val="28"/>
        </w:rPr>
        <w:t>:</w:t>
      </w:r>
    </w:p>
    <w:p>
      <w:pPr>
        <w:tabs>
          <w:tab w:pos="3810" w:val="left" w:leader="none"/>
        </w:tabs>
        <w:spacing w:before="120"/>
        <w:ind w:left="406" w:right="0" w:firstLine="0"/>
        <w:jc w:val="left"/>
        <w:rPr>
          <w:i/>
          <w:sz w:val="28"/>
        </w:rPr>
      </w:pPr>
      <w:r>
        <w:rPr>
          <w:b/>
          <w:i/>
          <w:sz w:val="28"/>
          <w:u w:val="thick"/>
        </w:rPr>
        <w:t>Postal</w:t>
      </w:r>
      <w:r>
        <w:rPr>
          <w:b/>
          <w:i/>
          <w:spacing w:val="-3"/>
          <w:sz w:val="28"/>
          <w:u w:val="thick"/>
        </w:rPr>
        <w:t> </w:t>
      </w:r>
      <w:r>
        <w:rPr>
          <w:b/>
          <w:i/>
          <w:sz w:val="28"/>
          <w:u w:val="thick"/>
        </w:rPr>
        <w:t>address</w:t>
      </w:r>
      <w:r>
        <w:rPr>
          <w:b/>
          <w:i/>
          <w:sz w:val="28"/>
        </w:rPr>
        <w:tab/>
      </w:r>
      <w:r>
        <w:rPr>
          <w:i/>
          <w:sz w:val="28"/>
        </w:rPr>
        <w:t>:</w:t>
      </w:r>
    </w:p>
    <w:p>
      <w:pPr>
        <w:pStyle w:val="ListParagraph"/>
        <w:numPr>
          <w:ilvl w:val="0"/>
          <w:numId w:val="137"/>
        </w:numPr>
        <w:tabs>
          <w:tab w:pos="1477" w:val="left" w:leader="none"/>
          <w:tab w:pos="1478" w:val="left" w:leader="none"/>
          <w:tab w:pos="4083" w:val="left" w:leader="none"/>
        </w:tabs>
        <w:spacing w:line="240" w:lineRule="auto" w:before="119" w:after="0"/>
        <w:ind w:left="1477" w:right="0" w:hanging="304"/>
        <w:jc w:val="left"/>
        <w:rPr>
          <w:i/>
          <w:sz w:val="28"/>
        </w:rPr>
      </w:pPr>
      <w:r>
        <w:rPr>
          <w:i/>
          <w:sz w:val="28"/>
        </w:rPr>
        <w:t>Person</w:t>
      </w:r>
      <w:r>
        <w:rPr>
          <w:i/>
          <w:spacing w:val="-4"/>
          <w:sz w:val="28"/>
        </w:rPr>
        <w:t> </w:t>
      </w:r>
      <w:r>
        <w:rPr>
          <w:i/>
          <w:sz w:val="28"/>
        </w:rPr>
        <w:t>to contact</w:t>
        <w:tab/>
        <w:t>:</w:t>
      </w:r>
    </w:p>
    <w:p>
      <w:pPr>
        <w:pStyle w:val="ListParagraph"/>
        <w:numPr>
          <w:ilvl w:val="0"/>
          <w:numId w:val="137"/>
        </w:numPr>
        <w:tabs>
          <w:tab w:pos="1477" w:val="left" w:leader="none"/>
          <w:tab w:pos="1478" w:val="left" w:leader="none"/>
          <w:tab w:pos="3539" w:val="left" w:leader="none"/>
        </w:tabs>
        <w:spacing w:line="240" w:lineRule="auto" w:before="121" w:after="0"/>
        <w:ind w:left="1477" w:right="0" w:hanging="304"/>
        <w:jc w:val="left"/>
        <w:rPr>
          <w:i/>
          <w:sz w:val="28"/>
        </w:rPr>
      </w:pPr>
      <w:r>
        <w:rPr>
          <w:i/>
          <w:sz w:val="28"/>
        </w:rPr>
        <w:t>Phone</w:t>
      </w:r>
      <w:r>
        <w:rPr>
          <w:i/>
          <w:spacing w:val="-2"/>
          <w:sz w:val="28"/>
        </w:rPr>
        <w:t> </w:t>
      </w:r>
      <w:r>
        <w:rPr>
          <w:i/>
          <w:sz w:val="28"/>
        </w:rPr>
        <w:t>number</w:t>
        <w:tab/>
        <w:t>:</w:t>
      </w:r>
    </w:p>
    <w:p>
      <w:pPr>
        <w:pStyle w:val="ListParagraph"/>
        <w:numPr>
          <w:ilvl w:val="0"/>
          <w:numId w:val="137"/>
        </w:numPr>
        <w:tabs>
          <w:tab w:pos="1408" w:val="left" w:leader="none"/>
          <w:tab w:pos="3998" w:val="left" w:leader="none"/>
        </w:tabs>
        <w:spacing w:line="240" w:lineRule="auto" w:before="119" w:after="0"/>
        <w:ind w:left="1407" w:right="0" w:hanging="234"/>
        <w:jc w:val="left"/>
        <w:rPr>
          <w:i/>
          <w:sz w:val="28"/>
        </w:rPr>
      </w:pPr>
      <w:r>
        <w:rPr>
          <w:i/>
          <w:sz w:val="28"/>
        </w:rPr>
        <w:t>E.mail</w:t>
      </w:r>
      <w:r>
        <w:rPr>
          <w:i/>
          <w:spacing w:val="-4"/>
          <w:sz w:val="28"/>
        </w:rPr>
        <w:t> </w:t>
      </w:r>
      <w:r>
        <w:rPr>
          <w:i/>
          <w:sz w:val="28"/>
        </w:rPr>
        <w:t>address</w:t>
        <w:tab/>
        <w:t>:</w:t>
      </w:r>
    </w:p>
    <w:p>
      <w:pPr>
        <w:tabs>
          <w:tab w:pos="3640" w:val="left" w:leader="none"/>
        </w:tabs>
        <w:spacing w:before="120"/>
        <w:ind w:left="406" w:right="0" w:firstLine="0"/>
        <w:jc w:val="left"/>
        <w:rPr>
          <w:i/>
          <w:sz w:val="28"/>
        </w:rPr>
      </w:pPr>
      <w:r>
        <w:rPr>
          <w:b/>
          <w:i/>
          <w:sz w:val="28"/>
          <w:u w:val="thick"/>
        </w:rPr>
        <w:t>Type</w:t>
      </w:r>
      <w:r>
        <w:rPr>
          <w:b/>
          <w:i/>
          <w:spacing w:val="-2"/>
          <w:sz w:val="28"/>
          <w:u w:val="thick"/>
        </w:rPr>
        <w:t> </w:t>
      </w:r>
      <w:r>
        <w:rPr>
          <w:b/>
          <w:i/>
          <w:sz w:val="28"/>
          <w:u w:val="thick"/>
        </w:rPr>
        <w:t>of</w:t>
      </w:r>
      <w:r>
        <w:rPr>
          <w:b/>
          <w:i/>
          <w:spacing w:val="-5"/>
          <w:sz w:val="28"/>
          <w:u w:val="thick"/>
        </w:rPr>
        <w:t> </w:t>
      </w:r>
      <w:r>
        <w:rPr>
          <w:b/>
          <w:i/>
          <w:sz w:val="28"/>
          <w:u w:val="thick"/>
        </w:rPr>
        <w:t>organization</w:t>
      </w:r>
      <w:r>
        <w:rPr>
          <w:b/>
          <w:i/>
          <w:sz w:val="28"/>
        </w:rPr>
        <w:tab/>
      </w:r>
      <w:r>
        <w:rPr>
          <w:i/>
          <w:sz w:val="28"/>
        </w:rPr>
        <w:t>:</w:t>
      </w:r>
    </w:p>
    <w:p>
      <w:pPr>
        <w:spacing w:before="129"/>
        <w:ind w:left="406" w:right="0" w:firstLine="0"/>
        <w:jc w:val="left"/>
        <w:rPr>
          <w:b/>
          <w:i/>
          <w:sz w:val="28"/>
        </w:rPr>
      </w:pPr>
      <w:r>
        <w:rPr>
          <w:b/>
          <w:i/>
          <w:sz w:val="28"/>
          <w:u w:val="thick"/>
        </w:rPr>
        <w:t>Major professional activity of your company:</w:t>
      </w:r>
    </w:p>
    <w:p>
      <w:pPr>
        <w:spacing w:before="113"/>
        <w:ind w:left="406" w:right="0" w:firstLine="0"/>
        <w:jc w:val="left"/>
        <w:rPr>
          <w:i/>
          <w:sz w:val="28"/>
        </w:rPr>
      </w:pPr>
      <w:r>
        <w:rPr>
          <w:i/>
          <w:sz w:val="28"/>
        </w:rPr>
        <w:t>Please provide us with the following documents:</w:t>
      </w:r>
    </w:p>
    <w:p>
      <w:pPr>
        <w:tabs>
          <w:tab w:pos="1407" w:val="left" w:leader="none"/>
        </w:tabs>
        <w:spacing w:before="119"/>
        <w:ind w:left="1105" w:right="0" w:firstLine="0"/>
        <w:jc w:val="left"/>
        <w:rPr>
          <w:i/>
          <w:sz w:val="28"/>
        </w:rPr>
      </w:pPr>
      <w:r>
        <w:rPr>
          <w:i/>
          <w:sz w:val="28"/>
        </w:rPr>
        <w:t>-</w:t>
        <w:tab/>
        <w:t>Your executed and concluded contracts during the last three (3)</w:t>
      </w:r>
      <w:r>
        <w:rPr>
          <w:i/>
          <w:spacing w:val="-16"/>
          <w:sz w:val="28"/>
        </w:rPr>
        <w:t> </w:t>
      </w:r>
      <w:r>
        <w:rPr>
          <w:i/>
          <w:sz w:val="28"/>
        </w:rPr>
        <w:t>years</w:t>
      </w:r>
    </w:p>
    <w:p>
      <w:pPr>
        <w:pStyle w:val="ListParagraph"/>
        <w:numPr>
          <w:ilvl w:val="2"/>
          <w:numId w:val="134"/>
        </w:numPr>
        <w:tabs>
          <w:tab w:pos="1407" w:val="left" w:leader="none"/>
          <w:tab w:pos="1408" w:val="left" w:leader="none"/>
        </w:tabs>
        <w:spacing w:line="240" w:lineRule="auto" w:before="120" w:after="0"/>
        <w:ind w:left="1407" w:right="0" w:hanging="373"/>
        <w:jc w:val="left"/>
        <w:rPr>
          <w:i/>
          <w:sz w:val="28"/>
        </w:rPr>
      </w:pPr>
      <w:r>
        <w:rPr>
          <w:i/>
          <w:sz w:val="28"/>
        </w:rPr>
        <w:t>The certified register of commerce of your company or</w:t>
      </w:r>
      <w:r>
        <w:rPr>
          <w:i/>
          <w:spacing w:val="-10"/>
          <w:sz w:val="28"/>
        </w:rPr>
        <w:t> </w:t>
      </w:r>
      <w:r>
        <w:rPr>
          <w:i/>
          <w:sz w:val="28"/>
        </w:rPr>
        <w:t>equivalent</w:t>
      </w:r>
    </w:p>
    <w:p>
      <w:pPr>
        <w:pStyle w:val="ListParagraph"/>
        <w:numPr>
          <w:ilvl w:val="2"/>
          <w:numId w:val="134"/>
        </w:numPr>
        <w:tabs>
          <w:tab w:pos="1337" w:val="left" w:leader="none"/>
          <w:tab w:pos="1338" w:val="left" w:leader="none"/>
        </w:tabs>
        <w:spacing w:line="240" w:lineRule="auto" w:before="120" w:after="0"/>
        <w:ind w:left="1338" w:right="0" w:hanging="303"/>
        <w:jc w:val="left"/>
        <w:rPr>
          <w:i/>
          <w:sz w:val="28"/>
        </w:rPr>
      </w:pPr>
      <w:r>
        <w:rPr>
          <w:i/>
          <w:sz w:val="28"/>
        </w:rPr>
        <w:t>The registered statute of your company with Capital</w:t>
      </w:r>
      <w:r>
        <w:rPr>
          <w:i/>
          <w:spacing w:val="-8"/>
          <w:sz w:val="28"/>
        </w:rPr>
        <w:t> </w:t>
      </w:r>
      <w:r>
        <w:rPr>
          <w:i/>
          <w:sz w:val="28"/>
        </w:rPr>
        <w:t>Shareholders</w:t>
      </w:r>
    </w:p>
    <w:p>
      <w:pPr>
        <w:pStyle w:val="BodyText"/>
        <w:ind w:left="0" w:firstLine="0"/>
        <w:jc w:val="left"/>
        <w:rPr>
          <w:i/>
          <w:sz w:val="30"/>
        </w:rPr>
      </w:pPr>
    </w:p>
    <w:p>
      <w:pPr>
        <w:spacing w:line="331" w:lineRule="auto" w:before="216"/>
        <w:ind w:left="406" w:right="2958" w:firstLine="0"/>
        <w:jc w:val="left"/>
        <w:rPr>
          <w:i/>
          <w:sz w:val="28"/>
        </w:rPr>
      </w:pPr>
      <w:r>
        <w:rPr>
          <w:i/>
          <w:sz w:val="28"/>
        </w:rPr>
        <w:t>Please mention the activities/services offered by your company: </w:t>
      </w:r>
      <w:r>
        <w:rPr>
          <w:i/>
          <w:sz w:val="28"/>
        </w:rPr>
        <w:t>Chartering – consignment – forwarding – all shipping services</w:t>
      </w:r>
    </w:p>
    <w:p>
      <w:pPr>
        <w:pStyle w:val="BodyText"/>
        <w:spacing w:before="2"/>
        <w:ind w:left="0" w:firstLine="0"/>
        <w:jc w:val="left"/>
        <w:rPr>
          <w:i/>
          <w:sz w:val="38"/>
        </w:rPr>
      </w:pPr>
    </w:p>
    <w:p>
      <w:pPr>
        <w:tabs>
          <w:tab w:pos="5145" w:val="left" w:leader="none"/>
        </w:tabs>
        <w:spacing w:before="0"/>
        <w:ind w:left="406" w:right="0" w:firstLine="0"/>
        <w:jc w:val="left"/>
        <w:rPr>
          <w:i/>
          <w:sz w:val="28"/>
        </w:rPr>
      </w:pPr>
      <w:r>
        <w:rPr>
          <w:b/>
          <w:i/>
          <w:sz w:val="28"/>
          <w:u w:val="thick"/>
        </w:rPr>
        <w:t>Experience in the present</w:t>
      </w:r>
      <w:r>
        <w:rPr>
          <w:b/>
          <w:i/>
          <w:spacing w:val="-7"/>
          <w:sz w:val="28"/>
          <w:u w:val="thick"/>
        </w:rPr>
        <w:t> </w:t>
      </w:r>
      <w:r>
        <w:rPr>
          <w:b/>
          <w:i/>
          <w:sz w:val="28"/>
          <w:u w:val="thick"/>
        </w:rPr>
        <w:t>occupation</w:t>
      </w:r>
      <w:r>
        <w:rPr>
          <w:b/>
          <w:i/>
          <w:spacing w:val="69"/>
          <w:sz w:val="28"/>
        </w:rPr>
        <w:t> </w:t>
      </w:r>
      <w:r>
        <w:rPr>
          <w:i/>
          <w:sz w:val="28"/>
        </w:rPr>
        <w:t>:</w:t>
        <w:tab/>
        <w:t>Turnover of the last three (3) financial years</w:t>
      </w:r>
      <w:r>
        <w:rPr>
          <w:i/>
          <w:spacing w:val="-15"/>
          <w:sz w:val="28"/>
        </w:rPr>
        <w:t> </w:t>
      </w:r>
      <w:r>
        <w:rPr>
          <w:i/>
          <w:sz w:val="28"/>
        </w:rPr>
        <w:t>:</w:t>
      </w:r>
    </w:p>
    <w:p>
      <w:pPr>
        <w:spacing w:before="127"/>
        <w:ind w:left="406" w:right="0" w:firstLine="0"/>
        <w:jc w:val="left"/>
        <w:rPr>
          <w:b/>
          <w:i/>
          <w:sz w:val="28"/>
        </w:rPr>
      </w:pPr>
      <w:r>
        <w:rPr>
          <w:b/>
          <w:i/>
          <w:sz w:val="28"/>
          <w:u w:val="thick"/>
        </w:rPr>
        <w:t>Persons authorized to sign contracts</w:t>
      </w:r>
      <w:r>
        <w:rPr>
          <w:b/>
          <w:i/>
          <w:sz w:val="28"/>
        </w:rPr>
        <w:t>:</w:t>
      </w:r>
    </w:p>
    <w:p>
      <w:pPr>
        <w:spacing w:before="120"/>
        <w:ind w:left="406" w:right="0" w:firstLine="0"/>
        <w:jc w:val="left"/>
        <w:rPr>
          <w:b/>
          <w:i/>
          <w:sz w:val="28"/>
        </w:rPr>
      </w:pPr>
      <w:r>
        <w:rPr>
          <w:b/>
          <w:i/>
          <w:sz w:val="28"/>
          <w:u w:val="thick"/>
        </w:rPr>
        <w:t>Name and address of the bank</w:t>
      </w:r>
      <w:r>
        <w:rPr>
          <w:b/>
          <w:i/>
          <w:sz w:val="28"/>
        </w:rPr>
        <w:t>:</w:t>
      </w:r>
    </w:p>
    <w:p>
      <w:pPr>
        <w:spacing w:before="112"/>
        <w:ind w:left="406" w:right="0" w:firstLine="0"/>
        <w:jc w:val="left"/>
        <w:rPr>
          <w:i/>
          <w:sz w:val="28"/>
        </w:rPr>
      </w:pPr>
      <w:r>
        <w:rPr>
          <w:b/>
          <w:i/>
          <w:sz w:val="28"/>
          <w:u w:val="thick"/>
        </w:rPr>
        <w:t>Technical Specifications of the vessels under your responsibility</w:t>
      </w:r>
      <w:r>
        <w:rPr>
          <w:b/>
          <w:i/>
          <w:sz w:val="28"/>
        </w:rPr>
        <w:t> </w:t>
      </w:r>
      <w:r>
        <w:rPr>
          <w:i/>
          <w:sz w:val="28"/>
        </w:rPr>
        <w:t>:</w:t>
      </w:r>
    </w:p>
    <w:p>
      <w:pPr>
        <w:spacing w:before="129"/>
        <w:ind w:left="406" w:right="0" w:firstLine="0"/>
        <w:jc w:val="left"/>
        <w:rPr>
          <w:b/>
          <w:i/>
          <w:sz w:val="28"/>
        </w:rPr>
      </w:pPr>
      <w:r>
        <w:rPr>
          <w:b/>
          <w:i/>
          <w:sz w:val="28"/>
          <w:u w:val="thick"/>
        </w:rPr>
        <w:t>Certification</w:t>
      </w:r>
      <w:r>
        <w:rPr>
          <w:b/>
          <w:i/>
          <w:sz w:val="28"/>
        </w:rPr>
        <w:t>:</w:t>
      </w:r>
    </w:p>
    <w:p>
      <w:pPr>
        <w:spacing w:before="113"/>
        <w:ind w:left="406" w:right="390" w:firstLine="0"/>
        <w:jc w:val="left"/>
        <w:rPr>
          <w:i/>
          <w:sz w:val="28"/>
        </w:rPr>
      </w:pPr>
      <w:r>
        <w:rPr>
          <w:i/>
          <w:sz w:val="28"/>
        </w:rPr>
        <w:t>The undersigned certifies that the information contained in the present form and in the </w:t>
      </w:r>
      <w:r>
        <w:rPr>
          <w:i/>
          <w:sz w:val="28"/>
        </w:rPr>
        <w:t>enclosed pages are authentic and correct to the best knowledge and faith</w:t>
      </w:r>
    </w:p>
    <w:p>
      <w:pPr>
        <w:pStyle w:val="Heading3"/>
        <w:spacing w:line="240" w:lineRule="auto"/>
        <w:ind w:left="406"/>
        <w:jc w:val="left"/>
        <w:rPr>
          <w:i/>
        </w:rPr>
      </w:pPr>
      <w:r>
        <w:rPr>
          <w:i/>
        </w:rPr>
        <w:t>Name &amp; position of Person entitled to sign the information form:</w:t>
      </w:r>
    </w:p>
    <w:p>
      <w:pPr>
        <w:spacing w:line="322" w:lineRule="exact" w:before="113"/>
        <w:ind w:left="406" w:right="0" w:firstLine="0"/>
        <w:jc w:val="left"/>
        <w:rPr>
          <w:i/>
          <w:sz w:val="28"/>
        </w:rPr>
      </w:pPr>
      <w:r>
        <w:rPr>
          <w:i/>
          <w:sz w:val="28"/>
        </w:rPr>
        <w:t>Signature:………………………………………………</w:t>
      </w:r>
    </w:p>
    <w:p>
      <w:pPr>
        <w:spacing w:before="0"/>
        <w:ind w:left="406" w:right="0" w:firstLine="0"/>
        <w:jc w:val="left"/>
        <w:rPr>
          <w:i/>
          <w:sz w:val="28"/>
        </w:rPr>
      </w:pPr>
      <w:r>
        <w:rPr>
          <w:i/>
          <w:sz w:val="28"/>
        </w:rPr>
        <w:t>Date:……………………………………</w:t>
      </w:r>
    </w:p>
    <w:sectPr>
      <w:pgSz w:w="11910" w:h="16840"/>
      <w:pgMar w:header="722" w:footer="0" w:top="1860" w:bottom="280" w:left="700" w:right="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40.439999pt;margin-top:35.399982pt;width:515.3pt;height:58.7pt;mso-position-horizontal-relative:page;mso-position-vertical-relative:page;z-index:2516582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30"/>
                        </w:rPr>
                      </w:pPr>
                    </w:p>
                  </w:tc>
                  <w:tc>
                    <w:tcPr>
                      <w:tcW w:w="6481" w:type="dxa"/>
                      <w:vMerge w:val="restart"/>
                    </w:tcPr>
                    <w:p>
                      <w:pPr>
                        <w:pStyle w:val="TableParagraph"/>
                        <w:spacing w:before="3"/>
                        <w:rPr>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w:t>
                      </w:r>
                      <w:r>
                        <w:rPr/>
                        <w:fldChar w:fldCharType="begin"/>
                      </w:r>
                      <w:r>
                        <w:rPr>
                          <w:rFonts w:ascii="Calibri"/>
                          <w:b/>
                          <w:sz w:val="22"/>
                        </w:rPr>
                        <w:instrText> PAGE </w:instrText>
                      </w:r>
                      <w:r>
                        <w:rPr/>
                        <w:fldChar w:fldCharType="separate"/>
                      </w:r>
                      <w:r>
                        <w:rPr/>
                        <w:t>1</w:t>
                      </w:r>
                      <w:r>
                        <w:rPr/>
                        <w:fldChar w:fldCharType="end"/>
                      </w:r>
                      <w:r>
                        <w:rPr>
                          <w:rFonts w:ascii="Calibri"/>
                          <w:b/>
                          <w:sz w:val="22"/>
                        </w:rPr>
                        <w:t>/94</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5216">
          <wp:simplePos x="0" y="0"/>
          <wp:positionH relativeFrom="page">
            <wp:posOffset>560831</wp:posOffset>
          </wp:positionH>
          <wp:positionV relativeFrom="page">
            <wp:posOffset>481583</wp:posOffset>
          </wp:positionV>
          <wp:extent cx="850391" cy="681227"/>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613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spacing w:before="3"/>
                        <w:rPr>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w:t>
                      </w:r>
                      <w:r>
                        <w:rPr/>
                        <w:fldChar w:fldCharType="begin"/>
                      </w:r>
                      <w:r>
                        <w:rPr>
                          <w:rFonts w:ascii="Calibri"/>
                          <w:b/>
                          <w:sz w:val="22"/>
                        </w:rPr>
                        <w:instrText> PAGE </w:instrText>
                      </w:r>
                      <w:r>
                        <w:rPr/>
                        <w:fldChar w:fldCharType="separate"/>
                      </w:r>
                      <w:r>
                        <w:rPr/>
                        <w:t>11</w:t>
                      </w:r>
                      <w:r>
                        <w:rPr/>
                        <w:fldChar w:fldCharType="end"/>
                      </w:r>
                      <w:r>
                        <w:rPr>
                          <w:rFonts w:ascii="Calibri"/>
                          <w:b/>
                          <w:sz w:val="22"/>
                        </w:rPr>
                        <w:t>/94</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6240">
          <wp:simplePos x="0" y="0"/>
          <wp:positionH relativeFrom="page">
            <wp:posOffset>560831</wp:posOffset>
          </wp:positionH>
          <wp:positionV relativeFrom="page">
            <wp:posOffset>481583</wp:posOffset>
          </wp:positionV>
          <wp:extent cx="850391" cy="681227"/>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654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spacing w:before="3"/>
                        <w:rPr>
                          <w:b/>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ii</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7264">
          <wp:simplePos x="0" y="0"/>
          <wp:positionH relativeFrom="page">
            <wp:posOffset>560831</wp:posOffset>
          </wp:positionH>
          <wp:positionV relativeFrom="page">
            <wp:posOffset>481583</wp:posOffset>
          </wp:positionV>
          <wp:extent cx="850391" cy="681227"/>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664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spacing w:before="3"/>
                        <w:rPr>
                          <w:b/>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x</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8288">
          <wp:simplePos x="0" y="0"/>
          <wp:positionH relativeFrom="page">
            <wp:posOffset>560831</wp:posOffset>
          </wp:positionH>
          <wp:positionV relativeFrom="page">
            <wp:posOffset>481583</wp:posOffset>
          </wp:positionV>
          <wp:extent cx="850391" cy="681227"/>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725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spacing w:before="3"/>
                        <w:rPr>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xvi</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9312">
          <wp:simplePos x="0" y="0"/>
          <wp:positionH relativeFrom="page">
            <wp:posOffset>560831</wp:posOffset>
          </wp:positionH>
          <wp:positionV relativeFrom="page">
            <wp:posOffset>481583</wp:posOffset>
          </wp:positionV>
          <wp:extent cx="850391" cy="681227"/>
          <wp:effectExtent l="0" t="0" r="0" b="0"/>
          <wp:wrapNone/>
          <wp:docPr id="11" name="image1.jpeg"/>
          <wp:cNvGraphicFramePr>
            <a:graphicFrameLocks noChangeAspect="1"/>
          </wp:cNvGraphicFramePr>
          <a:graphic>
            <a:graphicData uri="http://schemas.openxmlformats.org/drawingml/2006/picture">
              <pic:pic>
                <pic:nvPicPr>
                  <pic:cNvPr id="12"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7012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58" w:hRule="atLeast"/>
                  </w:trPr>
                  <w:tc>
                    <w:tcPr>
                      <w:tcW w:w="1440" w:type="dxa"/>
                      <w:vMerge w:val="restart"/>
                    </w:tcPr>
                    <w:p>
                      <w:pPr>
                        <w:pStyle w:val="TableParagraph"/>
                        <w:rPr>
                          <w:sz w:val="26"/>
                        </w:rPr>
                      </w:pPr>
                    </w:p>
                  </w:tc>
                  <w:tc>
                    <w:tcPr>
                      <w:tcW w:w="6481" w:type="dxa"/>
                      <w:vMerge w:val="restart"/>
                    </w:tcPr>
                    <w:p>
                      <w:pPr>
                        <w:pStyle w:val="TableParagraph"/>
                        <w:spacing w:before="3"/>
                        <w:rPr>
                          <w:b/>
                          <w:sz w:val="26"/>
                        </w:rPr>
                      </w:pPr>
                    </w:p>
                    <w:p>
                      <w:pPr>
                        <w:pStyle w:val="TableParagraph"/>
                        <w:spacing w:line="253" w:lineRule="exact" w:before="1"/>
                        <w:ind w:left="653" w:right="622"/>
                        <w:jc w:val="center"/>
                        <w:rPr>
                          <w:b/>
                          <w:sz w:val="22"/>
                        </w:rPr>
                      </w:pPr>
                      <w:r>
                        <w:rPr>
                          <w:b/>
                          <w:sz w:val="22"/>
                        </w:rPr>
                        <w:t>MANUEL DES PROCEDURES</w:t>
                      </w:r>
                    </w:p>
                    <w:p>
                      <w:pPr>
                        <w:pStyle w:val="TableParagraph"/>
                        <w:spacing w:line="253" w:lineRule="exact"/>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38"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60"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40" w:lineRule="exact"/>
                        <w:ind w:left="31"/>
                        <w:rPr>
                          <w:rFonts w:ascii="Calibri"/>
                          <w:b/>
                          <w:sz w:val="22"/>
                        </w:rPr>
                      </w:pPr>
                      <w:r>
                        <w:rPr>
                          <w:rFonts w:ascii="Calibri"/>
                          <w:b/>
                          <w:sz w:val="22"/>
                        </w:rPr>
                        <w:t>Page : </w:t>
                      </w:r>
                      <w:r>
                        <w:rPr/>
                        <w:fldChar w:fldCharType="begin"/>
                      </w:r>
                      <w:r>
                        <w:rPr>
                          <w:rFonts w:ascii="Calibri"/>
                          <w:b/>
                          <w:sz w:val="22"/>
                        </w:rPr>
                        <w:instrText> PAGE  \* roman </w:instrText>
                      </w:r>
                      <w:r>
                        <w:rPr/>
                        <w:fldChar w:fldCharType="separate"/>
                      </w:r>
                      <w:r>
                        <w:rPr/>
                        <w:t>xix</w:t>
                      </w:r>
                      <w:r>
                        <w:rPr/>
                        <w:fldChar w:fldCharType="end"/>
                      </w:r>
                    </w:p>
                  </w:tc>
                </w:tr>
              </w:tbl>
              <w:p>
                <w:pPr>
                  <w:pStyle w:val="BodyText"/>
                  <w:ind w:left="0" w:firstLine="0"/>
                  <w:jc w:val="left"/>
                </w:pPr>
              </w:p>
            </w:txbxContent>
          </v:textbox>
          <w10:wrap type="none"/>
        </v:shape>
      </w:pict>
    </w:r>
    <w:r>
      <w:rPr/>
      <w:drawing>
        <wp:anchor distT="0" distB="0" distL="0" distR="0" allowOverlap="1" layoutInCell="1" locked="0" behindDoc="1" simplePos="0" relativeHeight="246670336">
          <wp:simplePos x="0" y="0"/>
          <wp:positionH relativeFrom="page">
            <wp:posOffset>560831</wp:posOffset>
          </wp:positionH>
          <wp:positionV relativeFrom="page">
            <wp:posOffset>481583</wp:posOffset>
          </wp:positionV>
          <wp:extent cx="851916" cy="681227"/>
          <wp:effectExtent l="0" t="0" r="0" b="0"/>
          <wp:wrapNone/>
          <wp:docPr id="15" name="image1.jpeg"/>
          <wp:cNvGraphicFramePr>
            <a:graphicFrameLocks noChangeAspect="1"/>
          </wp:cNvGraphicFramePr>
          <a:graphic>
            <a:graphicData uri="http://schemas.openxmlformats.org/drawingml/2006/picture">
              <pic:pic>
                <pic:nvPicPr>
                  <pic:cNvPr id="16" name="image1.jpeg"/>
                  <pic:cNvPicPr/>
                </pic:nvPicPr>
                <pic:blipFill>
                  <a:blip r:embed="rId1" cstate="print"/>
                  <a:stretch>
                    <a:fillRect/>
                  </a:stretch>
                </pic:blipFill>
                <pic:spPr>
                  <a:xfrm>
                    <a:off x="0" y="0"/>
                    <a:ext cx="851916" cy="68122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6">
    <w:multiLevelType w:val="hybridMultilevel"/>
    <w:lvl w:ilvl="0">
      <w:start w:val="0"/>
      <w:numFmt w:val="bullet"/>
      <w:lvlText w:val="-"/>
      <w:lvlJc w:val="left"/>
      <w:pPr>
        <w:ind w:left="1477" w:hanging="303"/>
      </w:pPr>
      <w:rPr>
        <w:rFonts w:hint="default" w:ascii="Times New Roman" w:hAnsi="Times New Roman" w:eastAsia="Times New Roman" w:cs="Times New Roman"/>
        <w:i/>
        <w:w w:val="100"/>
        <w:sz w:val="28"/>
        <w:szCs w:val="28"/>
        <w:lang w:val="fr-FR" w:eastAsia="fr-FR" w:bidi="fr-FR"/>
      </w:rPr>
    </w:lvl>
    <w:lvl w:ilvl="1">
      <w:start w:val="0"/>
      <w:numFmt w:val="bullet"/>
      <w:lvlText w:val="•"/>
      <w:lvlJc w:val="left"/>
      <w:pPr>
        <w:ind w:left="2384" w:hanging="303"/>
      </w:pPr>
      <w:rPr>
        <w:rFonts w:hint="default"/>
        <w:lang w:val="fr-FR" w:eastAsia="fr-FR" w:bidi="fr-FR"/>
      </w:rPr>
    </w:lvl>
    <w:lvl w:ilvl="2">
      <w:start w:val="0"/>
      <w:numFmt w:val="bullet"/>
      <w:lvlText w:val="•"/>
      <w:lvlJc w:val="left"/>
      <w:pPr>
        <w:ind w:left="3289" w:hanging="303"/>
      </w:pPr>
      <w:rPr>
        <w:rFonts w:hint="default"/>
        <w:lang w:val="fr-FR" w:eastAsia="fr-FR" w:bidi="fr-FR"/>
      </w:rPr>
    </w:lvl>
    <w:lvl w:ilvl="3">
      <w:start w:val="0"/>
      <w:numFmt w:val="bullet"/>
      <w:lvlText w:val="•"/>
      <w:lvlJc w:val="left"/>
      <w:pPr>
        <w:ind w:left="4193" w:hanging="303"/>
      </w:pPr>
      <w:rPr>
        <w:rFonts w:hint="default"/>
        <w:lang w:val="fr-FR" w:eastAsia="fr-FR" w:bidi="fr-FR"/>
      </w:rPr>
    </w:lvl>
    <w:lvl w:ilvl="4">
      <w:start w:val="0"/>
      <w:numFmt w:val="bullet"/>
      <w:lvlText w:val="•"/>
      <w:lvlJc w:val="left"/>
      <w:pPr>
        <w:ind w:left="5098" w:hanging="303"/>
      </w:pPr>
      <w:rPr>
        <w:rFonts w:hint="default"/>
        <w:lang w:val="fr-FR" w:eastAsia="fr-FR" w:bidi="fr-FR"/>
      </w:rPr>
    </w:lvl>
    <w:lvl w:ilvl="5">
      <w:start w:val="0"/>
      <w:numFmt w:val="bullet"/>
      <w:lvlText w:val="•"/>
      <w:lvlJc w:val="left"/>
      <w:pPr>
        <w:ind w:left="6003" w:hanging="303"/>
      </w:pPr>
      <w:rPr>
        <w:rFonts w:hint="default"/>
        <w:lang w:val="fr-FR" w:eastAsia="fr-FR" w:bidi="fr-FR"/>
      </w:rPr>
    </w:lvl>
    <w:lvl w:ilvl="6">
      <w:start w:val="0"/>
      <w:numFmt w:val="bullet"/>
      <w:lvlText w:val="•"/>
      <w:lvlJc w:val="left"/>
      <w:pPr>
        <w:ind w:left="6907" w:hanging="303"/>
      </w:pPr>
      <w:rPr>
        <w:rFonts w:hint="default"/>
        <w:lang w:val="fr-FR" w:eastAsia="fr-FR" w:bidi="fr-FR"/>
      </w:rPr>
    </w:lvl>
    <w:lvl w:ilvl="7">
      <w:start w:val="0"/>
      <w:numFmt w:val="bullet"/>
      <w:lvlText w:val="•"/>
      <w:lvlJc w:val="left"/>
      <w:pPr>
        <w:ind w:left="7812" w:hanging="303"/>
      </w:pPr>
      <w:rPr>
        <w:rFonts w:hint="default"/>
        <w:lang w:val="fr-FR" w:eastAsia="fr-FR" w:bidi="fr-FR"/>
      </w:rPr>
    </w:lvl>
    <w:lvl w:ilvl="8">
      <w:start w:val="0"/>
      <w:numFmt w:val="bullet"/>
      <w:lvlText w:val="•"/>
      <w:lvlJc w:val="left"/>
      <w:pPr>
        <w:ind w:left="8717" w:hanging="303"/>
      </w:pPr>
      <w:rPr>
        <w:rFonts w:hint="default"/>
        <w:lang w:val="fr-FR" w:eastAsia="fr-FR" w:bidi="fr-FR"/>
      </w:rPr>
    </w:lvl>
  </w:abstractNum>
  <w:abstractNum w:abstractNumId="135">
    <w:multiLevelType w:val="hybridMultilevel"/>
    <w:lvl w:ilvl="0">
      <w:start w:val="0"/>
      <w:numFmt w:val="bullet"/>
      <w:lvlText w:val=""/>
      <w:lvlJc w:val="left"/>
      <w:pPr>
        <w:ind w:left="577" w:hanging="284"/>
      </w:pPr>
      <w:rPr>
        <w:rFonts w:hint="default" w:ascii="Symbol" w:hAnsi="Symbol" w:eastAsia="Symbol" w:cs="Symbol"/>
        <w:w w:val="100"/>
        <w:sz w:val="28"/>
        <w:szCs w:val="28"/>
        <w:lang w:val="fr-FR" w:eastAsia="fr-FR" w:bidi="fr-FR"/>
      </w:rPr>
    </w:lvl>
    <w:lvl w:ilvl="1">
      <w:start w:val="0"/>
      <w:numFmt w:val="bullet"/>
      <w:lvlText w:val="•"/>
      <w:lvlJc w:val="left"/>
      <w:pPr>
        <w:ind w:left="1574" w:hanging="284"/>
      </w:pPr>
      <w:rPr>
        <w:rFonts w:hint="default"/>
        <w:lang w:val="fr-FR" w:eastAsia="fr-FR" w:bidi="fr-FR"/>
      </w:rPr>
    </w:lvl>
    <w:lvl w:ilvl="2">
      <w:start w:val="0"/>
      <w:numFmt w:val="bullet"/>
      <w:lvlText w:val="•"/>
      <w:lvlJc w:val="left"/>
      <w:pPr>
        <w:ind w:left="2569" w:hanging="284"/>
      </w:pPr>
      <w:rPr>
        <w:rFonts w:hint="default"/>
        <w:lang w:val="fr-FR" w:eastAsia="fr-FR" w:bidi="fr-FR"/>
      </w:rPr>
    </w:lvl>
    <w:lvl w:ilvl="3">
      <w:start w:val="0"/>
      <w:numFmt w:val="bullet"/>
      <w:lvlText w:val="•"/>
      <w:lvlJc w:val="left"/>
      <w:pPr>
        <w:ind w:left="3563" w:hanging="284"/>
      </w:pPr>
      <w:rPr>
        <w:rFonts w:hint="default"/>
        <w:lang w:val="fr-FR" w:eastAsia="fr-FR" w:bidi="fr-FR"/>
      </w:rPr>
    </w:lvl>
    <w:lvl w:ilvl="4">
      <w:start w:val="0"/>
      <w:numFmt w:val="bullet"/>
      <w:lvlText w:val="•"/>
      <w:lvlJc w:val="left"/>
      <w:pPr>
        <w:ind w:left="4558" w:hanging="284"/>
      </w:pPr>
      <w:rPr>
        <w:rFonts w:hint="default"/>
        <w:lang w:val="fr-FR" w:eastAsia="fr-FR" w:bidi="fr-FR"/>
      </w:rPr>
    </w:lvl>
    <w:lvl w:ilvl="5">
      <w:start w:val="0"/>
      <w:numFmt w:val="bullet"/>
      <w:lvlText w:val="•"/>
      <w:lvlJc w:val="left"/>
      <w:pPr>
        <w:ind w:left="5553" w:hanging="284"/>
      </w:pPr>
      <w:rPr>
        <w:rFonts w:hint="default"/>
        <w:lang w:val="fr-FR" w:eastAsia="fr-FR" w:bidi="fr-FR"/>
      </w:rPr>
    </w:lvl>
    <w:lvl w:ilvl="6">
      <w:start w:val="0"/>
      <w:numFmt w:val="bullet"/>
      <w:lvlText w:val="•"/>
      <w:lvlJc w:val="left"/>
      <w:pPr>
        <w:ind w:left="6547" w:hanging="284"/>
      </w:pPr>
      <w:rPr>
        <w:rFonts w:hint="default"/>
        <w:lang w:val="fr-FR" w:eastAsia="fr-FR" w:bidi="fr-FR"/>
      </w:rPr>
    </w:lvl>
    <w:lvl w:ilvl="7">
      <w:start w:val="0"/>
      <w:numFmt w:val="bullet"/>
      <w:lvlText w:val="•"/>
      <w:lvlJc w:val="left"/>
      <w:pPr>
        <w:ind w:left="7542" w:hanging="284"/>
      </w:pPr>
      <w:rPr>
        <w:rFonts w:hint="default"/>
        <w:lang w:val="fr-FR" w:eastAsia="fr-FR" w:bidi="fr-FR"/>
      </w:rPr>
    </w:lvl>
    <w:lvl w:ilvl="8">
      <w:start w:val="0"/>
      <w:numFmt w:val="bullet"/>
      <w:lvlText w:val="•"/>
      <w:lvlJc w:val="left"/>
      <w:pPr>
        <w:ind w:left="8537" w:hanging="284"/>
      </w:pPr>
      <w:rPr>
        <w:rFonts w:hint="default"/>
        <w:lang w:val="fr-FR" w:eastAsia="fr-FR" w:bidi="fr-FR"/>
      </w:rPr>
    </w:lvl>
  </w:abstractNum>
  <w:abstractNum w:abstractNumId="134">
    <w:multiLevelType w:val="hybridMultilevel"/>
    <w:lvl w:ilvl="0">
      <w:start w:val="0"/>
      <w:numFmt w:val="bullet"/>
      <w:lvlText w:val="-"/>
      <w:lvlJc w:val="left"/>
      <w:pPr>
        <w:ind w:left="577" w:hanging="284"/>
      </w:pPr>
      <w:rPr>
        <w:rFonts w:hint="default" w:ascii="Calibri" w:hAnsi="Calibri" w:eastAsia="Calibri" w:cs="Calibri"/>
        <w:w w:val="100"/>
        <w:sz w:val="28"/>
        <w:szCs w:val="28"/>
        <w:lang w:val="fr-FR" w:eastAsia="fr-FR" w:bidi="fr-FR"/>
      </w:rPr>
    </w:lvl>
    <w:lvl w:ilvl="1">
      <w:start w:val="0"/>
      <w:numFmt w:val="bullet"/>
      <w:lvlText w:val="•"/>
      <w:lvlJc w:val="left"/>
      <w:pPr>
        <w:ind w:left="1574" w:hanging="284"/>
      </w:pPr>
      <w:rPr>
        <w:rFonts w:hint="default"/>
        <w:lang w:val="fr-FR" w:eastAsia="fr-FR" w:bidi="fr-FR"/>
      </w:rPr>
    </w:lvl>
    <w:lvl w:ilvl="2">
      <w:start w:val="0"/>
      <w:numFmt w:val="bullet"/>
      <w:lvlText w:val="•"/>
      <w:lvlJc w:val="left"/>
      <w:pPr>
        <w:ind w:left="2569" w:hanging="284"/>
      </w:pPr>
      <w:rPr>
        <w:rFonts w:hint="default"/>
        <w:lang w:val="fr-FR" w:eastAsia="fr-FR" w:bidi="fr-FR"/>
      </w:rPr>
    </w:lvl>
    <w:lvl w:ilvl="3">
      <w:start w:val="0"/>
      <w:numFmt w:val="bullet"/>
      <w:lvlText w:val="•"/>
      <w:lvlJc w:val="left"/>
      <w:pPr>
        <w:ind w:left="3563" w:hanging="284"/>
      </w:pPr>
      <w:rPr>
        <w:rFonts w:hint="default"/>
        <w:lang w:val="fr-FR" w:eastAsia="fr-FR" w:bidi="fr-FR"/>
      </w:rPr>
    </w:lvl>
    <w:lvl w:ilvl="4">
      <w:start w:val="0"/>
      <w:numFmt w:val="bullet"/>
      <w:lvlText w:val="•"/>
      <w:lvlJc w:val="left"/>
      <w:pPr>
        <w:ind w:left="4558" w:hanging="284"/>
      </w:pPr>
      <w:rPr>
        <w:rFonts w:hint="default"/>
        <w:lang w:val="fr-FR" w:eastAsia="fr-FR" w:bidi="fr-FR"/>
      </w:rPr>
    </w:lvl>
    <w:lvl w:ilvl="5">
      <w:start w:val="0"/>
      <w:numFmt w:val="bullet"/>
      <w:lvlText w:val="•"/>
      <w:lvlJc w:val="left"/>
      <w:pPr>
        <w:ind w:left="5553" w:hanging="284"/>
      </w:pPr>
      <w:rPr>
        <w:rFonts w:hint="default"/>
        <w:lang w:val="fr-FR" w:eastAsia="fr-FR" w:bidi="fr-FR"/>
      </w:rPr>
    </w:lvl>
    <w:lvl w:ilvl="6">
      <w:start w:val="0"/>
      <w:numFmt w:val="bullet"/>
      <w:lvlText w:val="•"/>
      <w:lvlJc w:val="left"/>
      <w:pPr>
        <w:ind w:left="6547" w:hanging="284"/>
      </w:pPr>
      <w:rPr>
        <w:rFonts w:hint="default"/>
        <w:lang w:val="fr-FR" w:eastAsia="fr-FR" w:bidi="fr-FR"/>
      </w:rPr>
    </w:lvl>
    <w:lvl w:ilvl="7">
      <w:start w:val="0"/>
      <w:numFmt w:val="bullet"/>
      <w:lvlText w:val="•"/>
      <w:lvlJc w:val="left"/>
      <w:pPr>
        <w:ind w:left="7542" w:hanging="284"/>
      </w:pPr>
      <w:rPr>
        <w:rFonts w:hint="default"/>
        <w:lang w:val="fr-FR" w:eastAsia="fr-FR" w:bidi="fr-FR"/>
      </w:rPr>
    </w:lvl>
    <w:lvl w:ilvl="8">
      <w:start w:val="0"/>
      <w:numFmt w:val="bullet"/>
      <w:lvlText w:val="•"/>
      <w:lvlJc w:val="left"/>
      <w:pPr>
        <w:ind w:left="8537" w:hanging="284"/>
      </w:pPr>
      <w:rPr>
        <w:rFonts w:hint="default"/>
        <w:lang w:val="fr-FR" w:eastAsia="fr-FR" w:bidi="fr-FR"/>
      </w:rPr>
    </w:lvl>
  </w:abstractNum>
  <w:abstractNum w:abstractNumId="133">
    <w:multiLevelType w:val="hybridMultilevel"/>
    <w:lvl w:ilvl="0">
      <w:start w:val="1"/>
      <w:numFmt w:val="decimal"/>
      <w:lvlText w:val="%1-"/>
      <w:lvlJc w:val="left"/>
      <w:pPr>
        <w:ind w:left="577" w:hanging="284"/>
        <w:jc w:val="left"/>
      </w:pPr>
      <w:rPr>
        <w:rFonts w:hint="default" w:ascii="Times New Roman" w:hAnsi="Times New Roman" w:eastAsia="Times New Roman" w:cs="Times New Roman"/>
        <w:b/>
        <w:bCs/>
        <w:i/>
        <w:spacing w:val="-1"/>
        <w:w w:val="100"/>
        <w:sz w:val="28"/>
        <w:szCs w:val="28"/>
        <w:lang w:val="fr-FR" w:eastAsia="fr-FR" w:bidi="fr-FR"/>
      </w:rPr>
    </w:lvl>
    <w:lvl w:ilvl="1">
      <w:start w:val="1"/>
      <w:numFmt w:val="decimal"/>
      <w:lvlText w:val="%2)"/>
      <w:lvlJc w:val="left"/>
      <w:pPr>
        <w:ind w:left="834" w:hanging="360"/>
        <w:jc w:val="left"/>
      </w:pPr>
      <w:rPr>
        <w:rFonts w:hint="default" w:ascii="Times New Roman" w:hAnsi="Times New Roman" w:eastAsia="Times New Roman" w:cs="Times New Roman"/>
        <w:i/>
        <w:spacing w:val="0"/>
        <w:w w:val="100"/>
        <w:sz w:val="28"/>
        <w:szCs w:val="28"/>
        <w:lang w:val="fr-FR" w:eastAsia="fr-FR" w:bidi="fr-FR"/>
      </w:rPr>
    </w:lvl>
    <w:lvl w:ilvl="2">
      <w:start w:val="0"/>
      <w:numFmt w:val="bullet"/>
      <w:lvlText w:val="-"/>
      <w:lvlJc w:val="left"/>
      <w:pPr>
        <w:ind w:left="1407" w:hanging="372"/>
      </w:pPr>
      <w:rPr>
        <w:rFonts w:hint="default" w:ascii="Times New Roman" w:hAnsi="Times New Roman" w:eastAsia="Times New Roman" w:cs="Times New Roman"/>
        <w:i/>
        <w:w w:val="100"/>
        <w:sz w:val="28"/>
        <w:szCs w:val="28"/>
        <w:lang w:val="fr-FR" w:eastAsia="fr-FR" w:bidi="fr-FR"/>
      </w:rPr>
    </w:lvl>
    <w:lvl w:ilvl="3">
      <w:start w:val="0"/>
      <w:numFmt w:val="bullet"/>
      <w:lvlText w:val="•"/>
      <w:lvlJc w:val="left"/>
      <w:pPr>
        <w:ind w:left="2540" w:hanging="372"/>
      </w:pPr>
      <w:rPr>
        <w:rFonts w:hint="default"/>
        <w:lang w:val="fr-FR" w:eastAsia="fr-FR" w:bidi="fr-FR"/>
      </w:rPr>
    </w:lvl>
    <w:lvl w:ilvl="4">
      <w:start w:val="0"/>
      <w:numFmt w:val="bullet"/>
      <w:lvlText w:val="•"/>
      <w:lvlJc w:val="left"/>
      <w:pPr>
        <w:ind w:left="3681" w:hanging="372"/>
      </w:pPr>
      <w:rPr>
        <w:rFonts w:hint="default"/>
        <w:lang w:val="fr-FR" w:eastAsia="fr-FR" w:bidi="fr-FR"/>
      </w:rPr>
    </w:lvl>
    <w:lvl w:ilvl="5">
      <w:start w:val="0"/>
      <w:numFmt w:val="bullet"/>
      <w:lvlText w:val="•"/>
      <w:lvlJc w:val="left"/>
      <w:pPr>
        <w:ind w:left="4822" w:hanging="372"/>
      </w:pPr>
      <w:rPr>
        <w:rFonts w:hint="default"/>
        <w:lang w:val="fr-FR" w:eastAsia="fr-FR" w:bidi="fr-FR"/>
      </w:rPr>
    </w:lvl>
    <w:lvl w:ilvl="6">
      <w:start w:val="0"/>
      <w:numFmt w:val="bullet"/>
      <w:lvlText w:val="•"/>
      <w:lvlJc w:val="left"/>
      <w:pPr>
        <w:ind w:left="5963" w:hanging="372"/>
      </w:pPr>
      <w:rPr>
        <w:rFonts w:hint="default"/>
        <w:lang w:val="fr-FR" w:eastAsia="fr-FR" w:bidi="fr-FR"/>
      </w:rPr>
    </w:lvl>
    <w:lvl w:ilvl="7">
      <w:start w:val="0"/>
      <w:numFmt w:val="bullet"/>
      <w:lvlText w:val="•"/>
      <w:lvlJc w:val="left"/>
      <w:pPr>
        <w:ind w:left="7104" w:hanging="372"/>
      </w:pPr>
      <w:rPr>
        <w:rFonts w:hint="default"/>
        <w:lang w:val="fr-FR" w:eastAsia="fr-FR" w:bidi="fr-FR"/>
      </w:rPr>
    </w:lvl>
    <w:lvl w:ilvl="8">
      <w:start w:val="0"/>
      <w:numFmt w:val="bullet"/>
      <w:lvlText w:val="•"/>
      <w:lvlJc w:val="left"/>
      <w:pPr>
        <w:ind w:left="8244" w:hanging="372"/>
      </w:pPr>
      <w:rPr>
        <w:rFonts w:hint="default"/>
        <w:lang w:val="fr-FR" w:eastAsia="fr-FR" w:bidi="fr-FR"/>
      </w:rPr>
    </w:lvl>
  </w:abstractNum>
  <w:abstractNum w:abstractNumId="132">
    <w:multiLevelType w:val="hybridMultilevel"/>
    <w:lvl w:ilvl="0">
      <w:start w:val="0"/>
      <w:numFmt w:val="bullet"/>
      <w:lvlText w:val=""/>
      <w:lvlJc w:val="left"/>
      <w:pPr>
        <w:ind w:left="436" w:hanging="343"/>
      </w:pPr>
      <w:rPr>
        <w:rFonts w:hint="default" w:ascii="Symbol" w:hAnsi="Symbol" w:eastAsia="Symbol" w:cs="Symbol"/>
        <w:w w:val="104"/>
        <w:sz w:val="15"/>
        <w:szCs w:val="15"/>
        <w:lang w:val="fr-FR" w:eastAsia="fr-FR" w:bidi="fr-FR"/>
      </w:rPr>
    </w:lvl>
    <w:lvl w:ilvl="1">
      <w:start w:val="0"/>
      <w:numFmt w:val="bullet"/>
      <w:lvlText w:val="•"/>
      <w:lvlJc w:val="left"/>
      <w:pPr>
        <w:ind w:left="778" w:hanging="343"/>
      </w:pPr>
      <w:rPr>
        <w:rFonts w:hint="default"/>
        <w:lang w:val="fr-FR" w:eastAsia="fr-FR" w:bidi="fr-FR"/>
      </w:rPr>
    </w:lvl>
    <w:lvl w:ilvl="2">
      <w:start w:val="0"/>
      <w:numFmt w:val="bullet"/>
      <w:lvlText w:val="•"/>
      <w:lvlJc w:val="left"/>
      <w:pPr>
        <w:ind w:left="1116" w:hanging="343"/>
      </w:pPr>
      <w:rPr>
        <w:rFonts w:hint="default"/>
        <w:lang w:val="fr-FR" w:eastAsia="fr-FR" w:bidi="fr-FR"/>
      </w:rPr>
    </w:lvl>
    <w:lvl w:ilvl="3">
      <w:start w:val="0"/>
      <w:numFmt w:val="bullet"/>
      <w:lvlText w:val="•"/>
      <w:lvlJc w:val="left"/>
      <w:pPr>
        <w:ind w:left="1455" w:hanging="343"/>
      </w:pPr>
      <w:rPr>
        <w:rFonts w:hint="default"/>
        <w:lang w:val="fr-FR" w:eastAsia="fr-FR" w:bidi="fr-FR"/>
      </w:rPr>
    </w:lvl>
    <w:lvl w:ilvl="4">
      <w:start w:val="0"/>
      <w:numFmt w:val="bullet"/>
      <w:lvlText w:val="•"/>
      <w:lvlJc w:val="left"/>
      <w:pPr>
        <w:ind w:left="1793" w:hanging="343"/>
      </w:pPr>
      <w:rPr>
        <w:rFonts w:hint="default"/>
        <w:lang w:val="fr-FR" w:eastAsia="fr-FR" w:bidi="fr-FR"/>
      </w:rPr>
    </w:lvl>
    <w:lvl w:ilvl="5">
      <w:start w:val="0"/>
      <w:numFmt w:val="bullet"/>
      <w:lvlText w:val="•"/>
      <w:lvlJc w:val="left"/>
      <w:pPr>
        <w:ind w:left="2132" w:hanging="343"/>
      </w:pPr>
      <w:rPr>
        <w:rFonts w:hint="default"/>
        <w:lang w:val="fr-FR" w:eastAsia="fr-FR" w:bidi="fr-FR"/>
      </w:rPr>
    </w:lvl>
    <w:lvl w:ilvl="6">
      <w:start w:val="0"/>
      <w:numFmt w:val="bullet"/>
      <w:lvlText w:val="•"/>
      <w:lvlJc w:val="left"/>
      <w:pPr>
        <w:ind w:left="2470" w:hanging="343"/>
      </w:pPr>
      <w:rPr>
        <w:rFonts w:hint="default"/>
        <w:lang w:val="fr-FR" w:eastAsia="fr-FR" w:bidi="fr-FR"/>
      </w:rPr>
    </w:lvl>
    <w:lvl w:ilvl="7">
      <w:start w:val="0"/>
      <w:numFmt w:val="bullet"/>
      <w:lvlText w:val="•"/>
      <w:lvlJc w:val="left"/>
      <w:pPr>
        <w:ind w:left="2809" w:hanging="343"/>
      </w:pPr>
      <w:rPr>
        <w:rFonts w:hint="default"/>
        <w:lang w:val="fr-FR" w:eastAsia="fr-FR" w:bidi="fr-FR"/>
      </w:rPr>
    </w:lvl>
    <w:lvl w:ilvl="8">
      <w:start w:val="0"/>
      <w:numFmt w:val="bullet"/>
      <w:lvlText w:val="•"/>
      <w:lvlJc w:val="left"/>
      <w:pPr>
        <w:ind w:left="3147" w:hanging="343"/>
      </w:pPr>
      <w:rPr>
        <w:rFonts w:hint="default"/>
        <w:lang w:val="fr-FR" w:eastAsia="fr-FR" w:bidi="fr-FR"/>
      </w:rPr>
    </w:lvl>
  </w:abstractNum>
  <w:abstractNum w:abstractNumId="131">
    <w:multiLevelType w:val="hybridMultilevel"/>
    <w:lvl w:ilvl="0">
      <w:start w:val="0"/>
      <w:numFmt w:val="bullet"/>
      <w:lvlText w:val=""/>
      <w:lvlJc w:val="left"/>
      <w:pPr>
        <w:ind w:left="343" w:hanging="344"/>
      </w:pPr>
      <w:rPr>
        <w:rFonts w:hint="default" w:ascii="Symbol" w:hAnsi="Symbol" w:eastAsia="Symbol" w:cs="Symbol"/>
        <w:w w:val="104"/>
        <w:sz w:val="15"/>
        <w:szCs w:val="15"/>
        <w:lang w:val="fr-FR" w:eastAsia="fr-FR" w:bidi="fr-FR"/>
      </w:rPr>
    </w:lvl>
    <w:lvl w:ilvl="1">
      <w:start w:val="0"/>
      <w:numFmt w:val="bullet"/>
      <w:lvlText w:val="•"/>
      <w:lvlJc w:val="left"/>
      <w:pPr>
        <w:ind w:left="420" w:hanging="344"/>
      </w:pPr>
      <w:rPr>
        <w:rFonts w:hint="default"/>
        <w:lang w:val="fr-FR" w:eastAsia="fr-FR" w:bidi="fr-FR"/>
      </w:rPr>
    </w:lvl>
    <w:lvl w:ilvl="2">
      <w:start w:val="0"/>
      <w:numFmt w:val="bullet"/>
      <w:lvlText w:val="•"/>
      <w:lvlJc w:val="left"/>
      <w:pPr>
        <w:ind w:left="500" w:hanging="344"/>
      </w:pPr>
      <w:rPr>
        <w:rFonts w:hint="default"/>
        <w:lang w:val="fr-FR" w:eastAsia="fr-FR" w:bidi="fr-FR"/>
      </w:rPr>
    </w:lvl>
    <w:lvl w:ilvl="3">
      <w:start w:val="0"/>
      <w:numFmt w:val="bullet"/>
      <w:lvlText w:val="•"/>
      <w:lvlJc w:val="left"/>
      <w:pPr>
        <w:ind w:left="580" w:hanging="344"/>
      </w:pPr>
      <w:rPr>
        <w:rFonts w:hint="default"/>
        <w:lang w:val="fr-FR" w:eastAsia="fr-FR" w:bidi="fr-FR"/>
      </w:rPr>
    </w:lvl>
    <w:lvl w:ilvl="4">
      <w:start w:val="0"/>
      <w:numFmt w:val="bullet"/>
      <w:lvlText w:val="•"/>
      <w:lvlJc w:val="left"/>
      <w:pPr>
        <w:ind w:left="660" w:hanging="344"/>
      </w:pPr>
      <w:rPr>
        <w:rFonts w:hint="default"/>
        <w:lang w:val="fr-FR" w:eastAsia="fr-FR" w:bidi="fr-FR"/>
      </w:rPr>
    </w:lvl>
    <w:lvl w:ilvl="5">
      <w:start w:val="0"/>
      <w:numFmt w:val="bullet"/>
      <w:lvlText w:val="•"/>
      <w:lvlJc w:val="left"/>
      <w:pPr>
        <w:ind w:left="740" w:hanging="344"/>
      </w:pPr>
      <w:rPr>
        <w:rFonts w:hint="default"/>
        <w:lang w:val="fr-FR" w:eastAsia="fr-FR" w:bidi="fr-FR"/>
      </w:rPr>
    </w:lvl>
    <w:lvl w:ilvl="6">
      <w:start w:val="0"/>
      <w:numFmt w:val="bullet"/>
      <w:lvlText w:val="•"/>
      <w:lvlJc w:val="left"/>
      <w:pPr>
        <w:ind w:left="820" w:hanging="344"/>
      </w:pPr>
      <w:rPr>
        <w:rFonts w:hint="default"/>
        <w:lang w:val="fr-FR" w:eastAsia="fr-FR" w:bidi="fr-FR"/>
      </w:rPr>
    </w:lvl>
    <w:lvl w:ilvl="7">
      <w:start w:val="0"/>
      <w:numFmt w:val="bullet"/>
      <w:lvlText w:val="•"/>
      <w:lvlJc w:val="left"/>
      <w:pPr>
        <w:ind w:left="900" w:hanging="344"/>
      </w:pPr>
      <w:rPr>
        <w:rFonts w:hint="default"/>
        <w:lang w:val="fr-FR" w:eastAsia="fr-FR" w:bidi="fr-FR"/>
      </w:rPr>
    </w:lvl>
    <w:lvl w:ilvl="8">
      <w:start w:val="0"/>
      <w:numFmt w:val="bullet"/>
      <w:lvlText w:val="•"/>
      <w:lvlJc w:val="left"/>
      <w:pPr>
        <w:ind w:left="980" w:hanging="344"/>
      </w:pPr>
      <w:rPr>
        <w:rFonts w:hint="default"/>
        <w:lang w:val="fr-FR" w:eastAsia="fr-FR" w:bidi="fr-FR"/>
      </w:rPr>
    </w:lvl>
  </w:abstractNum>
  <w:abstractNum w:abstractNumId="130">
    <w:multiLevelType w:val="hybridMultilevel"/>
    <w:lvl w:ilvl="0">
      <w:start w:val="0"/>
      <w:numFmt w:val="bullet"/>
      <w:lvlText w:val=""/>
      <w:lvlJc w:val="left"/>
      <w:pPr>
        <w:ind w:left="432" w:hanging="344"/>
      </w:pPr>
      <w:rPr>
        <w:rFonts w:hint="default" w:ascii="Symbol" w:hAnsi="Symbol" w:eastAsia="Symbol" w:cs="Symbol"/>
        <w:w w:val="104"/>
        <w:sz w:val="15"/>
        <w:szCs w:val="15"/>
        <w:lang w:val="fr-FR" w:eastAsia="fr-FR" w:bidi="fr-FR"/>
      </w:rPr>
    </w:lvl>
    <w:lvl w:ilvl="1">
      <w:start w:val="0"/>
      <w:numFmt w:val="bullet"/>
      <w:lvlText w:val="•"/>
      <w:lvlJc w:val="left"/>
      <w:pPr>
        <w:ind w:left="586" w:hanging="344"/>
      </w:pPr>
      <w:rPr>
        <w:rFonts w:hint="default"/>
        <w:lang w:val="fr-FR" w:eastAsia="fr-FR" w:bidi="fr-FR"/>
      </w:rPr>
    </w:lvl>
    <w:lvl w:ilvl="2">
      <w:start w:val="0"/>
      <w:numFmt w:val="bullet"/>
      <w:lvlText w:val="•"/>
      <w:lvlJc w:val="left"/>
      <w:pPr>
        <w:ind w:left="732" w:hanging="344"/>
      </w:pPr>
      <w:rPr>
        <w:rFonts w:hint="default"/>
        <w:lang w:val="fr-FR" w:eastAsia="fr-FR" w:bidi="fr-FR"/>
      </w:rPr>
    </w:lvl>
    <w:lvl w:ilvl="3">
      <w:start w:val="0"/>
      <w:numFmt w:val="bullet"/>
      <w:lvlText w:val="•"/>
      <w:lvlJc w:val="left"/>
      <w:pPr>
        <w:ind w:left="878" w:hanging="344"/>
      </w:pPr>
      <w:rPr>
        <w:rFonts w:hint="default"/>
        <w:lang w:val="fr-FR" w:eastAsia="fr-FR" w:bidi="fr-FR"/>
      </w:rPr>
    </w:lvl>
    <w:lvl w:ilvl="4">
      <w:start w:val="0"/>
      <w:numFmt w:val="bullet"/>
      <w:lvlText w:val="•"/>
      <w:lvlJc w:val="left"/>
      <w:pPr>
        <w:ind w:left="1024" w:hanging="344"/>
      </w:pPr>
      <w:rPr>
        <w:rFonts w:hint="default"/>
        <w:lang w:val="fr-FR" w:eastAsia="fr-FR" w:bidi="fr-FR"/>
      </w:rPr>
    </w:lvl>
    <w:lvl w:ilvl="5">
      <w:start w:val="0"/>
      <w:numFmt w:val="bullet"/>
      <w:lvlText w:val="•"/>
      <w:lvlJc w:val="left"/>
      <w:pPr>
        <w:ind w:left="1170" w:hanging="344"/>
      </w:pPr>
      <w:rPr>
        <w:rFonts w:hint="default"/>
        <w:lang w:val="fr-FR" w:eastAsia="fr-FR" w:bidi="fr-FR"/>
      </w:rPr>
    </w:lvl>
    <w:lvl w:ilvl="6">
      <w:start w:val="0"/>
      <w:numFmt w:val="bullet"/>
      <w:lvlText w:val="•"/>
      <w:lvlJc w:val="left"/>
      <w:pPr>
        <w:ind w:left="1316" w:hanging="344"/>
      </w:pPr>
      <w:rPr>
        <w:rFonts w:hint="default"/>
        <w:lang w:val="fr-FR" w:eastAsia="fr-FR" w:bidi="fr-FR"/>
      </w:rPr>
    </w:lvl>
    <w:lvl w:ilvl="7">
      <w:start w:val="0"/>
      <w:numFmt w:val="bullet"/>
      <w:lvlText w:val="•"/>
      <w:lvlJc w:val="left"/>
      <w:pPr>
        <w:ind w:left="1463" w:hanging="344"/>
      </w:pPr>
      <w:rPr>
        <w:rFonts w:hint="default"/>
        <w:lang w:val="fr-FR" w:eastAsia="fr-FR" w:bidi="fr-FR"/>
      </w:rPr>
    </w:lvl>
    <w:lvl w:ilvl="8">
      <w:start w:val="0"/>
      <w:numFmt w:val="bullet"/>
      <w:lvlText w:val="•"/>
      <w:lvlJc w:val="left"/>
      <w:pPr>
        <w:ind w:left="1609" w:hanging="344"/>
      </w:pPr>
      <w:rPr>
        <w:rFonts w:hint="default"/>
        <w:lang w:val="fr-FR" w:eastAsia="fr-FR" w:bidi="fr-FR"/>
      </w:rPr>
    </w:lvl>
  </w:abstractNum>
  <w:abstractNum w:abstractNumId="129">
    <w:multiLevelType w:val="hybridMultilevel"/>
    <w:lvl w:ilvl="0">
      <w:start w:val="0"/>
      <w:numFmt w:val="bullet"/>
      <w:lvlText w:val=""/>
      <w:lvlJc w:val="left"/>
      <w:pPr>
        <w:ind w:left="429" w:hanging="344"/>
      </w:pPr>
      <w:rPr>
        <w:rFonts w:hint="default" w:ascii="Symbol" w:hAnsi="Symbol" w:eastAsia="Symbol" w:cs="Symbol"/>
        <w:w w:val="104"/>
        <w:sz w:val="15"/>
        <w:szCs w:val="15"/>
        <w:lang w:val="fr-FR" w:eastAsia="fr-FR" w:bidi="fr-FR"/>
      </w:rPr>
    </w:lvl>
    <w:lvl w:ilvl="1">
      <w:start w:val="0"/>
      <w:numFmt w:val="bullet"/>
      <w:lvlText w:val="•"/>
      <w:lvlJc w:val="left"/>
      <w:pPr>
        <w:ind w:left="611" w:hanging="344"/>
      </w:pPr>
      <w:rPr>
        <w:rFonts w:hint="default"/>
        <w:lang w:val="fr-FR" w:eastAsia="fr-FR" w:bidi="fr-FR"/>
      </w:rPr>
    </w:lvl>
    <w:lvl w:ilvl="2">
      <w:start w:val="0"/>
      <w:numFmt w:val="bullet"/>
      <w:lvlText w:val="•"/>
      <w:lvlJc w:val="left"/>
      <w:pPr>
        <w:ind w:left="802" w:hanging="344"/>
      </w:pPr>
      <w:rPr>
        <w:rFonts w:hint="default"/>
        <w:lang w:val="fr-FR" w:eastAsia="fr-FR" w:bidi="fr-FR"/>
      </w:rPr>
    </w:lvl>
    <w:lvl w:ilvl="3">
      <w:start w:val="0"/>
      <w:numFmt w:val="bullet"/>
      <w:lvlText w:val="•"/>
      <w:lvlJc w:val="left"/>
      <w:pPr>
        <w:ind w:left="993" w:hanging="344"/>
      </w:pPr>
      <w:rPr>
        <w:rFonts w:hint="default"/>
        <w:lang w:val="fr-FR" w:eastAsia="fr-FR" w:bidi="fr-FR"/>
      </w:rPr>
    </w:lvl>
    <w:lvl w:ilvl="4">
      <w:start w:val="0"/>
      <w:numFmt w:val="bullet"/>
      <w:lvlText w:val="•"/>
      <w:lvlJc w:val="left"/>
      <w:pPr>
        <w:ind w:left="1185" w:hanging="344"/>
      </w:pPr>
      <w:rPr>
        <w:rFonts w:hint="default"/>
        <w:lang w:val="fr-FR" w:eastAsia="fr-FR" w:bidi="fr-FR"/>
      </w:rPr>
    </w:lvl>
    <w:lvl w:ilvl="5">
      <w:start w:val="0"/>
      <w:numFmt w:val="bullet"/>
      <w:lvlText w:val="•"/>
      <w:lvlJc w:val="left"/>
      <w:pPr>
        <w:ind w:left="1376" w:hanging="344"/>
      </w:pPr>
      <w:rPr>
        <w:rFonts w:hint="default"/>
        <w:lang w:val="fr-FR" w:eastAsia="fr-FR" w:bidi="fr-FR"/>
      </w:rPr>
    </w:lvl>
    <w:lvl w:ilvl="6">
      <w:start w:val="0"/>
      <w:numFmt w:val="bullet"/>
      <w:lvlText w:val="•"/>
      <w:lvlJc w:val="left"/>
      <w:pPr>
        <w:ind w:left="1567" w:hanging="344"/>
      </w:pPr>
      <w:rPr>
        <w:rFonts w:hint="default"/>
        <w:lang w:val="fr-FR" w:eastAsia="fr-FR" w:bidi="fr-FR"/>
      </w:rPr>
    </w:lvl>
    <w:lvl w:ilvl="7">
      <w:start w:val="0"/>
      <w:numFmt w:val="bullet"/>
      <w:lvlText w:val="•"/>
      <w:lvlJc w:val="left"/>
      <w:pPr>
        <w:ind w:left="1759" w:hanging="344"/>
      </w:pPr>
      <w:rPr>
        <w:rFonts w:hint="default"/>
        <w:lang w:val="fr-FR" w:eastAsia="fr-FR" w:bidi="fr-FR"/>
      </w:rPr>
    </w:lvl>
    <w:lvl w:ilvl="8">
      <w:start w:val="0"/>
      <w:numFmt w:val="bullet"/>
      <w:lvlText w:val="•"/>
      <w:lvlJc w:val="left"/>
      <w:pPr>
        <w:ind w:left="1950" w:hanging="344"/>
      </w:pPr>
      <w:rPr>
        <w:rFonts w:hint="default"/>
        <w:lang w:val="fr-FR" w:eastAsia="fr-FR" w:bidi="fr-FR"/>
      </w:rPr>
    </w:lvl>
  </w:abstractNum>
  <w:abstractNum w:abstractNumId="128">
    <w:multiLevelType w:val="hybridMultilevel"/>
    <w:lvl w:ilvl="0">
      <w:start w:val="0"/>
      <w:numFmt w:val="bullet"/>
      <w:lvlText w:val=""/>
      <w:lvlJc w:val="left"/>
      <w:pPr>
        <w:ind w:left="428" w:hanging="344"/>
      </w:pPr>
      <w:rPr>
        <w:rFonts w:hint="default" w:ascii="Symbol" w:hAnsi="Symbol" w:eastAsia="Symbol" w:cs="Symbol"/>
        <w:w w:val="104"/>
        <w:sz w:val="15"/>
        <w:szCs w:val="15"/>
        <w:lang w:val="fr-FR" w:eastAsia="fr-FR" w:bidi="fr-FR"/>
      </w:rPr>
    </w:lvl>
    <w:lvl w:ilvl="1">
      <w:start w:val="0"/>
      <w:numFmt w:val="bullet"/>
      <w:lvlText w:val="•"/>
      <w:lvlJc w:val="left"/>
      <w:pPr>
        <w:ind w:left="568" w:hanging="344"/>
      </w:pPr>
      <w:rPr>
        <w:rFonts w:hint="default"/>
        <w:lang w:val="fr-FR" w:eastAsia="fr-FR" w:bidi="fr-FR"/>
      </w:rPr>
    </w:lvl>
    <w:lvl w:ilvl="2">
      <w:start w:val="0"/>
      <w:numFmt w:val="bullet"/>
      <w:lvlText w:val="•"/>
      <w:lvlJc w:val="left"/>
      <w:pPr>
        <w:ind w:left="716" w:hanging="344"/>
      </w:pPr>
      <w:rPr>
        <w:rFonts w:hint="default"/>
        <w:lang w:val="fr-FR" w:eastAsia="fr-FR" w:bidi="fr-FR"/>
      </w:rPr>
    </w:lvl>
    <w:lvl w:ilvl="3">
      <w:start w:val="0"/>
      <w:numFmt w:val="bullet"/>
      <w:lvlText w:val="•"/>
      <w:lvlJc w:val="left"/>
      <w:pPr>
        <w:ind w:left="864" w:hanging="344"/>
      </w:pPr>
      <w:rPr>
        <w:rFonts w:hint="default"/>
        <w:lang w:val="fr-FR" w:eastAsia="fr-FR" w:bidi="fr-FR"/>
      </w:rPr>
    </w:lvl>
    <w:lvl w:ilvl="4">
      <w:start w:val="0"/>
      <w:numFmt w:val="bullet"/>
      <w:lvlText w:val="•"/>
      <w:lvlJc w:val="left"/>
      <w:pPr>
        <w:ind w:left="1012" w:hanging="344"/>
      </w:pPr>
      <w:rPr>
        <w:rFonts w:hint="default"/>
        <w:lang w:val="fr-FR" w:eastAsia="fr-FR" w:bidi="fr-FR"/>
      </w:rPr>
    </w:lvl>
    <w:lvl w:ilvl="5">
      <w:start w:val="0"/>
      <w:numFmt w:val="bullet"/>
      <w:lvlText w:val="•"/>
      <w:lvlJc w:val="left"/>
      <w:pPr>
        <w:ind w:left="1160" w:hanging="344"/>
      </w:pPr>
      <w:rPr>
        <w:rFonts w:hint="default"/>
        <w:lang w:val="fr-FR" w:eastAsia="fr-FR" w:bidi="fr-FR"/>
      </w:rPr>
    </w:lvl>
    <w:lvl w:ilvl="6">
      <w:start w:val="0"/>
      <w:numFmt w:val="bullet"/>
      <w:lvlText w:val="•"/>
      <w:lvlJc w:val="left"/>
      <w:pPr>
        <w:ind w:left="1308" w:hanging="344"/>
      </w:pPr>
      <w:rPr>
        <w:rFonts w:hint="default"/>
        <w:lang w:val="fr-FR" w:eastAsia="fr-FR" w:bidi="fr-FR"/>
      </w:rPr>
    </w:lvl>
    <w:lvl w:ilvl="7">
      <w:start w:val="0"/>
      <w:numFmt w:val="bullet"/>
      <w:lvlText w:val="•"/>
      <w:lvlJc w:val="left"/>
      <w:pPr>
        <w:ind w:left="1457" w:hanging="344"/>
      </w:pPr>
      <w:rPr>
        <w:rFonts w:hint="default"/>
        <w:lang w:val="fr-FR" w:eastAsia="fr-FR" w:bidi="fr-FR"/>
      </w:rPr>
    </w:lvl>
    <w:lvl w:ilvl="8">
      <w:start w:val="0"/>
      <w:numFmt w:val="bullet"/>
      <w:lvlText w:val="•"/>
      <w:lvlJc w:val="left"/>
      <w:pPr>
        <w:ind w:left="1605" w:hanging="344"/>
      </w:pPr>
      <w:rPr>
        <w:rFonts w:hint="default"/>
        <w:lang w:val="fr-FR" w:eastAsia="fr-FR" w:bidi="fr-FR"/>
      </w:rPr>
    </w:lvl>
  </w:abstractNum>
  <w:abstractNum w:abstractNumId="127">
    <w:multiLevelType w:val="hybridMultilevel"/>
    <w:lvl w:ilvl="0">
      <w:start w:val="0"/>
      <w:numFmt w:val="bullet"/>
      <w:lvlText w:val=""/>
      <w:lvlJc w:val="left"/>
      <w:pPr>
        <w:ind w:left="426" w:hanging="343"/>
      </w:pPr>
      <w:rPr>
        <w:rFonts w:hint="default" w:ascii="Symbol" w:hAnsi="Symbol" w:eastAsia="Symbol" w:cs="Symbol"/>
        <w:w w:val="104"/>
        <w:sz w:val="15"/>
        <w:szCs w:val="15"/>
        <w:lang w:val="fr-FR" w:eastAsia="fr-FR" w:bidi="fr-FR"/>
      </w:rPr>
    </w:lvl>
    <w:lvl w:ilvl="1">
      <w:start w:val="0"/>
      <w:numFmt w:val="bullet"/>
      <w:lvlText w:val="•"/>
      <w:lvlJc w:val="left"/>
      <w:pPr>
        <w:ind w:left="568" w:hanging="343"/>
      </w:pPr>
      <w:rPr>
        <w:rFonts w:hint="default"/>
        <w:lang w:val="fr-FR" w:eastAsia="fr-FR" w:bidi="fr-FR"/>
      </w:rPr>
    </w:lvl>
    <w:lvl w:ilvl="2">
      <w:start w:val="0"/>
      <w:numFmt w:val="bullet"/>
      <w:lvlText w:val="•"/>
      <w:lvlJc w:val="left"/>
      <w:pPr>
        <w:ind w:left="716" w:hanging="343"/>
      </w:pPr>
      <w:rPr>
        <w:rFonts w:hint="default"/>
        <w:lang w:val="fr-FR" w:eastAsia="fr-FR" w:bidi="fr-FR"/>
      </w:rPr>
    </w:lvl>
    <w:lvl w:ilvl="3">
      <w:start w:val="0"/>
      <w:numFmt w:val="bullet"/>
      <w:lvlText w:val="•"/>
      <w:lvlJc w:val="left"/>
      <w:pPr>
        <w:ind w:left="864" w:hanging="343"/>
      </w:pPr>
      <w:rPr>
        <w:rFonts w:hint="default"/>
        <w:lang w:val="fr-FR" w:eastAsia="fr-FR" w:bidi="fr-FR"/>
      </w:rPr>
    </w:lvl>
    <w:lvl w:ilvl="4">
      <w:start w:val="0"/>
      <w:numFmt w:val="bullet"/>
      <w:lvlText w:val="•"/>
      <w:lvlJc w:val="left"/>
      <w:pPr>
        <w:ind w:left="1012" w:hanging="343"/>
      </w:pPr>
      <w:rPr>
        <w:rFonts w:hint="default"/>
        <w:lang w:val="fr-FR" w:eastAsia="fr-FR" w:bidi="fr-FR"/>
      </w:rPr>
    </w:lvl>
    <w:lvl w:ilvl="5">
      <w:start w:val="0"/>
      <w:numFmt w:val="bullet"/>
      <w:lvlText w:val="•"/>
      <w:lvlJc w:val="left"/>
      <w:pPr>
        <w:ind w:left="1160" w:hanging="343"/>
      </w:pPr>
      <w:rPr>
        <w:rFonts w:hint="default"/>
        <w:lang w:val="fr-FR" w:eastAsia="fr-FR" w:bidi="fr-FR"/>
      </w:rPr>
    </w:lvl>
    <w:lvl w:ilvl="6">
      <w:start w:val="0"/>
      <w:numFmt w:val="bullet"/>
      <w:lvlText w:val="•"/>
      <w:lvlJc w:val="left"/>
      <w:pPr>
        <w:ind w:left="1308" w:hanging="343"/>
      </w:pPr>
      <w:rPr>
        <w:rFonts w:hint="default"/>
        <w:lang w:val="fr-FR" w:eastAsia="fr-FR" w:bidi="fr-FR"/>
      </w:rPr>
    </w:lvl>
    <w:lvl w:ilvl="7">
      <w:start w:val="0"/>
      <w:numFmt w:val="bullet"/>
      <w:lvlText w:val="•"/>
      <w:lvlJc w:val="left"/>
      <w:pPr>
        <w:ind w:left="1457" w:hanging="343"/>
      </w:pPr>
      <w:rPr>
        <w:rFonts w:hint="default"/>
        <w:lang w:val="fr-FR" w:eastAsia="fr-FR" w:bidi="fr-FR"/>
      </w:rPr>
    </w:lvl>
    <w:lvl w:ilvl="8">
      <w:start w:val="0"/>
      <w:numFmt w:val="bullet"/>
      <w:lvlText w:val="•"/>
      <w:lvlJc w:val="left"/>
      <w:pPr>
        <w:ind w:left="1605" w:hanging="343"/>
      </w:pPr>
      <w:rPr>
        <w:rFonts w:hint="default"/>
        <w:lang w:val="fr-FR" w:eastAsia="fr-FR" w:bidi="fr-FR"/>
      </w:rPr>
    </w:lvl>
  </w:abstractNum>
  <w:abstractNum w:abstractNumId="126">
    <w:multiLevelType w:val="hybridMultilevel"/>
    <w:lvl w:ilvl="0">
      <w:start w:val="0"/>
      <w:numFmt w:val="bullet"/>
      <w:lvlText w:val=""/>
      <w:lvlJc w:val="left"/>
      <w:pPr>
        <w:ind w:left="211"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4" w:hanging="142"/>
      </w:pPr>
      <w:rPr>
        <w:rFonts w:hint="default"/>
        <w:lang w:val="fr-FR" w:eastAsia="fr-FR" w:bidi="fr-FR"/>
      </w:rPr>
    </w:lvl>
    <w:lvl w:ilvl="3">
      <w:start w:val="0"/>
      <w:numFmt w:val="bullet"/>
      <w:lvlText w:val="•"/>
      <w:lvlJc w:val="left"/>
      <w:pPr>
        <w:ind w:left="646" w:hanging="142"/>
      </w:pPr>
      <w:rPr>
        <w:rFonts w:hint="default"/>
        <w:lang w:val="fr-FR" w:eastAsia="fr-FR" w:bidi="fr-FR"/>
      </w:rPr>
    </w:lvl>
    <w:lvl w:ilvl="4">
      <w:start w:val="0"/>
      <w:numFmt w:val="bullet"/>
      <w:lvlText w:val="•"/>
      <w:lvlJc w:val="left"/>
      <w:pPr>
        <w:ind w:left="789" w:hanging="142"/>
      </w:pPr>
      <w:rPr>
        <w:rFonts w:hint="default"/>
        <w:lang w:val="fr-FR" w:eastAsia="fr-FR" w:bidi="fr-FR"/>
      </w:rPr>
    </w:lvl>
    <w:lvl w:ilvl="5">
      <w:start w:val="0"/>
      <w:numFmt w:val="bullet"/>
      <w:lvlText w:val="•"/>
      <w:lvlJc w:val="left"/>
      <w:pPr>
        <w:ind w:left="931" w:hanging="142"/>
      </w:pPr>
      <w:rPr>
        <w:rFonts w:hint="default"/>
        <w:lang w:val="fr-FR" w:eastAsia="fr-FR" w:bidi="fr-FR"/>
      </w:rPr>
    </w:lvl>
    <w:lvl w:ilvl="6">
      <w:start w:val="0"/>
      <w:numFmt w:val="bullet"/>
      <w:lvlText w:val="•"/>
      <w:lvlJc w:val="left"/>
      <w:pPr>
        <w:ind w:left="1073" w:hanging="142"/>
      </w:pPr>
      <w:rPr>
        <w:rFonts w:hint="default"/>
        <w:lang w:val="fr-FR" w:eastAsia="fr-FR" w:bidi="fr-FR"/>
      </w:rPr>
    </w:lvl>
    <w:lvl w:ilvl="7">
      <w:start w:val="0"/>
      <w:numFmt w:val="bullet"/>
      <w:lvlText w:val="•"/>
      <w:lvlJc w:val="left"/>
      <w:pPr>
        <w:ind w:left="1216" w:hanging="142"/>
      </w:pPr>
      <w:rPr>
        <w:rFonts w:hint="default"/>
        <w:lang w:val="fr-FR" w:eastAsia="fr-FR" w:bidi="fr-FR"/>
      </w:rPr>
    </w:lvl>
    <w:lvl w:ilvl="8">
      <w:start w:val="0"/>
      <w:numFmt w:val="bullet"/>
      <w:lvlText w:val="•"/>
      <w:lvlJc w:val="left"/>
      <w:pPr>
        <w:ind w:left="1358" w:hanging="142"/>
      </w:pPr>
      <w:rPr>
        <w:rFonts w:hint="default"/>
        <w:lang w:val="fr-FR" w:eastAsia="fr-FR" w:bidi="fr-FR"/>
      </w:rPr>
    </w:lvl>
  </w:abstractNum>
  <w:abstractNum w:abstractNumId="125">
    <w:multiLevelType w:val="hybridMultilevel"/>
    <w:lvl w:ilvl="0">
      <w:start w:val="0"/>
      <w:numFmt w:val="bullet"/>
      <w:lvlText w:val=""/>
      <w:lvlJc w:val="left"/>
      <w:pPr>
        <w:ind w:left="213"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5" w:hanging="142"/>
      </w:pPr>
      <w:rPr>
        <w:rFonts w:hint="default"/>
        <w:lang w:val="fr-FR" w:eastAsia="fr-FR" w:bidi="fr-FR"/>
      </w:rPr>
    </w:lvl>
    <w:lvl w:ilvl="3">
      <w:start w:val="0"/>
      <w:numFmt w:val="bullet"/>
      <w:lvlText w:val="•"/>
      <w:lvlJc w:val="left"/>
      <w:pPr>
        <w:ind w:left="647" w:hanging="142"/>
      </w:pPr>
      <w:rPr>
        <w:rFonts w:hint="default"/>
        <w:lang w:val="fr-FR" w:eastAsia="fr-FR" w:bidi="fr-FR"/>
      </w:rPr>
    </w:lvl>
    <w:lvl w:ilvl="4">
      <w:start w:val="0"/>
      <w:numFmt w:val="bullet"/>
      <w:lvlText w:val="•"/>
      <w:lvlJc w:val="left"/>
      <w:pPr>
        <w:ind w:left="790" w:hanging="142"/>
      </w:pPr>
      <w:rPr>
        <w:rFonts w:hint="default"/>
        <w:lang w:val="fr-FR" w:eastAsia="fr-FR" w:bidi="fr-FR"/>
      </w:rPr>
    </w:lvl>
    <w:lvl w:ilvl="5">
      <w:start w:val="0"/>
      <w:numFmt w:val="bullet"/>
      <w:lvlText w:val="•"/>
      <w:lvlJc w:val="left"/>
      <w:pPr>
        <w:ind w:left="933" w:hanging="142"/>
      </w:pPr>
      <w:rPr>
        <w:rFonts w:hint="default"/>
        <w:lang w:val="fr-FR" w:eastAsia="fr-FR" w:bidi="fr-FR"/>
      </w:rPr>
    </w:lvl>
    <w:lvl w:ilvl="6">
      <w:start w:val="0"/>
      <w:numFmt w:val="bullet"/>
      <w:lvlText w:val="•"/>
      <w:lvlJc w:val="left"/>
      <w:pPr>
        <w:ind w:left="1075" w:hanging="142"/>
      </w:pPr>
      <w:rPr>
        <w:rFonts w:hint="default"/>
        <w:lang w:val="fr-FR" w:eastAsia="fr-FR" w:bidi="fr-FR"/>
      </w:rPr>
    </w:lvl>
    <w:lvl w:ilvl="7">
      <w:start w:val="0"/>
      <w:numFmt w:val="bullet"/>
      <w:lvlText w:val="•"/>
      <w:lvlJc w:val="left"/>
      <w:pPr>
        <w:ind w:left="1218" w:hanging="142"/>
      </w:pPr>
      <w:rPr>
        <w:rFonts w:hint="default"/>
        <w:lang w:val="fr-FR" w:eastAsia="fr-FR" w:bidi="fr-FR"/>
      </w:rPr>
    </w:lvl>
    <w:lvl w:ilvl="8">
      <w:start w:val="0"/>
      <w:numFmt w:val="bullet"/>
      <w:lvlText w:val="•"/>
      <w:lvlJc w:val="left"/>
      <w:pPr>
        <w:ind w:left="1360" w:hanging="142"/>
      </w:pPr>
      <w:rPr>
        <w:rFonts w:hint="default"/>
        <w:lang w:val="fr-FR" w:eastAsia="fr-FR" w:bidi="fr-FR"/>
      </w:rPr>
    </w:lvl>
  </w:abstractNum>
  <w:abstractNum w:abstractNumId="124">
    <w:multiLevelType w:val="hybridMultilevel"/>
    <w:lvl w:ilvl="0">
      <w:start w:val="0"/>
      <w:numFmt w:val="bullet"/>
      <w:lvlText w:val=""/>
      <w:lvlJc w:val="left"/>
      <w:pPr>
        <w:ind w:left="211"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4" w:hanging="142"/>
      </w:pPr>
      <w:rPr>
        <w:rFonts w:hint="default"/>
        <w:lang w:val="fr-FR" w:eastAsia="fr-FR" w:bidi="fr-FR"/>
      </w:rPr>
    </w:lvl>
    <w:lvl w:ilvl="3">
      <w:start w:val="0"/>
      <w:numFmt w:val="bullet"/>
      <w:lvlText w:val="•"/>
      <w:lvlJc w:val="left"/>
      <w:pPr>
        <w:ind w:left="647" w:hanging="142"/>
      </w:pPr>
      <w:rPr>
        <w:rFonts w:hint="default"/>
        <w:lang w:val="fr-FR" w:eastAsia="fr-FR" w:bidi="fr-FR"/>
      </w:rPr>
    </w:lvl>
    <w:lvl w:ilvl="4">
      <w:start w:val="0"/>
      <w:numFmt w:val="bullet"/>
      <w:lvlText w:val="•"/>
      <w:lvlJc w:val="left"/>
      <w:pPr>
        <w:ind w:left="789" w:hanging="142"/>
      </w:pPr>
      <w:rPr>
        <w:rFonts w:hint="default"/>
        <w:lang w:val="fr-FR" w:eastAsia="fr-FR" w:bidi="fr-FR"/>
      </w:rPr>
    </w:lvl>
    <w:lvl w:ilvl="5">
      <w:start w:val="0"/>
      <w:numFmt w:val="bullet"/>
      <w:lvlText w:val="•"/>
      <w:lvlJc w:val="left"/>
      <w:pPr>
        <w:ind w:left="932" w:hanging="142"/>
      </w:pPr>
      <w:rPr>
        <w:rFonts w:hint="default"/>
        <w:lang w:val="fr-FR" w:eastAsia="fr-FR" w:bidi="fr-FR"/>
      </w:rPr>
    </w:lvl>
    <w:lvl w:ilvl="6">
      <w:start w:val="0"/>
      <w:numFmt w:val="bullet"/>
      <w:lvlText w:val="•"/>
      <w:lvlJc w:val="left"/>
      <w:pPr>
        <w:ind w:left="1074" w:hanging="142"/>
      </w:pPr>
      <w:rPr>
        <w:rFonts w:hint="default"/>
        <w:lang w:val="fr-FR" w:eastAsia="fr-FR" w:bidi="fr-FR"/>
      </w:rPr>
    </w:lvl>
    <w:lvl w:ilvl="7">
      <w:start w:val="0"/>
      <w:numFmt w:val="bullet"/>
      <w:lvlText w:val="•"/>
      <w:lvlJc w:val="left"/>
      <w:pPr>
        <w:ind w:left="1216" w:hanging="142"/>
      </w:pPr>
      <w:rPr>
        <w:rFonts w:hint="default"/>
        <w:lang w:val="fr-FR" w:eastAsia="fr-FR" w:bidi="fr-FR"/>
      </w:rPr>
    </w:lvl>
    <w:lvl w:ilvl="8">
      <w:start w:val="0"/>
      <w:numFmt w:val="bullet"/>
      <w:lvlText w:val="•"/>
      <w:lvlJc w:val="left"/>
      <w:pPr>
        <w:ind w:left="1359" w:hanging="142"/>
      </w:pPr>
      <w:rPr>
        <w:rFonts w:hint="default"/>
        <w:lang w:val="fr-FR" w:eastAsia="fr-FR" w:bidi="fr-FR"/>
      </w:rPr>
    </w:lvl>
  </w:abstractNum>
  <w:abstractNum w:abstractNumId="123">
    <w:multiLevelType w:val="hybridMultilevel"/>
    <w:lvl w:ilvl="0">
      <w:start w:val="0"/>
      <w:numFmt w:val="bullet"/>
      <w:lvlText w:val=""/>
      <w:lvlJc w:val="left"/>
      <w:pPr>
        <w:ind w:left="213"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5" w:hanging="142"/>
      </w:pPr>
      <w:rPr>
        <w:rFonts w:hint="default"/>
        <w:lang w:val="fr-FR" w:eastAsia="fr-FR" w:bidi="fr-FR"/>
      </w:rPr>
    </w:lvl>
    <w:lvl w:ilvl="3">
      <w:start w:val="0"/>
      <w:numFmt w:val="bullet"/>
      <w:lvlText w:val="•"/>
      <w:lvlJc w:val="left"/>
      <w:pPr>
        <w:ind w:left="647" w:hanging="142"/>
      </w:pPr>
      <w:rPr>
        <w:rFonts w:hint="default"/>
        <w:lang w:val="fr-FR" w:eastAsia="fr-FR" w:bidi="fr-FR"/>
      </w:rPr>
    </w:lvl>
    <w:lvl w:ilvl="4">
      <w:start w:val="0"/>
      <w:numFmt w:val="bullet"/>
      <w:lvlText w:val="•"/>
      <w:lvlJc w:val="left"/>
      <w:pPr>
        <w:ind w:left="790" w:hanging="142"/>
      </w:pPr>
      <w:rPr>
        <w:rFonts w:hint="default"/>
        <w:lang w:val="fr-FR" w:eastAsia="fr-FR" w:bidi="fr-FR"/>
      </w:rPr>
    </w:lvl>
    <w:lvl w:ilvl="5">
      <w:start w:val="0"/>
      <w:numFmt w:val="bullet"/>
      <w:lvlText w:val="•"/>
      <w:lvlJc w:val="left"/>
      <w:pPr>
        <w:ind w:left="933" w:hanging="142"/>
      </w:pPr>
      <w:rPr>
        <w:rFonts w:hint="default"/>
        <w:lang w:val="fr-FR" w:eastAsia="fr-FR" w:bidi="fr-FR"/>
      </w:rPr>
    </w:lvl>
    <w:lvl w:ilvl="6">
      <w:start w:val="0"/>
      <w:numFmt w:val="bullet"/>
      <w:lvlText w:val="•"/>
      <w:lvlJc w:val="left"/>
      <w:pPr>
        <w:ind w:left="1075" w:hanging="142"/>
      </w:pPr>
      <w:rPr>
        <w:rFonts w:hint="default"/>
        <w:lang w:val="fr-FR" w:eastAsia="fr-FR" w:bidi="fr-FR"/>
      </w:rPr>
    </w:lvl>
    <w:lvl w:ilvl="7">
      <w:start w:val="0"/>
      <w:numFmt w:val="bullet"/>
      <w:lvlText w:val="•"/>
      <w:lvlJc w:val="left"/>
      <w:pPr>
        <w:ind w:left="1218" w:hanging="142"/>
      </w:pPr>
      <w:rPr>
        <w:rFonts w:hint="default"/>
        <w:lang w:val="fr-FR" w:eastAsia="fr-FR" w:bidi="fr-FR"/>
      </w:rPr>
    </w:lvl>
    <w:lvl w:ilvl="8">
      <w:start w:val="0"/>
      <w:numFmt w:val="bullet"/>
      <w:lvlText w:val="•"/>
      <w:lvlJc w:val="left"/>
      <w:pPr>
        <w:ind w:left="1360" w:hanging="142"/>
      </w:pPr>
      <w:rPr>
        <w:rFonts w:hint="default"/>
        <w:lang w:val="fr-FR" w:eastAsia="fr-FR" w:bidi="fr-FR"/>
      </w:rPr>
    </w:lvl>
  </w:abstractNum>
  <w:abstractNum w:abstractNumId="122">
    <w:multiLevelType w:val="hybridMultilevel"/>
    <w:lvl w:ilvl="0">
      <w:start w:val="0"/>
      <w:numFmt w:val="bullet"/>
      <w:lvlText w:val=""/>
      <w:lvlJc w:val="left"/>
      <w:pPr>
        <w:ind w:left="469" w:hanging="360"/>
      </w:pPr>
      <w:rPr>
        <w:rFonts w:hint="default" w:ascii="Symbol" w:hAnsi="Symbol" w:eastAsia="Symbol" w:cs="Symbol"/>
        <w:w w:val="100"/>
        <w:sz w:val="24"/>
        <w:szCs w:val="24"/>
        <w:lang w:val="fr-FR" w:eastAsia="fr-FR" w:bidi="fr-FR"/>
      </w:rPr>
    </w:lvl>
    <w:lvl w:ilvl="1">
      <w:start w:val="0"/>
      <w:numFmt w:val="bullet"/>
      <w:lvlText w:val="•"/>
      <w:lvlJc w:val="left"/>
      <w:pPr>
        <w:ind w:left="1181" w:hanging="360"/>
      </w:pPr>
      <w:rPr>
        <w:rFonts w:hint="default"/>
        <w:lang w:val="fr-FR" w:eastAsia="fr-FR" w:bidi="fr-FR"/>
      </w:rPr>
    </w:lvl>
    <w:lvl w:ilvl="2">
      <w:start w:val="0"/>
      <w:numFmt w:val="bullet"/>
      <w:lvlText w:val="•"/>
      <w:lvlJc w:val="left"/>
      <w:pPr>
        <w:ind w:left="1902" w:hanging="360"/>
      </w:pPr>
      <w:rPr>
        <w:rFonts w:hint="default"/>
        <w:lang w:val="fr-FR" w:eastAsia="fr-FR" w:bidi="fr-FR"/>
      </w:rPr>
    </w:lvl>
    <w:lvl w:ilvl="3">
      <w:start w:val="0"/>
      <w:numFmt w:val="bullet"/>
      <w:lvlText w:val="•"/>
      <w:lvlJc w:val="left"/>
      <w:pPr>
        <w:ind w:left="2623" w:hanging="360"/>
      </w:pPr>
      <w:rPr>
        <w:rFonts w:hint="default"/>
        <w:lang w:val="fr-FR" w:eastAsia="fr-FR" w:bidi="fr-FR"/>
      </w:rPr>
    </w:lvl>
    <w:lvl w:ilvl="4">
      <w:start w:val="0"/>
      <w:numFmt w:val="bullet"/>
      <w:lvlText w:val="•"/>
      <w:lvlJc w:val="left"/>
      <w:pPr>
        <w:ind w:left="3344" w:hanging="360"/>
      </w:pPr>
      <w:rPr>
        <w:rFonts w:hint="default"/>
        <w:lang w:val="fr-FR" w:eastAsia="fr-FR" w:bidi="fr-FR"/>
      </w:rPr>
    </w:lvl>
    <w:lvl w:ilvl="5">
      <w:start w:val="0"/>
      <w:numFmt w:val="bullet"/>
      <w:lvlText w:val="•"/>
      <w:lvlJc w:val="left"/>
      <w:pPr>
        <w:ind w:left="4066" w:hanging="360"/>
      </w:pPr>
      <w:rPr>
        <w:rFonts w:hint="default"/>
        <w:lang w:val="fr-FR" w:eastAsia="fr-FR" w:bidi="fr-FR"/>
      </w:rPr>
    </w:lvl>
    <w:lvl w:ilvl="6">
      <w:start w:val="0"/>
      <w:numFmt w:val="bullet"/>
      <w:lvlText w:val="•"/>
      <w:lvlJc w:val="left"/>
      <w:pPr>
        <w:ind w:left="4787" w:hanging="360"/>
      </w:pPr>
      <w:rPr>
        <w:rFonts w:hint="default"/>
        <w:lang w:val="fr-FR" w:eastAsia="fr-FR" w:bidi="fr-FR"/>
      </w:rPr>
    </w:lvl>
    <w:lvl w:ilvl="7">
      <w:start w:val="0"/>
      <w:numFmt w:val="bullet"/>
      <w:lvlText w:val="•"/>
      <w:lvlJc w:val="left"/>
      <w:pPr>
        <w:ind w:left="5508" w:hanging="360"/>
      </w:pPr>
      <w:rPr>
        <w:rFonts w:hint="default"/>
        <w:lang w:val="fr-FR" w:eastAsia="fr-FR" w:bidi="fr-FR"/>
      </w:rPr>
    </w:lvl>
    <w:lvl w:ilvl="8">
      <w:start w:val="0"/>
      <w:numFmt w:val="bullet"/>
      <w:lvlText w:val="•"/>
      <w:lvlJc w:val="left"/>
      <w:pPr>
        <w:ind w:left="6229" w:hanging="360"/>
      </w:pPr>
      <w:rPr>
        <w:rFonts w:hint="default"/>
        <w:lang w:val="fr-FR" w:eastAsia="fr-FR" w:bidi="fr-FR"/>
      </w:rPr>
    </w:lvl>
  </w:abstractNum>
  <w:abstractNum w:abstractNumId="121">
    <w:multiLevelType w:val="hybridMultilevel"/>
    <w:lvl w:ilvl="0">
      <w:start w:val="0"/>
      <w:numFmt w:val="bullet"/>
      <w:lvlText w:val=""/>
      <w:lvlJc w:val="left"/>
      <w:pPr>
        <w:ind w:left="829" w:hanging="293"/>
      </w:pPr>
      <w:rPr>
        <w:rFonts w:hint="default" w:ascii="Wingdings" w:hAnsi="Wingdings" w:eastAsia="Wingdings" w:cs="Wingdings"/>
        <w:w w:val="100"/>
        <w:sz w:val="24"/>
        <w:szCs w:val="24"/>
        <w:lang w:val="fr-FR" w:eastAsia="fr-FR" w:bidi="fr-FR"/>
      </w:rPr>
    </w:lvl>
    <w:lvl w:ilvl="1">
      <w:start w:val="0"/>
      <w:numFmt w:val="bullet"/>
      <w:lvlText w:val="-"/>
      <w:lvlJc w:val="left"/>
      <w:pPr>
        <w:ind w:left="1321" w:hanging="360"/>
      </w:pPr>
      <w:rPr>
        <w:rFonts w:hint="default" w:ascii="Times New Roman" w:hAnsi="Times New Roman" w:eastAsia="Times New Roman" w:cs="Times New Roman"/>
        <w:spacing w:val="-11"/>
        <w:w w:val="99"/>
        <w:sz w:val="24"/>
        <w:szCs w:val="24"/>
        <w:lang w:val="fr-FR" w:eastAsia="fr-FR" w:bidi="fr-FR"/>
      </w:rPr>
    </w:lvl>
    <w:lvl w:ilvl="2">
      <w:start w:val="0"/>
      <w:numFmt w:val="bullet"/>
      <w:lvlText w:val="•"/>
      <w:lvlJc w:val="left"/>
      <w:pPr>
        <w:ind w:left="2025" w:hanging="360"/>
      </w:pPr>
      <w:rPr>
        <w:rFonts w:hint="default"/>
        <w:lang w:val="fr-FR" w:eastAsia="fr-FR" w:bidi="fr-FR"/>
      </w:rPr>
    </w:lvl>
    <w:lvl w:ilvl="3">
      <w:start w:val="0"/>
      <w:numFmt w:val="bullet"/>
      <w:lvlText w:val="•"/>
      <w:lvlJc w:val="left"/>
      <w:pPr>
        <w:ind w:left="2731" w:hanging="360"/>
      </w:pPr>
      <w:rPr>
        <w:rFonts w:hint="default"/>
        <w:lang w:val="fr-FR" w:eastAsia="fr-FR" w:bidi="fr-FR"/>
      </w:rPr>
    </w:lvl>
    <w:lvl w:ilvl="4">
      <w:start w:val="0"/>
      <w:numFmt w:val="bullet"/>
      <w:lvlText w:val="•"/>
      <w:lvlJc w:val="left"/>
      <w:pPr>
        <w:ind w:left="3437" w:hanging="360"/>
      </w:pPr>
      <w:rPr>
        <w:rFonts w:hint="default"/>
        <w:lang w:val="fr-FR" w:eastAsia="fr-FR" w:bidi="fr-FR"/>
      </w:rPr>
    </w:lvl>
    <w:lvl w:ilvl="5">
      <w:start w:val="0"/>
      <w:numFmt w:val="bullet"/>
      <w:lvlText w:val="•"/>
      <w:lvlJc w:val="left"/>
      <w:pPr>
        <w:ind w:left="4143" w:hanging="360"/>
      </w:pPr>
      <w:rPr>
        <w:rFonts w:hint="default"/>
        <w:lang w:val="fr-FR" w:eastAsia="fr-FR" w:bidi="fr-FR"/>
      </w:rPr>
    </w:lvl>
    <w:lvl w:ilvl="6">
      <w:start w:val="0"/>
      <w:numFmt w:val="bullet"/>
      <w:lvlText w:val="•"/>
      <w:lvlJc w:val="left"/>
      <w:pPr>
        <w:ind w:left="4848" w:hanging="360"/>
      </w:pPr>
      <w:rPr>
        <w:rFonts w:hint="default"/>
        <w:lang w:val="fr-FR" w:eastAsia="fr-FR" w:bidi="fr-FR"/>
      </w:rPr>
    </w:lvl>
    <w:lvl w:ilvl="7">
      <w:start w:val="0"/>
      <w:numFmt w:val="bullet"/>
      <w:lvlText w:val="•"/>
      <w:lvlJc w:val="left"/>
      <w:pPr>
        <w:ind w:left="5554" w:hanging="360"/>
      </w:pPr>
      <w:rPr>
        <w:rFonts w:hint="default"/>
        <w:lang w:val="fr-FR" w:eastAsia="fr-FR" w:bidi="fr-FR"/>
      </w:rPr>
    </w:lvl>
    <w:lvl w:ilvl="8">
      <w:start w:val="0"/>
      <w:numFmt w:val="bullet"/>
      <w:lvlText w:val="•"/>
      <w:lvlJc w:val="left"/>
      <w:pPr>
        <w:ind w:left="6260" w:hanging="360"/>
      </w:pPr>
      <w:rPr>
        <w:rFonts w:hint="default"/>
        <w:lang w:val="fr-FR" w:eastAsia="fr-FR" w:bidi="fr-FR"/>
      </w:rPr>
    </w:lvl>
  </w:abstractNum>
  <w:abstractNum w:abstractNumId="120">
    <w:multiLevelType w:val="hybridMultilevel"/>
    <w:lvl w:ilvl="0">
      <w:start w:val="0"/>
      <w:numFmt w:val="bullet"/>
      <w:lvlText w:val=""/>
      <w:lvlJc w:val="left"/>
      <w:pPr>
        <w:ind w:left="424" w:hanging="284"/>
      </w:pPr>
      <w:rPr>
        <w:rFonts w:hint="default" w:ascii="Symbol" w:hAnsi="Symbol" w:eastAsia="Symbol" w:cs="Symbol"/>
        <w:w w:val="99"/>
        <w:sz w:val="20"/>
        <w:szCs w:val="20"/>
        <w:lang w:val="fr-FR" w:eastAsia="fr-FR" w:bidi="fr-FR"/>
      </w:rPr>
    </w:lvl>
    <w:lvl w:ilvl="1">
      <w:start w:val="0"/>
      <w:numFmt w:val="bullet"/>
      <w:lvlText w:val="-"/>
      <w:lvlJc w:val="left"/>
      <w:pPr>
        <w:ind w:left="827" w:hanging="264"/>
      </w:pPr>
      <w:rPr>
        <w:rFonts w:hint="default" w:ascii="Courier New" w:hAnsi="Courier New" w:eastAsia="Courier New" w:cs="Courier New"/>
        <w:w w:val="99"/>
        <w:sz w:val="20"/>
        <w:szCs w:val="20"/>
        <w:lang w:val="fr-FR" w:eastAsia="fr-FR" w:bidi="fr-FR"/>
      </w:rPr>
    </w:lvl>
    <w:lvl w:ilvl="2">
      <w:start w:val="0"/>
      <w:numFmt w:val="bullet"/>
      <w:lvlText w:val="•"/>
      <w:lvlJc w:val="left"/>
      <w:pPr>
        <w:ind w:left="1606" w:hanging="264"/>
      </w:pPr>
      <w:rPr>
        <w:rFonts w:hint="default"/>
        <w:lang w:val="fr-FR" w:eastAsia="fr-FR" w:bidi="fr-FR"/>
      </w:rPr>
    </w:lvl>
    <w:lvl w:ilvl="3">
      <w:start w:val="0"/>
      <w:numFmt w:val="bullet"/>
      <w:lvlText w:val="•"/>
      <w:lvlJc w:val="left"/>
      <w:pPr>
        <w:ind w:left="2392" w:hanging="264"/>
      </w:pPr>
      <w:rPr>
        <w:rFonts w:hint="default"/>
        <w:lang w:val="fr-FR" w:eastAsia="fr-FR" w:bidi="fr-FR"/>
      </w:rPr>
    </w:lvl>
    <w:lvl w:ilvl="4">
      <w:start w:val="0"/>
      <w:numFmt w:val="bullet"/>
      <w:lvlText w:val="•"/>
      <w:lvlJc w:val="left"/>
      <w:pPr>
        <w:ind w:left="3178" w:hanging="264"/>
      </w:pPr>
      <w:rPr>
        <w:rFonts w:hint="default"/>
        <w:lang w:val="fr-FR" w:eastAsia="fr-FR" w:bidi="fr-FR"/>
      </w:rPr>
    </w:lvl>
    <w:lvl w:ilvl="5">
      <w:start w:val="0"/>
      <w:numFmt w:val="bullet"/>
      <w:lvlText w:val="•"/>
      <w:lvlJc w:val="left"/>
      <w:pPr>
        <w:ind w:left="3964" w:hanging="264"/>
      </w:pPr>
      <w:rPr>
        <w:rFonts w:hint="default"/>
        <w:lang w:val="fr-FR" w:eastAsia="fr-FR" w:bidi="fr-FR"/>
      </w:rPr>
    </w:lvl>
    <w:lvl w:ilvl="6">
      <w:start w:val="0"/>
      <w:numFmt w:val="bullet"/>
      <w:lvlText w:val="•"/>
      <w:lvlJc w:val="left"/>
      <w:pPr>
        <w:ind w:left="4750" w:hanging="264"/>
      </w:pPr>
      <w:rPr>
        <w:rFonts w:hint="default"/>
        <w:lang w:val="fr-FR" w:eastAsia="fr-FR" w:bidi="fr-FR"/>
      </w:rPr>
    </w:lvl>
    <w:lvl w:ilvl="7">
      <w:start w:val="0"/>
      <w:numFmt w:val="bullet"/>
      <w:lvlText w:val="•"/>
      <w:lvlJc w:val="left"/>
      <w:pPr>
        <w:ind w:left="5536" w:hanging="264"/>
      </w:pPr>
      <w:rPr>
        <w:rFonts w:hint="default"/>
        <w:lang w:val="fr-FR" w:eastAsia="fr-FR" w:bidi="fr-FR"/>
      </w:rPr>
    </w:lvl>
    <w:lvl w:ilvl="8">
      <w:start w:val="0"/>
      <w:numFmt w:val="bullet"/>
      <w:lvlText w:val="•"/>
      <w:lvlJc w:val="left"/>
      <w:pPr>
        <w:ind w:left="6322" w:hanging="264"/>
      </w:pPr>
      <w:rPr>
        <w:rFonts w:hint="default"/>
        <w:lang w:val="fr-FR" w:eastAsia="fr-FR" w:bidi="fr-FR"/>
      </w:rPr>
    </w:lvl>
  </w:abstractNum>
  <w:abstractNum w:abstractNumId="119">
    <w:multiLevelType w:val="hybridMultilevel"/>
    <w:lvl w:ilvl="0">
      <w:start w:val="0"/>
      <w:numFmt w:val="bullet"/>
      <w:lvlText w:val=""/>
      <w:lvlJc w:val="left"/>
      <w:pPr>
        <w:ind w:left="373" w:hanging="284"/>
      </w:pPr>
      <w:rPr>
        <w:rFonts w:hint="default" w:ascii="Wingdings" w:hAnsi="Wingdings" w:eastAsia="Wingdings" w:cs="Wingdings"/>
        <w:w w:val="99"/>
        <w:sz w:val="20"/>
        <w:szCs w:val="20"/>
        <w:lang w:val="fr-FR" w:eastAsia="fr-FR" w:bidi="fr-FR"/>
      </w:rPr>
    </w:lvl>
    <w:lvl w:ilvl="1">
      <w:start w:val="0"/>
      <w:numFmt w:val="bullet"/>
      <w:lvlText w:val="-"/>
      <w:lvlJc w:val="left"/>
      <w:pPr>
        <w:ind w:left="656" w:hanging="284"/>
      </w:pPr>
      <w:rPr>
        <w:rFonts w:hint="default" w:ascii="Times New Roman" w:hAnsi="Times New Roman" w:eastAsia="Times New Roman" w:cs="Times New Roman"/>
        <w:w w:val="99"/>
        <w:sz w:val="20"/>
        <w:szCs w:val="20"/>
        <w:lang w:val="fr-FR" w:eastAsia="fr-FR" w:bidi="fr-FR"/>
      </w:rPr>
    </w:lvl>
    <w:lvl w:ilvl="2">
      <w:start w:val="0"/>
      <w:numFmt w:val="bullet"/>
      <w:lvlText w:val="•"/>
      <w:lvlJc w:val="left"/>
      <w:pPr>
        <w:ind w:left="1463" w:hanging="284"/>
      </w:pPr>
      <w:rPr>
        <w:rFonts w:hint="default"/>
        <w:lang w:val="fr-FR" w:eastAsia="fr-FR" w:bidi="fr-FR"/>
      </w:rPr>
    </w:lvl>
    <w:lvl w:ilvl="3">
      <w:start w:val="0"/>
      <w:numFmt w:val="bullet"/>
      <w:lvlText w:val="•"/>
      <w:lvlJc w:val="left"/>
      <w:pPr>
        <w:ind w:left="2267" w:hanging="284"/>
      </w:pPr>
      <w:rPr>
        <w:rFonts w:hint="default"/>
        <w:lang w:val="fr-FR" w:eastAsia="fr-FR" w:bidi="fr-FR"/>
      </w:rPr>
    </w:lvl>
    <w:lvl w:ilvl="4">
      <w:start w:val="0"/>
      <w:numFmt w:val="bullet"/>
      <w:lvlText w:val="•"/>
      <w:lvlJc w:val="left"/>
      <w:pPr>
        <w:ind w:left="3071" w:hanging="284"/>
      </w:pPr>
      <w:rPr>
        <w:rFonts w:hint="default"/>
        <w:lang w:val="fr-FR" w:eastAsia="fr-FR" w:bidi="fr-FR"/>
      </w:rPr>
    </w:lvl>
    <w:lvl w:ilvl="5">
      <w:start w:val="0"/>
      <w:numFmt w:val="bullet"/>
      <w:lvlText w:val="•"/>
      <w:lvlJc w:val="left"/>
      <w:pPr>
        <w:ind w:left="3875" w:hanging="284"/>
      </w:pPr>
      <w:rPr>
        <w:rFonts w:hint="default"/>
        <w:lang w:val="fr-FR" w:eastAsia="fr-FR" w:bidi="fr-FR"/>
      </w:rPr>
    </w:lvl>
    <w:lvl w:ilvl="6">
      <w:start w:val="0"/>
      <w:numFmt w:val="bullet"/>
      <w:lvlText w:val="•"/>
      <w:lvlJc w:val="left"/>
      <w:pPr>
        <w:ind w:left="4678" w:hanging="284"/>
      </w:pPr>
      <w:rPr>
        <w:rFonts w:hint="default"/>
        <w:lang w:val="fr-FR" w:eastAsia="fr-FR" w:bidi="fr-FR"/>
      </w:rPr>
    </w:lvl>
    <w:lvl w:ilvl="7">
      <w:start w:val="0"/>
      <w:numFmt w:val="bullet"/>
      <w:lvlText w:val="•"/>
      <w:lvlJc w:val="left"/>
      <w:pPr>
        <w:ind w:left="5482" w:hanging="284"/>
      </w:pPr>
      <w:rPr>
        <w:rFonts w:hint="default"/>
        <w:lang w:val="fr-FR" w:eastAsia="fr-FR" w:bidi="fr-FR"/>
      </w:rPr>
    </w:lvl>
    <w:lvl w:ilvl="8">
      <w:start w:val="0"/>
      <w:numFmt w:val="bullet"/>
      <w:lvlText w:val="•"/>
      <w:lvlJc w:val="left"/>
      <w:pPr>
        <w:ind w:left="6286" w:hanging="284"/>
      </w:pPr>
      <w:rPr>
        <w:rFonts w:hint="default"/>
        <w:lang w:val="fr-FR" w:eastAsia="fr-FR" w:bidi="fr-FR"/>
      </w:rPr>
    </w:lvl>
  </w:abstractNum>
  <w:abstractNum w:abstractNumId="118">
    <w:multiLevelType w:val="hybridMultilevel"/>
    <w:lvl w:ilvl="0">
      <w:start w:val="0"/>
      <w:numFmt w:val="bullet"/>
      <w:lvlText w:val=""/>
      <w:lvlJc w:val="left"/>
      <w:pPr>
        <w:ind w:left="467" w:hanging="361"/>
      </w:pPr>
      <w:rPr>
        <w:rFonts w:hint="default" w:ascii="Symbol" w:hAnsi="Symbol" w:eastAsia="Symbol" w:cs="Symbol"/>
        <w:w w:val="99"/>
        <w:sz w:val="20"/>
        <w:szCs w:val="20"/>
        <w:lang w:val="fr-FR" w:eastAsia="fr-FR" w:bidi="fr-FR"/>
      </w:rPr>
    </w:lvl>
    <w:lvl w:ilvl="1">
      <w:start w:val="0"/>
      <w:numFmt w:val="bullet"/>
      <w:lvlText w:val="•"/>
      <w:lvlJc w:val="left"/>
      <w:pPr>
        <w:ind w:left="820" w:hanging="361"/>
      </w:pPr>
      <w:rPr>
        <w:rFonts w:hint="default"/>
        <w:lang w:val="fr-FR" w:eastAsia="fr-FR" w:bidi="fr-FR"/>
      </w:rPr>
    </w:lvl>
    <w:lvl w:ilvl="2">
      <w:start w:val="0"/>
      <w:numFmt w:val="bullet"/>
      <w:lvlText w:val="•"/>
      <w:lvlJc w:val="left"/>
      <w:pPr>
        <w:ind w:left="1606" w:hanging="361"/>
      </w:pPr>
      <w:rPr>
        <w:rFonts w:hint="default"/>
        <w:lang w:val="fr-FR" w:eastAsia="fr-FR" w:bidi="fr-FR"/>
      </w:rPr>
    </w:lvl>
    <w:lvl w:ilvl="3">
      <w:start w:val="0"/>
      <w:numFmt w:val="bullet"/>
      <w:lvlText w:val="•"/>
      <w:lvlJc w:val="left"/>
      <w:pPr>
        <w:ind w:left="2392" w:hanging="361"/>
      </w:pPr>
      <w:rPr>
        <w:rFonts w:hint="default"/>
        <w:lang w:val="fr-FR" w:eastAsia="fr-FR" w:bidi="fr-FR"/>
      </w:rPr>
    </w:lvl>
    <w:lvl w:ilvl="4">
      <w:start w:val="0"/>
      <w:numFmt w:val="bullet"/>
      <w:lvlText w:val="•"/>
      <w:lvlJc w:val="left"/>
      <w:pPr>
        <w:ind w:left="3178" w:hanging="361"/>
      </w:pPr>
      <w:rPr>
        <w:rFonts w:hint="default"/>
        <w:lang w:val="fr-FR" w:eastAsia="fr-FR" w:bidi="fr-FR"/>
      </w:rPr>
    </w:lvl>
    <w:lvl w:ilvl="5">
      <w:start w:val="0"/>
      <w:numFmt w:val="bullet"/>
      <w:lvlText w:val="•"/>
      <w:lvlJc w:val="left"/>
      <w:pPr>
        <w:ind w:left="3964" w:hanging="361"/>
      </w:pPr>
      <w:rPr>
        <w:rFonts w:hint="default"/>
        <w:lang w:val="fr-FR" w:eastAsia="fr-FR" w:bidi="fr-FR"/>
      </w:rPr>
    </w:lvl>
    <w:lvl w:ilvl="6">
      <w:start w:val="0"/>
      <w:numFmt w:val="bullet"/>
      <w:lvlText w:val="•"/>
      <w:lvlJc w:val="left"/>
      <w:pPr>
        <w:ind w:left="4750" w:hanging="361"/>
      </w:pPr>
      <w:rPr>
        <w:rFonts w:hint="default"/>
        <w:lang w:val="fr-FR" w:eastAsia="fr-FR" w:bidi="fr-FR"/>
      </w:rPr>
    </w:lvl>
    <w:lvl w:ilvl="7">
      <w:start w:val="0"/>
      <w:numFmt w:val="bullet"/>
      <w:lvlText w:val="•"/>
      <w:lvlJc w:val="left"/>
      <w:pPr>
        <w:ind w:left="5536" w:hanging="361"/>
      </w:pPr>
      <w:rPr>
        <w:rFonts w:hint="default"/>
        <w:lang w:val="fr-FR" w:eastAsia="fr-FR" w:bidi="fr-FR"/>
      </w:rPr>
    </w:lvl>
    <w:lvl w:ilvl="8">
      <w:start w:val="0"/>
      <w:numFmt w:val="bullet"/>
      <w:lvlText w:val="•"/>
      <w:lvlJc w:val="left"/>
      <w:pPr>
        <w:ind w:left="6322" w:hanging="361"/>
      </w:pPr>
      <w:rPr>
        <w:rFonts w:hint="default"/>
        <w:lang w:val="fr-FR" w:eastAsia="fr-FR" w:bidi="fr-FR"/>
      </w:rPr>
    </w:lvl>
  </w:abstractNum>
  <w:abstractNum w:abstractNumId="117">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224" w:hanging="284"/>
      </w:pPr>
      <w:rPr>
        <w:rFonts w:hint="default"/>
        <w:lang w:val="fr-FR" w:eastAsia="fr-FR" w:bidi="fr-FR"/>
      </w:rPr>
    </w:lvl>
    <w:lvl w:ilvl="2">
      <w:start w:val="0"/>
      <w:numFmt w:val="bullet"/>
      <w:lvlText w:val="•"/>
      <w:lvlJc w:val="left"/>
      <w:pPr>
        <w:ind w:left="2028" w:hanging="284"/>
      </w:pPr>
      <w:rPr>
        <w:rFonts w:hint="default"/>
        <w:lang w:val="fr-FR" w:eastAsia="fr-FR" w:bidi="fr-FR"/>
      </w:rPr>
    </w:lvl>
    <w:lvl w:ilvl="3">
      <w:start w:val="0"/>
      <w:numFmt w:val="bullet"/>
      <w:lvlText w:val="•"/>
      <w:lvlJc w:val="left"/>
      <w:pPr>
        <w:ind w:left="2832" w:hanging="284"/>
      </w:pPr>
      <w:rPr>
        <w:rFonts w:hint="default"/>
        <w:lang w:val="fr-FR" w:eastAsia="fr-FR" w:bidi="fr-FR"/>
      </w:rPr>
    </w:lvl>
    <w:lvl w:ilvl="4">
      <w:start w:val="0"/>
      <w:numFmt w:val="bullet"/>
      <w:lvlText w:val="•"/>
      <w:lvlJc w:val="left"/>
      <w:pPr>
        <w:ind w:left="3637" w:hanging="284"/>
      </w:pPr>
      <w:rPr>
        <w:rFonts w:hint="default"/>
        <w:lang w:val="fr-FR" w:eastAsia="fr-FR" w:bidi="fr-FR"/>
      </w:rPr>
    </w:lvl>
    <w:lvl w:ilvl="5">
      <w:start w:val="0"/>
      <w:numFmt w:val="bullet"/>
      <w:lvlText w:val="•"/>
      <w:lvlJc w:val="left"/>
      <w:pPr>
        <w:ind w:left="4441" w:hanging="284"/>
      </w:pPr>
      <w:rPr>
        <w:rFonts w:hint="default"/>
        <w:lang w:val="fr-FR" w:eastAsia="fr-FR" w:bidi="fr-FR"/>
      </w:rPr>
    </w:lvl>
    <w:lvl w:ilvl="6">
      <w:start w:val="0"/>
      <w:numFmt w:val="bullet"/>
      <w:lvlText w:val="•"/>
      <w:lvlJc w:val="left"/>
      <w:pPr>
        <w:ind w:left="5245" w:hanging="284"/>
      </w:pPr>
      <w:rPr>
        <w:rFonts w:hint="default"/>
        <w:lang w:val="fr-FR" w:eastAsia="fr-FR" w:bidi="fr-FR"/>
      </w:rPr>
    </w:lvl>
    <w:lvl w:ilvl="7">
      <w:start w:val="0"/>
      <w:numFmt w:val="bullet"/>
      <w:lvlText w:val="•"/>
      <w:lvlJc w:val="left"/>
      <w:pPr>
        <w:ind w:left="6050" w:hanging="284"/>
      </w:pPr>
      <w:rPr>
        <w:rFonts w:hint="default"/>
        <w:lang w:val="fr-FR" w:eastAsia="fr-FR" w:bidi="fr-FR"/>
      </w:rPr>
    </w:lvl>
    <w:lvl w:ilvl="8">
      <w:start w:val="0"/>
      <w:numFmt w:val="bullet"/>
      <w:lvlText w:val="•"/>
      <w:lvlJc w:val="left"/>
      <w:pPr>
        <w:ind w:left="6854" w:hanging="284"/>
      </w:pPr>
      <w:rPr>
        <w:rFonts w:hint="default"/>
        <w:lang w:val="fr-FR" w:eastAsia="fr-FR" w:bidi="fr-FR"/>
      </w:rPr>
    </w:lvl>
  </w:abstractNum>
  <w:abstractNum w:abstractNumId="116">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830" w:hanging="264"/>
      </w:pPr>
      <w:rPr>
        <w:rFonts w:hint="default" w:ascii="Courier New" w:hAnsi="Courier New" w:eastAsia="Courier New" w:cs="Courier New"/>
        <w:w w:val="100"/>
        <w:sz w:val="24"/>
        <w:szCs w:val="24"/>
        <w:lang w:val="fr-FR" w:eastAsia="fr-FR" w:bidi="fr-FR"/>
      </w:rPr>
    </w:lvl>
    <w:lvl w:ilvl="2">
      <w:start w:val="0"/>
      <w:numFmt w:val="bullet"/>
      <w:lvlText w:val="•"/>
      <w:lvlJc w:val="left"/>
      <w:pPr>
        <w:ind w:left="1687" w:hanging="264"/>
      </w:pPr>
      <w:rPr>
        <w:rFonts w:hint="default"/>
        <w:lang w:val="fr-FR" w:eastAsia="fr-FR" w:bidi="fr-FR"/>
      </w:rPr>
    </w:lvl>
    <w:lvl w:ilvl="3">
      <w:start w:val="0"/>
      <w:numFmt w:val="bullet"/>
      <w:lvlText w:val="•"/>
      <w:lvlJc w:val="left"/>
      <w:pPr>
        <w:ind w:left="2534" w:hanging="264"/>
      </w:pPr>
      <w:rPr>
        <w:rFonts w:hint="default"/>
        <w:lang w:val="fr-FR" w:eastAsia="fr-FR" w:bidi="fr-FR"/>
      </w:rPr>
    </w:lvl>
    <w:lvl w:ilvl="4">
      <w:start w:val="0"/>
      <w:numFmt w:val="bullet"/>
      <w:lvlText w:val="•"/>
      <w:lvlJc w:val="left"/>
      <w:pPr>
        <w:ind w:left="3381" w:hanging="264"/>
      </w:pPr>
      <w:rPr>
        <w:rFonts w:hint="default"/>
        <w:lang w:val="fr-FR" w:eastAsia="fr-FR" w:bidi="fr-FR"/>
      </w:rPr>
    </w:lvl>
    <w:lvl w:ilvl="5">
      <w:start w:val="0"/>
      <w:numFmt w:val="bullet"/>
      <w:lvlText w:val="•"/>
      <w:lvlJc w:val="left"/>
      <w:pPr>
        <w:ind w:left="4228" w:hanging="264"/>
      </w:pPr>
      <w:rPr>
        <w:rFonts w:hint="default"/>
        <w:lang w:val="fr-FR" w:eastAsia="fr-FR" w:bidi="fr-FR"/>
      </w:rPr>
    </w:lvl>
    <w:lvl w:ilvl="6">
      <w:start w:val="0"/>
      <w:numFmt w:val="bullet"/>
      <w:lvlText w:val="•"/>
      <w:lvlJc w:val="left"/>
      <w:pPr>
        <w:ind w:left="5075" w:hanging="264"/>
      </w:pPr>
      <w:rPr>
        <w:rFonts w:hint="default"/>
        <w:lang w:val="fr-FR" w:eastAsia="fr-FR" w:bidi="fr-FR"/>
      </w:rPr>
    </w:lvl>
    <w:lvl w:ilvl="7">
      <w:start w:val="0"/>
      <w:numFmt w:val="bullet"/>
      <w:lvlText w:val="•"/>
      <w:lvlJc w:val="left"/>
      <w:pPr>
        <w:ind w:left="5922" w:hanging="264"/>
      </w:pPr>
      <w:rPr>
        <w:rFonts w:hint="default"/>
        <w:lang w:val="fr-FR" w:eastAsia="fr-FR" w:bidi="fr-FR"/>
      </w:rPr>
    </w:lvl>
    <w:lvl w:ilvl="8">
      <w:start w:val="0"/>
      <w:numFmt w:val="bullet"/>
      <w:lvlText w:val="•"/>
      <w:lvlJc w:val="left"/>
      <w:pPr>
        <w:ind w:left="6769" w:hanging="264"/>
      </w:pPr>
      <w:rPr>
        <w:rFonts w:hint="default"/>
        <w:lang w:val="fr-FR" w:eastAsia="fr-FR" w:bidi="fr-FR"/>
      </w:rPr>
    </w:lvl>
  </w:abstractNum>
  <w:abstractNum w:abstractNumId="115">
    <w:multiLevelType w:val="hybridMultilevel"/>
    <w:lvl w:ilvl="0">
      <w:start w:val="0"/>
      <w:numFmt w:val="bullet"/>
      <w:lvlText w:val=""/>
      <w:lvlJc w:val="left"/>
      <w:pPr>
        <w:ind w:left="467" w:hanging="291"/>
      </w:pPr>
      <w:rPr>
        <w:rFonts w:hint="default" w:ascii="Symbol" w:hAnsi="Symbol" w:eastAsia="Symbol" w:cs="Symbol"/>
        <w:w w:val="100"/>
        <w:sz w:val="24"/>
        <w:szCs w:val="24"/>
        <w:lang w:val="fr-FR" w:eastAsia="fr-FR" w:bidi="fr-FR"/>
      </w:rPr>
    </w:lvl>
    <w:lvl w:ilvl="1">
      <w:start w:val="0"/>
      <w:numFmt w:val="bullet"/>
      <w:lvlText w:val="•"/>
      <w:lvlJc w:val="left"/>
      <w:pPr>
        <w:ind w:left="1260" w:hanging="291"/>
      </w:pPr>
      <w:rPr>
        <w:rFonts w:hint="default"/>
        <w:lang w:val="fr-FR" w:eastAsia="fr-FR" w:bidi="fr-FR"/>
      </w:rPr>
    </w:lvl>
    <w:lvl w:ilvl="2">
      <w:start w:val="0"/>
      <w:numFmt w:val="bullet"/>
      <w:lvlText w:val="•"/>
      <w:lvlJc w:val="left"/>
      <w:pPr>
        <w:ind w:left="2060" w:hanging="291"/>
      </w:pPr>
      <w:rPr>
        <w:rFonts w:hint="default"/>
        <w:lang w:val="fr-FR" w:eastAsia="fr-FR" w:bidi="fr-FR"/>
      </w:rPr>
    </w:lvl>
    <w:lvl w:ilvl="3">
      <w:start w:val="0"/>
      <w:numFmt w:val="bullet"/>
      <w:lvlText w:val="•"/>
      <w:lvlJc w:val="left"/>
      <w:pPr>
        <w:ind w:left="2860" w:hanging="291"/>
      </w:pPr>
      <w:rPr>
        <w:rFonts w:hint="default"/>
        <w:lang w:val="fr-FR" w:eastAsia="fr-FR" w:bidi="fr-FR"/>
      </w:rPr>
    </w:lvl>
    <w:lvl w:ilvl="4">
      <w:start w:val="0"/>
      <w:numFmt w:val="bullet"/>
      <w:lvlText w:val="•"/>
      <w:lvlJc w:val="left"/>
      <w:pPr>
        <w:ind w:left="3661" w:hanging="291"/>
      </w:pPr>
      <w:rPr>
        <w:rFonts w:hint="default"/>
        <w:lang w:val="fr-FR" w:eastAsia="fr-FR" w:bidi="fr-FR"/>
      </w:rPr>
    </w:lvl>
    <w:lvl w:ilvl="5">
      <w:start w:val="0"/>
      <w:numFmt w:val="bullet"/>
      <w:lvlText w:val="•"/>
      <w:lvlJc w:val="left"/>
      <w:pPr>
        <w:ind w:left="4461" w:hanging="291"/>
      </w:pPr>
      <w:rPr>
        <w:rFonts w:hint="default"/>
        <w:lang w:val="fr-FR" w:eastAsia="fr-FR" w:bidi="fr-FR"/>
      </w:rPr>
    </w:lvl>
    <w:lvl w:ilvl="6">
      <w:start w:val="0"/>
      <w:numFmt w:val="bullet"/>
      <w:lvlText w:val="•"/>
      <w:lvlJc w:val="left"/>
      <w:pPr>
        <w:ind w:left="5261" w:hanging="291"/>
      </w:pPr>
      <w:rPr>
        <w:rFonts w:hint="default"/>
        <w:lang w:val="fr-FR" w:eastAsia="fr-FR" w:bidi="fr-FR"/>
      </w:rPr>
    </w:lvl>
    <w:lvl w:ilvl="7">
      <w:start w:val="0"/>
      <w:numFmt w:val="bullet"/>
      <w:lvlText w:val="•"/>
      <w:lvlJc w:val="left"/>
      <w:pPr>
        <w:ind w:left="6062" w:hanging="291"/>
      </w:pPr>
      <w:rPr>
        <w:rFonts w:hint="default"/>
        <w:lang w:val="fr-FR" w:eastAsia="fr-FR" w:bidi="fr-FR"/>
      </w:rPr>
    </w:lvl>
    <w:lvl w:ilvl="8">
      <w:start w:val="0"/>
      <w:numFmt w:val="bullet"/>
      <w:lvlText w:val="•"/>
      <w:lvlJc w:val="left"/>
      <w:pPr>
        <w:ind w:left="6862" w:hanging="291"/>
      </w:pPr>
      <w:rPr>
        <w:rFonts w:hint="default"/>
        <w:lang w:val="fr-FR" w:eastAsia="fr-FR" w:bidi="fr-FR"/>
      </w:rPr>
    </w:lvl>
  </w:abstractNum>
  <w:abstractNum w:abstractNumId="114">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830" w:hanging="264"/>
      </w:pPr>
      <w:rPr>
        <w:rFonts w:hint="default" w:ascii="Courier New" w:hAnsi="Courier New" w:eastAsia="Courier New" w:cs="Courier New"/>
        <w:w w:val="100"/>
        <w:sz w:val="24"/>
        <w:szCs w:val="24"/>
        <w:lang w:val="fr-FR" w:eastAsia="fr-FR" w:bidi="fr-FR"/>
      </w:rPr>
    </w:lvl>
    <w:lvl w:ilvl="2">
      <w:start w:val="0"/>
      <w:numFmt w:val="bullet"/>
      <w:lvlText w:val="•"/>
      <w:lvlJc w:val="left"/>
      <w:pPr>
        <w:ind w:left="1640" w:hanging="264"/>
      </w:pPr>
      <w:rPr>
        <w:rFonts w:hint="default"/>
        <w:lang w:val="fr-FR" w:eastAsia="fr-FR" w:bidi="fr-FR"/>
      </w:rPr>
    </w:lvl>
    <w:lvl w:ilvl="3">
      <w:start w:val="0"/>
      <w:numFmt w:val="bullet"/>
      <w:lvlText w:val="•"/>
      <w:lvlJc w:val="left"/>
      <w:pPr>
        <w:ind w:left="2441" w:hanging="264"/>
      </w:pPr>
      <w:rPr>
        <w:rFonts w:hint="default"/>
        <w:lang w:val="fr-FR" w:eastAsia="fr-FR" w:bidi="fr-FR"/>
      </w:rPr>
    </w:lvl>
    <w:lvl w:ilvl="4">
      <w:start w:val="0"/>
      <w:numFmt w:val="bullet"/>
      <w:lvlText w:val="•"/>
      <w:lvlJc w:val="left"/>
      <w:pPr>
        <w:ind w:left="3241" w:hanging="264"/>
      </w:pPr>
      <w:rPr>
        <w:rFonts w:hint="default"/>
        <w:lang w:val="fr-FR" w:eastAsia="fr-FR" w:bidi="fr-FR"/>
      </w:rPr>
    </w:lvl>
    <w:lvl w:ilvl="5">
      <w:start w:val="0"/>
      <w:numFmt w:val="bullet"/>
      <w:lvlText w:val="•"/>
      <w:lvlJc w:val="left"/>
      <w:pPr>
        <w:ind w:left="4042" w:hanging="264"/>
      </w:pPr>
      <w:rPr>
        <w:rFonts w:hint="default"/>
        <w:lang w:val="fr-FR" w:eastAsia="fr-FR" w:bidi="fr-FR"/>
      </w:rPr>
    </w:lvl>
    <w:lvl w:ilvl="6">
      <w:start w:val="0"/>
      <w:numFmt w:val="bullet"/>
      <w:lvlText w:val="•"/>
      <w:lvlJc w:val="left"/>
      <w:pPr>
        <w:ind w:left="4842" w:hanging="264"/>
      </w:pPr>
      <w:rPr>
        <w:rFonts w:hint="default"/>
        <w:lang w:val="fr-FR" w:eastAsia="fr-FR" w:bidi="fr-FR"/>
      </w:rPr>
    </w:lvl>
    <w:lvl w:ilvl="7">
      <w:start w:val="0"/>
      <w:numFmt w:val="bullet"/>
      <w:lvlText w:val="•"/>
      <w:lvlJc w:val="left"/>
      <w:pPr>
        <w:ind w:left="5643" w:hanging="264"/>
      </w:pPr>
      <w:rPr>
        <w:rFonts w:hint="default"/>
        <w:lang w:val="fr-FR" w:eastAsia="fr-FR" w:bidi="fr-FR"/>
      </w:rPr>
    </w:lvl>
    <w:lvl w:ilvl="8">
      <w:start w:val="0"/>
      <w:numFmt w:val="bullet"/>
      <w:lvlText w:val="•"/>
      <w:lvlJc w:val="left"/>
      <w:pPr>
        <w:ind w:left="6443" w:hanging="264"/>
      </w:pPr>
      <w:rPr>
        <w:rFonts w:hint="default"/>
        <w:lang w:val="fr-FR" w:eastAsia="fr-FR" w:bidi="fr-FR"/>
      </w:rPr>
    </w:lvl>
  </w:abstractNum>
  <w:abstractNum w:abstractNumId="113">
    <w:multiLevelType w:val="hybridMultilevel"/>
    <w:lvl w:ilvl="0">
      <w:start w:val="0"/>
      <w:numFmt w:val="bullet"/>
      <w:lvlText w:val=""/>
      <w:lvlJc w:val="left"/>
      <w:pPr>
        <w:ind w:left="200" w:hanging="152"/>
      </w:pPr>
      <w:rPr>
        <w:rFonts w:hint="default" w:ascii="Symbol" w:hAnsi="Symbol" w:eastAsia="Symbol" w:cs="Symbol"/>
        <w:w w:val="100"/>
        <w:sz w:val="24"/>
        <w:szCs w:val="24"/>
        <w:lang w:val="fr-FR" w:eastAsia="fr-FR" w:bidi="fr-FR"/>
      </w:rPr>
    </w:lvl>
    <w:lvl w:ilvl="1">
      <w:start w:val="0"/>
      <w:numFmt w:val="bullet"/>
      <w:lvlText w:val="-"/>
      <w:lvlJc w:val="left"/>
      <w:pPr>
        <w:ind w:left="626" w:hanging="156"/>
      </w:pPr>
      <w:rPr>
        <w:rFonts w:hint="default" w:ascii="Times New Roman" w:hAnsi="Times New Roman" w:eastAsia="Times New Roman" w:cs="Times New Roman"/>
        <w:w w:val="99"/>
        <w:sz w:val="24"/>
        <w:szCs w:val="24"/>
        <w:lang w:val="fr-FR" w:eastAsia="fr-FR" w:bidi="fr-FR"/>
      </w:rPr>
    </w:lvl>
    <w:lvl w:ilvl="2">
      <w:start w:val="0"/>
      <w:numFmt w:val="bullet"/>
      <w:lvlText w:val="•"/>
      <w:lvlJc w:val="left"/>
      <w:pPr>
        <w:ind w:left="1445" w:hanging="156"/>
      </w:pPr>
      <w:rPr>
        <w:rFonts w:hint="default"/>
        <w:lang w:val="fr-FR" w:eastAsia="fr-FR" w:bidi="fr-FR"/>
      </w:rPr>
    </w:lvl>
    <w:lvl w:ilvl="3">
      <w:start w:val="0"/>
      <w:numFmt w:val="bullet"/>
      <w:lvlText w:val="•"/>
      <w:lvlJc w:val="left"/>
      <w:pPr>
        <w:ind w:left="2270" w:hanging="156"/>
      </w:pPr>
      <w:rPr>
        <w:rFonts w:hint="default"/>
        <w:lang w:val="fr-FR" w:eastAsia="fr-FR" w:bidi="fr-FR"/>
      </w:rPr>
    </w:lvl>
    <w:lvl w:ilvl="4">
      <w:start w:val="0"/>
      <w:numFmt w:val="bullet"/>
      <w:lvlText w:val="•"/>
      <w:lvlJc w:val="left"/>
      <w:pPr>
        <w:ind w:left="3095" w:hanging="156"/>
      </w:pPr>
      <w:rPr>
        <w:rFonts w:hint="default"/>
        <w:lang w:val="fr-FR" w:eastAsia="fr-FR" w:bidi="fr-FR"/>
      </w:rPr>
    </w:lvl>
    <w:lvl w:ilvl="5">
      <w:start w:val="0"/>
      <w:numFmt w:val="bullet"/>
      <w:lvlText w:val="•"/>
      <w:lvlJc w:val="left"/>
      <w:pPr>
        <w:ind w:left="3920" w:hanging="156"/>
      </w:pPr>
      <w:rPr>
        <w:rFonts w:hint="default"/>
        <w:lang w:val="fr-FR" w:eastAsia="fr-FR" w:bidi="fr-FR"/>
      </w:rPr>
    </w:lvl>
    <w:lvl w:ilvl="6">
      <w:start w:val="0"/>
      <w:numFmt w:val="bullet"/>
      <w:lvlText w:val="•"/>
      <w:lvlJc w:val="left"/>
      <w:pPr>
        <w:ind w:left="4745" w:hanging="156"/>
      </w:pPr>
      <w:rPr>
        <w:rFonts w:hint="default"/>
        <w:lang w:val="fr-FR" w:eastAsia="fr-FR" w:bidi="fr-FR"/>
      </w:rPr>
    </w:lvl>
    <w:lvl w:ilvl="7">
      <w:start w:val="0"/>
      <w:numFmt w:val="bullet"/>
      <w:lvlText w:val="•"/>
      <w:lvlJc w:val="left"/>
      <w:pPr>
        <w:ind w:left="5570" w:hanging="156"/>
      </w:pPr>
      <w:rPr>
        <w:rFonts w:hint="default"/>
        <w:lang w:val="fr-FR" w:eastAsia="fr-FR" w:bidi="fr-FR"/>
      </w:rPr>
    </w:lvl>
    <w:lvl w:ilvl="8">
      <w:start w:val="0"/>
      <w:numFmt w:val="bullet"/>
      <w:lvlText w:val="•"/>
      <w:lvlJc w:val="left"/>
      <w:pPr>
        <w:ind w:left="6395" w:hanging="156"/>
      </w:pPr>
      <w:rPr>
        <w:rFonts w:hint="default"/>
        <w:lang w:val="fr-FR" w:eastAsia="fr-FR" w:bidi="fr-FR"/>
      </w:rPr>
    </w:lvl>
  </w:abstractNum>
  <w:abstractNum w:abstractNumId="112">
    <w:multiLevelType w:val="hybridMultilevel"/>
    <w:lvl w:ilvl="0">
      <w:start w:val="0"/>
      <w:numFmt w:val="bullet"/>
      <w:lvlText w:val=""/>
      <w:lvlJc w:val="left"/>
      <w:pPr>
        <w:ind w:left="839" w:hanging="360"/>
      </w:pPr>
      <w:rPr>
        <w:rFonts w:hint="default" w:ascii="Symbol" w:hAnsi="Symbol" w:eastAsia="Symbol" w:cs="Symbol"/>
        <w:w w:val="100"/>
        <w:sz w:val="24"/>
        <w:szCs w:val="24"/>
        <w:lang w:val="fr-FR" w:eastAsia="fr-FR" w:bidi="fr-FR"/>
      </w:rPr>
    </w:lvl>
    <w:lvl w:ilvl="1">
      <w:start w:val="0"/>
      <w:numFmt w:val="bullet"/>
      <w:lvlText w:val="•"/>
      <w:lvlJc w:val="left"/>
      <w:pPr>
        <w:ind w:left="1560" w:hanging="360"/>
      </w:pPr>
      <w:rPr>
        <w:rFonts w:hint="default"/>
        <w:lang w:val="fr-FR" w:eastAsia="fr-FR" w:bidi="fr-FR"/>
      </w:rPr>
    </w:lvl>
    <w:lvl w:ilvl="2">
      <w:start w:val="0"/>
      <w:numFmt w:val="bullet"/>
      <w:lvlText w:val="•"/>
      <w:lvlJc w:val="left"/>
      <w:pPr>
        <w:ind w:left="2281" w:hanging="360"/>
      </w:pPr>
      <w:rPr>
        <w:rFonts w:hint="default"/>
        <w:lang w:val="fr-FR" w:eastAsia="fr-FR" w:bidi="fr-FR"/>
      </w:rPr>
    </w:lvl>
    <w:lvl w:ilvl="3">
      <w:start w:val="0"/>
      <w:numFmt w:val="bullet"/>
      <w:lvlText w:val="•"/>
      <w:lvlJc w:val="left"/>
      <w:pPr>
        <w:ind w:left="3001" w:hanging="360"/>
      </w:pPr>
      <w:rPr>
        <w:rFonts w:hint="default"/>
        <w:lang w:val="fr-FR" w:eastAsia="fr-FR" w:bidi="fr-FR"/>
      </w:rPr>
    </w:lvl>
    <w:lvl w:ilvl="4">
      <w:start w:val="0"/>
      <w:numFmt w:val="bullet"/>
      <w:lvlText w:val="•"/>
      <w:lvlJc w:val="left"/>
      <w:pPr>
        <w:ind w:left="3722" w:hanging="360"/>
      </w:pPr>
      <w:rPr>
        <w:rFonts w:hint="default"/>
        <w:lang w:val="fr-FR" w:eastAsia="fr-FR" w:bidi="fr-FR"/>
      </w:rPr>
    </w:lvl>
    <w:lvl w:ilvl="5">
      <w:start w:val="0"/>
      <w:numFmt w:val="bullet"/>
      <w:lvlText w:val="•"/>
      <w:lvlJc w:val="left"/>
      <w:pPr>
        <w:ind w:left="4442" w:hanging="360"/>
      </w:pPr>
      <w:rPr>
        <w:rFonts w:hint="default"/>
        <w:lang w:val="fr-FR" w:eastAsia="fr-FR" w:bidi="fr-FR"/>
      </w:rPr>
    </w:lvl>
    <w:lvl w:ilvl="6">
      <w:start w:val="0"/>
      <w:numFmt w:val="bullet"/>
      <w:lvlText w:val="•"/>
      <w:lvlJc w:val="left"/>
      <w:pPr>
        <w:ind w:left="5163" w:hanging="360"/>
      </w:pPr>
      <w:rPr>
        <w:rFonts w:hint="default"/>
        <w:lang w:val="fr-FR" w:eastAsia="fr-FR" w:bidi="fr-FR"/>
      </w:rPr>
    </w:lvl>
    <w:lvl w:ilvl="7">
      <w:start w:val="0"/>
      <w:numFmt w:val="bullet"/>
      <w:lvlText w:val="•"/>
      <w:lvlJc w:val="left"/>
      <w:pPr>
        <w:ind w:left="5883" w:hanging="360"/>
      </w:pPr>
      <w:rPr>
        <w:rFonts w:hint="default"/>
        <w:lang w:val="fr-FR" w:eastAsia="fr-FR" w:bidi="fr-FR"/>
      </w:rPr>
    </w:lvl>
    <w:lvl w:ilvl="8">
      <w:start w:val="0"/>
      <w:numFmt w:val="bullet"/>
      <w:lvlText w:val="•"/>
      <w:lvlJc w:val="left"/>
      <w:pPr>
        <w:ind w:left="6604" w:hanging="360"/>
      </w:pPr>
      <w:rPr>
        <w:rFonts w:hint="default"/>
        <w:lang w:val="fr-FR" w:eastAsia="fr-FR" w:bidi="fr-FR"/>
      </w:rPr>
    </w:lvl>
  </w:abstractNum>
  <w:abstractNum w:abstractNumId="111">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830" w:hanging="264"/>
      </w:pPr>
      <w:rPr>
        <w:rFonts w:hint="default" w:ascii="Courier New" w:hAnsi="Courier New" w:eastAsia="Courier New" w:cs="Courier New"/>
        <w:w w:val="100"/>
        <w:sz w:val="24"/>
        <w:szCs w:val="24"/>
        <w:lang w:val="fr-FR" w:eastAsia="fr-FR" w:bidi="fr-FR"/>
      </w:rPr>
    </w:lvl>
    <w:lvl w:ilvl="2">
      <w:start w:val="0"/>
      <w:numFmt w:val="bullet"/>
      <w:lvlText w:val="•"/>
      <w:lvlJc w:val="left"/>
      <w:pPr>
        <w:ind w:left="1624" w:hanging="264"/>
      </w:pPr>
      <w:rPr>
        <w:rFonts w:hint="default"/>
        <w:lang w:val="fr-FR" w:eastAsia="fr-FR" w:bidi="fr-FR"/>
      </w:rPr>
    </w:lvl>
    <w:lvl w:ilvl="3">
      <w:start w:val="0"/>
      <w:numFmt w:val="bullet"/>
      <w:lvlText w:val="•"/>
      <w:lvlJc w:val="left"/>
      <w:pPr>
        <w:ind w:left="2409" w:hanging="264"/>
      </w:pPr>
      <w:rPr>
        <w:rFonts w:hint="default"/>
        <w:lang w:val="fr-FR" w:eastAsia="fr-FR" w:bidi="fr-FR"/>
      </w:rPr>
    </w:lvl>
    <w:lvl w:ilvl="4">
      <w:start w:val="0"/>
      <w:numFmt w:val="bullet"/>
      <w:lvlText w:val="•"/>
      <w:lvlJc w:val="left"/>
      <w:pPr>
        <w:ind w:left="3194" w:hanging="264"/>
      </w:pPr>
      <w:rPr>
        <w:rFonts w:hint="default"/>
        <w:lang w:val="fr-FR" w:eastAsia="fr-FR" w:bidi="fr-FR"/>
      </w:rPr>
    </w:lvl>
    <w:lvl w:ilvl="5">
      <w:start w:val="0"/>
      <w:numFmt w:val="bullet"/>
      <w:lvlText w:val="•"/>
      <w:lvlJc w:val="left"/>
      <w:pPr>
        <w:ind w:left="3979" w:hanging="264"/>
      </w:pPr>
      <w:rPr>
        <w:rFonts w:hint="default"/>
        <w:lang w:val="fr-FR" w:eastAsia="fr-FR" w:bidi="fr-FR"/>
      </w:rPr>
    </w:lvl>
    <w:lvl w:ilvl="6">
      <w:start w:val="0"/>
      <w:numFmt w:val="bullet"/>
      <w:lvlText w:val="•"/>
      <w:lvlJc w:val="left"/>
      <w:pPr>
        <w:ind w:left="4763" w:hanging="264"/>
      </w:pPr>
      <w:rPr>
        <w:rFonts w:hint="default"/>
        <w:lang w:val="fr-FR" w:eastAsia="fr-FR" w:bidi="fr-FR"/>
      </w:rPr>
    </w:lvl>
    <w:lvl w:ilvl="7">
      <w:start w:val="0"/>
      <w:numFmt w:val="bullet"/>
      <w:lvlText w:val="•"/>
      <w:lvlJc w:val="left"/>
      <w:pPr>
        <w:ind w:left="5548" w:hanging="264"/>
      </w:pPr>
      <w:rPr>
        <w:rFonts w:hint="default"/>
        <w:lang w:val="fr-FR" w:eastAsia="fr-FR" w:bidi="fr-FR"/>
      </w:rPr>
    </w:lvl>
    <w:lvl w:ilvl="8">
      <w:start w:val="0"/>
      <w:numFmt w:val="bullet"/>
      <w:lvlText w:val="•"/>
      <w:lvlJc w:val="left"/>
      <w:pPr>
        <w:ind w:left="6333" w:hanging="264"/>
      </w:pPr>
      <w:rPr>
        <w:rFonts w:hint="default"/>
        <w:lang w:val="fr-FR" w:eastAsia="fr-FR" w:bidi="fr-FR"/>
      </w:rPr>
    </w:lvl>
  </w:abstractNum>
  <w:abstractNum w:abstractNumId="110">
    <w:multiLevelType w:val="hybridMultilevel"/>
    <w:lvl w:ilvl="0">
      <w:start w:val="0"/>
      <w:numFmt w:val="bullet"/>
      <w:lvlText w:val=""/>
      <w:lvlJc w:val="left"/>
      <w:pPr>
        <w:ind w:left="830" w:hanging="360"/>
      </w:pPr>
      <w:rPr>
        <w:rFonts w:hint="default" w:ascii="Symbol" w:hAnsi="Symbol" w:eastAsia="Symbol" w:cs="Symbol"/>
        <w:w w:val="100"/>
        <w:sz w:val="24"/>
        <w:szCs w:val="24"/>
        <w:lang w:val="fr-FR" w:eastAsia="fr-FR" w:bidi="fr-FR"/>
      </w:rPr>
    </w:lvl>
    <w:lvl w:ilvl="1">
      <w:start w:val="0"/>
      <w:numFmt w:val="bullet"/>
      <w:lvlText w:val="•"/>
      <w:lvlJc w:val="left"/>
      <w:pPr>
        <w:ind w:left="1546" w:hanging="360"/>
      </w:pPr>
      <w:rPr>
        <w:rFonts w:hint="default"/>
        <w:lang w:val="fr-FR" w:eastAsia="fr-FR" w:bidi="fr-FR"/>
      </w:rPr>
    </w:lvl>
    <w:lvl w:ilvl="2">
      <w:start w:val="0"/>
      <w:numFmt w:val="bullet"/>
      <w:lvlText w:val="•"/>
      <w:lvlJc w:val="left"/>
      <w:pPr>
        <w:ind w:left="2252" w:hanging="360"/>
      </w:pPr>
      <w:rPr>
        <w:rFonts w:hint="default"/>
        <w:lang w:val="fr-FR" w:eastAsia="fr-FR" w:bidi="fr-FR"/>
      </w:rPr>
    </w:lvl>
    <w:lvl w:ilvl="3">
      <w:start w:val="0"/>
      <w:numFmt w:val="bullet"/>
      <w:lvlText w:val="•"/>
      <w:lvlJc w:val="left"/>
      <w:pPr>
        <w:ind w:left="2958" w:hanging="360"/>
      </w:pPr>
      <w:rPr>
        <w:rFonts w:hint="default"/>
        <w:lang w:val="fr-FR" w:eastAsia="fr-FR" w:bidi="fr-FR"/>
      </w:rPr>
    </w:lvl>
    <w:lvl w:ilvl="4">
      <w:start w:val="0"/>
      <w:numFmt w:val="bullet"/>
      <w:lvlText w:val="•"/>
      <w:lvlJc w:val="left"/>
      <w:pPr>
        <w:ind w:left="3665" w:hanging="360"/>
      </w:pPr>
      <w:rPr>
        <w:rFonts w:hint="default"/>
        <w:lang w:val="fr-FR" w:eastAsia="fr-FR" w:bidi="fr-FR"/>
      </w:rPr>
    </w:lvl>
    <w:lvl w:ilvl="5">
      <w:start w:val="0"/>
      <w:numFmt w:val="bullet"/>
      <w:lvlText w:val="•"/>
      <w:lvlJc w:val="left"/>
      <w:pPr>
        <w:ind w:left="4371" w:hanging="360"/>
      </w:pPr>
      <w:rPr>
        <w:rFonts w:hint="default"/>
        <w:lang w:val="fr-FR" w:eastAsia="fr-FR" w:bidi="fr-FR"/>
      </w:rPr>
    </w:lvl>
    <w:lvl w:ilvl="6">
      <w:start w:val="0"/>
      <w:numFmt w:val="bullet"/>
      <w:lvlText w:val="•"/>
      <w:lvlJc w:val="left"/>
      <w:pPr>
        <w:ind w:left="5077" w:hanging="360"/>
      </w:pPr>
      <w:rPr>
        <w:rFonts w:hint="default"/>
        <w:lang w:val="fr-FR" w:eastAsia="fr-FR" w:bidi="fr-FR"/>
      </w:rPr>
    </w:lvl>
    <w:lvl w:ilvl="7">
      <w:start w:val="0"/>
      <w:numFmt w:val="bullet"/>
      <w:lvlText w:val="•"/>
      <w:lvlJc w:val="left"/>
      <w:pPr>
        <w:ind w:left="5784" w:hanging="360"/>
      </w:pPr>
      <w:rPr>
        <w:rFonts w:hint="default"/>
        <w:lang w:val="fr-FR" w:eastAsia="fr-FR" w:bidi="fr-FR"/>
      </w:rPr>
    </w:lvl>
    <w:lvl w:ilvl="8">
      <w:start w:val="0"/>
      <w:numFmt w:val="bullet"/>
      <w:lvlText w:val="•"/>
      <w:lvlJc w:val="left"/>
      <w:pPr>
        <w:ind w:left="6490" w:hanging="360"/>
      </w:pPr>
      <w:rPr>
        <w:rFonts w:hint="default"/>
        <w:lang w:val="fr-FR" w:eastAsia="fr-FR" w:bidi="fr-FR"/>
      </w:rPr>
    </w:lvl>
  </w:abstractNum>
  <w:abstractNum w:abstractNumId="109">
    <w:multiLevelType w:val="hybridMultilevel"/>
    <w:lvl w:ilvl="0">
      <w:start w:val="0"/>
      <w:numFmt w:val="bullet"/>
      <w:lvlText w:val=""/>
      <w:lvlJc w:val="left"/>
      <w:pPr>
        <w:ind w:left="839" w:hanging="360"/>
      </w:pPr>
      <w:rPr>
        <w:rFonts w:hint="default" w:ascii="Symbol" w:hAnsi="Symbol" w:eastAsia="Symbol" w:cs="Symbol"/>
        <w:w w:val="100"/>
        <w:sz w:val="24"/>
        <w:szCs w:val="24"/>
        <w:lang w:val="fr-FR" w:eastAsia="fr-FR" w:bidi="fr-FR"/>
      </w:rPr>
    </w:lvl>
    <w:lvl w:ilvl="1">
      <w:start w:val="0"/>
      <w:numFmt w:val="bullet"/>
      <w:lvlText w:val="•"/>
      <w:lvlJc w:val="left"/>
      <w:pPr>
        <w:ind w:left="1546" w:hanging="360"/>
      </w:pPr>
      <w:rPr>
        <w:rFonts w:hint="default"/>
        <w:lang w:val="fr-FR" w:eastAsia="fr-FR" w:bidi="fr-FR"/>
      </w:rPr>
    </w:lvl>
    <w:lvl w:ilvl="2">
      <w:start w:val="0"/>
      <w:numFmt w:val="bullet"/>
      <w:lvlText w:val="•"/>
      <w:lvlJc w:val="left"/>
      <w:pPr>
        <w:ind w:left="2252" w:hanging="360"/>
      </w:pPr>
      <w:rPr>
        <w:rFonts w:hint="default"/>
        <w:lang w:val="fr-FR" w:eastAsia="fr-FR" w:bidi="fr-FR"/>
      </w:rPr>
    </w:lvl>
    <w:lvl w:ilvl="3">
      <w:start w:val="0"/>
      <w:numFmt w:val="bullet"/>
      <w:lvlText w:val="•"/>
      <w:lvlJc w:val="left"/>
      <w:pPr>
        <w:ind w:left="2958" w:hanging="360"/>
      </w:pPr>
      <w:rPr>
        <w:rFonts w:hint="default"/>
        <w:lang w:val="fr-FR" w:eastAsia="fr-FR" w:bidi="fr-FR"/>
      </w:rPr>
    </w:lvl>
    <w:lvl w:ilvl="4">
      <w:start w:val="0"/>
      <w:numFmt w:val="bullet"/>
      <w:lvlText w:val="•"/>
      <w:lvlJc w:val="left"/>
      <w:pPr>
        <w:ind w:left="3665" w:hanging="360"/>
      </w:pPr>
      <w:rPr>
        <w:rFonts w:hint="default"/>
        <w:lang w:val="fr-FR" w:eastAsia="fr-FR" w:bidi="fr-FR"/>
      </w:rPr>
    </w:lvl>
    <w:lvl w:ilvl="5">
      <w:start w:val="0"/>
      <w:numFmt w:val="bullet"/>
      <w:lvlText w:val="•"/>
      <w:lvlJc w:val="left"/>
      <w:pPr>
        <w:ind w:left="4371" w:hanging="360"/>
      </w:pPr>
      <w:rPr>
        <w:rFonts w:hint="default"/>
        <w:lang w:val="fr-FR" w:eastAsia="fr-FR" w:bidi="fr-FR"/>
      </w:rPr>
    </w:lvl>
    <w:lvl w:ilvl="6">
      <w:start w:val="0"/>
      <w:numFmt w:val="bullet"/>
      <w:lvlText w:val="•"/>
      <w:lvlJc w:val="left"/>
      <w:pPr>
        <w:ind w:left="5077" w:hanging="360"/>
      </w:pPr>
      <w:rPr>
        <w:rFonts w:hint="default"/>
        <w:lang w:val="fr-FR" w:eastAsia="fr-FR" w:bidi="fr-FR"/>
      </w:rPr>
    </w:lvl>
    <w:lvl w:ilvl="7">
      <w:start w:val="0"/>
      <w:numFmt w:val="bullet"/>
      <w:lvlText w:val="•"/>
      <w:lvlJc w:val="left"/>
      <w:pPr>
        <w:ind w:left="5784" w:hanging="360"/>
      </w:pPr>
      <w:rPr>
        <w:rFonts w:hint="default"/>
        <w:lang w:val="fr-FR" w:eastAsia="fr-FR" w:bidi="fr-FR"/>
      </w:rPr>
    </w:lvl>
    <w:lvl w:ilvl="8">
      <w:start w:val="0"/>
      <w:numFmt w:val="bullet"/>
      <w:lvlText w:val="•"/>
      <w:lvlJc w:val="left"/>
      <w:pPr>
        <w:ind w:left="6490" w:hanging="360"/>
      </w:pPr>
      <w:rPr>
        <w:rFonts w:hint="default"/>
        <w:lang w:val="fr-FR" w:eastAsia="fr-FR" w:bidi="fr-FR"/>
      </w:rPr>
    </w:lvl>
  </w:abstractNum>
  <w:abstractNum w:abstractNumId="108">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45" w:hanging="284"/>
      </w:pPr>
      <w:rPr>
        <w:rFonts w:hint="default"/>
        <w:lang w:val="fr-FR" w:eastAsia="fr-FR" w:bidi="fr-FR"/>
      </w:rPr>
    </w:lvl>
    <w:lvl w:ilvl="2">
      <w:start w:val="0"/>
      <w:numFmt w:val="bullet"/>
      <w:lvlText w:val="•"/>
      <w:lvlJc w:val="left"/>
      <w:pPr>
        <w:ind w:left="1870" w:hanging="284"/>
      </w:pPr>
      <w:rPr>
        <w:rFonts w:hint="default"/>
        <w:lang w:val="fr-FR" w:eastAsia="fr-FR" w:bidi="fr-FR"/>
      </w:rPr>
    </w:lvl>
    <w:lvl w:ilvl="3">
      <w:start w:val="0"/>
      <w:numFmt w:val="bullet"/>
      <w:lvlText w:val="•"/>
      <w:lvlJc w:val="left"/>
      <w:pPr>
        <w:ind w:left="2595" w:hanging="284"/>
      </w:pPr>
      <w:rPr>
        <w:rFonts w:hint="default"/>
        <w:lang w:val="fr-FR" w:eastAsia="fr-FR" w:bidi="fr-FR"/>
      </w:rPr>
    </w:lvl>
    <w:lvl w:ilvl="4">
      <w:start w:val="0"/>
      <w:numFmt w:val="bullet"/>
      <w:lvlText w:val="•"/>
      <w:lvlJc w:val="left"/>
      <w:pPr>
        <w:ind w:left="3320" w:hanging="284"/>
      </w:pPr>
      <w:rPr>
        <w:rFonts w:hint="default"/>
        <w:lang w:val="fr-FR" w:eastAsia="fr-FR" w:bidi="fr-FR"/>
      </w:rPr>
    </w:lvl>
    <w:lvl w:ilvl="5">
      <w:start w:val="0"/>
      <w:numFmt w:val="bullet"/>
      <w:lvlText w:val="•"/>
      <w:lvlJc w:val="left"/>
      <w:pPr>
        <w:ind w:left="4046" w:hanging="284"/>
      </w:pPr>
      <w:rPr>
        <w:rFonts w:hint="default"/>
        <w:lang w:val="fr-FR" w:eastAsia="fr-FR" w:bidi="fr-FR"/>
      </w:rPr>
    </w:lvl>
    <w:lvl w:ilvl="6">
      <w:start w:val="0"/>
      <w:numFmt w:val="bullet"/>
      <w:lvlText w:val="•"/>
      <w:lvlJc w:val="left"/>
      <w:pPr>
        <w:ind w:left="4771" w:hanging="284"/>
      </w:pPr>
      <w:rPr>
        <w:rFonts w:hint="default"/>
        <w:lang w:val="fr-FR" w:eastAsia="fr-FR" w:bidi="fr-FR"/>
      </w:rPr>
    </w:lvl>
    <w:lvl w:ilvl="7">
      <w:start w:val="0"/>
      <w:numFmt w:val="bullet"/>
      <w:lvlText w:val="•"/>
      <w:lvlJc w:val="left"/>
      <w:pPr>
        <w:ind w:left="5496" w:hanging="284"/>
      </w:pPr>
      <w:rPr>
        <w:rFonts w:hint="default"/>
        <w:lang w:val="fr-FR" w:eastAsia="fr-FR" w:bidi="fr-FR"/>
      </w:rPr>
    </w:lvl>
    <w:lvl w:ilvl="8">
      <w:start w:val="0"/>
      <w:numFmt w:val="bullet"/>
      <w:lvlText w:val="•"/>
      <w:lvlJc w:val="left"/>
      <w:pPr>
        <w:ind w:left="6221" w:hanging="284"/>
      </w:pPr>
      <w:rPr>
        <w:rFonts w:hint="default"/>
        <w:lang w:val="fr-FR" w:eastAsia="fr-FR" w:bidi="fr-FR"/>
      </w:rPr>
    </w:lvl>
  </w:abstractNum>
  <w:abstractNum w:abstractNumId="107">
    <w:multiLevelType w:val="hybridMultilevel"/>
    <w:lvl w:ilvl="0">
      <w:start w:val="0"/>
      <w:numFmt w:val="bullet"/>
      <w:lvlText w:val=""/>
      <w:lvlJc w:val="left"/>
      <w:pPr>
        <w:ind w:left="469" w:hanging="360"/>
      </w:pPr>
      <w:rPr>
        <w:rFonts w:hint="default" w:ascii="Symbol" w:hAnsi="Symbol" w:eastAsia="Symbol" w:cs="Symbol"/>
        <w:w w:val="100"/>
        <w:sz w:val="24"/>
        <w:szCs w:val="24"/>
        <w:lang w:val="fr-FR" w:eastAsia="fr-FR" w:bidi="fr-FR"/>
      </w:rPr>
    </w:lvl>
    <w:lvl w:ilvl="1">
      <w:start w:val="0"/>
      <w:numFmt w:val="bullet"/>
      <w:lvlText w:val="•"/>
      <w:lvlJc w:val="left"/>
      <w:pPr>
        <w:ind w:left="1181" w:hanging="360"/>
      </w:pPr>
      <w:rPr>
        <w:rFonts w:hint="default"/>
        <w:lang w:val="fr-FR" w:eastAsia="fr-FR" w:bidi="fr-FR"/>
      </w:rPr>
    </w:lvl>
    <w:lvl w:ilvl="2">
      <w:start w:val="0"/>
      <w:numFmt w:val="bullet"/>
      <w:lvlText w:val="•"/>
      <w:lvlJc w:val="left"/>
      <w:pPr>
        <w:ind w:left="1902" w:hanging="360"/>
      </w:pPr>
      <w:rPr>
        <w:rFonts w:hint="default"/>
        <w:lang w:val="fr-FR" w:eastAsia="fr-FR" w:bidi="fr-FR"/>
      </w:rPr>
    </w:lvl>
    <w:lvl w:ilvl="3">
      <w:start w:val="0"/>
      <w:numFmt w:val="bullet"/>
      <w:lvlText w:val="•"/>
      <w:lvlJc w:val="left"/>
      <w:pPr>
        <w:ind w:left="2623" w:hanging="360"/>
      </w:pPr>
      <w:rPr>
        <w:rFonts w:hint="default"/>
        <w:lang w:val="fr-FR" w:eastAsia="fr-FR" w:bidi="fr-FR"/>
      </w:rPr>
    </w:lvl>
    <w:lvl w:ilvl="4">
      <w:start w:val="0"/>
      <w:numFmt w:val="bullet"/>
      <w:lvlText w:val="•"/>
      <w:lvlJc w:val="left"/>
      <w:pPr>
        <w:ind w:left="3344" w:hanging="360"/>
      </w:pPr>
      <w:rPr>
        <w:rFonts w:hint="default"/>
        <w:lang w:val="fr-FR" w:eastAsia="fr-FR" w:bidi="fr-FR"/>
      </w:rPr>
    </w:lvl>
    <w:lvl w:ilvl="5">
      <w:start w:val="0"/>
      <w:numFmt w:val="bullet"/>
      <w:lvlText w:val="•"/>
      <w:lvlJc w:val="left"/>
      <w:pPr>
        <w:ind w:left="4066" w:hanging="360"/>
      </w:pPr>
      <w:rPr>
        <w:rFonts w:hint="default"/>
        <w:lang w:val="fr-FR" w:eastAsia="fr-FR" w:bidi="fr-FR"/>
      </w:rPr>
    </w:lvl>
    <w:lvl w:ilvl="6">
      <w:start w:val="0"/>
      <w:numFmt w:val="bullet"/>
      <w:lvlText w:val="•"/>
      <w:lvlJc w:val="left"/>
      <w:pPr>
        <w:ind w:left="4787" w:hanging="360"/>
      </w:pPr>
      <w:rPr>
        <w:rFonts w:hint="default"/>
        <w:lang w:val="fr-FR" w:eastAsia="fr-FR" w:bidi="fr-FR"/>
      </w:rPr>
    </w:lvl>
    <w:lvl w:ilvl="7">
      <w:start w:val="0"/>
      <w:numFmt w:val="bullet"/>
      <w:lvlText w:val="•"/>
      <w:lvlJc w:val="left"/>
      <w:pPr>
        <w:ind w:left="5508" w:hanging="360"/>
      </w:pPr>
      <w:rPr>
        <w:rFonts w:hint="default"/>
        <w:lang w:val="fr-FR" w:eastAsia="fr-FR" w:bidi="fr-FR"/>
      </w:rPr>
    </w:lvl>
    <w:lvl w:ilvl="8">
      <w:start w:val="0"/>
      <w:numFmt w:val="bullet"/>
      <w:lvlText w:val="•"/>
      <w:lvlJc w:val="left"/>
      <w:pPr>
        <w:ind w:left="6229" w:hanging="360"/>
      </w:pPr>
      <w:rPr>
        <w:rFonts w:hint="default"/>
        <w:lang w:val="fr-FR" w:eastAsia="fr-FR" w:bidi="fr-FR"/>
      </w:rPr>
    </w:lvl>
  </w:abstractNum>
  <w:abstractNum w:abstractNumId="106">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45" w:hanging="284"/>
      </w:pPr>
      <w:rPr>
        <w:rFonts w:hint="default"/>
        <w:lang w:val="fr-FR" w:eastAsia="fr-FR" w:bidi="fr-FR"/>
      </w:rPr>
    </w:lvl>
    <w:lvl w:ilvl="2">
      <w:start w:val="0"/>
      <w:numFmt w:val="bullet"/>
      <w:lvlText w:val="•"/>
      <w:lvlJc w:val="left"/>
      <w:pPr>
        <w:ind w:left="1870" w:hanging="284"/>
      </w:pPr>
      <w:rPr>
        <w:rFonts w:hint="default"/>
        <w:lang w:val="fr-FR" w:eastAsia="fr-FR" w:bidi="fr-FR"/>
      </w:rPr>
    </w:lvl>
    <w:lvl w:ilvl="3">
      <w:start w:val="0"/>
      <w:numFmt w:val="bullet"/>
      <w:lvlText w:val="•"/>
      <w:lvlJc w:val="left"/>
      <w:pPr>
        <w:ind w:left="2595" w:hanging="284"/>
      </w:pPr>
      <w:rPr>
        <w:rFonts w:hint="default"/>
        <w:lang w:val="fr-FR" w:eastAsia="fr-FR" w:bidi="fr-FR"/>
      </w:rPr>
    </w:lvl>
    <w:lvl w:ilvl="4">
      <w:start w:val="0"/>
      <w:numFmt w:val="bullet"/>
      <w:lvlText w:val="•"/>
      <w:lvlJc w:val="left"/>
      <w:pPr>
        <w:ind w:left="3320" w:hanging="284"/>
      </w:pPr>
      <w:rPr>
        <w:rFonts w:hint="default"/>
        <w:lang w:val="fr-FR" w:eastAsia="fr-FR" w:bidi="fr-FR"/>
      </w:rPr>
    </w:lvl>
    <w:lvl w:ilvl="5">
      <w:start w:val="0"/>
      <w:numFmt w:val="bullet"/>
      <w:lvlText w:val="•"/>
      <w:lvlJc w:val="left"/>
      <w:pPr>
        <w:ind w:left="4046" w:hanging="284"/>
      </w:pPr>
      <w:rPr>
        <w:rFonts w:hint="default"/>
        <w:lang w:val="fr-FR" w:eastAsia="fr-FR" w:bidi="fr-FR"/>
      </w:rPr>
    </w:lvl>
    <w:lvl w:ilvl="6">
      <w:start w:val="0"/>
      <w:numFmt w:val="bullet"/>
      <w:lvlText w:val="•"/>
      <w:lvlJc w:val="left"/>
      <w:pPr>
        <w:ind w:left="4771" w:hanging="284"/>
      </w:pPr>
      <w:rPr>
        <w:rFonts w:hint="default"/>
        <w:lang w:val="fr-FR" w:eastAsia="fr-FR" w:bidi="fr-FR"/>
      </w:rPr>
    </w:lvl>
    <w:lvl w:ilvl="7">
      <w:start w:val="0"/>
      <w:numFmt w:val="bullet"/>
      <w:lvlText w:val="•"/>
      <w:lvlJc w:val="left"/>
      <w:pPr>
        <w:ind w:left="5496" w:hanging="284"/>
      </w:pPr>
      <w:rPr>
        <w:rFonts w:hint="default"/>
        <w:lang w:val="fr-FR" w:eastAsia="fr-FR" w:bidi="fr-FR"/>
      </w:rPr>
    </w:lvl>
    <w:lvl w:ilvl="8">
      <w:start w:val="0"/>
      <w:numFmt w:val="bullet"/>
      <w:lvlText w:val="•"/>
      <w:lvlJc w:val="left"/>
      <w:pPr>
        <w:ind w:left="6221" w:hanging="284"/>
      </w:pPr>
      <w:rPr>
        <w:rFonts w:hint="default"/>
        <w:lang w:val="fr-FR" w:eastAsia="fr-FR" w:bidi="fr-FR"/>
      </w:rPr>
    </w:lvl>
  </w:abstractNum>
  <w:abstractNum w:abstractNumId="105">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45" w:hanging="284"/>
      </w:pPr>
      <w:rPr>
        <w:rFonts w:hint="default"/>
        <w:lang w:val="fr-FR" w:eastAsia="fr-FR" w:bidi="fr-FR"/>
      </w:rPr>
    </w:lvl>
    <w:lvl w:ilvl="2">
      <w:start w:val="0"/>
      <w:numFmt w:val="bullet"/>
      <w:lvlText w:val="•"/>
      <w:lvlJc w:val="left"/>
      <w:pPr>
        <w:ind w:left="1870" w:hanging="284"/>
      </w:pPr>
      <w:rPr>
        <w:rFonts w:hint="default"/>
        <w:lang w:val="fr-FR" w:eastAsia="fr-FR" w:bidi="fr-FR"/>
      </w:rPr>
    </w:lvl>
    <w:lvl w:ilvl="3">
      <w:start w:val="0"/>
      <w:numFmt w:val="bullet"/>
      <w:lvlText w:val="•"/>
      <w:lvlJc w:val="left"/>
      <w:pPr>
        <w:ind w:left="2595" w:hanging="284"/>
      </w:pPr>
      <w:rPr>
        <w:rFonts w:hint="default"/>
        <w:lang w:val="fr-FR" w:eastAsia="fr-FR" w:bidi="fr-FR"/>
      </w:rPr>
    </w:lvl>
    <w:lvl w:ilvl="4">
      <w:start w:val="0"/>
      <w:numFmt w:val="bullet"/>
      <w:lvlText w:val="•"/>
      <w:lvlJc w:val="left"/>
      <w:pPr>
        <w:ind w:left="3320" w:hanging="284"/>
      </w:pPr>
      <w:rPr>
        <w:rFonts w:hint="default"/>
        <w:lang w:val="fr-FR" w:eastAsia="fr-FR" w:bidi="fr-FR"/>
      </w:rPr>
    </w:lvl>
    <w:lvl w:ilvl="5">
      <w:start w:val="0"/>
      <w:numFmt w:val="bullet"/>
      <w:lvlText w:val="•"/>
      <w:lvlJc w:val="left"/>
      <w:pPr>
        <w:ind w:left="4046" w:hanging="284"/>
      </w:pPr>
      <w:rPr>
        <w:rFonts w:hint="default"/>
        <w:lang w:val="fr-FR" w:eastAsia="fr-FR" w:bidi="fr-FR"/>
      </w:rPr>
    </w:lvl>
    <w:lvl w:ilvl="6">
      <w:start w:val="0"/>
      <w:numFmt w:val="bullet"/>
      <w:lvlText w:val="•"/>
      <w:lvlJc w:val="left"/>
      <w:pPr>
        <w:ind w:left="4771" w:hanging="284"/>
      </w:pPr>
      <w:rPr>
        <w:rFonts w:hint="default"/>
        <w:lang w:val="fr-FR" w:eastAsia="fr-FR" w:bidi="fr-FR"/>
      </w:rPr>
    </w:lvl>
    <w:lvl w:ilvl="7">
      <w:start w:val="0"/>
      <w:numFmt w:val="bullet"/>
      <w:lvlText w:val="•"/>
      <w:lvlJc w:val="left"/>
      <w:pPr>
        <w:ind w:left="5496" w:hanging="284"/>
      </w:pPr>
      <w:rPr>
        <w:rFonts w:hint="default"/>
        <w:lang w:val="fr-FR" w:eastAsia="fr-FR" w:bidi="fr-FR"/>
      </w:rPr>
    </w:lvl>
    <w:lvl w:ilvl="8">
      <w:start w:val="0"/>
      <w:numFmt w:val="bullet"/>
      <w:lvlText w:val="•"/>
      <w:lvlJc w:val="left"/>
      <w:pPr>
        <w:ind w:left="6221" w:hanging="284"/>
      </w:pPr>
      <w:rPr>
        <w:rFonts w:hint="default"/>
        <w:lang w:val="fr-FR" w:eastAsia="fr-FR" w:bidi="fr-FR"/>
      </w:rPr>
    </w:lvl>
  </w:abstractNum>
  <w:abstractNum w:abstractNumId="104">
    <w:multiLevelType w:val="hybridMultilevel"/>
    <w:lvl w:ilvl="0">
      <w:start w:val="0"/>
      <w:numFmt w:val="bullet"/>
      <w:lvlText w:val=""/>
      <w:lvlJc w:val="left"/>
      <w:pPr>
        <w:ind w:left="469" w:hanging="360"/>
      </w:pPr>
      <w:rPr>
        <w:rFonts w:hint="default" w:ascii="Symbol" w:hAnsi="Symbol" w:eastAsia="Symbol" w:cs="Symbol"/>
        <w:w w:val="100"/>
        <w:sz w:val="24"/>
        <w:szCs w:val="24"/>
        <w:lang w:val="fr-FR" w:eastAsia="fr-FR" w:bidi="fr-FR"/>
      </w:rPr>
    </w:lvl>
    <w:lvl w:ilvl="1">
      <w:start w:val="0"/>
      <w:numFmt w:val="bullet"/>
      <w:lvlText w:val="-"/>
      <w:lvlJc w:val="left"/>
      <w:pPr>
        <w:ind w:left="1199" w:hanging="360"/>
      </w:pPr>
      <w:rPr>
        <w:rFonts w:hint="default" w:ascii="Calibri" w:hAnsi="Calibri" w:eastAsia="Calibri" w:cs="Calibri"/>
        <w:spacing w:val="-2"/>
        <w:w w:val="99"/>
        <w:sz w:val="24"/>
        <w:szCs w:val="24"/>
        <w:lang w:val="fr-FR" w:eastAsia="fr-FR" w:bidi="fr-FR"/>
      </w:rPr>
    </w:lvl>
    <w:lvl w:ilvl="2">
      <w:start w:val="0"/>
      <w:numFmt w:val="bullet"/>
      <w:lvlText w:val="•"/>
      <w:lvlJc w:val="left"/>
      <w:pPr>
        <w:ind w:left="1919" w:hanging="360"/>
      </w:pPr>
      <w:rPr>
        <w:rFonts w:hint="default"/>
        <w:lang w:val="fr-FR" w:eastAsia="fr-FR" w:bidi="fr-FR"/>
      </w:rPr>
    </w:lvl>
    <w:lvl w:ilvl="3">
      <w:start w:val="0"/>
      <w:numFmt w:val="bullet"/>
      <w:lvlText w:val="•"/>
      <w:lvlJc w:val="left"/>
      <w:pPr>
        <w:ind w:left="2638" w:hanging="360"/>
      </w:pPr>
      <w:rPr>
        <w:rFonts w:hint="default"/>
        <w:lang w:val="fr-FR" w:eastAsia="fr-FR" w:bidi="fr-FR"/>
      </w:rPr>
    </w:lvl>
    <w:lvl w:ilvl="4">
      <w:start w:val="0"/>
      <w:numFmt w:val="bullet"/>
      <w:lvlText w:val="•"/>
      <w:lvlJc w:val="left"/>
      <w:pPr>
        <w:ind w:left="3357" w:hanging="360"/>
      </w:pPr>
      <w:rPr>
        <w:rFonts w:hint="default"/>
        <w:lang w:val="fr-FR" w:eastAsia="fr-FR" w:bidi="fr-FR"/>
      </w:rPr>
    </w:lvl>
    <w:lvl w:ilvl="5">
      <w:start w:val="0"/>
      <w:numFmt w:val="bullet"/>
      <w:lvlText w:val="•"/>
      <w:lvlJc w:val="left"/>
      <w:pPr>
        <w:ind w:left="4076" w:hanging="360"/>
      </w:pPr>
      <w:rPr>
        <w:rFonts w:hint="default"/>
        <w:lang w:val="fr-FR" w:eastAsia="fr-FR" w:bidi="fr-FR"/>
      </w:rPr>
    </w:lvl>
    <w:lvl w:ilvl="6">
      <w:start w:val="0"/>
      <w:numFmt w:val="bullet"/>
      <w:lvlText w:val="•"/>
      <w:lvlJc w:val="left"/>
      <w:pPr>
        <w:ind w:left="4795" w:hanging="360"/>
      </w:pPr>
      <w:rPr>
        <w:rFonts w:hint="default"/>
        <w:lang w:val="fr-FR" w:eastAsia="fr-FR" w:bidi="fr-FR"/>
      </w:rPr>
    </w:lvl>
    <w:lvl w:ilvl="7">
      <w:start w:val="0"/>
      <w:numFmt w:val="bullet"/>
      <w:lvlText w:val="•"/>
      <w:lvlJc w:val="left"/>
      <w:pPr>
        <w:ind w:left="5514" w:hanging="360"/>
      </w:pPr>
      <w:rPr>
        <w:rFonts w:hint="default"/>
        <w:lang w:val="fr-FR" w:eastAsia="fr-FR" w:bidi="fr-FR"/>
      </w:rPr>
    </w:lvl>
    <w:lvl w:ilvl="8">
      <w:start w:val="0"/>
      <w:numFmt w:val="bullet"/>
      <w:lvlText w:val="•"/>
      <w:lvlJc w:val="left"/>
      <w:pPr>
        <w:ind w:left="6233" w:hanging="360"/>
      </w:pPr>
      <w:rPr>
        <w:rFonts w:hint="default"/>
        <w:lang w:val="fr-FR" w:eastAsia="fr-FR" w:bidi="fr-FR"/>
      </w:rPr>
    </w:lvl>
  </w:abstractNum>
  <w:abstractNum w:abstractNumId="103">
    <w:multiLevelType w:val="hybridMultilevel"/>
    <w:lvl w:ilvl="0">
      <w:start w:val="0"/>
      <w:numFmt w:val="bullet"/>
      <w:lvlText w:val=""/>
      <w:lvlJc w:val="left"/>
      <w:pPr>
        <w:ind w:left="467" w:hanging="360"/>
      </w:pPr>
      <w:rPr>
        <w:rFonts w:hint="default" w:ascii="Symbol" w:hAnsi="Symbol" w:eastAsia="Symbol" w:cs="Symbol"/>
        <w:w w:val="100"/>
        <w:sz w:val="24"/>
        <w:szCs w:val="24"/>
        <w:lang w:val="fr-FR" w:eastAsia="fr-FR" w:bidi="fr-FR"/>
      </w:rPr>
    </w:lvl>
    <w:lvl w:ilvl="1">
      <w:start w:val="0"/>
      <w:numFmt w:val="bullet"/>
      <w:lvlText w:val="•"/>
      <w:lvlJc w:val="left"/>
      <w:pPr>
        <w:ind w:left="1178" w:hanging="360"/>
      </w:pPr>
      <w:rPr>
        <w:rFonts w:hint="default"/>
        <w:lang w:val="fr-FR" w:eastAsia="fr-FR" w:bidi="fr-FR"/>
      </w:rPr>
    </w:lvl>
    <w:lvl w:ilvl="2">
      <w:start w:val="0"/>
      <w:numFmt w:val="bullet"/>
      <w:lvlText w:val="•"/>
      <w:lvlJc w:val="left"/>
      <w:pPr>
        <w:ind w:left="1896" w:hanging="360"/>
      </w:pPr>
      <w:rPr>
        <w:rFonts w:hint="default"/>
        <w:lang w:val="fr-FR" w:eastAsia="fr-FR" w:bidi="fr-FR"/>
      </w:rPr>
    </w:lvl>
    <w:lvl w:ilvl="3">
      <w:start w:val="0"/>
      <w:numFmt w:val="bullet"/>
      <w:lvlText w:val="•"/>
      <w:lvlJc w:val="left"/>
      <w:pPr>
        <w:ind w:left="2614" w:hanging="360"/>
      </w:pPr>
      <w:rPr>
        <w:rFonts w:hint="default"/>
        <w:lang w:val="fr-FR" w:eastAsia="fr-FR" w:bidi="fr-FR"/>
      </w:rPr>
    </w:lvl>
    <w:lvl w:ilvl="4">
      <w:start w:val="0"/>
      <w:numFmt w:val="bullet"/>
      <w:lvlText w:val="•"/>
      <w:lvlJc w:val="left"/>
      <w:pPr>
        <w:ind w:left="3333" w:hanging="360"/>
      </w:pPr>
      <w:rPr>
        <w:rFonts w:hint="default"/>
        <w:lang w:val="fr-FR" w:eastAsia="fr-FR" w:bidi="fr-FR"/>
      </w:rPr>
    </w:lvl>
    <w:lvl w:ilvl="5">
      <w:start w:val="0"/>
      <w:numFmt w:val="bullet"/>
      <w:lvlText w:val="•"/>
      <w:lvlJc w:val="left"/>
      <w:pPr>
        <w:ind w:left="4051" w:hanging="360"/>
      </w:pPr>
      <w:rPr>
        <w:rFonts w:hint="default"/>
        <w:lang w:val="fr-FR" w:eastAsia="fr-FR" w:bidi="fr-FR"/>
      </w:rPr>
    </w:lvl>
    <w:lvl w:ilvl="6">
      <w:start w:val="0"/>
      <w:numFmt w:val="bullet"/>
      <w:lvlText w:val="•"/>
      <w:lvlJc w:val="left"/>
      <w:pPr>
        <w:ind w:left="4769" w:hanging="360"/>
      </w:pPr>
      <w:rPr>
        <w:rFonts w:hint="default"/>
        <w:lang w:val="fr-FR" w:eastAsia="fr-FR" w:bidi="fr-FR"/>
      </w:rPr>
    </w:lvl>
    <w:lvl w:ilvl="7">
      <w:start w:val="0"/>
      <w:numFmt w:val="bullet"/>
      <w:lvlText w:val="•"/>
      <w:lvlJc w:val="left"/>
      <w:pPr>
        <w:ind w:left="5488" w:hanging="360"/>
      </w:pPr>
      <w:rPr>
        <w:rFonts w:hint="default"/>
        <w:lang w:val="fr-FR" w:eastAsia="fr-FR" w:bidi="fr-FR"/>
      </w:rPr>
    </w:lvl>
    <w:lvl w:ilvl="8">
      <w:start w:val="0"/>
      <w:numFmt w:val="bullet"/>
      <w:lvlText w:val="•"/>
      <w:lvlJc w:val="left"/>
      <w:pPr>
        <w:ind w:left="6206" w:hanging="360"/>
      </w:pPr>
      <w:rPr>
        <w:rFonts w:hint="default"/>
        <w:lang w:val="fr-FR" w:eastAsia="fr-FR" w:bidi="fr-FR"/>
      </w:rPr>
    </w:lvl>
  </w:abstractNum>
  <w:abstractNum w:abstractNumId="102">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1142" w:hanging="284"/>
      </w:pPr>
      <w:rPr>
        <w:rFonts w:hint="default"/>
        <w:lang w:val="fr-FR" w:eastAsia="fr-FR" w:bidi="fr-FR"/>
      </w:rPr>
    </w:lvl>
    <w:lvl w:ilvl="2">
      <w:start w:val="0"/>
      <w:numFmt w:val="bullet"/>
      <w:lvlText w:val="•"/>
      <w:lvlJc w:val="left"/>
      <w:pPr>
        <w:ind w:left="1864" w:hanging="284"/>
      </w:pPr>
      <w:rPr>
        <w:rFonts w:hint="default"/>
        <w:lang w:val="fr-FR" w:eastAsia="fr-FR" w:bidi="fr-FR"/>
      </w:rPr>
    </w:lvl>
    <w:lvl w:ilvl="3">
      <w:start w:val="0"/>
      <w:numFmt w:val="bullet"/>
      <w:lvlText w:val="•"/>
      <w:lvlJc w:val="left"/>
      <w:pPr>
        <w:ind w:left="2586" w:hanging="284"/>
      </w:pPr>
      <w:rPr>
        <w:rFonts w:hint="default"/>
        <w:lang w:val="fr-FR" w:eastAsia="fr-FR" w:bidi="fr-FR"/>
      </w:rPr>
    </w:lvl>
    <w:lvl w:ilvl="4">
      <w:start w:val="0"/>
      <w:numFmt w:val="bullet"/>
      <w:lvlText w:val="•"/>
      <w:lvlJc w:val="left"/>
      <w:pPr>
        <w:ind w:left="3309" w:hanging="284"/>
      </w:pPr>
      <w:rPr>
        <w:rFonts w:hint="default"/>
        <w:lang w:val="fr-FR" w:eastAsia="fr-FR" w:bidi="fr-FR"/>
      </w:rPr>
    </w:lvl>
    <w:lvl w:ilvl="5">
      <w:start w:val="0"/>
      <w:numFmt w:val="bullet"/>
      <w:lvlText w:val="•"/>
      <w:lvlJc w:val="left"/>
      <w:pPr>
        <w:ind w:left="4031" w:hanging="284"/>
      </w:pPr>
      <w:rPr>
        <w:rFonts w:hint="default"/>
        <w:lang w:val="fr-FR" w:eastAsia="fr-FR" w:bidi="fr-FR"/>
      </w:rPr>
    </w:lvl>
    <w:lvl w:ilvl="6">
      <w:start w:val="0"/>
      <w:numFmt w:val="bullet"/>
      <w:lvlText w:val="•"/>
      <w:lvlJc w:val="left"/>
      <w:pPr>
        <w:ind w:left="4753" w:hanging="284"/>
      </w:pPr>
      <w:rPr>
        <w:rFonts w:hint="default"/>
        <w:lang w:val="fr-FR" w:eastAsia="fr-FR" w:bidi="fr-FR"/>
      </w:rPr>
    </w:lvl>
    <w:lvl w:ilvl="7">
      <w:start w:val="0"/>
      <w:numFmt w:val="bullet"/>
      <w:lvlText w:val="•"/>
      <w:lvlJc w:val="left"/>
      <w:pPr>
        <w:ind w:left="5476" w:hanging="284"/>
      </w:pPr>
      <w:rPr>
        <w:rFonts w:hint="default"/>
        <w:lang w:val="fr-FR" w:eastAsia="fr-FR" w:bidi="fr-FR"/>
      </w:rPr>
    </w:lvl>
    <w:lvl w:ilvl="8">
      <w:start w:val="0"/>
      <w:numFmt w:val="bullet"/>
      <w:lvlText w:val="•"/>
      <w:lvlJc w:val="left"/>
      <w:pPr>
        <w:ind w:left="6198" w:hanging="284"/>
      </w:pPr>
      <w:rPr>
        <w:rFonts w:hint="default"/>
        <w:lang w:val="fr-FR" w:eastAsia="fr-FR" w:bidi="fr-FR"/>
      </w:rPr>
    </w:lvl>
  </w:abstractNum>
  <w:abstractNum w:abstractNumId="101">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1125" w:hanging="284"/>
      </w:pPr>
      <w:rPr>
        <w:rFonts w:hint="default"/>
        <w:lang w:val="fr-FR" w:eastAsia="fr-FR" w:bidi="fr-FR"/>
      </w:rPr>
    </w:lvl>
    <w:lvl w:ilvl="2">
      <w:start w:val="0"/>
      <w:numFmt w:val="bullet"/>
      <w:lvlText w:val="•"/>
      <w:lvlJc w:val="left"/>
      <w:pPr>
        <w:ind w:left="1830" w:hanging="284"/>
      </w:pPr>
      <w:rPr>
        <w:rFonts w:hint="default"/>
        <w:lang w:val="fr-FR" w:eastAsia="fr-FR" w:bidi="fr-FR"/>
      </w:rPr>
    </w:lvl>
    <w:lvl w:ilvl="3">
      <w:start w:val="0"/>
      <w:numFmt w:val="bullet"/>
      <w:lvlText w:val="•"/>
      <w:lvlJc w:val="left"/>
      <w:pPr>
        <w:ind w:left="2535" w:hanging="284"/>
      </w:pPr>
      <w:rPr>
        <w:rFonts w:hint="default"/>
        <w:lang w:val="fr-FR" w:eastAsia="fr-FR" w:bidi="fr-FR"/>
      </w:rPr>
    </w:lvl>
    <w:lvl w:ilvl="4">
      <w:start w:val="0"/>
      <w:numFmt w:val="bullet"/>
      <w:lvlText w:val="•"/>
      <w:lvlJc w:val="left"/>
      <w:pPr>
        <w:ind w:left="3240" w:hanging="284"/>
      </w:pPr>
      <w:rPr>
        <w:rFonts w:hint="default"/>
        <w:lang w:val="fr-FR" w:eastAsia="fr-FR" w:bidi="fr-FR"/>
      </w:rPr>
    </w:lvl>
    <w:lvl w:ilvl="5">
      <w:start w:val="0"/>
      <w:numFmt w:val="bullet"/>
      <w:lvlText w:val="•"/>
      <w:lvlJc w:val="left"/>
      <w:pPr>
        <w:ind w:left="3945" w:hanging="284"/>
      </w:pPr>
      <w:rPr>
        <w:rFonts w:hint="default"/>
        <w:lang w:val="fr-FR" w:eastAsia="fr-FR" w:bidi="fr-FR"/>
      </w:rPr>
    </w:lvl>
    <w:lvl w:ilvl="6">
      <w:start w:val="0"/>
      <w:numFmt w:val="bullet"/>
      <w:lvlText w:val="•"/>
      <w:lvlJc w:val="left"/>
      <w:pPr>
        <w:ind w:left="4650" w:hanging="284"/>
      </w:pPr>
      <w:rPr>
        <w:rFonts w:hint="default"/>
        <w:lang w:val="fr-FR" w:eastAsia="fr-FR" w:bidi="fr-FR"/>
      </w:rPr>
    </w:lvl>
    <w:lvl w:ilvl="7">
      <w:start w:val="0"/>
      <w:numFmt w:val="bullet"/>
      <w:lvlText w:val="•"/>
      <w:lvlJc w:val="left"/>
      <w:pPr>
        <w:ind w:left="5355" w:hanging="284"/>
      </w:pPr>
      <w:rPr>
        <w:rFonts w:hint="default"/>
        <w:lang w:val="fr-FR" w:eastAsia="fr-FR" w:bidi="fr-FR"/>
      </w:rPr>
    </w:lvl>
    <w:lvl w:ilvl="8">
      <w:start w:val="0"/>
      <w:numFmt w:val="bullet"/>
      <w:lvlText w:val="•"/>
      <w:lvlJc w:val="left"/>
      <w:pPr>
        <w:ind w:left="6060" w:hanging="284"/>
      </w:pPr>
      <w:rPr>
        <w:rFonts w:hint="default"/>
        <w:lang w:val="fr-FR" w:eastAsia="fr-FR" w:bidi="fr-FR"/>
      </w:rPr>
    </w:lvl>
  </w:abstractNum>
  <w:abstractNum w:abstractNumId="100">
    <w:multiLevelType w:val="hybridMultilevel"/>
    <w:lvl w:ilvl="0">
      <w:start w:val="0"/>
      <w:numFmt w:val="bullet"/>
      <w:lvlText w:val="-"/>
      <w:lvlJc w:val="left"/>
      <w:pPr>
        <w:ind w:left="457" w:hanging="284"/>
      </w:pPr>
      <w:rPr>
        <w:rFonts w:hint="default" w:ascii="Times New Roman" w:hAnsi="Times New Roman" w:eastAsia="Times New Roman" w:cs="Times New Roman"/>
        <w:spacing w:val="-2"/>
        <w:w w:val="99"/>
        <w:sz w:val="24"/>
        <w:szCs w:val="24"/>
        <w:lang w:val="fr-FR" w:eastAsia="fr-FR" w:bidi="fr-FR"/>
      </w:rPr>
    </w:lvl>
    <w:lvl w:ilvl="1">
      <w:start w:val="0"/>
      <w:numFmt w:val="bullet"/>
      <w:lvlText w:val="•"/>
      <w:lvlJc w:val="left"/>
      <w:pPr>
        <w:ind w:left="1161" w:hanging="284"/>
      </w:pPr>
      <w:rPr>
        <w:rFonts w:hint="default"/>
        <w:lang w:val="fr-FR" w:eastAsia="fr-FR" w:bidi="fr-FR"/>
      </w:rPr>
    </w:lvl>
    <w:lvl w:ilvl="2">
      <w:start w:val="0"/>
      <w:numFmt w:val="bullet"/>
      <w:lvlText w:val="•"/>
      <w:lvlJc w:val="left"/>
      <w:pPr>
        <w:ind w:left="1862" w:hanging="284"/>
      </w:pPr>
      <w:rPr>
        <w:rFonts w:hint="default"/>
        <w:lang w:val="fr-FR" w:eastAsia="fr-FR" w:bidi="fr-FR"/>
      </w:rPr>
    </w:lvl>
    <w:lvl w:ilvl="3">
      <w:start w:val="0"/>
      <w:numFmt w:val="bullet"/>
      <w:lvlText w:val="•"/>
      <w:lvlJc w:val="left"/>
      <w:pPr>
        <w:ind w:left="2563" w:hanging="284"/>
      </w:pPr>
      <w:rPr>
        <w:rFonts w:hint="default"/>
        <w:lang w:val="fr-FR" w:eastAsia="fr-FR" w:bidi="fr-FR"/>
      </w:rPr>
    </w:lvl>
    <w:lvl w:ilvl="4">
      <w:start w:val="0"/>
      <w:numFmt w:val="bullet"/>
      <w:lvlText w:val="•"/>
      <w:lvlJc w:val="left"/>
      <w:pPr>
        <w:ind w:left="3264" w:hanging="284"/>
      </w:pPr>
      <w:rPr>
        <w:rFonts w:hint="default"/>
        <w:lang w:val="fr-FR" w:eastAsia="fr-FR" w:bidi="fr-FR"/>
      </w:rPr>
    </w:lvl>
    <w:lvl w:ilvl="5">
      <w:start w:val="0"/>
      <w:numFmt w:val="bullet"/>
      <w:lvlText w:val="•"/>
      <w:lvlJc w:val="left"/>
      <w:pPr>
        <w:ind w:left="3965" w:hanging="284"/>
      </w:pPr>
      <w:rPr>
        <w:rFonts w:hint="default"/>
        <w:lang w:val="fr-FR" w:eastAsia="fr-FR" w:bidi="fr-FR"/>
      </w:rPr>
    </w:lvl>
    <w:lvl w:ilvl="6">
      <w:start w:val="0"/>
      <w:numFmt w:val="bullet"/>
      <w:lvlText w:val="•"/>
      <w:lvlJc w:val="left"/>
      <w:pPr>
        <w:ind w:left="4666" w:hanging="284"/>
      </w:pPr>
      <w:rPr>
        <w:rFonts w:hint="default"/>
        <w:lang w:val="fr-FR" w:eastAsia="fr-FR" w:bidi="fr-FR"/>
      </w:rPr>
    </w:lvl>
    <w:lvl w:ilvl="7">
      <w:start w:val="0"/>
      <w:numFmt w:val="bullet"/>
      <w:lvlText w:val="•"/>
      <w:lvlJc w:val="left"/>
      <w:pPr>
        <w:ind w:left="5367" w:hanging="284"/>
      </w:pPr>
      <w:rPr>
        <w:rFonts w:hint="default"/>
        <w:lang w:val="fr-FR" w:eastAsia="fr-FR" w:bidi="fr-FR"/>
      </w:rPr>
    </w:lvl>
    <w:lvl w:ilvl="8">
      <w:start w:val="0"/>
      <w:numFmt w:val="bullet"/>
      <w:lvlText w:val="•"/>
      <w:lvlJc w:val="left"/>
      <w:pPr>
        <w:ind w:left="6068" w:hanging="284"/>
      </w:pPr>
      <w:rPr>
        <w:rFonts w:hint="default"/>
        <w:lang w:val="fr-FR" w:eastAsia="fr-FR" w:bidi="fr-FR"/>
      </w:rPr>
    </w:lvl>
  </w:abstractNum>
  <w:abstractNum w:abstractNumId="99">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840" w:hanging="284"/>
      </w:pPr>
      <w:rPr>
        <w:rFonts w:hint="default"/>
        <w:lang w:val="fr-FR" w:eastAsia="fr-FR" w:bidi="fr-FR"/>
      </w:rPr>
    </w:lvl>
    <w:lvl w:ilvl="2">
      <w:start w:val="0"/>
      <w:numFmt w:val="bullet"/>
      <w:lvlText w:val="•"/>
      <w:lvlJc w:val="left"/>
      <w:pPr>
        <w:ind w:left="1576" w:hanging="284"/>
      </w:pPr>
      <w:rPr>
        <w:rFonts w:hint="default"/>
        <w:lang w:val="fr-FR" w:eastAsia="fr-FR" w:bidi="fr-FR"/>
      </w:rPr>
    </w:lvl>
    <w:lvl w:ilvl="3">
      <w:start w:val="0"/>
      <w:numFmt w:val="bullet"/>
      <w:lvlText w:val="•"/>
      <w:lvlJc w:val="left"/>
      <w:pPr>
        <w:ind w:left="2313" w:hanging="284"/>
      </w:pPr>
      <w:rPr>
        <w:rFonts w:hint="default"/>
        <w:lang w:val="fr-FR" w:eastAsia="fr-FR" w:bidi="fr-FR"/>
      </w:rPr>
    </w:lvl>
    <w:lvl w:ilvl="4">
      <w:start w:val="0"/>
      <w:numFmt w:val="bullet"/>
      <w:lvlText w:val="•"/>
      <w:lvlJc w:val="left"/>
      <w:pPr>
        <w:ind w:left="3050" w:hanging="284"/>
      </w:pPr>
      <w:rPr>
        <w:rFonts w:hint="default"/>
        <w:lang w:val="fr-FR" w:eastAsia="fr-FR" w:bidi="fr-FR"/>
      </w:rPr>
    </w:lvl>
    <w:lvl w:ilvl="5">
      <w:start w:val="0"/>
      <w:numFmt w:val="bullet"/>
      <w:lvlText w:val="•"/>
      <w:lvlJc w:val="left"/>
      <w:pPr>
        <w:ind w:left="3787" w:hanging="284"/>
      </w:pPr>
      <w:rPr>
        <w:rFonts w:hint="default"/>
        <w:lang w:val="fr-FR" w:eastAsia="fr-FR" w:bidi="fr-FR"/>
      </w:rPr>
    </w:lvl>
    <w:lvl w:ilvl="6">
      <w:start w:val="0"/>
      <w:numFmt w:val="bullet"/>
      <w:lvlText w:val="•"/>
      <w:lvlJc w:val="left"/>
      <w:pPr>
        <w:ind w:left="4523" w:hanging="284"/>
      </w:pPr>
      <w:rPr>
        <w:rFonts w:hint="default"/>
        <w:lang w:val="fr-FR" w:eastAsia="fr-FR" w:bidi="fr-FR"/>
      </w:rPr>
    </w:lvl>
    <w:lvl w:ilvl="7">
      <w:start w:val="0"/>
      <w:numFmt w:val="bullet"/>
      <w:lvlText w:val="•"/>
      <w:lvlJc w:val="left"/>
      <w:pPr>
        <w:ind w:left="5260" w:hanging="284"/>
      </w:pPr>
      <w:rPr>
        <w:rFonts w:hint="default"/>
        <w:lang w:val="fr-FR" w:eastAsia="fr-FR" w:bidi="fr-FR"/>
      </w:rPr>
    </w:lvl>
    <w:lvl w:ilvl="8">
      <w:start w:val="0"/>
      <w:numFmt w:val="bullet"/>
      <w:lvlText w:val="•"/>
      <w:lvlJc w:val="left"/>
      <w:pPr>
        <w:ind w:left="5997" w:hanging="284"/>
      </w:pPr>
      <w:rPr>
        <w:rFonts w:hint="default"/>
        <w:lang w:val="fr-FR" w:eastAsia="fr-FR" w:bidi="fr-FR"/>
      </w:rPr>
    </w:lvl>
  </w:abstractNum>
  <w:abstractNum w:abstractNumId="98">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1139" w:hanging="284"/>
      </w:pPr>
      <w:rPr>
        <w:rFonts w:hint="default"/>
        <w:lang w:val="fr-FR" w:eastAsia="fr-FR" w:bidi="fr-FR"/>
      </w:rPr>
    </w:lvl>
    <w:lvl w:ilvl="2">
      <w:start w:val="0"/>
      <w:numFmt w:val="bullet"/>
      <w:lvlText w:val="•"/>
      <w:lvlJc w:val="left"/>
      <w:pPr>
        <w:ind w:left="1858" w:hanging="284"/>
      </w:pPr>
      <w:rPr>
        <w:rFonts w:hint="default"/>
        <w:lang w:val="fr-FR" w:eastAsia="fr-FR" w:bidi="fr-FR"/>
      </w:rPr>
    </w:lvl>
    <w:lvl w:ilvl="3">
      <w:start w:val="0"/>
      <w:numFmt w:val="bullet"/>
      <w:lvlText w:val="•"/>
      <w:lvlJc w:val="left"/>
      <w:pPr>
        <w:ind w:left="2577" w:hanging="284"/>
      </w:pPr>
      <w:rPr>
        <w:rFonts w:hint="default"/>
        <w:lang w:val="fr-FR" w:eastAsia="fr-FR" w:bidi="fr-FR"/>
      </w:rPr>
    </w:lvl>
    <w:lvl w:ilvl="4">
      <w:start w:val="0"/>
      <w:numFmt w:val="bullet"/>
      <w:lvlText w:val="•"/>
      <w:lvlJc w:val="left"/>
      <w:pPr>
        <w:ind w:left="3297" w:hanging="284"/>
      </w:pPr>
      <w:rPr>
        <w:rFonts w:hint="default"/>
        <w:lang w:val="fr-FR" w:eastAsia="fr-FR" w:bidi="fr-FR"/>
      </w:rPr>
    </w:lvl>
    <w:lvl w:ilvl="5">
      <w:start w:val="0"/>
      <w:numFmt w:val="bullet"/>
      <w:lvlText w:val="•"/>
      <w:lvlJc w:val="left"/>
      <w:pPr>
        <w:ind w:left="4016" w:hanging="284"/>
      </w:pPr>
      <w:rPr>
        <w:rFonts w:hint="default"/>
        <w:lang w:val="fr-FR" w:eastAsia="fr-FR" w:bidi="fr-FR"/>
      </w:rPr>
    </w:lvl>
    <w:lvl w:ilvl="6">
      <w:start w:val="0"/>
      <w:numFmt w:val="bullet"/>
      <w:lvlText w:val="•"/>
      <w:lvlJc w:val="left"/>
      <w:pPr>
        <w:ind w:left="4735" w:hanging="284"/>
      </w:pPr>
      <w:rPr>
        <w:rFonts w:hint="default"/>
        <w:lang w:val="fr-FR" w:eastAsia="fr-FR" w:bidi="fr-FR"/>
      </w:rPr>
    </w:lvl>
    <w:lvl w:ilvl="7">
      <w:start w:val="0"/>
      <w:numFmt w:val="bullet"/>
      <w:lvlText w:val="•"/>
      <w:lvlJc w:val="left"/>
      <w:pPr>
        <w:ind w:left="5455" w:hanging="284"/>
      </w:pPr>
      <w:rPr>
        <w:rFonts w:hint="default"/>
        <w:lang w:val="fr-FR" w:eastAsia="fr-FR" w:bidi="fr-FR"/>
      </w:rPr>
    </w:lvl>
    <w:lvl w:ilvl="8">
      <w:start w:val="0"/>
      <w:numFmt w:val="bullet"/>
      <w:lvlText w:val="•"/>
      <w:lvlJc w:val="left"/>
      <w:pPr>
        <w:ind w:left="6174" w:hanging="284"/>
      </w:pPr>
      <w:rPr>
        <w:rFonts w:hint="default"/>
        <w:lang w:val="fr-FR" w:eastAsia="fr-FR" w:bidi="fr-FR"/>
      </w:rPr>
    </w:lvl>
  </w:abstractNum>
  <w:abstractNum w:abstractNumId="97">
    <w:multiLevelType w:val="hybridMultilevel"/>
    <w:lvl w:ilvl="0">
      <w:start w:val="0"/>
      <w:numFmt w:val="bullet"/>
      <w:lvlText w:val="-"/>
      <w:lvlJc w:val="left"/>
      <w:pPr>
        <w:ind w:left="458" w:hanging="284"/>
      </w:pPr>
      <w:rPr>
        <w:rFonts w:hint="default" w:ascii="Times New Roman" w:hAnsi="Times New Roman" w:eastAsia="Times New Roman" w:cs="Times New Roman"/>
        <w:spacing w:val="-2"/>
        <w:w w:val="99"/>
        <w:sz w:val="24"/>
        <w:szCs w:val="24"/>
        <w:lang w:val="fr-FR" w:eastAsia="fr-FR" w:bidi="fr-FR"/>
      </w:rPr>
    </w:lvl>
    <w:lvl w:ilvl="1">
      <w:start w:val="0"/>
      <w:numFmt w:val="bullet"/>
      <w:lvlText w:val="•"/>
      <w:lvlJc w:val="left"/>
      <w:pPr>
        <w:ind w:left="1175" w:hanging="284"/>
      </w:pPr>
      <w:rPr>
        <w:rFonts w:hint="default"/>
        <w:lang w:val="fr-FR" w:eastAsia="fr-FR" w:bidi="fr-FR"/>
      </w:rPr>
    </w:lvl>
    <w:lvl w:ilvl="2">
      <w:start w:val="0"/>
      <w:numFmt w:val="bullet"/>
      <w:lvlText w:val="•"/>
      <w:lvlJc w:val="left"/>
      <w:pPr>
        <w:ind w:left="1890" w:hanging="284"/>
      </w:pPr>
      <w:rPr>
        <w:rFonts w:hint="default"/>
        <w:lang w:val="fr-FR" w:eastAsia="fr-FR" w:bidi="fr-FR"/>
      </w:rPr>
    </w:lvl>
    <w:lvl w:ilvl="3">
      <w:start w:val="0"/>
      <w:numFmt w:val="bullet"/>
      <w:lvlText w:val="•"/>
      <w:lvlJc w:val="left"/>
      <w:pPr>
        <w:ind w:left="2605" w:hanging="284"/>
      </w:pPr>
      <w:rPr>
        <w:rFonts w:hint="default"/>
        <w:lang w:val="fr-FR" w:eastAsia="fr-FR" w:bidi="fr-FR"/>
      </w:rPr>
    </w:lvl>
    <w:lvl w:ilvl="4">
      <w:start w:val="0"/>
      <w:numFmt w:val="bullet"/>
      <w:lvlText w:val="•"/>
      <w:lvlJc w:val="left"/>
      <w:pPr>
        <w:ind w:left="3321" w:hanging="284"/>
      </w:pPr>
      <w:rPr>
        <w:rFonts w:hint="default"/>
        <w:lang w:val="fr-FR" w:eastAsia="fr-FR" w:bidi="fr-FR"/>
      </w:rPr>
    </w:lvl>
    <w:lvl w:ilvl="5">
      <w:start w:val="0"/>
      <w:numFmt w:val="bullet"/>
      <w:lvlText w:val="•"/>
      <w:lvlJc w:val="left"/>
      <w:pPr>
        <w:ind w:left="4036" w:hanging="284"/>
      </w:pPr>
      <w:rPr>
        <w:rFonts w:hint="default"/>
        <w:lang w:val="fr-FR" w:eastAsia="fr-FR" w:bidi="fr-FR"/>
      </w:rPr>
    </w:lvl>
    <w:lvl w:ilvl="6">
      <w:start w:val="0"/>
      <w:numFmt w:val="bullet"/>
      <w:lvlText w:val="•"/>
      <w:lvlJc w:val="left"/>
      <w:pPr>
        <w:ind w:left="4751" w:hanging="284"/>
      </w:pPr>
      <w:rPr>
        <w:rFonts w:hint="default"/>
        <w:lang w:val="fr-FR" w:eastAsia="fr-FR" w:bidi="fr-FR"/>
      </w:rPr>
    </w:lvl>
    <w:lvl w:ilvl="7">
      <w:start w:val="0"/>
      <w:numFmt w:val="bullet"/>
      <w:lvlText w:val="•"/>
      <w:lvlJc w:val="left"/>
      <w:pPr>
        <w:ind w:left="5467" w:hanging="284"/>
      </w:pPr>
      <w:rPr>
        <w:rFonts w:hint="default"/>
        <w:lang w:val="fr-FR" w:eastAsia="fr-FR" w:bidi="fr-FR"/>
      </w:rPr>
    </w:lvl>
    <w:lvl w:ilvl="8">
      <w:start w:val="0"/>
      <w:numFmt w:val="bullet"/>
      <w:lvlText w:val="•"/>
      <w:lvlJc w:val="left"/>
      <w:pPr>
        <w:ind w:left="6182" w:hanging="284"/>
      </w:pPr>
      <w:rPr>
        <w:rFonts w:hint="default"/>
        <w:lang w:val="fr-FR" w:eastAsia="fr-FR" w:bidi="fr-FR"/>
      </w:rPr>
    </w:lvl>
  </w:abstractNum>
  <w:abstractNum w:abstractNumId="96">
    <w:multiLevelType w:val="hybridMultilevel"/>
    <w:lvl w:ilvl="0">
      <w:start w:val="0"/>
      <w:numFmt w:val="bullet"/>
      <w:lvlText w:val=""/>
      <w:lvlJc w:val="left"/>
      <w:pPr>
        <w:ind w:left="674" w:hanging="558"/>
      </w:pPr>
      <w:rPr>
        <w:rFonts w:hint="default" w:ascii="Symbol" w:hAnsi="Symbol" w:eastAsia="Symbol" w:cs="Symbol"/>
        <w:w w:val="100"/>
        <w:sz w:val="24"/>
        <w:szCs w:val="24"/>
        <w:lang w:val="fr-FR" w:eastAsia="fr-FR" w:bidi="fr-FR"/>
      </w:rPr>
    </w:lvl>
    <w:lvl w:ilvl="1">
      <w:start w:val="0"/>
      <w:numFmt w:val="bullet"/>
      <w:lvlText w:val="•"/>
      <w:lvlJc w:val="left"/>
      <w:pPr>
        <w:ind w:left="1373" w:hanging="558"/>
      </w:pPr>
      <w:rPr>
        <w:rFonts w:hint="default"/>
        <w:lang w:val="fr-FR" w:eastAsia="fr-FR" w:bidi="fr-FR"/>
      </w:rPr>
    </w:lvl>
    <w:lvl w:ilvl="2">
      <w:start w:val="0"/>
      <w:numFmt w:val="bullet"/>
      <w:lvlText w:val="•"/>
      <w:lvlJc w:val="left"/>
      <w:pPr>
        <w:ind w:left="2066" w:hanging="558"/>
      </w:pPr>
      <w:rPr>
        <w:rFonts w:hint="default"/>
        <w:lang w:val="fr-FR" w:eastAsia="fr-FR" w:bidi="fr-FR"/>
      </w:rPr>
    </w:lvl>
    <w:lvl w:ilvl="3">
      <w:start w:val="0"/>
      <w:numFmt w:val="bullet"/>
      <w:lvlText w:val="•"/>
      <w:lvlJc w:val="left"/>
      <w:pPr>
        <w:ind w:left="2759" w:hanging="558"/>
      </w:pPr>
      <w:rPr>
        <w:rFonts w:hint="default"/>
        <w:lang w:val="fr-FR" w:eastAsia="fr-FR" w:bidi="fr-FR"/>
      </w:rPr>
    </w:lvl>
    <w:lvl w:ilvl="4">
      <w:start w:val="0"/>
      <w:numFmt w:val="bullet"/>
      <w:lvlText w:val="•"/>
      <w:lvlJc w:val="left"/>
      <w:pPr>
        <w:ind w:left="3453" w:hanging="558"/>
      </w:pPr>
      <w:rPr>
        <w:rFonts w:hint="default"/>
        <w:lang w:val="fr-FR" w:eastAsia="fr-FR" w:bidi="fr-FR"/>
      </w:rPr>
    </w:lvl>
    <w:lvl w:ilvl="5">
      <w:start w:val="0"/>
      <w:numFmt w:val="bullet"/>
      <w:lvlText w:val="•"/>
      <w:lvlJc w:val="left"/>
      <w:pPr>
        <w:ind w:left="4146" w:hanging="558"/>
      </w:pPr>
      <w:rPr>
        <w:rFonts w:hint="default"/>
        <w:lang w:val="fr-FR" w:eastAsia="fr-FR" w:bidi="fr-FR"/>
      </w:rPr>
    </w:lvl>
    <w:lvl w:ilvl="6">
      <w:start w:val="0"/>
      <w:numFmt w:val="bullet"/>
      <w:lvlText w:val="•"/>
      <w:lvlJc w:val="left"/>
      <w:pPr>
        <w:ind w:left="4839" w:hanging="558"/>
      </w:pPr>
      <w:rPr>
        <w:rFonts w:hint="default"/>
        <w:lang w:val="fr-FR" w:eastAsia="fr-FR" w:bidi="fr-FR"/>
      </w:rPr>
    </w:lvl>
    <w:lvl w:ilvl="7">
      <w:start w:val="0"/>
      <w:numFmt w:val="bullet"/>
      <w:lvlText w:val="•"/>
      <w:lvlJc w:val="left"/>
      <w:pPr>
        <w:ind w:left="5533" w:hanging="558"/>
      </w:pPr>
      <w:rPr>
        <w:rFonts w:hint="default"/>
        <w:lang w:val="fr-FR" w:eastAsia="fr-FR" w:bidi="fr-FR"/>
      </w:rPr>
    </w:lvl>
    <w:lvl w:ilvl="8">
      <w:start w:val="0"/>
      <w:numFmt w:val="bullet"/>
      <w:lvlText w:val="•"/>
      <w:lvlJc w:val="left"/>
      <w:pPr>
        <w:ind w:left="6226" w:hanging="558"/>
      </w:pPr>
      <w:rPr>
        <w:rFonts w:hint="default"/>
        <w:lang w:val="fr-FR" w:eastAsia="fr-FR" w:bidi="fr-FR"/>
      </w:rPr>
    </w:lvl>
  </w:abstractNum>
  <w:abstractNum w:abstractNumId="95">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68" w:hanging="284"/>
      </w:pPr>
      <w:rPr>
        <w:rFonts w:hint="default"/>
        <w:lang w:val="fr-FR" w:eastAsia="fr-FR" w:bidi="fr-FR"/>
      </w:rPr>
    </w:lvl>
    <w:lvl w:ilvl="2">
      <w:start w:val="0"/>
      <w:numFmt w:val="bullet"/>
      <w:lvlText w:val="•"/>
      <w:lvlJc w:val="left"/>
      <w:pPr>
        <w:ind w:left="1916" w:hanging="284"/>
      </w:pPr>
      <w:rPr>
        <w:rFonts w:hint="default"/>
        <w:lang w:val="fr-FR" w:eastAsia="fr-FR" w:bidi="fr-FR"/>
      </w:rPr>
    </w:lvl>
    <w:lvl w:ilvl="3">
      <w:start w:val="0"/>
      <w:numFmt w:val="bullet"/>
      <w:lvlText w:val="•"/>
      <w:lvlJc w:val="left"/>
      <w:pPr>
        <w:ind w:left="2664" w:hanging="284"/>
      </w:pPr>
      <w:rPr>
        <w:rFonts w:hint="default"/>
        <w:lang w:val="fr-FR" w:eastAsia="fr-FR" w:bidi="fr-FR"/>
      </w:rPr>
    </w:lvl>
    <w:lvl w:ilvl="4">
      <w:start w:val="0"/>
      <w:numFmt w:val="bullet"/>
      <w:lvlText w:val="•"/>
      <w:lvlJc w:val="left"/>
      <w:pPr>
        <w:ind w:left="3413" w:hanging="284"/>
      </w:pPr>
      <w:rPr>
        <w:rFonts w:hint="default"/>
        <w:lang w:val="fr-FR" w:eastAsia="fr-FR" w:bidi="fr-FR"/>
      </w:rPr>
    </w:lvl>
    <w:lvl w:ilvl="5">
      <w:start w:val="0"/>
      <w:numFmt w:val="bullet"/>
      <w:lvlText w:val="•"/>
      <w:lvlJc w:val="left"/>
      <w:pPr>
        <w:ind w:left="4161" w:hanging="284"/>
      </w:pPr>
      <w:rPr>
        <w:rFonts w:hint="default"/>
        <w:lang w:val="fr-FR" w:eastAsia="fr-FR" w:bidi="fr-FR"/>
      </w:rPr>
    </w:lvl>
    <w:lvl w:ilvl="6">
      <w:start w:val="0"/>
      <w:numFmt w:val="bullet"/>
      <w:lvlText w:val="•"/>
      <w:lvlJc w:val="left"/>
      <w:pPr>
        <w:ind w:left="4909" w:hanging="284"/>
      </w:pPr>
      <w:rPr>
        <w:rFonts w:hint="default"/>
        <w:lang w:val="fr-FR" w:eastAsia="fr-FR" w:bidi="fr-FR"/>
      </w:rPr>
    </w:lvl>
    <w:lvl w:ilvl="7">
      <w:start w:val="0"/>
      <w:numFmt w:val="bullet"/>
      <w:lvlText w:val="•"/>
      <w:lvlJc w:val="left"/>
      <w:pPr>
        <w:ind w:left="5658" w:hanging="284"/>
      </w:pPr>
      <w:rPr>
        <w:rFonts w:hint="default"/>
        <w:lang w:val="fr-FR" w:eastAsia="fr-FR" w:bidi="fr-FR"/>
      </w:rPr>
    </w:lvl>
    <w:lvl w:ilvl="8">
      <w:start w:val="0"/>
      <w:numFmt w:val="bullet"/>
      <w:lvlText w:val="•"/>
      <w:lvlJc w:val="left"/>
      <w:pPr>
        <w:ind w:left="6406" w:hanging="284"/>
      </w:pPr>
      <w:rPr>
        <w:rFonts w:hint="default"/>
        <w:lang w:val="fr-FR" w:eastAsia="fr-FR" w:bidi="fr-FR"/>
      </w:rPr>
    </w:lvl>
  </w:abstractNum>
  <w:abstractNum w:abstractNumId="94">
    <w:multiLevelType w:val="hybridMultilevel"/>
    <w:lvl w:ilvl="0">
      <w:start w:val="0"/>
      <w:numFmt w:val="bullet"/>
      <w:lvlText w:val=""/>
      <w:lvlJc w:val="left"/>
      <w:pPr>
        <w:ind w:left="839" w:hanging="360"/>
      </w:pPr>
      <w:rPr>
        <w:rFonts w:hint="default" w:ascii="Symbol" w:hAnsi="Symbol" w:eastAsia="Symbol" w:cs="Symbol"/>
        <w:w w:val="100"/>
        <w:sz w:val="24"/>
        <w:szCs w:val="24"/>
        <w:lang w:val="fr-FR" w:eastAsia="fr-FR" w:bidi="fr-FR"/>
      </w:rPr>
    </w:lvl>
    <w:lvl w:ilvl="1">
      <w:start w:val="0"/>
      <w:numFmt w:val="bullet"/>
      <w:lvlText w:val="•"/>
      <w:lvlJc w:val="left"/>
      <w:pPr>
        <w:ind w:left="1546" w:hanging="360"/>
      </w:pPr>
      <w:rPr>
        <w:rFonts w:hint="default"/>
        <w:lang w:val="fr-FR" w:eastAsia="fr-FR" w:bidi="fr-FR"/>
      </w:rPr>
    </w:lvl>
    <w:lvl w:ilvl="2">
      <w:start w:val="0"/>
      <w:numFmt w:val="bullet"/>
      <w:lvlText w:val="•"/>
      <w:lvlJc w:val="left"/>
      <w:pPr>
        <w:ind w:left="2252" w:hanging="360"/>
      </w:pPr>
      <w:rPr>
        <w:rFonts w:hint="default"/>
        <w:lang w:val="fr-FR" w:eastAsia="fr-FR" w:bidi="fr-FR"/>
      </w:rPr>
    </w:lvl>
    <w:lvl w:ilvl="3">
      <w:start w:val="0"/>
      <w:numFmt w:val="bullet"/>
      <w:lvlText w:val="•"/>
      <w:lvlJc w:val="left"/>
      <w:pPr>
        <w:ind w:left="2958" w:hanging="360"/>
      </w:pPr>
      <w:rPr>
        <w:rFonts w:hint="default"/>
        <w:lang w:val="fr-FR" w:eastAsia="fr-FR" w:bidi="fr-FR"/>
      </w:rPr>
    </w:lvl>
    <w:lvl w:ilvl="4">
      <w:start w:val="0"/>
      <w:numFmt w:val="bullet"/>
      <w:lvlText w:val="•"/>
      <w:lvlJc w:val="left"/>
      <w:pPr>
        <w:ind w:left="3665" w:hanging="360"/>
      </w:pPr>
      <w:rPr>
        <w:rFonts w:hint="default"/>
        <w:lang w:val="fr-FR" w:eastAsia="fr-FR" w:bidi="fr-FR"/>
      </w:rPr>
    </w:lvl>
    <w:lvl w:ilvl="5">
      <w:start w:val="0"/>
      <w:numFmt w:val="bullet"/>
      <w:lvlText w:val="•"/>
      <w:lvlJc w:val="left"/>
      <w:pPr>
        <w:ind w:left="4371" w:hanging="360"/>
      </w:pPr>
      <w:rPr>
        <w:rFonts w:hint="default"/>
        <w:lang w:val="fr-FR" w:eastAsia="fr-FR" w:bidi="fr-FR"/>
      </w:rPr>
    </w:lvl>
    <w:lvl w:ilvl="6">
      <w:start w:val="0"/>
      <w:numFmt w:val="bullet"/>
      <w:lvlText w:val="•"/>
      <w:lvlJc w:val="left"/>
      <w:pPr>
        <w:ind w:left="5077" w:hanging="360"/>
      </w:pPr>
      <w:rPr>
        <w:rFonts w:hint="default"/>
        <w:lang w:val="fr-FR" w:eastAsia="fr-FR" w:bidi="fr-FR"/>
      </w:rPr>
    </w:lvl>
    <w:lvl w:ilvl="7">
      <w:start w:val="0"/>
      <w:numFmt w:val="bullet"/>
      <w:lvlText w:val="•"/>
      <w:lvlJc w:val="left"/>
      <w:pPr>
        <w:ind w:left="5784" w:hanging="360"/>
      </w:pPr>
      <w:rPr>
        <w:rFonts w:hint="default"/>
        <w:lang w:val="fr-FR" w:eastAsia="fr-FR" w:bidi="fr-FR"/>
      </w:rPr>
    </w:lvl>
    <w:lvl w:ilvl="8">
      <w:start w:val="0"/>
      <w:numFmt w:val="bullet"/>
      <w:lvlText w:val="•"/>
      <w:lvlJc w:val="left"/>
      <w:pPr>
        <w:ind w:left="6490" w:hanging="360"/>
      </w:pPr>
      <w:rPr>
        <w:rFonts w:hint="default"/>
        <w:lang w:val="fr-FR" w:eastAsia="fr-FR" w:bidi="fr-FR"/>
      </w:rPr>
    </w:lvl>
  </w:abstractNum>
  <w:abstractNum w:abstractNumId="93">
    <w:multiLevelType w:val="hybridMultilevel"/>
    <w:lvl w:ilvl="0">
      <w:start w:val="3"/>
      <w:numFmt w:val="upperRoman"/>
      <w:lvlText w:val="%1"/>
      <w:lvlJc w:val="left"/>
      <w:pPr>
        <w:ind w:left="1112" w:hanging="680"/>
        <w:jc w:val="left"/>
      </w:pPr>
      <w:rPr>
        <w:rFonts w:hint="default"/>
        <w:lang w:val="fr-FR" w:eastAsia="fr-FR" w:bidi="fr-FR"/>
      </w:rPr>
    </w:lvl>
    <w:lvl w:ilvl="1">
      <w:start w:val="1"/>
      <w:numFmt w:val="decimal"/>
      <w:lvlText w:val="%1.%2."/>
      <w:lvlJc w:val="left"/>
      <w:pPr>
        <w:ind w:left="1112" w:hanging="680"/>
        <w:jc w:val="left"/>
      </w:pPr>
      <w:rPr>
        <w:rFonts w:hint="default" w:ascii="Times New Roman" w:hAnsi="Times New Roman" w:eastAsia="Times New Roman" w:cs="Times New Roman"/>
        <w:b/>
        <w:bCs/>
        <w:spacing w:val="-2"/>
        <w:w w:val="100"/>
        <w:sz w:val="28"/>
        <w:szCs w:val="28"/>
        <w:lang w:val="fr-FR" w:eastAsia="fr-FR" w:bidi="fr-FR"/>
      </w:rPr>
    </w:lvl>
    <w:lvl w:ilvl="2">
      <w:start w:val="1"/>
      <w:numFmt w:val="decimal"/>
      <w:lvlText w:val="%1.%2.%3."/>
      <w:lvlJc w:val="left"/>
      <w:pPr>
        <w:ind w:left="1321" w:hanging="888"/>
        <w:jc w:val="left"/>
      </w:pPr>
      <w:rPr>
        <w:rFonts w:hint="default" w:ascii="Times New Roman" w:hAnsi="Times New Roman" w:eastAsia="Times New Roman" w:cs="Times New Roman"/>
        <w:b/>
        <w:bCs/>
        <w:spacing w:val="-2"/>
        <w:w w:val="100"/>
        <w:sz w:val="28"/>
        <w:szCs w:val="28"/>
        <w:lang w:val="fr-FR" w:eastAsia="fr-FR" w:bidi="fr-FR"/>
      </w:rPr>
    </w:lvl>
    <w:lvl w:ilvl="3">
      <w:start w:val="0"/>
      <w:numFmt w:val="bullet"/>
      <w:lvlText w:val=""/>
      <w:lvlJc w:val="left"/>
      <w:pPr>
        <w:ind w:left="999" w:hanging="284"/>
      </w:pPr>
      <w:rPr>
        <w:rFonts w:hint="default" w:ascii="Symbol" w:hAnsi="Symbol" w:eastAsia="Symbol" w:cs="Symbol"/>
        <w:w w:val="100"/>
        <w:sz w:val="28"/>
        <w:szCs w:val="28"/>
        <w:lang w:val="fr-FR" w:eastAsia="fr-FR" w:bidi="fr-FR"/>
      </w:rPr>
    </w:lvl>
    <w:lvl w:ilvl="4">
      <w:start w:val="0"/>
      <w:numFmt w:val="bullet"/>
      <w:lvlText w:val="•"/>
      <w:lvlJc w:val="left"/>
      <w:pPr>
        <w:ind w:left="3696" w:hanging="284"/>
      </w:pPr>
      <w:rPr>
        <w:rFonts w:hint="default"/>
        <w:lang w:val="fr-FR" w:eastAsia="fr-FR" w:bidi="fr-FR"/>
      </w:rPr>
    </w:lvl>
    <w:lvl w:ilvl="5">
      <w:start w:val="0"/>
      <w:numFmt w:val="bullet"/>
      <w:lvlText w:val="•"/>
      <w:lvlJc w:val="left"/>
      <w:pPr>
        <w:ind w:left="4884" w:hanging="284"/>
      </w:pPr>
      <w:rPr>
        <w:rFonts w:hint="default"/>
        <w:lang w:val="fr-FR" w:eastAsia="fr-FR" w:bidi="fr-FR"/>
      </w:rPr>
    </w:lvl>
    <w:lvl w:ilvl="6">
      <w:start w:val="0"/>
      <w:numFmt w:val="bullet"/>
      <w:lvlText w:val="•"/>
      <w:lvlJc w:val="left"/>
      <w:pPr>
        <w:ind w:left="6073" w:hanging="284"/>
      </w:pPr>
      <w:rPr>
        <w:rFonts w:hint="default"/>
        <w:lang w:val="fr-FR" w:eastAsia="fr-FR" w:bidi="fr-FR"/>
      </w:rPr>
    </w:lvl>
    <w:lvl w:ilvl="7">
      <w:start w:val="0"/>
      <w:numFmt w:val="bullet"/>
      <w:lvlText w:val="•"/>
      <w:lvlJc w:val="left"/>
      <w:pPr>
        <w:ind w:left="7261" w:hanging="284"/>
      </w:pPr>
      <w:rPr>
        <w:rFonts w:hint="default"/>
        <w:lang w:val="fr-FR" w:eastAsia="fr-FR" w:bidi="fr-FR"/>
      </w:rPr>
    </w:lvl>
    <w:lvl w:ilvl="8">
      <w:start w:val="0"/>
      <w:numFmt w:val="bullet"/>
      <w:lvlText w:val="•"/>
      <w:lvlJc w:val="left"/>
      <w:pPr>
        <w:ind w:left="8449" w:hanging="284"/>
      </w:pPr>
      <w:rPr>
        <w:rFonts w:hint="default"/>
        <w:lang w:val="fr-FR" w:eastAsia="fr-FR" w:bidi="fr-FR"/>
      </w:rPr>
    </w:lvl>
  </w:abstractNum>
  <w:abstractNum w:abstractNumId="92">
    <w:multiLevelType w:val="hybridMultilevel"/>
    <w:lvl w:ilvl="0">
      <w:start w:val="0"/>
      <w:numFmt w:val="bullet"/>
      <w:lvlText w:val="•"/>
      <w:lvlJc w:val="left"/>
      <w:pPr>
        <w:ind w:left="716" w:hanging="284"/>
      </w:pPr>
      <w:rPr>
        <w:rFonts w:hint="default" w:ascii="Arial" w:hAnsi="Arial" w:eastAsia="Arial" w:cs="Arial"/>
        <w:w w:val="100"/>
        <w:sz w:val="28"/>
        <w:szCs w:val="28"/>
        <w:lang w:val="fr-FR" w:eastAsia="fr-FR" w:bidi="fr-FR"/>
      </w:rPr>
    </w:lvl>
    <w:lvl w:ilvl="1">
      <w:start w:val="0"/>
      <w:numFmt w:val="bullet"/>
      <w:lvlText w:val="-"/>
      <w:lvlJc w:val="left"/>
      <w:pPr>
        <w:ind w:left="999" w:hanging="284"/>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91">
    <w:multiLevelType w:val="hybridMultilevel"/>
    <w:lvl w:ilvl="0">
      <w:start w:val="1"/>
      <w:numFmt w:val="upperRoman"/>
      <w:lvlText w:val="%1"/>
      <w:lvlJc w:val="left"/>
      <w:pPr>
        <w:ind w:left="894" w:hanging="461"/>
        <w:jc w:val="left"/>
      </w:pPr>
      <w:rPr>
        <w:rFonts w:hint="default"/>
        <w:lang w:val="fr-FR" w:eastAsia="fr-FR" w:bidi="fr-FR"/>
      </w:rPr>
    </w:lvl>
    <w:lvl w:ilvl="1">
      <w:start w:val="1"/>
      <w:numFmt w:val="decimal"/>
      <w:lvlText w:val="%1.%2."/>
      <w:lvlJc w:val="left"/>
      <w:pPr>
        <w:ind w:left="894" w:hanging="461"/>
        <w:jc w:val="left"/>
      </w:pPr>
      <w:rPr>
        <w:rFonts w:hint="default" w:ascii="Times New Roman" w:hAnsi="Times New Roman" w:eastAsia="Times New Roman" w:cs="Times New Roman"/>
        <w:b/>
        <w:bCs/>
        <w:w w:val="100"/>
        <w:sz w:val="28"/>
        <w:szCs w:val="28"/>
        <w:lang w:val="fr-FR" w:eastAsia="fr-FR" w:bidi="fr-FR"/>
      </w:rPr>
    </w:lvl>
    <w:lvl w:ilvl="2">
      <w:start w:val="0"/>
      <w:numFmt w:val="bullet"/>
      <w:lvlText w:val="•"/>
      <w:lvlJc w:val="left"/>
      <w:pPr>
        <w:ind w:left="1153" w:hanging="360"/>
      </w:pPr>
      <w:rPr>
        <w:rFonts w:hint="default" w:ascii="Arial" w:hAnsi="Arial" w:eastAsia="Arial" w:cs="Arial"/>
        <w:w w:val="100"/>
        <w:sz w:val="28"/>
        <w:szCs w:val="28"/>
        <w:lang w:val="fr-FR" w:eastAsia="fr-FR" w:bidi="fr-FR"/>
      </w:rPr>
    </w:lvl>
    <w:lvl w:ilvl="3">
      <w:start w:val="0"/>
      <w:numFmt w:val="bullet"/>
      <w:lvlText w:val="•"/>
      <w:lvlJc w:val="left"/>
      <w:pPr>
        <w:ind w:left="3308" w:hanging="360"/>
      </w:pPr>
      <w:rPr>
        <w:rFonts w:hint="default"/>
        <w:lang w:val="fr-FR" w:eastAsia="fr-FR" w:bidi="fr-FR"/>
      </w:rPr>
    </w:lvl>
    <w:lvl w:ilvl="4">
      <w:start w:val="0"/>
      <w:numFmt w:val="bullet"/>
      <w:lvlText w:val="•"/>
      <w:lvlJc w:val="left"/>
      <w:pPr>
        <w:ind w:left="4382" w:hanging="360"/>
      </w:pPr>
      <w:rPr>
        <w:rFonts w:hint="default"/>
        <w:lang w:val="fr-FR" w:eastAsia="fr-FR" w:bidi="fr-FR"/>
      </w:rPr>
    </w:lvl>
    <w:lvl w:ilvl="5">
      <w:start w:val="0"/>
      <w:numFmt w:val="bullet"/>
      <w:lvlText w:val="•"/>
      <w:lvlJc w:val="left"/>
      <w:pPr>
        <w:ind w:left="5456" w:hanging="360"/>
      </w:pPr>
      <w:rPr>
        <w:rFonts w:hint="default"/>
        <w:lang w:val="fr-FR" w:eastAsia="fr-FR" w:bidi="fr-FR"/>
      </w:rPr>
    </w:lvl>
    <w:lvl w:ilvl="6">
      <w:start w:val="0"/>
      <w:numFmt w:val="bullet"/>
      <w:lvlText w:val="•"/>
      <w:lvlJc w:val="left"/>
      <w:pPr>
        <w:ind w:left="6530" w:hanging="360"/>
      </w:pPr>
      <w:rPr>
        <w:rFonts w:hint="default"/>
        <w:lang w:val="fr-FR" w:eastAsia="fr-FR" w:bidi="fr-FR"/>
      </w:rPr>
    </w:lvl>
    <w:lvl w:ilvl="7">
      <w:start w:val="0"/>
      <w:numFmt w:val="bullet"/>
      <w:lvlText w:val="•"/>
      <w:lvlJc w:val="left"/>
      <w:pPr>
        <w:ind w:left="7604" w:hanging="360"/>
      </w:pPr>
      <w:rPr>
        <w:rFonts w:hint="default"/>
        <w:lang w:val="fr-FR" w:eastAsia="fr-FR" w:bidi="fr-FR"/>
      </w:rPr>
    </w:lvl>
    <w:lvl w:ilvl="8">
      <w:start w:val="0"/>
      <w:numFmt w:val="bullet"/>
      <w:lvlText w:val="•"/>
      <w:lvlJc w:val="left"/>
      <w:pPr>
        <w:ind w:left="8678" w:hanging="360"/>
      </w:pPr>
      <w:rPr>
        <w:rFonts w:hint="default"/>
        <w:lang w:val="fr-FR" w:eastAsia="fr-FR" w:bidi="fr-FR"/>
      </w:rPr>
    </w:lvl>
  </w:abstractNum>
  <w:abstractNum w:abstractNumId="90">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w w:val="100"/>
        <w:sz w:val="28"/>
        <w:szCs w:val="28"/>
        <w:lang w:val="fr-FR" w:eastAsia="fr-FR" w:bidi="fr-FR"/>
      </w:rPr>
    </w:lvl>
    <w:lvl w:ilvl="1">
      <w:start w:val="0"/>
      <w:numFmt w:val="bullet"/>
      <w:lvlText w:val=""/>
      <w:lvlJc w:val="left"/>
      <w:pPr>
        <w:ind w:left="1436" w:hanging="360"/>
      </w:pPr>
      <w:rPr>
        <w:rFonts w:hint="default" w:ascii="Symbol" w:hAnsi="Symbol" w:eastAsia="Symbol" w:cs="Symbol"/>
        <w:w w:val="100"/>
        <w:sz w:val="28"/>
        <w:szCs w:val="28"/>
        <w:lang w:val="fr-FR" w:eastAsia="fr-FR" w:bidi="fr-FR"/>
      </w:rPr>
    </w:lvl>
    <w:lvl w:ilvl="2">
      <w:start w:val="0"/>
      <w:numFmt w:val="bullet"/>
      <w:lvlText w:val="•"/>
      <w:lvlJc w:val="left"/>
      <w:pPr>
        <w:ind w:left="1440" w:hanging="360"/>
      </w:pPr>
      <w:rPr>
        <w:rFonts w:hint="default"/>
        <w:lang w:val="fr-FR" w:eastAsia="fr-FR" w:bidi="fr-FR"/>
      </w:rPr>
    </w:lvl>
    <w:lvl w:ilvl="3">
      <w:start w:val="0"/>
      <w:numFmt w:val="bullet"/>
      <w:lvlText w:val="•"/>
      <w:lvlJc w:val="left"/>
      <w:pPr>
        <w:ind w:left="2575" w:hanging="360"/>
      </w:pPr>
      <w:rPr>
        <w:rFonts w:hint="default"/>
        <w:lang w:val="fr-FR" w:eastAsia="fr-FR" w:bidi="fr-FR"/>
      </w:rPr>
    </w:lvl>
    <w:lvl w:ilvl="4">
      <w:start w:val="0"/>
      <w:numFmt w:val="bullet"/>
      <w:lvlText w:val="•"/>
      <w:lvlJc w:val="left"/>
      <w:pPr>
        <w:ind w:left="3711" w:hanging="360"/>
      </w:pPr>
      <w:rPr>
        <w:rFonts w:hint="default"/>
        <w:lang w:val="fr-FR" w:eastAsia="fr-FR" w:bidi="fr-FR"/>
      </w:rPr>
    </w:lvl>
    <w:lvl w:ilvl="5">
      <w:start w:val="0"/>
      <w:numFmt w:val="bullet"/>
      <w:lvlText w:val="•"/>
      <w:lvlJc w:val="left"/>
      <w:pPr>
        <w:ind w:left="4847" w:hanging="360"/>
      </w:pPr>
      <w:rPr>
        <w:rFonts w:hint="default"/>
        <w:lang w:val="fr-FR" w:eastAsia="fr-FR" w:bidi="fr-FR"/>
      </w:rPr>
    </w:lvl>
    <w:lvl w:ilvl="6">
      <w:start w:val="0"/>
      <w:numFmt w:val="bullet"/>
      <w:lvlText w:val="•"/>
      <w:lvlJc w:val="left"/>
      <w:pPr>
        <w:ind w:left="5983" w:hanging="360"/>
      </w:pPr>
      <w:rPr>
        <w:rFonts w:hint="default"/>
        <w:lang w:val="fr-FR" w:eastAsia="fr-FR" w:bidi="fr-FR"/>
      </w:rPr>
    </w:lvl>
    <w:lvl w:ilvl="7">
      <w:start w:val="0"/>
      <w:numFmt w:val="bullet"/>
      <w:lvlText w:val="•"/>
      <w:lvlJc w:val="left"/>
      <w:pPr>
        <w:ind w:left="7119" w:hanging="360"/>
      </w:pPr>
      <w:rPr>
        <w:rFonts w:hint="default"/>
        <w:lang w:val="fr-FR" w:eastAsia="fr-FR" w:bidi="fr-FR"/>
      </w:rPr>
    </w:lvl>
    <w:lvl w:ilvl="8">
      <w:start w:val="0"/>
      <w:numFmt w:val="bullet"/>
      <w:lvlText w:val="•"/>
      <w:lvlJc w:val="left"/>
      <w:pPr>
        <w:ind w:left="8254" w:hanging="360"/>
      </w:pPr>
      <w:rPr>
        <w:rFonts w:hint="default"/>
        <w:lang w:val="fr-FR" w:eastAsia="fr-FR" w:bidi="fr-FR"/>
      </w:rPr>
    </w:lvl>
  </w:abstractNum>
  <w:abstractNum w:abstractNumId="89">
    <w:multiLevelType w:val="hybridMultilevel"/>
    <w:lvl w:ilvl="0">
      <w:start w:val="0"/>
      <w:numFmt w:val="bullet"/>
      <w:lvlText w:val=""/>
      <w:lvlJc w:val="left"/>
      <w:pPr>
        <w:ind w:left="1503" w:hanging="360"/>
      </w:pPr>
      <w:rPr>
        <w:rFonts w:hint="default" w:ascii="Wingdings" w:hAnsi="Wingdings" w:eastAsia="Wingdings" w:cs="Wingdings"/>
        <w:w w:val="100"/>
        <w:sz w:val="28"/>
        <w:szCs w:val="28"/>
        <w:lang w:val="fr-FR" w:eastAsia="fr-FR" w:bidi="fr-FR"/>
      </w:rPr>
    </w:lvl>
    <w:lvl w:ilvl="1">
      <w:start w:val="0"/>
      <w:numFmt w:val="bullet"/>
      <w:lvlText w:val="•"/>
      <w:lvlJc w:val="left"/>
      <w:pPr>
        <w:ind w:left="2432" w:hanging="360"/>
      </w:pPr>
      <w:rPr>
        <w:rFonts w:hint="default"/>
        <w:lang w:val="fr-FR" w:eastAsia="fr-FR" w:bidi="fr-FR"/>
      </w:rPr>
    </w:lvl>
    <w:lvl w:ilvl="2">
      <w:start w:val="0"/>
      <w:numFmt w:val="bullet"/>
      <w:lvlText w:val="•"/>
      <w:lvlJc w:val="left"/>
      <w:pPr>
        <w:ind w:left="3365" w:hanging="360"/>
      </w:pPr>
      <w:rPr>
        <w:rFonts w:hint="default"/>
        <w:lang w:val="fr-FR" w:eastAsia="fr-FR" w:bidi="fr-FR"/>
      </w:rPr>
    </w:lvl>
    <w:lvl w:ilvl="3">
      <w:start w:val="0"/>
      <w:numFmt w:val="bullet"/>
      <w:lvlText w:val="•"/>
      <w:lvlJc w:val="left"/>
      <w:pPr>
        <w:ind w:left="4297" w:hanging="360"/>
      </w:pPr>
      <w:rPr>
        <w:rFonts w:hint="default"/>
        <w:lang w:val="fr-FR" w:eastAsia="fr-FR" w:bidi="fr-FR"/>
      </w:rPr>
    </w:lvl>
    <w:lvl w:ilvl="4">
      <w:start w:val="0"/>
      <w:numFmt w:val="bullet"/>
      <w:lvlText w:val="•"/>
      <w:lvlJc w:val="left"/>
      <w:pPr>
        <w:ind w:left="5230" w:hanging="360"/>
      </w:pPr>
      <w:rPr>
        <w:rFonts w:hint="default"/>
        <w:lang w:val="fr-FR" w:eastAsia="fr-FR" w:bidi="fr-FR"/>
      </w:rPr>
    </w:lvl>
    <w:lvl w:ilvl="5">
      <w:start w:val="0"/>
      <w:numFmt w:val="bullet"/>
      <w:lvlText w:val="•"/>
      <w:lvlJc w:val="left"/>
      <w:pPr>
        <w:ind w:left="6163" w:hanging="360"/>
      </w:pPr>
      <w:rPr>
        <w:rFonts w:hint="default"/>
        <w:lang w:val="fr-FR" w:eastAsia="fr-FR" w:bidi="fr-FR"/>
      </w:rPr>
    </w:lvl>
    <w:lvl w:ilvl="6">
      <w:start w:val="0"/>
      <w:numFmt w:val="bullet"/>
      <w:lvlText w:val="•"/>
      <w:lvlJc w:val="left"/>
      <w:pPr>
        <w:ind w:left="7095" w:hanging="360"/>
      </w:pPr>
      <w:rPr>
        <w:rFonts w:hint="default"/>
        <w:lang w:val="fr-FR" w:eastAsia="fr-FR" w:bidi="fr-FR"/>
      </w:rPr>
    </w:lvl>
    <w:lvl w:ilvl="7">
      <w:start w:val="0"/>
      <w:numFmt w:val="bullet"/>
      <w:lvlText w:val="•"/>
      <w:lvlJc w:val="left"/>
      <w:pPr>
        <w:ind w:left="8028" w:hanging="360"/>
      </w:pPr>
      <w:rPr>
        <w:rFonts w:hint="default"/>
        <w:lang w:val="fr-FR" w:eastAsia="fr-FR" w:bidi="fr-FR"/>
      </w:rPr>
    </w:lvl>
    <w:lvl w:ilvl="8">
      <w:start w:val="0"/>
      <w:numFmt w:val="bullet"/>
      <w:lvlText w:val="•"/>
      <w:lvlJc w:val="left"/>
      <w:pPr>
        <w:ind w:left="8961" w:hanging="360"/>
      </w:pPr>
      <w:rPr>
        <w:rFonts w:hint="default"/>
        <w:lang w:val="fr-FR" w:eastAsia="fr-FR" w:bidi="fr-FR"/>
      </w:rPr>
    </w:lvl>
  </w:abstractNum>
  <w:abstractNum w:abstractNumId="88">
    <w:multiLevelType w:val="hybridMultilevel"/>
    <w:lvl w:ilvl="0">
      <w:start w:val="0"/>
      <w:numFmt w:val="bullet"/>
      <w:lvlText w:val="-"/>
      <w:lvlJc w:val="left"/>
      <w:pPr>
        <w:ind w:left="716" w:hanging="284"/>
      </w:pPr>
      <w:rPr>
        <w:rFonts w:hint="default" w:ascii="Courier New" w:hAnsi="Courier New" w:eastAsia="Courier New" w:cs="Courier New"/>
        <w:w w:val="100"/>
        <w:sz w:val="28"/>
        <w:szCs w:val="28"/>
        <w:lang w:val="fr-FR" w:eastAsia="fr-FR" w:bidi="fr-FR"/>
      </w:rPr>
    </w:lvl>
    <w:lvl w:ilvl="1">
      <w:start w:val="0"/>
      <w:numFmt w:val="bullet"/>
      <w:lvlText w:val="-"/>
      <w:lvlJc w:val="left"/>
      <w:pPr>
        <w:ind w:left="1153" w:hanging="360"/>
      </w:pPr>
      <w:rPr>
        <w:rFonts w:hint="default" w:ascii="Calibri" w:hAnsi="Calibri" w:eastAsia="Calibri" w:cs="Calibri"/>
        <w:w w:val="100"/>
        <w:sz w:val="28"/>
        <w:szCs w:val="28"/>
        <w:lang w:val="fr-FR" w:eastAsia="fr-FR" w:bidi="fr-FR"/>
      </w:rPr>
    </w:lvl>
    <w:lvl w:ilvl="2">
      <w:start w:val="0"/>
      <w:numFmt w:val="bullet"/>
      <w:lvlText w:val="•"/>
      <w:lvlJc w:val="left"/>
      <w:pPr>
        <w:ind w:left="2234" w:hanging="360"/>
      </w:pPr>
      <w:rPr>
        <w:rFonts w:hint="default"/>
        <w:lang w:val="fr-FR" w:eastAsia="fr-FR" w:bidi="fr-FR"/>
      </w:rPr>
    </w:lvl>
    <w:lvl w:ilvl="3">
      <w:start w:val="0"/>
      <w:numFmt w:val="bullet"/>
      <w:lvlText w:val="•"/>
      <w:lvlJc w:val="left"/>
      <w:pPr>
        <w:ind w:left="3308" w:hanging="360"/>
      </w:pPr>
      <w:rPr>
        <w:rFonts w:hint="default"/>
        <w:lang w:val="fr-FR" w:eastAsia="fr-FR" w:bidi="fr-FR"/>
      </w:rPr>
    </w:lvl>
    <w:lvl w:ilvl="4">
      <w:start w:val="0"/>
      <w:numFmt w:val="bullet"/>
      <w:lvlText w:val="•"/>
      <w:lvlJc w:val="left"/>
      <w:pPr>
        <w:ind w:left="4382" w:hanging="360"/>
      </w:pPr>
      <w:rPr>
        <w:rFonts w:hint="default"/>
        <w:lang w:val="fr-FR" w:eastAsia="fr-FR" w:bidi="fr-FR"/>
      </w:rPr>
    </w:lvl>
    <w:lvl w:ilvl="5">
      <w:start w:val="0"/>
      <w:numFmt w:val="bullet"/>
      <w:lvlText w:val="•"/>
      <w:lvlJc w:val="left"/>
      <w:pPr>
        <w:ind w:left="5456" w:hanging="360"/>
      </w:pPr>
      <w:rPr>
        <w:rFonts w:hint="default"/>
        <w:lang w:val="fr-FR" w:eastAsia="fr-FR" w:bidi="fr-FR"/>
      </w:rPr>
    </w:lvl>
    <w:lvl w:ilvl="6">
      <w:start w:val="0"/>
      <w:numFmt w:val="bullet"/>
      <w:lvlText w:val="•"/>
      <w:lvlJc w:val="left"/>
      <w:pPr>
        <w:ind w:left="6530" w:hanging="360"/>
      </w:pPr>
      <w:rPr>
        <w:rFonts w:hint="default"/>
        <w:lang w:val="fr-FR" w:eastAsia="fr-FR" w:bidi="fr-FR"/>
      </w:rPr>
    </w:lvl>
    <w:lvl w:ilvl="7">
      <w:start w:val="0"/>
      <w:numFmt w:val="bullet"/>
      <w:lvlText w:val="•"/>
      <w:lvlJc w:val="left"/>
      <w:pPr>
        <w:ind w:left="7604" w:hanging="360"/>
      </w:pPr>
      <w:rPr>
        <w:rFonts w:hint="default"/>
        <w:lang w:val="fr-FR" w:eastAsia="fr-FR" w:bidi="fr-FR"/>
      </w:rPr>
    </w:lvl>
    <w:lvl w:ilvl="8">
      <w:start w:val="0"/>
      <w:numFmt w:val="bullet"/>
      <w:lvlText w:val="•"/>
      <w:lvlJc w:val="left"/>
      <w:pPr>
        <w:ind w:left="8678" w:hanging="360"/>
      </w:pPr>
      <w:rPr>
        <w:rFonts w:hint="default"/>
        <w:lang w:val="fr-FR" w:eastAsia="fr-FR" w:bidi="fr-FR"/>
      </w:rPr>
    </w:lvl>
  </w:abstractNum>
  <w:abstractNum w:abstractNumId="87">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86">
    <w:multiLevelType w:val="hybridMultilevel"/>
    <w:lvl w:ilvl="0">
      <w:start w:val="0"/>
      <w:numFmt w:val="bullet"/>
      <w:lvlText w:val=""/>
      <w:lvlJc w:val="left"/>
      <w:pPr>
        <w:ind w:left="1714" w:hanging="358"/>
      </w:pPr>
      <w:rPr>
        <w:rFonts w:hint="default" w:ascii="Wingdings" w:hAnsi="Wingdings" w:eastAsia="Wingdings" w:cs="Wingdings"/>
        <w:w w:val="100"/>
        <w:sz w:val="28"/>
        <w:szCs w:val="28"/>
        <w:lang w:val="fr-FR" w:eastAsia="fr-FR" w:bidi="fr-FR"/>
      </w:rPr>
    </w:lvl>
    <w:lvl w:ilvl="1">
      <w:start w:val="0"/>
      <w:numFmt w:val="bullet"/>
      <w:lvlText w:val="•"/>
      <w:lvlJc w:val="left"/>
      <w:pPr>
        <w:ind w:left="2630" w:hanging="358"/>
      </w:pPr>
      <w:rPr>
        <w:rFonts w:hint="default"/>
        <w:lang w:val="fr-FR" w:eastAsia="fr-FR" w:bidi="fr-FR"/>
      </w:rPr>
    </w:lvl>
    <w:lvl w:ilvl="2">
      <w:start w:val="0"/>
      <w:numFmt w:val="bullet"/>
      <w:lvlText w:val="•"/>
      <w:lvlJc w:val="left"/>
      <w:pPr>
        <w:ind w:left="3541" w:hanging="358"/>
      </w:pPr>
      <w:rPr>
        <w:rFonts w:hint="default"/>
        <w:lang w:val="fr-FR" w:eastAsia="fr-FR" w:bidi="fr-FR"/>
      </w:rPr>
    </w:lvl>
    <w:lvl w:ilvl="3">
      <w:start w:val="0"/>
      <w:numFmt w:val="bullet"/>
      <w:lvlText w:val="•"/>
      <w:lvlJc w:val="left"/>
      <w:pPr>
        <w:ind w:left="4451" w:hanging="358"/>
      </w:pPr>
      <w:rPr>
        <w:rFonts w:hint="default"/>
        <w:lang w:val="fr-FR" w:eastAsia="fr-FR" w:bidi="fr-FR"/>
      </w:rPr>
    </w:lvl>
    <w:lvl w:ilvl="4">
      <w:start w:val="0"/>
      <w:numFmt w:val="bullet"/>
      <w:lvlText w:val="•"/>
      <w:lvlJc w:val="left"/>
      <w:pPr>
        <w:ind w:left="5362" w:hanging="358"/>
      </w:pPr>
      <w:rPr>
        <w:rFonts w:hint="default"/>
        <w:lang w:val="fr-FR" w:eastAsia="fr-FR" w:bidi="fr-FR"/>
      </w:rPr>
    </w:lvl>
    <w:lvl w:ilvl="5">
      <w:start w:val="0"/>
      <w:numFmt w:val="bullet"/>
      <w:lvlText w:val="•"/>
      <w:lvlJc w:val="left"/>
      <w:pPr>
        <w:ind w:left="6273" w:hanging="358"/>
      </w:pPr>
      <w:rPr>
        <w:rFonts w:hint="default"/>
        <w:lang w:val="fr-FR" w:eastAsia="fr-FR" w:bidi="fr-FR"/>
      </w:rPr>
    </w:lvl>
    <w:lvl w:ilvl="6">
      <w:start w:val="0"/>
      <w:numFmt w:val="bullet"/>
      <w:lvlText w:val="•"/>
      <w:lvlJc w:val="left"/>
      <w:pPr>
        <w:ind w:left="7183" w:hanging="358"/>
      </w:pPr>
      <w:rPr>
        <w:rFonts w:hint="default"/>
        <w:lang w:val="fr-FR" w:eastAsia="fr-FR" w:bidi="fr-FR"/>
      </w:rPr>
    </w:lvl>
    <w:lvl w:ilvl="7">
      <w:start w:val="0"/>
      <w:numFmt w:val="bullet"/>
      <w:lvlText w:val="•"/>
      <w:lvlJc w:val="left"/>
      <w:pPr>
        <w:ind w:left="8094" w:hanging="358"/>
      </w:pPr>
      <w:rPr>
        <w:rFonts w:hint="default"/>
        <w:lang w:val="fr-FR" w:eastAsia="fr-FR" w:bidi="fr-FR"/>
      </w:rPr>
    </w:lvl>
    <w:lvl w:ilvl="8">
      <w:start w:val="0"/>
      <w:numFmt w:val="bullet"/>
      <w:lvlText w:val="•"/>
      <w:lvlJc w:val="left"/>
      <w:pPr>
        <w:ind w:left="9005" w:hanging="358"/>
      </w:pPr>
      <w:rPr>
        <w:rFonts w:hint="default"/>
        <w:lang w:val="fr-FR" w:eastAsia="fr-FR" w:bidi="fr-FR"/>
      </w:rPr>
    </w:lvl>
  </w:abstractNum>
  <w:abstractNum w:abstractNumId="85">
    <w:multiLevelType w:val="hybridMultilevel"/>
    <w:lvl w:ilvl="0">
      <w:start w:val="0"/>
      <w:numFmt w:val="bullet"/>
      <w:lvlText w:val="-"/>
      <w:lvlJc w:val="left"/>
      <w:pPr>
        <w:ind w:left="999" w:hanging="286"/>
      </w:pPr>
      <w:rPr>
        <w:rFonts w:hint="default" w:ascii="Courier New" w:hAnsi="Courier New" w:eastAsia="Courier New" w:cs="Courier New"/>
        <w:w w:val="100"/>
        <w:sz w:val="28"/>
        <w:szCs w:val="28"/>
        <w:lang w:val="fr-FR" w:eastAsia="fr-FR" w:bidi="fr-FR"/>
      </w:rPr>
    </w:lvl>
    <w:lvl w:ilvl="1">
      <w:start w:val="0"/>
      <w:numFmt w:val="bullet"/>
      <w:lvlText w:val="•"/>
      <w:lvlJc w:val="left"/>
      <w:pPr>
        <w:ind w:left="1982" w:hanging="286"/>
      </w:pPr>
      <w:rPr>
        <w:rFonts w:hint="default"/>
        <w:lang w:val="fr-FR" w:eastAsia="fr-FR" w:bidi="fr-FR"/>
      </w:rPr>
    </w:lvl>
    <w:lvl w:ilvl="2">
      <w:start w:val="0"/>
      <w:numFmt w:val="bullet"/>
      <w:lvlText w:val="•"/>
      <w:lvlJc w:val="left"/>
      <w:pPr>
        <w:ind w:left="2965" w:hanging="286"/>
      </w:pPr>
      <w:rPr>
        <w:rFonts w:hint="default"/>
        <w:lang w:val="fr-FR" w:eastAsia="fr-FR" w:bidi="fr-FR"/>
      </w:rPr>
    </w:lvl>
    <w:lvl w:ilvl="3">
      <w:start w:val="0"/>
      <w:numFmt w:val="bullet"/>
      <w:lvlText w:val="•"/>
      <w:lvlJc w:val="left"/>
      <w:pPr>
        <w:ind w:left="3947" w:hanging="286"/>
      </w:pPr>
      <w:rPr>
        <w:rFonts w:hint="default"/>
        <w:lang w:val="fr-FR" w:eastAsia="fr-FR" w:bidi="fr-FR"/>
      </w:rPr>
    </w:lvl>
    <w:lvl w:ilvl="4">
      <w:start w:val="0"/>
      <w:numFmt w:val="bullet"/>
      <w:lvlText w:val="•"/>
      <w:lvlJc w:val="left"/>
      <w:pPr>
        <w:ind w:left="4930" w:hanging="286"/>
      </w:pPr>
      <w:rPr>
        <w:rFonts w:hint="default"/>
        <w:lang w:val="fr-FR" w:eastAsia="fr-FR" w:bidi="fr-FR"/>
      </w:rPr>
    </w:lvl>
    <w:lvl w:ilvl="5">
      <w:start w:val="0"/>
      <w:numFmt w:val="bullet"/>
      <w:lvlText w:val="•"/>
      <w:lvlJc w:val="left"/>
      <w:pPr>
        <w:ind w:left="5913" w:hanging="286"/>
      </w:pPr>
      <w:rPr>
        <w:rFonts w:hint="default"/>
        <w:lang w:val="fr-FR" w:eastAsia="fr-FR" w:bidi="fr-FR"/>
      </w:rPr>
    </w:lvl>
    <w:lvl w:ilvl="6">
      <w:start w:val="0"/>
      <w:numFmt w:val="bullet"/>
      <w:lvlText w:val="•"/>
      <w:lvlJc w:val="left"/>
      <w:pPr>
        <w:ind w:left="6895" w:hanging="286"/>
      </w:pPr>
      <w:rPr>
        <w:rFonts w:hint="default"/>
        <w:lang w:val="fr-FR" w:eastAsia="fr-FR" w:bidi="fr-FR"/>
      </w:rPr>
    </w:lvl>
    <w:lvl w:ilvl="7">
      <w:start w:val="0"/>
      <w:numFmt w:val="bullet"/>
      <w:lvlText w:val="•"/>
      <w:lvlJc w:val="left"/>
      <w:pPr>
        <w:ind w:left="7878" w:hanging="286"/>
      </w:pPr>
      <w:rPr>
        <w:rFonts w:hint="default"/>
        <w:lang w:val="fr-FR" w:eastAsia="fr-FR" w:bidi="fr-FR"/>
      </w:rPr>
    </w:lvl>
    <w:lvl w:ilvl="8">
      <w:start w:val="0"/>
      <w:numFmt w:val="bullet"/>
      <w:lvlText w:val="•"/>
      <w:lvlJc w:val="left"/>
      <w:pPr>
        <w:ind w:left="8861" w:hanging="286"/>
      </w:pPr>
      <w:rPr>
        <w:rFonts w:hint="default"/>
        <w:lang w:val="fr-FR" w:eastAsia="fr-FR" w:bidi="fr-FR"/>
      </w:rPr>
    </w:lvl>
  </w:abstractNum>
  <w:abstractNum w:abstractNumId="84">
    <w:multiLevelType w:val="hybridMultilevel"/>
    <w:lvl w:ilvl="0">
      <w:start w:val="4"/>
      <w:numFmt w:val="upperRoman"/>
      <w:lvlText w:val="%1"/>
      <w:lvlJc w:val="left"/>
      <w:pPr>
        <w:ind w:left="433" w:hanging="646"/>
        <w:jc w:val="left"/>
      </w:pPr>
      <w:rPr>
        <w:rFonts w:hint="default"/>
        <w:lang w:val="fr-FR" w:eastAsia="fr-FR" w:bidi="fr-FR"/>
      </w:rPr>
    </w:lvl>
    <w:lvl w:ilvl="1">
      <w:start w:val="2"/>
      <w:numFmt w:val="decimal"/>
      <w:lvlText w:val="%1.%2"/>
      <w:lvlJc w:val="left"/>
      <w:pPr>
        <w:ind w:left="433" w:hanging="646"/>
        <w:jc w:val="left"/>
      </w:pPr>
      <w:rPr>
        <w:rFonts w:hint="default" w:ascii="Times New Roman" w:hAnsi="Times New Roman" w:eastAsia="Times New Roman" w:cs="Times New Roman"/>
        <w:b/>
        <w:bCs/>
        <w:spacing w:val="-2"/>
        <w:w w:val="100"/>
        <w:sz w:val="28"/>
        <w:szCs w:val="28"/>
        <w:lang w:val="fr-FR" w:eastAsia="fr-FR" w:bidi="fr-FR"/>
      </w:rPr>
    </w:lvl>
    <w:lvl w:ilvl="2">
      <w:start w:val="1"/>
      <w:numFmt w:val="decimal"/>
      <w:lvlText w:val="%1.%2.%3."/>
      <w:lvlJc w:val="left"/>
      <w:pPr>
        <w:ind w:left="1306" w:hanging="874"/>
        <w:jc w:val="left"/>
      </w:pPr>
      <w:rPr>
        <w:rFonts w:hint="default" w:ascii="Times New Roman" w:hAnsi="Times New Roman" w:eastAsia="Times New Roman" w:cs="Times New Roman"/>
        <w:b/>
        <w:bCs/>
        <w:spacing w:val="-2"/>
        <w:w w:val="100"/>
        <w:sz w:val="28"/>
        <w:szCs w:val="28"/>
        <w:lang w:val="fr-FR" w:eastAsia="fr-FR" w:bidi="fr-FR"/>
      </w:rPr>
    </w:lvl>
    <w:lvl w:ilvl="3">
      <w:start w:val="0"/>
      <w:numFmt w:val="bullet"/>
      <w:lvlText w:val="•"/>
      <w:lvlJc w:val="left"/>
      <w:pPr>
        <w:ind w:left="3416" w:hanging="874"/>
      </w:pPr>
      <w:rPr>
        <w:rFonts w:hint="default"/>
        <w:lang w:val="fr-FR" w:eastAsia="fr-FR" w:bidi="fr-FR"/>
      </w:rPr>
    </w:lvl>
    <w:lvl w:ilvl="4">
      <w:start w:val="0"/>
      <w:numFmt w:val="bullet"/>
      <w:lvlText w:val="•"/>
      <w:lvlJc w:val="left"/>
      <w:pPr>
        <w:ind w:left="4475" w:hanging="874"/>
      </w:pPr>
      <w:rPr>
        <w:rFonts w:hint="default"/>
        <w:lang w:val="fr-FR" w:eastAsia="fr-FR" w:bidi="fr-FR"/>
      </w:rPr>
    </w:lvl>
    <w:lvl w:ilvl="5">
      <w:start w:val="0"/>
      <w:numFmt w:val="bullet"/>
      <w:lvlText w:val="•"/>
      <w:lvlJc w:val="left"/>
      <w:pPr>
        <w:ind w:left="5533" w:hanging="874"/>
      </w:pPr>
      <w:rPr>
        <w:rFonts w:hint="default"/>
        <w:lang w:val="fr-FR" w:eastAsia="fr-FR" w:bidi="fr-FR"/>
      </w:rPr>
    </w:lvl>
    <w:lvl w:ilvl="6">
      <w:start w:val="0"/>
      <w:numFmt w:val="bullet"/>
      <w:lvlText w:val="•"/>
      <w:lvlJc w:val="left"/>
      <w:pPr>
        <w:ind w:left="6592" w:hanging="874"/>
      </w:pPr>
      <w:rPr>
        <w:rFonts w:hint="default"/>
        <w:lang w:val="fr-FR" w:eastAsia="fr-FR" w:bidi="fr-FR"/>
      </w:rPr>
    </w:lvl>
    <w:lvl w:ilvl="7">
      <w:start w:val="0"/>
      <w:numFmt w:val="bullet"/>
      <w:lvlText w:val="•"/>
      <w:lvlJc w:val="left"/>
      <w:pPr>
        <w:ind w:left="7650" w:hanging="874"/>
      </w:pPr>
      <w:rPr>
        <w:rFonts w:hint="default"/>
        <w:lang w:val="fr-FR" w:eastAsia="fr-FR" w:bidi="fr-FR"/>
      </w:rPr>
    </w:lvl>
    <w:lvl w:ilvl="8">
      <w:start w:val="0"/>
      <w:numFmt w:val="bullet"/>
      <w:lvlText w:val="•"/>
      <w:lvlJc w:val="left"/>
      <w:pPr>
        <w:ind w:left="8709" w:hanging="874"/>
      </w:pPr>
      <w:rPr>
        <w:rFonts w:hint="default"/>
        <w:lang w:val="fr-FR" w:eastAsia="fr-FR" w:bidi="fr-FR"/>
      </w:rPr>
    </w:lvl>
  </w:abstractNum>
  <w:abstractNum w:abstractNumId="83">
    <w:multiLevelType w:val="hybridMultilevel"/>
    <w:lvl w:ilvl="0">
      <w:start w:val="4"/>
      <w:numFmt w:val="upperRoman"/>
      <w:lvlText w:val="%1"/>
      <w:lvlJc w:val="left"/>
      <w:pPr>
        <w:ind w:left="1095" w:hanging="663"/>
        <w:jc w:val="left"/>
      </w:pPr>
      <w:rPr>
        <w:rFonts w:hint="default"/>
        <w:lang w:val="fr-FR" w:eastAsia="fr-FR" w:bidi="fr-FR"/>
      </w:rPr>
    </w:lvl>
    <w:lvl w:ilvl="1">
      <w:start w:val="1"/>
      <w:numFmt w:val="decimal"/>
      <w:lvlText w:val="%1.%2."/>
      <w:lvlJc w:val="left"/>
      <w:pPr>
        <w:ind w:left="1095" w:hanging="663"/>
        <w:jc w:val="left"/>
      </w:pPr>
      <w:rPr>
        <w:rFonts w:hint="default" w:ascii="Times New Roman" w:hAnsi="Times New Roman" w:eastAsia="Times New Roman" w:cs="Times New Roman"/>
        <w:b/>
        <w:bCs/>
        <w:spacing w:val="-2"/>
        <w:w w:val="100"/>
        <w:sz w:val="28"/>
        <w:szCs w:val="28"/>
        <w:lang w:val="fr-FR" w:eastAsia="fr-FR" w:bidi="fr-FR"/>
      </w:rPr>
    </w:lvl>
    <w:lvl w:ilvl="2">
      <w:start w:val="1"/>
      <w:numFmt w:val="decimal"/>
      <w:lvlText w:val="%3."/>
      <w:lvlJc w:val="left"/>
      <w:pPr>
        <w:ind w:left="1426" w:hanging="360"/>
        <w:jc w:val="left"/>
      </w:pPr>
      <w:rPr>
        <w:rFonts w:hint="default" w:ascii="Times New Roman" w:hAnsi="Times New Roman" w:eastAsia="Times New Roman" w:cs="Times New Roman"/>
        <w:spacing w:val="0"/>
        <w:w w:val="100"/>
        <w:sz w:val="28"/>
        <w:szCs w:val="28"/>
        <w:lang w:val="fr-FR" w:eastAsia="fr-FR" w:bidi="fr-FR"/>
      </w:rPr>
    </w:lvl>
    <w:lvl w:ilvl="3">
      <w:start w:val="0"/>
      <w:numFmt w:val="bullet"/>
      <w:lvlText w:val="•"/>
      <w:lvlJc w:val="left"/>
      <w:pPr>
        <w:ind w:left="3510" w:hanging="360"/>
      </w:pPr>
      <w:rPr>
        <w:rFonts w:hint="default"/>
        <w:lang w:val="fr-FR" w:eastAsia="fr-FR" w:bidi="fr-FR"/>
      </w:rPr>
    </w:lvl>
    <w:lvl w:ilvl="4">
      <w:start w:val="0"/>
      <w:numFmt w:val="bullet"/>
      <w:lvlText w:val="•"/>
      <w:lvlJc w:val="left"/>
      <w:pPr>
        <w:ind w:left="4555" w:hanging="360"/>
      </w:pPr>
      <w:rPr>
        <w:rFonts w:hint="default"/>
        <w:lang w:val="fr-FR" w:eastAsia="fr-FR" w:bidi="fr-FR"/>
      </w:rPr>
    </w:lvl>
    <w:lvl w:ilvl="5">
      <w:start w:val="0"/>
      <w:numFmt w:val="bullet"/>
      <w:lvlText w:val="•"/>
      <w:lvlJc w:val="left"/>
      <w:pPr>
        <w:ind w:left="5600" w:hanging="360"/>
      </w:pPr>
      <w:rPr>
        <w:rFonts w:hint="default"/>
        <w:lang w:val="fr-FR" w:eastAsia="fr-FR" w:bidi="fr-FR"/>
      </w:rPr>
    </w:lvl>
    <w:lvl w:ilvl="6">
      <w:start w:val="0"/>
      <w:numFmt w:val="bullet"/>
      <w:lvlText w:val="•"/>
      <w:lvlJc w:val="left"/>
      <w:pPr>
        <w:ind w:left="6645" w:hanging="360"/>
      </w:pPr>
      <w:rPr>
        <w:rFonts w:hint="default"/>
        <w:lang w:val="fr-FR" w:eastAsia="fr-FR" w:bidi="fr-FR"/>
      </w:rPr>
    </w:lvl>
    <w:lvl w:ilvl="7">
      <w:start w:val="0"/>
      <w:numFmt w:val="bullet"/>
      <w:lvlText w:val="•"/>
      <w:lvlJc w:val="left"/>
      <w:pPr>
        <w:ind w:left="7690" w:hanging="360"/>
      </w:pPr>
      <w:rPr>
        <w:rFonts w:hint="default"/>
        <w:lang w:val="fr-FR" w:eastAsia="fr-FR" w:bidi="fr-FR"/>
      </w:rPr>
    </w:lvl>
    <w:lvl w:ilvl="8">
      <w:start w:val="0"/>
      <w:numFmt w:val="bullet"/>
      <w:lvlText w:val="•"/>
      <w:lvlJc w:val="left"/>
      <w:pPr>
        <w:ind w:left="8736" w:hanging="360"/>
      </w:pPr>
      <w:rPr>
        <w:rFonts w:hint="default"/>
        <w:lang w:val="fr-FR" w:eastAsia="fr-FR" w:bidi="fr-FR"/>
      </w:rPr>
    </w:lvl>
  </w:abstractNum>
  <w:abstractNum w:abstractNumId="82">
    <w:multiLevelType w:val="hybridMultilevel"/>
    <w:lvl w:ilvl="0">
      <w:start w:val="3"/>
      <w:numFmt w:val="upperRoman"/>
      <w:lvlText w:val="%1."/>
      <w:lvlJc w:val="left"/>
      <w:pPr>
        <w:ind w:left="900" w:hanging="468"/>
        <w:jc w:val="left"/>
      </w:pPr>
      <w:rPr>
        <w:rFonts w:hint="default" w:ascii="Times New Roman" w:hAnsi="Times New Roman" w:eastAsia="Times New Roman" w:cs="Times New Roman"/>
        <w:b/>
        <w:bCs/>
        <w:spacing w:val="-2"/>
        <w:w w:val="100"/>
        <w:sz w:val="28"/>
        <w:szCs w:val="28"/>
        <w:lang w:val="fr-FR" w:eastAsia="fr-FR" w:bidi="fr-FR"/>
      </w:rPr>
    </w:lvl>
    <w:lvl w:ilvl="1">
      <w:start w:val="0"/>
      <w:numFmt w:val="bullet"/>
      <w:lvlText w:val="-"/>
      <w:lvlJc w:val="left"/>
      <w:pPr>
        <w:ind w:left="1153" w:hanging="360"/>
      </w:pPr>
      <w:rPr>
        <w:rFonts w:hint="default" w:ascii="Courier New" w:hAnsi="Courier New" w:eastAsia="Courier New" w:cs="Courier New"/>
        <w:w w:val="100"/>
        <w:sz w:val="28"/>
        <w:szCs w:val="28"/>
        <w:lang w:val="fr-FR" w:eastAsia="fr-FR" w:bidi="fr-FR"/>
      </w:rPr>
    </w:lvl>
    <w:lvl w:ilvl="2">
      <w:start w:val="0"/>
      <w:numFmt w:val="bullet"/>
      <w:lvlText w:val="•"/>
      <w:lvlJc w:val="left"/>
      <w:pPr>
        <w:ind w:left="2234" w:hanging="360"/>
      </w:pPr>
      <w:rPr>
        <w:rFonts w:hint="default"/>
        <w:lang w:val="fr-FR" w:eastAsia="fr-FR" w:bidi="fr-FR"/>
      </w:rPr>
    </w:lvl>
    <w:lvl w:ilvl="3">
      <w:start w:val="0"/>
      <w:numFmt w:val="bullet"/>
      <w:lvlText w:val="•"/>
      <w:lvlJc w:val="left"/>
      <w:pPr>
        <w:ind w:left="3308" w:hanging="360"/>
      </w:pPr>
      <w:rPr>
        <w:rFonts w:hint="default"/>
        <w:lang w:val="fr-FR" w:eastAsia="fr-FR" w:bidi="fr-FR"/>
      </w:rPr>
    </w:lvl>
    <w:lvl w:ilvl="4">
      <w:start w:val="0"/>
      <w:numFmt w:val="bullet"/>
      <w:lvlText w:val="•"/>
      <w:lvlJc w:val="left"/>
      <w:pPr>
        <w:ind w:left="4382" w:hanging="360"/>
      </w:pPr>
      <w:rPr>
        <w:rFonts w:hint="default"/>
        <w:lang w:val="fr-FR" w:eastAsia="fr-FR" w:bidi="fr-FR"/>
      </w:rPr>
    </w:lvl>
    <w:lvl w:ilvl="5">
      <w:start w:val="0"/>
      <w:numFmt w:val="bullet"/>
      <w:lvlText w:val="•"/>
      <w:lvlJc w:val="left"/>
      <w:pPr>
        <w:ind w:left="5456" w:hanging="360"/>
      </w:pPr>
      <w:rPr>
        <w:rFonts w:hint="default"/>
        <w:lang w:val="fr-FR" w:eastAsia="fr-FR" w:bidi="fr-FR"/>
      </w:rPr>
    </w:lvl>
    <w:lvl w:ilvl="6">
      <w:start w:val="0"/>
      <w:numFmt w:val="bullet"/>
      <w:lvlText w:val="•"/>
      <w:lvlJc w:val="left"/>
      <w:pPr>
        <w:ind w:left="6530" w:hanging="360"/>
      </w:pPr>
      <w:rPr>
        <w:rFonts w:hint="default"/>
        <w:lang w:val="fr-FR" w:eastAsia="fr-FR" w:bidi="fr-FR"/>
      </w:rPr>
    </w:lvl>
    <w:lvl w:ilvl="7">
      <w:start w:val="0"/>
      <w:numFmt w:val="bullet"/>
      <w:lvlText w:val="•"/>
      <w:lvlJc w:val="left"/>
      <w:pPr>
        <w:ind w:left="7604" w:hanging="360"/>
      </w:pPr>
      <w:rPr>
        <w:rFonts w:hint="default"/>
        <w:lang w:val="fr-FR" w:eastAsia="fr-FR" w:bidi="fr-FR"/>
      </w:rPr>
    </w:lvl>
    <w:lvl w:ilvl="8">
      <w:start w:val="0"/>
      <w:numFmt w:val="bullet"/>
      <w:lvlText w:val="•"/>
      <w:lvlJc w:val="left"/>
      <w:pPr>
        <w:ind w:left="8678" w:hanging="360"/>
      </w:pPr>
      <w:rPr>
        <w:rFonts w:hint="default"/>
        <w:lang w:val="fr-FR" w:eastAsia="fr-FR" w:bidi="fr-FR"/>
      </w:rPr>
    </w:lvl>
  </w:abstractNum>
  <w:abstractNum w:abstractNumId="81">
    <w:multiLevelType w:val="hybridMultilevel"/>
    <w:lvl w:ilvl="0">
      <w:start w:val="0"/>
      <w:numFmt w:val="bullet"/>
      <w:lvlText w:val=""/>
      <w:lvlJc w:val="left"/>
      <w:pPr>
        <w:ind w:left="716" w:hanging="284"/>
      </w:pPr>
      <w:rPr>
        <w:rFonts w:hint="default" w:ascii="Symbol" w:hAnsi="Symbol" w:eastAsia="Symbol" w:cs="Symbol"/>
        <w:w w:val="100"/>
        <w:sz w:val="28"/>
        <w:szCs w:val="28"/>
        <w:lang w:val="fr-FR" w:eastAsia="fr-FR" w:bidi="fr-FR"/>
      </w:rPr>
    </w:lvl>
    <w:lvl w:ilvl="1">
      <w:start w:val="0"/>
      <w:numFmt w:val="bullet"/>
      <w:lvlText w:val="•"/>
      <w:lvlJc w:val="left"/>
      <w:pPr>
        <w:ind w:left="1730" w:hanging="284"/>
      </w:pPr>
      <w:rPr>
        <w:rFonts w:hint="default"/>
        <w:lang w:val="fr-FR" w:eastAsia="fr-FR" w:bidi="fr-FR"/>
      </w:rPr>
    </w:lvl>
    <w:lvl w:ilvl="2">
      <w:start w:val="0"/>
      <w:numFmt w:val="bullet"/>
      <w:lvlText w:val="•"/>
      <w:lvlJc w:val="left"/>
      <w:pPr>
        <w:ind w:left="2741" w:hanging="284"/>
      </w:pPr>
      <w:rPr>
        <w:rFonts w:hint="default"/>
        <w:lang w:val="fr-FR" w:eastAsia="fr-FR" w:bidi="fr-FR"/>
      </w:rPr>
    </w:lvl>
    <w:lvl w:ilvl="3">
      <w:start w:val="0"/>
      <w:numFmt w:val="bullet"/>
      <w:lvlText w:val="•"/>
      <w:lvlJc w:val="left"/>
      <w:pPr>
        <w:ind w:left="3751" w:hanging="284"/>
      </w:pPr>
      <w:rPr>
        <w:rFonts w:hint="default"/>
        <w:lang w:val="fr-FR" w:eastAsia="fr-FR" w:bidi="fr-FR"/>
      </w:rPr>
    </w:lvl>
    <w:lvl w:ilvl="4">
      <w:start w:val="0"/>
      <w:numFmt w:val="bullet"/>
      <w:lvlText w:val="•"/>
      <w:lvlJc w:val="left"/>
      <w:pPr>
        <w:ind w:left="4762" w:hanging="284"/>
      </w:pPr>
      <w:rPr>
        <w:rFonts w:hint="default"/>
        <w:lang w:val="fr-FR" w:eastAsia="fr-FR" w:bidi="fr-FR"/>
      </w:rPr>
    </w:lvl>
    <w:lvl w:ilvl="5">
      <w:start w:val="0"/>
      <w:numFmt w:val="bullet"/>
      <w:lvlText w:val="•"/>
      <w:lvlJc w:val="left"/>
      <w:pPr>
        <w:ind w:left="5773" w:hanging="284"/>
      </w:pPr>
      <w:rPr>
        <w:rFonts w:hint="default"/>
        <w:lang w:val="fr-FR" w:eastAsia="fr-FR" w:bidi="fr-FR"/>
      </w:rPr>
    </w:lvl>
    <w:lvl w:ilvl="6">
      <w:start w:val="0"/>
      <w:numFmt w:val="bullet"/>
      <w:lvlText w:val="•"/>
      <w:lvlJc w:val="left"/>
      <w:pPr>
        <w:ind w:left="6783" w:hanging="284"/>
      </w:pPr>
      <w:rPr>
        <w:rFonts w:hint="default"/>
        <w:lang w:val="fr-FR" w:eastAsia="fr-FR" w:bidi="fr-FR"/>
      </w:rPr>
    </w:lvl>
    <w:lvl w:ilvl="7">
      <w:start w:val="0"/>
      <w:numFmt w:val="bullet"/>
      <w:lvlText w:val="•"/>
      <w:lvlJc w:val="left"/>
      <w:pPr>
        <w:ind w:left="7794" w:hanging="284"/>
      </w:pPr>
      <w:rPr>
        <w:rFonts w:hint="default"/>
        <w:lang w:val="fr-FR" w:eastAsia="fr-FR" w:bidi="fr-FR"/>
      </w:rPr>
    </w:lvl>
    <w:lvl w:ilvl="8">
      <w:start w:val="0"/>
      <w:numFmt w:val="bullet"/>
      <w:lvlText w:val="•"/>
      <w:lvlJc w:val="left"/>
      <w:pPr>
        <w:ind w:left="8805" w:hanging="284"/>
      </w:pPr>
      <w:rPr>
        <w:rFonts w:hint="default"/>
        <w:lang w:val="fr-FR" w:eastAsia="fr-FR" w:bidi="fr-FR"/>
      </w:rPr>
    </w:lvl>
  </w:abstractNum>
  <w:abstractNum w:abstractNumId="80">
    <w:multiLevelType w:val="hybridMultilevel"/>
    <w:lvl w:ilvl="0">
      <w:start w:val="2"/>
      <w:numFmt w:val="upperRoman"/>
      <w:lvlText w:val="%1"/>
      <w:lvlJc w:val="left"/>
      <w:pPr>
        <w:ind w:left="1421" w:hanging="989"/>
        <w:jc w:val="left"/>
      </w:pPr>
      <w:rPr>
        <w:rFonts w:hint="default"/>
        <w:lang w:val="fr-FR" w:eastAsia="fr-FR" w:bidi="fr-FR"/>
      </w:rPr>
    </w:lvl>
    <w:lvl w:ilvl="1">
      <w:start w:val="3"/>
      <w:numFmt w:val="decimal"/>
      <w:lvlText w:val="%1.%2"/>
      <w:lvlJc w:val="left"/>
      <w:pPr>
        <w:ind w:left="1421" w:hanging="989"/>
        <w:jc w:val="left"/>
      </w:pPr>
      <w:rPr>
        <w:rFonts w:hint="default"/>
        <w:lang w:val="fr-FR" w:eastAsia="fr-FR" w:bidi="fr-FR"/>
      </w:rPr>
    </w:lvl>
    <w:lvl w:ilvl="2">
      <w:start w:val="2"/>
      <w:numFmt w:val="decimal"/>
      <w:lvlText w:val="%1.%2.%3"/>
      <w:lvlJc w:val="left"/>
      <w:pPr>
        <w:ind w:left="1421" w:hanging="989"/>
        <w:jc w:val="left"/>
      </w:pPr>
      <w:rPr>
        <w:rFonts w:hint="default"/>
        <w:lang w:val="fr-FR" w:eastAsia="fr-FR" w:bidi="fr-FR"/>
      </w:rPr>
    </w:lvl>
    <w:lvl w:ilvl="3">
      <w:start w:val="4"/>
      <w:numFmt w:val="decimal"/>
      <w:lvlText w:val="%1.%2.%3.%4."/>
      <w:lvlJc w:val="left"/>
      <w:pPr>
        <w:ind w:left="1421" w:hanging="989"/>
        <w:jc w:val="left"/>
      </w:pPr>
      <w:rPr>
        <w:rFonts w:hint="default" w:ascii="Times New Roman" w:hAnsi="Times New Roman" w:eastAsia="Times New Roman" w:cs="Times New Roman"/>
        <w:b/>
        <w:bCs/>
        <w:spacing w:val="-3"/>
        <w:w w:val="100"/>
        <w:sz w:val="28"/>
        <w:szCs w:val="28"/>
        <w:lang w:val="fr-FR" w:eastAsia="fr-FR" w:bidi="fr-FR"/>
      </w:rPr>
    </w:lvl>
    <w:lvl w:ilvl="4">
      <w:start w:val="0"/>
      <w:numFmt w:val="bullet"/>
      <w:lvlText w:val="•"/>
      <w:lvlJc w:val="left"/>
      <w:pPr>
        <w:ind w:left="5182" w:hanging="989"/>
      </w:pPr>
      <w:rPr>
        <w:rFonts w:hint="default"/>
        <w:lang w:val="fr-FR" w:eastAsia="fr-FR" w:bidi="fr-FR"/>
      </w:rPr>
    </w:lvl>
    <w:lvl w:ilvl="5">
      <w:start w:val="0"/>
      <w:numFmt w:val="bullet"/>
      <w:lvlText w:val="•"/>
      <w:lvlJc w:val="left"/>
      <w:pPr>
        <w:ind w:left="6123" w:hanging="989"/>
      </w:pPr>
      <w:rPr>
        <w:rFonts w:hint="default"/>
        <w:lang w:val="fr-FR" w:eastAsia="fr-FR" w:bidi="fr-FR"/>
      </w:rPr>
    </w:lvl>
    <w:lvl w:ilvl="6">
      <w:start w:val="0"/>
      <w:numFmt w:val="bullet"/>
      <w:lvlText w:val="•"/>
      <w:lvlJc w:val="left"/>
      <w:pPr>
        <w:ind w:left="7063" w:hanging="989"/>
      </w:pPr>
      <w:rPr>
        <w:rFonts w:hint="default"/>
        <w:lang w:val="fr-FR" w:eastAsia="fr-FR" w:bidi="fr-FR"/>
      </w:rPr>
    </w:lvl>
    <w:lvl w:ilvl="7">
      <w:start w:val="0"/>
      <w:numFmt w:val="bullet"/>
      <w:lvlText w:val="•"/>
      <w:lvlJc w:val="left"/>
      <w:pPr>
        <w:ind w:left="8004" w:hanging="989"/>
      </w:pPr>
      <w:rPr>
        <w:rFonts w:hint="default"/>
        <w:lang w:val="fr-FR" w:eastAsia="fr-FR" w:bidi="fr-FR"/>
      </w:rPr>
    </w:lvl>
    <w:lvl w:ilvl="8">
      <w:start w:val="0"/>
      <w:numFmt w:val="bullet"/>
      <w:lvlText w:val="•"/>
      <w:lvlJc w:val="left"/>
      <w:pPr>
        <w:ind w:left="8945" w:hanging="989"/>
      </w:pPr>
      <w:rPr>
        <w:rFonts w:hint="default"/>
        <w:lang w:val="fr-FR" w:eastAsia="fr-FR" w:bidi="fr-FR"/>
      </w:rPr>
    </w:lvl>
  </w:abstractNum>
  <w:abstractNum w:abstractNumId="79">
    <w:multiLevelType w:val="hybridMultilevel"/>
    <w:lvl w:ilvl="0">
      <w:start w:val="2"/>
      <w:numFmt w:val="upperRoman"/>
      <w:lvlText w:val="%1"/>
      <w:lvlJc w:val="left"/>
      <w:pPr>
        <w:ind w:left="1351" w:hanging="919"/>
        <w:jc w:val="left"/>
      </w:pPr>
      <w:rPr>
        <w:rFonts w:hint="default"/>
        <w:lang w:val="fr-FR" w:eastAsia="fr-FR" w:bidi="fr-FR"/>
      </w:rPr>
    </w:lvl>
    <w:lvl w:ilvl="1">
      <w:start w:val="2"/>
      <w:numFmt w:val="decimal"/>
      <w:lvlText w:val="%1.%2"/>
      <w:lvlJc w:val="left"/>
      <w:pPr>
        <w:ind w:left="1351" w:hanging="919"/>
        <w:jc w:val="left"/>
      </w:pPr>
      <w:rPr>
        <w:rFonts w:hint="default"/>
        <w:lang w:val="fr-FR" w:eastAsia="fr-FR" w:bidi="fr-FR"/>
      </w:rPr>
    </w:lvl>
    <w:lvl w:ilvl="2">
      <w:start w:val="2"/>
      <w:numFmt w:val="decimal"/>
      <w:lvlText w:val="%1.%2.%3"/>
      <w:lvlJc w:val="left"/>
      <w:pPr>
        <w:ind w:left="1351" w:hanging="919"/>
        <w:jc w:val="left"/>
      </w:pPr>
      <w:rPr>
        <w:rFonts w:hint="default"/>
        <w:lang w:val="fr-FR" w:eastAsia="fr-FR" w:bidi="fr-FR"/>
      </w:rPr>
    </w:lvl>
    <w:lvl w:ilvl="3">
      <w:start w:val="3"/>
      <w:numFmt w:val="decimal"/>
      <w:lvlText w:val="%1.%2.%3.%4"/>
      <w:lvlJc w:val="left"/>
      <w:pPr>
        <w:ind w:left="1351" w:hanging="919"/>
        <w:jc w:val="left"/>
      </w:pPr>
      <w:rPr>
        <w:rFonts w:hint="default" w:ascii="Times New Roman" w:hAnsi="Times New Roman" w:eastAsia="Times New Roman" w:cs="Times New Roman"/>
        <w:b/>
        <w:bCs/>
        <w:spacing w:val="-4"/>
        <w:w w:val="100"/>
        <w:sz w:val="28"/>
        <w:szCs w:val="28"/>
        <w:lang w:val="fr-FR" w:eastAsia="fr-FR" w:bidi="fr-FR"/>
      </w:rPr>
    </w:lvl>
    <w:lvl w:ilvl="4">
      <w:start w:val="0"/>
      <w:numFmt w:val="bullet"/>
      <w:lvlText w:val=""/>
      <w:lvlJc w:val="left"/>
      <w:pPr>
        <w:ind w:left="999" w:hanging="284"/>
      </w:pPr>
      <w:rPr>
        <w:rFonts w:hint="default" w:ascii="Symbol" w:hAnsi="Symbol" w:eastAsia="Symbol" w:cs="Symbol"/>
        <w:w w:val="100"/>
        <w:sz w:val="28"/>
        <w:szCs w:val="28"/>
        <w:lang w:val="fr-FR" w:eastAsia="fr-FR" w:bidi="fr-FR"/>
      </w:rPr>
    </w:lvl>
    <w:lvl w:ilvl="5">
      <w:start w:val="0"/>
      <w:numFmt w:val="bullet"/>
      <w:lvlText w:val="•"/>
      <w:lvlJc w:val="left"/>
      <w:pPr>
        <w:ind w:left="5567" w:hanging="284"/>
      </w:pPr>
      <w:rPr>
        <w:rFonts w:hint="default"/>
        <w:lang w:val="fr-FR" w:eastAsia="fr-FR" w:bidi="fr-FR"/>
      </w:rPr>
    </w:lvl>
    <w:lvl w:ilvl="6">
      <w:start w:val="0"/>
      <w:numFmt w:val="bullet"/>
      <w:lvlText w:val="•"/>
      <w:lvlJc w:val="left"/>
      <w:pPr>
        <w:ind w:left="6619" w:hanging="284"/>
      </w:pPr>
      <w:rPr>
        <w:rFonts w:hint="default"/>
        <w:lang w:val="fr-FR" w:eastAsia="fr-FR" w:bidi="fr-FR"/>
      </w:rPr>
    </w:lvl>
    <w:lvl w:ilvl="7">
      <w:start w:val="0"/>
      <w:numFmt w:val="bullet"/>
      <w:lvlText w:val="•"/>
      <w:lvlJc w:val="left"/>
      <w:pPr>
        <w:ind w:left="7670" w:hanging="284"/>
      </w:pPr>
      <w:rPr>
        <w:rFonts w:hint="default"/>
        <w:lang w:val="fr-FR" w:eastAsia="fr-FR" w:bidi="fr-FR"/>
      </w:rPr>
    </w:lvl>
    <w:lvl w:ilvl="8">
      <w:start w:val="0"/>
      <w:numFmt w:val="bullet"/>
      <w:lvlText w:val="•"/>
      <w:lvlJc w:val="left"/>
      <w:pPr>
        <w:ind w:left="8722" w:hanging="284"/>
      </w:pPr>
      <w:rPr>
        <w:rFonts w:hint="default"/>
        <w:lang w:val="fr-FR" w:eastAsia="fr-FR" w:bidi="fr-FR"/>
      </w:rPr>
    </w:lvl>
  </w:abstractNum>
  <w:abstractNum w:abstractNumId="78">
    <w:multiLevelType w:val="hybridMultilevel"/>
    <w:lvl w:ilvl="0">
      <w:start w:val="2"/>
      <w:numFmt w:val="upperRoman"/>
      <w:lvlText w:val="%1"/>
      <w:lvlJc w:val="left"/>
      <w:pPr>
        <w:ind w:left="1352" w:hanging="920"/>
        <w:jc w:val="left"/>
      </w:pPr>
      <w:rPr>
        <w:rFonts w:hint="default"/>
        <w:lang w:val="fr-FR" w:eastAsia="fr-FR" w:bidi="fr-FR"/>
      </w:rPr>
    </w:lvl>
    <w:lvl w:ilvl="1">
      <w:start w:val="3"/>
      <w:numFmt w:val="decimal"/>
      <w:lvlText w:val="%1.%2"/>
      <w:lvlJc w:val="left"/>
      <w:pPr>
        <w:ind w:left="1352" w:hanging="920"/>
        <w:jc w:val="left"/>
      </w:pPr>
      <w:rPr>
        <w:rFonts w:hint="default"/>
        <w:lang w:val="fr-FR" w:eastAsia="fr-FR" w:bidi="fr-FR"/>
      </w:rPr>
    </w:lvl>
    <w:lvl w:ilvl="2">
      <w:start w:val="2"/>
      <w:numFmt w:val="decimal"/>
      <w:lvlText w:val="%1.%2.%3"/>
      <w:lvlJc w:val="left"/>
      <w:pPr>
        <w:ind w:left="1352" w:hanging="920"/>
        <w:jc w:val="left"/>
      </w:pPr>
      <w:rPr>
        <w:rFonts w:hint="default"/>
        <w:lang w:val="fr-FR" w:eastAsia="fr-FR" w:bidi="fr-FR"/>
      </w:rPr>
    </w:lvl>
    <w:lvl w:ilvl="3">
      <w:start w:val="1"/>
      <w:numFmt w:val="decimal"/>
      <w:lvlText w:val="%1.%2.%3.%4"/>
      <w:lvlJc w:val="left"/>
      <w:pPr>
        <w:ind w:left="1352" w:hanging="920"/>
        <w:jc w:val="left"/>
      </w:pPr>
      <w:rPr>
        <w:rFonts w:hint="default" w:ascii="Times New Roman" w:hAnsi="Times New Roman" w:eastAsia="Times New Roman" w:cs="Times New Roman"/>
        <w:b/>
        <w:bCs/>
        <w:spacing w:val="-3"/>
        <w:w w:val="100"/>
        <w:sz w:val="28"/>
        <w:szCs w:val="28"/>
        <w:lang w:val="fr-FR" w:eastAsia="fr-FR" w:bidi="fr-FR"/>
      </w:rPr>
    </w:lvl>
    <w:lvl w:ilvl="4">
      <w:start w:val="0"/>
      <w:numFmt w:val="bullet"/>
      <w:lvlText w:val="•"/>
      <w:lvlJc w:val="left"/>
      <w:pPr>
        <w:ind w:left="5146" w:hanging="920"/>
      </w:pPr>
      <w:rPr>
        <w:rFonts w:hint="default"/>
        <w:lang w:val="fr-FR" w:eastAsia="fr-FR" w:bidi="fr-FR"/>
      </w:rPr>
    </w:lvl>
    <w:lvl w:ilvl="5">
      <w:start w:val="0"/>
      <w:numFmt w:val="bullet"/>
      <w:lvlText w:val="•"/>
      <w:lvlJc w:val="left"/>
      <w:pPr>
        <w:ind w:left="6093" w:hanging="920"/>
      </w:pPr>
      <w:rPr>
        <w:rFonts w:hint="default"/>
        <w:lang w:val="fr-FR" w:eastAsia="fr-FR" w:bidi="fr-FR"/>
      </w:rPr>
    </w:lvl>
    <w:lvl w:ilvl="6">
      <w:start w:val="0"/>
      <w:numFmt w:val="bullet"/>
      <w:lvlText w:val="•"/>
      <w:lvlJc w:val="left"/>
      <w:pPr>
        <w:ind w:left="7039" w:hanging="920"/>
      </w:pPr>
      <w:rPr>
        <w:rFonts w:hint="default"/>
        <w:lang w:val="fr-FR" w:eastAsia="fr-FR" w:bidi="fr-FR"/>
      </w:rPr>
    </w:lvl>
    <w:lvl w:ilvl="7">
      <w:start w:val="0"/>
      <w:numFmt w:val="bullet"/>
      <w:lvlText w:val="•"/>
      <w:lvlJc w:val="left"/>
      <w:pPr>
        <w:ind w:left="7986" w:hanging="920"/>
      </w:pPr>
      <w:rPr>
        <w:rFonts w:hint="default"/>
        <w:lang w:val="fr-FR" w:eastAsia="fr-FR" w:bidi="fr-FR"/>
      </w:rPr>
    </w:lvl>
    <w:lvl w:ilvl="8">
      <w:start w:val="0"/>
      <w:numFmt w:val="bullet"/>
      <w:lvlText w:val="•"/>
      <w:lvlJc w:val="left"/>
      <w:pPr>
        <w:ind w:left="8933" w:hanging="920"/>
      </w:pPr>
      <w:rPr>
        <w:rFonts w:hint="default"/>
        <w:lang w:val="fr-FR" w:eastAsia="fr-FR" w:bidi="fr-FR"/>
      </w:rPr>
    </w:lvl>
  </w:abstractNum>
  <w:abstractNum w:abstractNumId="77">
    <w:multiLevelType w:val="hybridMultilevel"/>
    <w:lvl w:ilvl="0">
      <w:start w:val="1"/>
      <w:numFmt w:val="decimal"/>
      <w:lvlText w:val="%1."/>
      <w:lvlJc w:val="left"/>
      <w:pPr>
        <w:ind w:left="1645" w:hanging="360"/>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2558" w:hanging="360"/>
      </w:pPr>
      <w:rPr>
        <w:rFonts w:hint="default"/>
        <w:lang w:val="fr-FR" w:eastAsia="fr-FR" w:bidi="fr-FR"/>
      </w:rPr>
    </w:lvl>
    <w:lvl w:ilvl="2">
      <w:start w:val="0"/>
      <w:numFmt w:val="bullet"/>
      <w:lvlText w:val="•"/>
      <w:lvlJc w:val="left"/>
      <w:pPr>
        <w:ind w:left="3477" w:hanging="360"/>
      </w:pPr>
      <w:rPr>
        <w:rFonts w:hint="default"/>
        <w:lang w:val="fr-FR" w:eastAsia="fr-FR" w:bidi="fr-FR"/>
      </w:rPr>
    </w:lvl>
    <w:lvl w:ilvl="3">
      <w:start w:val="0"/>
      <w:numFmt w:val="bullet"/>
      <w:lvlText w:val="•"/>
      <w:lvlJc w:val="left"/>
      <w:pPr>
        <w:ind w:left="4395" w:hanging="360"/>
      </w:pPr>
      <w:rPr>
        <w:rFonts w:hint="default"/>
        <w:lang w:val="fr-FR" w:eastAsia="fr-FR" w:bidi="fr-FR"/>
      </w:rPr>
    </w:lvl>
    <w:lvl w:ilvl="4">
      <w:start w:val="0"/>
      <w:numFmt w:val="bullet"/>
      <w:lvlText w:val="•"/>
      <w:lvlJc w:val="left"/>
      <w:pPr>
        <w:ind w:left="5314" w:hanging="360"/>
      </w:pPr>
      <w:rPr>
        <w:rFonts w:hint="default"/>
        <w:lang w:val="fr-FR" w:eastAsia="fr-FR" w:bidi="fr-FR"/>
      </w:rPr>
    </w:lvl>
    <w:lvl w:ilvl="5">
      <w:start w:val="0"/>
      <w:numFmt w:val="bullet"/>
      <w:lvlText w:val="•"/>
      <w:lvlJc w:val="left"/>
      <w:pPr>
        <w:ind w:left="6233" w:hanging="360"/>
      </w:pPr>
      <w:rPr>
        <w:rFonts w:hint="default"/>
        <w:lang w:val="fr-FR" w:eastAsia="fr-FR" w:bidi="fr-FR"/>
      </w:rPr>
    </w:lvl>
    <w:lvl w:ilvl="6">
      <w:start w:val="0"/>
      <w:numFmt w:val="bullet"/>
      <w:lvlText w:val="•"/>
      <w:lvlJc w:val="left"/>
      <w:pPr>
        <w:ind w:left="7151" w:hanging="360"/>
      </w:pPr>
      <w:rPr>
        <w:rFonts w:hint="default"/>
        <w:lang w:val="fr-FR" w:eastAsia="fr-FR" w:bidi="fr-FR"/>
      </w:rPr>
    </w:lvl>
    <w:lvl w:ilvl="7">
      <w:start w:val="0"/>
      <w:numFmt w:val="bullet"/>
      <w:lvlText w:val="•"/>
      <w:lvlJc w:val="left"/>
      <w:pPr>
        <w:ind w:left="8070" w:hanging="360"/>
      </w:pPr>
      <w:rPr>
        <w:rFonts w:hint="default"/>
        <w:lang w:val="fr-FR" w:eastAsia="fr-FR" w:bidi="fr-FR"/>
      </w:rPr>
    </w:lvl>
    <w:lvl w:ilvl="8">
      <w:start w:val="0"/>
      <w:numFmt w:val="bullet"/>
      <w:lvlText w:val="•"/>
      <w:lvlJc w:val="left"/>
      <w:pPr>
        <w:ind w:left="8989" w:hanging="360"/>
      </w:pPr>
      <w:rPr>
        <w:rFonts w:hint="default"/>
        <w:lang w:val="fr-FR" w:eastAsia="fr-FR" w:bidi="fr-FR"/>
      </w:rPr>
    </w:lvl>
  </w:abstractNum>
  <w:abstractNum w:abstractNumId="76">
    <w:multiLevelType w:val="hybridMultilevel"/>
    <w:lvl w:ilvl="0">
      <w:start w:val="2"/>
      <w:numFmt w:val="upperRoman"/>
      <w:lvlText w:val="%1"/>
      <w:lvlJc w:val="left"/>
      <w:pPr>
        <w:ind w:left="1633" w:hanging="1201"/>
        <w:jc w:val="left"/>
      </w:pPr>
      <w:rPr>
        <w:rFonts w:hint="default"/>
        <w:lang w:val="fr-FR" w:eastAsia="fr-FR" w:bidi="fr-FR"/>
      </w:rPr>
    </w:lvl>
    <w:lvl w:ilvl="1">
      <w:start w:val="2"/>
      <w:numFmt w:val="decimal"/>
      <w:lvlText w:val="%1.%2"/>
      <w:lvlJc w:val="left"/>
      <w:pPr>
        <w:ind w:left="1633" w:hanging="1201"/>
        <w:jc w:val="left"/>
      </w:pPr>
      <w:rPr>
        <w:rFonts w:hint="default"/>
        <w:lang w:val="fr-FR" w:eastAsia="fr-FR" w:bidi="fr-FR"/>
      </w:rPr>
    </w:lvl>
    <w:lvl w:ilvl="2">
      <w:start w:val="1"/>
      <w:numFmt w:val="decimal"/>
      <w:lvlText w:val="%1.%2.%3"/>
      <w:lvlJc w:val="left"/>
      <w:pPr>
        <w:ind w:left="1633" w:hanging="1201"/>
        <w:jc w:val="left"/>
      </w:pPr>
      <w:rPr>
        <w:rFonts w:hint="default"/>
        <w:lang w:val="fr-FR" w:eastAsia="fr-FR" w:bidi="fr-FR"/>
      </w:rPr>
    </w:lvl>
    <w:lvl w:ilvl="3">
      <w:start w:val="4"/>
      <w:numFmt w:val="decimal"/>
      <w:lvlText w:val="%1.%2.%3.%4"/>
      <w:lvlJc w:val="left"/>
      <w:pPr>
        <w:ind w:left="1633" w:hanging="1201"/>
        <w:jc w:val="left"/>
      </w:pPr>
      <w:rPr>
        <w:rFonts w:hint="default"/>
        <w:lang w:val="fr-FR" w:eastAsia="fr-FR" w:bidi="fr-FR"/>
      </w:rPr>
    </w:lvl>
    <w:lvl w:ilvl="4">
      <w:start w:val="1"/>
      <w:numFmt w:val="decimal"/>
      <w:lvlText w:val="%1.%2.%3.%4.%5."/>
      <w:lvlJc w:val="left"/>
      <w:pPr>
        <w:ind w:left="1633" w:hanging="1201"/>
        <w:jc w:val="left"/>
      </w:pPr>
      <w:rPr>
        <w:rFonts w:hint="default" w:ascii="Times New Roman" w:hAnsi="Times New Roman" w:eastAsia="Times New Roman" w:cs="Times New Roman"/>
        <w:b/>
        <w:bCs/>
        <w:spacing w:val="-3"/>
        <w:w w:val="100"/>
        <w:sz w:val="28"/>
        <w:szCs w:val="28"/>
        <w:lang w:val="fr-FR" w:eastAsia="fr-FR" w:bidi="fr-FR"/>
      </w:rPr>
    </w:lvl>
    <w:lvl w:ilvl="5">
      <w:start w:val="0"/>
      <w:numFmt w:val="bullet"/>
      <w:lvlText w:val="•"/>
      <w:lvlJc w:val="left"/>
      <w:pPr>
        <w:ind w:left="6233" w:hanging="1201"/>
      </w:pPr>
      <w:rPr>
        <w:rFonts w:hint="default"/>
        <w:lang w:val="fr-FR" w:eastAsia="fr-FR" w:bidi="fr-FR"/>
      </w:rPr>
    </w:lvl>
    <w:lvl w:ilvl="6">
      <w:start w:val="0"/>
      <w:numFmt w:val="bullet"/>
      <w:lvlText w:val="•"/>
      <w:lvlJc w:val="left"/>
      <w:pPr>
        <w:ind w:left="7151" w:hanging="1201"/>
      </w:pPr>
      <w:rPr>
        <w:rFonts w:hint="default"/>
        <w:lang w:val="fr-FR" w:eastAsia="fr-FR" w:bidi="fr-FR"/>
      </w:rPr>
    </w:lvl>
    <w:lvl w:ilvl="7">
      <w:start w:val="0"/>
      <w:numFmt w:val="bullet"/>
      <w:lvlText w:val="•"/>
      <w:lvlJc w:val="left"/>
      <w:pPr>
        <w:ind w:left="8070" w:hanging="1201"/>
      </w:pPr>
      <w:rPr>
        <w:rFonts w:hint="default"/>
        <w:lang w:val="fr-FR" w:eastAsia="fr-FR" w:bidi="fr-FR"/>
      </w:rPr>
    </w:lvl>
    <w:lvl w:ilvl="8">
      <w:start w:val="0"/>
      <w:numFmt w:val="bullet"/>
      <w:lvlText w:val="•"/>
      <w:lvlJc w:val="left"/>
      <w:pPr>
        <w:ind w:left="8989" w:hanging="1201"/>
      </w:pPr>
      <w:rPr>
        <w:rFonts w:hint="default"/>
        <w:lang w:val="fr-FR" w:eastAsia="fr-FR" w:bidi="fr-FR"/>
      </w:rPr>
    </w:lvl>
  </w:abstractNum>
  <w:abstractNum w:abstractNumId="75">
    <w:multiLevelType w:val="hybridMultilevel"/>
    <w:lvl w:ilvl="0">
      <w:start w:val="2"/>
      <w:numFmt w:val="upperRoman"/>
      <w:lvlText w:val="%1"/>
      <w:lvlJc w:val="left"/>
      <w:pPr>
        <w:ind w:left="1001" w:hanging="568"/>
        <w:jc w:val="left"/>
      </w:pPr>
      <w:rPr>
        <w:rFonts w:hint="default"/>
        <w:lang w:val="fr-FR" w:eastAsia="fr-FR" w:bidi="fr-FR"/>
      </w:rPr>
    </w:lvl>
    <w:lvl w:ilvl="1">
      <w:start w:val="2"/>
      <w:numFmt w:val="decimal"/>
      <w:lvlText w:val="%1.%2."/>
      <w:lvlJc w:val="left"/>
      <w:pPr>
        <w:ind w:left="1001" w:hanging="568"/>
        <w:jc w:val="left"/>
      </w:pPr>
      <w:rPr>
        <w:rFonts w:hint="default" w:ascii="Times New Roman" w:hAnsi="Times New Roman" w:eastAsia="Times New Roman" w:cs="Times New Roman"/>
        <w:b/>
        <w:bCs/>
        <w:spacing w:val="-4"/>
        <w:w w:val="100"/>
        <w:sz w:val="28"/>
        <w:szCs w:val="28"/>
        <w:lang w:val="fr-FR" w:eastAsia="fr-FR" w:bidi="fr-FR"/>
      </w:rPr>
    </w:lvl>
    <w:lvl w:ilvl="2">
      <w:start w:val="1"/>
      <w:numFmt w:val="decimal"/>
      <w:lvlText w:val="%1.%2.%3."/>
      <w:lvlJc w:val="left"/>
      <w:pPr>
        <w:ind w:left="1213" w:hanging="781"/>
        <w:jc w:val="left"/>
      </w:pPr>
      <w:rPr>
        <w:rFonts w:hint="default" w:ascii="Times New Roman" w:hAnsi="Times New Roman" w:eastAsia="Times New Roman" w:cs="Times New Roman"/>
        <w:b/>
        <w:bCs/>
        <w:spacing w:val="-3"/>
        <w:w w:val="100"/>
        <w:sz w:val="28"/>
        <w:szCs w:val="28"/>
        <w:lang w:val="fr-FR" w:eastAsia="fr-FR" w:bidi="fr-FR"/>
      </w:rPr>
    </w:lvl>
    <w:lvl w:ilvl="3">
      <w:start w:val="1"/>
      <w:numFmt w:val="decimal"/>
      <w:lvlText w:val="%1.%2.%3.%4."/>
      <w:lvlJc w:val="left"/>
      <w:pPr>
        <w:ind w:left="1421" w:hanging="989"/>
        <w:jc w:val="left"/>
      </w:pPr>
      <w:rPr>
        <w:rFonts w:hint="default" w:ascii="Times New Roman" w:hAnsi="Times New Roman" w:eastAsia="Times New Roman" w:cs="Times New Roman"/>
        <w:b/>
        <w:bCs/>
        <w:spacing w:val="-3"/>
        <w:w w:val="100"/>
        <w:sz w:val="28"/>
        <w:szCs w:val="28"/>
        <w:lang w:val="fr-FR" w:eastAsia="fr-FR" w:bidi="fr-FR"/>
      </w:rPr>
    </w:lvl>
    <w:lvl w:ilvl="4">
      <w:start w:val="0"/>
      <w:numFmt w:val="bullet"/>
      <w:lvlText w:val=""/>
      <w:lvlJc w:val="left"/>
      <w:pPr>
        <w:ind w:left="999" w:hanging="284"/>
      </w:pPr>
      <w:rPr>
        <w:rFonts w:hint="default" w:ascii="Symbol" w:hAnsi="Symbol" w:eastAsia="Symbol" w:cs="Symbol"/>
        <w:w w:val="100"/>
        <w:sz w:val="28"/>
        <w:szCs w:val="28"/>
        <w:lang w:val="fr-FR" w:eastAsia="fr-FR" w:bidi="fr-FR"/>
      </w:rPr>
    </w:lvl>
    <w:lvl w:ilvl="5">
      <w:start w:val="0"/>
      <w:numFmt w:val="bullet"/>
      <w:lvlText w:val="•"/>
      <w:lvlJc w:val="left"/>
      <w:pPr>
        <w:ind w:left="4947" w:hanging="284"/>
      </w:pPr>
      <w:rPr>
        <w:rFonts w:hint="default"/>
        <w:lang w:val="fr-FR" w:eastAsia="fr-FR" w:bidi="fr-FR"/>
      </w:rPr>
    </w:lvl>
    <w:lvl w:ilvl="6">
      <w:start w:val="0"/>
      <w:numFmt w:val="bullet"/>
      <w:lvlText w:val="•"/>
      <w:lvlJc w:val="left"/>
      <w:pPr>
        <w:ind w:left="6123" w:hanging="284"/>
      </w:pPr>
      <w:rPr>
        <w:rFonts w:hint="default"/>
        <w:lang w:val="fr-FR" w:eastAsia="fr-FR" w:bidi="fr-FR"/>
      </w:rPr>
    </w:lvl>
    <w:lvl w:ilvl="7">
      <w:start w:val="0"/>
      <w:numFmt w:val="bullet"/>
      <w:lvlText w:val="•"/>
      <w:lvlJc w:val="left"/>
      <w:pPr>
        <w:ind w:left="7299" w:hanging="284"/>
      </w:pPr>
      <w:rPr>
        <w:rFonts w:hint="default"/>
        <w:lang w:val="fr-FR" w:eastAsia="fr-FR" w:bidi="fr-FR"/>
      </w:rPr>
    </w:lvl>
    <w:lvl w:ilvl="8">
      <w:start w:val="0"/>
      <w:numFmt w:val="bullet"/>
      <w:lvlText w:val="•"/>
      <w:lvlJc w:val="left"/>
      <w:pPr>
        <w:ind w:left="8474" w:hanging="284"/>
      </w:pPr>
      <w:rPr>
        <w:rFonts w:hint="default"/>
        <w:lang w:val="fr-FR" w:eastAsia="fr-FR" w:bidi="fr-FR"/>
      </w:rPr>
    </w:lvl>
  </w:abstractNum>
  <w:abstractNum w:abstractNumId="74">
    <w:multiLevelType w:val="hybridMultilevel"/>
    <w:lvl w:ilvl="0">
      <w:start w:val="2"/>
      <w:numFmt w:val="upperRoman"/>
      <w:lvlText w:val="%1"/>
      <w:lvlJc w:val="left"/>
      <w:pPr>
        <w:ind w:left="433" w:hanging="553"/>
        <w:jc w:val="left"/>
      </w:pPr>
      <w:rPr>
        <w:rFonts w:hint="default"/>
        <w:lang w:val="fr-FR" w:eastAsia="fr-FR" w:bidi="fr-FR"/>
      </w:rPr>
    </w:lvl>
    <w:lvl w:ilvl="1">
      <w:start w:val="1"/>
      <w:numFmt w:val="decimal"/>
      <w:lvlText w:val="%1.%2"/>
      <w:lvlJc w:val="left"/>
      <w:pPr>
        <w:ind w:left="433" w:hanging="553"/>
        <w:jc w:val="left"/>
      </w:pPr>
      <w:rPr>
        <w:rFonts w:hint="default" w:ascii="Times New Roman" w:hAnsi="Times New Roman" w:eastAsia="Times New Roman" w:cs="Times New Roman"/>
        <w:b/>
        <w:bCs/>
        <w:spacing w:val="-4"/>
        <w:w w:val="100"/>
        <w:sz w:val="28"/>
        <w:szCs w:val="28"/>
        <w:lang w:val="fr-FR" w:eastAsia="fr-FR" w:bidi="fr-FR"/>
      </w:rPr>
    </w:lvl>
    <w:lvl w:ilvl="2">
      <w:start w:val="1"/>
      <w:numFmt w:val="decimal"/>
      <w:lvlText w:val="%1.%2.%3"/>
      <w:lvlJc w:val="left"/>
      <w:pPr>
        <w:ind w:left="1142" w:hanging="710"/>
        <w:jc w:val="left"/>
      </w:pPr>
      <w:rPr>
        <w:rFonts w:hint="default" w:ascii="Times New Roman" w:hAnsi="Times New Roman" w:eastAsia="Times New Roman" w:cs="Times New Roman"/>
        <w:b/>
        <w:bCs/>
        <w:spacing w:val="-4"/>
        <w:w w:val="100"/>
        <w:sz w:val="28"/>
        <w:szCs w:val="28"/>
        <w:lang w:val="fr-FR" w:eastAsia="fr-FR" w:bidi="fr-FR"/>
      </w:rPr>
    </w:lvl>
    <w:lvl w:ilvl="3">
      <w:start w:val="0"/>
      <w:numFmt w:val="bullet"/>
      <w:lvlText w:val="-"/>
      <w:lvlJc w:val="left"/>
      <w:pPr>
        <w:ind w:left="1153" w:hanging="360"/>
      </w:pPr>
      <w:rPr>
        <w:rFonts w:hint="default" w:ascii="Calibri" w:hAnsi="Calibri" w:eastAsia="Calibri" w:cs="Calibri"/>
        <w:w w:val="100"/>
        <w:sz w:val="28"/>
        <w:szCs w:val="28"/>
        <w:lang w:val="fr-FR" w:eastAsia="fr-FR" w:bidi="fr-FR"/>
      </w:rPr>
    </w:lvl>
    <w:lvl w:ilvl="4">
      <w:start w:val="0"/>
      <w:numFmt w:val="bullet"/>
      <w:lvlText w:val="•"/>
      <w:lvlJc w:val="left"/>
      <w:pPr>
        <w:ind w:left="3576" w:hanging="360"/>
      </w:pPr>
      <w:rPr>
        <w:rFonts w:hint="default"/>
        <w:lang w:val="fr-FR" w:eastAsia="fr-FR" w:bidi="fr-FR"/>
      </w:rPr>
    </w:lvl>
    <w:lvl w:ilvl="5">
      <w:start w:val="0"/>
      <w:numFmt w:val="bullet"/>
      <w:lvlText w:val="•"/>
      <w:lvlJc w:val="left"/>
      <w:pPr>
        <w:ind w:left="4784" w:hanging="360"/>
      </w:pPr>
      <w:rPr>
        <w:rFonts w:hint="default"/>
        <w:lang w:val="fr-FR" w:eastAsia="fr-FR" w:bidi="fr-FR"/>
      </w:rPr>
    </w:lvl>
    <w:lvl w:ilvl="6">
      <w:start w:val="0"/>
      <w:numFmt w:val="bullet"/>
      <w:lvlText w:val="•"/>
      <w:lvlJc w:val="left"/>
      <w:pPr>
        <w:ind w:left="5993" w:hanging="360"/>
      </w:pPr>
      <w:rPr>
        <w:rFonts w:hint="default"/>
        <w:lang w:val="fr-FR" w:eastAsia="fr-FR" w:bidi="fr-FR"/>
      </w:rPr>
    </w:lvl>
    <w:lvl w:ilvl="7">
      <w:start w:val="0"/>
      <w:numFmt w:val="bullet"/>
      <w:lvlText w:val="•"/>
      <w:lvlJc w:val="left"/>
      <w:pPr>
        <w:ind w:left="7201" w:hanging="360"/>
      </w:pPr>
      <w:rPr>
        <w:rFonts w:hint="default"/>
        <w:lang w:val="fr-FR" w:eastAsia="fr-FR" w:bidi="fr-FR"/>
      </w:rPr>
    </w:lvl>
    <w:lvl w:ilvl="8">
      <w:start w:val="0"/>
      <w:numFmt w:val="bullet"/>
      <w:lvlText w:val="•"/>
      <w:lvlJc w:val="left"/>
      <w:pPr>
        <w:ind w:left="8409" w:hanging="360"/>
      </w:pPr>
      <w:rPr>
        <w:rFonts w:hint="default"/>
        <w:lang w:val="fr-FR" w:eastAsia="fr-FR" w:bidi="fr-FR"/>
      </w:rPr>
    </w:lvl>
  </w:abstractNum>
  <w:abstractNum w:abstractNumId="73">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72">
    <w:multiLevelType w:val="hybridMultilevel"/>
    <w:lvl w:ilvl="0">
      <w:start w:val="0"/>
      <w:numFmt w:val="bullet"/>
      <w:lvlText w:val="-"/>
      <w:lvlJc w:val="left"/>
      <w:pPr>
        <w:ind w:left="1153" w:hanging="360"/>
      </w:pPr>
      <w:rPr>
        <w:rFonts w:hint="default" w:ascii="Calibri" w:hAnsi="Calibri" w:eastAsia="Calibri" w:cs="Calibri"/>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71">
    <w:multiLevelType w:val="hybridMultilevel"/>
    <w:lvl w:ilvl="0">
      <w:start w:val="1"/>
      <w:numFmt w:val="lowerLetter"/>
      <w:lvlText w:val="%1)"/>
      <w:lvlJc w:val="left"/>
      <w:pPr>
        <w:ind w:left="721" w:hanging="288"/>
        <w:jc w:val="left"/>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70">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69">
    <w:multiLevelType w:val="hybridMultilevel"/>
    <w:lvl w:ilvl="0">
      <w:start w:val="1"/>
      <w:numFmt w:val="decimal"/>
      <w:lvlText w:val="%1."/>
      <w:lvlJc w:val="left"/>
      <w:pPr>
        <w:ind w:left="793" w:hanging="360"/>
        <w:jc w:val="left"/>
      </w:pPr>
      <w:rPr>
        <w:rFonts w:hint="default" w:ascii="Times New Roman" w:hAnsi="Times New Roman" w:eastAsia="Times New Roman" w:cs="Times New Roman"/>
        <w:spacing w:val="0"/>
        <w:w w:val="100"/>
        <w:sz w:val="28"/>
        <w:szCs w:val="28"/>
        <w:lang w:val="fr-FR" w:eastAsia="fr-FR" w:bidi="fr-FR"/>
      </w:rPr>
    </w:lvl>
    <w:lvl w:ilvl="1">
      <w:start w:val="1"/>
      <w:numFmt w:val="lowerLetter"/>
      <w:lvlText w:val="%2)"/>
      <w:lvlJc w:val="left"/>
      <w:pPr>
        <w:ind w:left="1004" w:hanging="288"/>
        <w:jc w:val="left"/>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091" w:hanging="288"/>
      </w:pPr>
      <w:rPr>
        <w:rFonts w:hint="default"/>
        <w:lang w:val="fr-FR" w:eastAsia="fr-FR" w:bidi="fr-FR"/>
      </w:rPr>
    </w:lvl>
    <w:lvl w:ilvl="3">
      <w:start w:val="0"/>
      <w:numFmt w:val="bullet"/>
      <w:lvlText w:val="•"/>
      <w:lvlJc w:val="left"/>
      <w:pPr>
        <w:ind w:left="3183" w:hanging="288"/>
      </w:pPr>
      <w:rPr>
        <w:rFonts w:hint="default"/>
        <w:lang w:val="fr-FR" w:eastAsia="fr-FR" w:bidi="fr-FR"/>
      </w:rPr>
    </w:lvl>
    <w:lvl w:ilvl="4">
      <w:start w:val="0"/>
      <w:numFmt w:val="bullet"/>
      <w:lvlText w:val="•"/>
      <w:lvlJc w:val="left"/>
      <w:pPr>
        <w:ind w:left="4275" w:hanging="288"/>
      </w:pPr>
      <w:rPr>
        <w:rFonts w:hint="default"/>
        <w:lang w:val="fr-FR" w:eastAsia="fr-FR" w:bidi="fr-FR"/>
      </w:rPr>
    </w:lvl>
    <w:lvl w:ilvl="5">
      <w:start w:val="0"/>
      <w:numFmt w:val="bullet"/>
      <w:lvlText w:val="•"/>
      <w:lvlJc w:val="left"/>
      <w:pPr>
        <w:ind w:left="5367" w:hanging="288"/>
      </w:pPr>
      <w:rPr>
        <w:rFonts w:hint="default"/>
        <w:lang w:val="fr-FR" w:eastAsia="fr-FR" w:bidi="fr-FR"/>
      </w:rPr>
    </w:lvl>
    <w:lvl w:ilvl="6">
      <w:start w:val="0"/>
      <w:numFmt w:val="bullet"/>
      <w:lvlText w:val="•"/>
      <w:lvlJc w:val="left"/>
      <w:pPr>
        <w:ind w:left="6459" w:hanging="288"/>
      </w:pPr>
      <w:rPr>
        <w:rFonts w:hint="default"/>
        <w:lang w:val="fr-FR" w:eastAsia="fr-FR" w:bidi="fr-FR"/>
      </w:rPr>
    </w:lvl>
    <w:lvl w:ilvl="7">
      <w:start w:val="0"/>
      <w:numFmt w:val="bullet"/>
      <w:lvlText w:val="•"/>
      <w:lvlJc w:val="left"/>
      <w:pPr>
        <w:ind w:left="7550" w:hanging="288"/>
      </w:pPr>
      <w:rPr>
        <w:rFonts w:hint="default"/>
        <w:lang w:val="fr-FR" w:eastAsia="fr-FR" w:bidi="fr-FR"/>
      </w:rPr>
    </w:lvl>
    <w:lvl w:ilvl="8">
      <w:start w:val="0"/>
      <w:numFmt w:val="bullet"/>
      <w:lvlText w:val="•"/>
      <w:lvlJc w:val="left"/>
      <w:pPr>
        <w:ind w:left="8642" w:hanging="288"/>
      </w:pPr>
      <w:rPr>
        <w:rFonts w:hint="default"/>
        <w:lang w:val="fr-FR" w:eastAsia="fr-FR" w:bidi="fr-FR"/>
      </w:rPr>
    </w:lvl>
  </w:abstractNum>
  <w:abstractNum w:abstractNumId="68">
    <w:multiLevelType w:val="hybridMultilevel"/>
    <w:lvl w:ilvl="0">
      <w:start w:val="1"/>
      <w:numFmt w:val="lowerLetter"/>
      <w:lvlText w:val="%1)"/>
      <w:lvlJc w:val="left"/>
      <w:pPr>
        <w:ind w:left="999" w:hanging="322"/>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982" w:hanging="322"/>
      </w:pPr>
      <w:rPr>
        <w:rFonts w:hint="default"/>
        <w:lang w:val="fr-FR" w:eastAsia="fr-FR" w:bidi="fr-FR"/>
      </w:rPr>
    </w:lvl>
    <w:lvl w:ilvl="2">
      <w:start w:val="0"/>
      <w:numFmt w:val="bullet"/>
      <w:lvlText w:val="•"/>
      <w:lvlJc w:val="left"/>
      <w:pPr>
        <w:ind w:left="2965" w:hanging="322"/>
      </w:pPr>
      <w:rPr>
        <w:rFonts w:hint="default"/>
        <w:lang w:val="fr-FR" w:eastAsia="fr-FR" w:bidi="fr-FR"/>
      </w:rPr>
    </w:lvl>
    <w:lvl w:ilvl="3">
      <w:start w:val="0"/>
      <w:numFmt w:val="bullet"/>
      <w:lvlText w:val="•"/>
      <w:lvlJc w:val="left"/>
      <w:pPr>
        <w:ind w:left="3947" w:hanging="322"/>
      </w:pPr>
      <w:rPr>
        <w:rFonts w:hint="default"/>
        <w:lang w:val="fr-FR" w:eastAsia="fr-FR" w:bidi="fr-FR"/>
      </w:rPr>
    </w:lvl>
    <w:lvl w:ilvl="4">
      <w:start w:val="0"/>
      <w:numFmt w:val="bullet"/>
      <w:lvlText w:val="•"/>
      <w:lvlJc w:val="left"/>
      <w:pPr>
        <w:ind w:left="4930" w:hanging="322"/>
      </w:pPr>
      <w:rPr>
        <w:rFonts w:hint="default"/>
        <w:lang w:val="fr-FR" w:eastAsia="fr-FR" w:bidi="fr-FR"/>
      </w:rPr>
    </w:lvl>
    <w:lvl w:ilvl="5">
      <w:start w:val="0"/>
      <w:numFmt w:val="bullet"/>
      <w:lvlText w:val="•"/>
      <w:lvlJc w:val="left"/>
      <w:pPr>
        <w:ind w:left="5913" w:hanging="322"/>
      </w:pPr>
      <w:rPr>
        <w:rFonts w:hint="default"/>
        <w:lang w:val="fr-FR" w:eastAsia="fr-FR" w:bidi="fr-FR"/>
      </w:rPr>
    </w:lvl>
    <w:lvl w:ilvl="6">
      <w:start w:val="0"/>
      <w:numFmt w:val="bullet"/>
      <w:lvlText w:val="•"/>
      <w:lvlJc w:val="left"/>
      <w:pPr>
        <w:ind w:left="6895" w:hanging="322"/>
      </w:pPr>
      <w:rPr>
        <w:rFonts w:hint="default"/>
        <w:lang w:val="fr-FR" w:eastAsia="fr-FR" w:bidi="fr-FR"/>
      </w:rPr>
    </w:lvl>
    <w:lvl w:ilvl="7">
      <w:start w:val="0"/>
      <w:numFmt w:val="bullet"/>
      <w:lvlText w:val="•"/>
      <w:lvlJc w:val="left"/>
      <w:pPr>
        <w:ind w:left="7878" w:hanging="322"/>
      </w:pPr>
      <w:rPr>
        <w:rFonts w:hint="default"/>
        <w:lang w:val="fr-FR" w:eastAsia="fr-FR" w:bidi="fr-FR"/>
      </w:rPr>
    </w:lvl>
    <w:lvl w:ilvl="8">
      <w:start w:val="0"/>
      <w:numFmt w:val="bullet"/>
      <w:lvlText w:val="•"/>
      <w:lvlJc w:val="left"/>
      <w:pPr>
        <w:ind w:left="8861" w:hanging="322"/>
      </w:pPr>
      <w:rPr>
        <w:rFonts w:hint="default"/>
        <w:lang w:val="fr-FR" w:eastAsia="fr-FR" w:bidi="fr-FR"/>
      </w:rPr>
    </w:lvl>
  </w:abstractNum>
  <w:abstractNum w:abstractNumId="67">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66">
    <w:multiLevelType w:val="hybridMultilevel"/>
    <w:lvl w:ilvl="0">
      <w:start w:val="5"/>
      <w:numFmt w:val="upperRoman"/>
      <w:lvlText w:val="%1"/>
      <w:lvlJc w:val="left"/>
      <w:pPr>
        <w:ind w:left="1189" w:hanging="756"/>
        <w:jc w:val="left"/>
      </w:pPr>
      <w:rPr>
        <w:rFonts w:hint="default"/>
        <w:lang w:val="fr-FR" w:eastAsia="fr-FR" w:bidi="fr-FR"/>
      </w:rPr>
    </w:lvl>
    <w:lvl w:ilvl="1">
      <w:start w:val="2"/>
      <w:numFmt w:val="decimal"/>
      <w:lvlText w:val="%1.%2"/>
      <w:lvlJc w:val="left"/>
      <w:pPr>
        <w:ind w:left="1189" w:hanging="756"/>
        <w:jc w:val="left"/>
      </w:pPr>
      <w:rPr>
        <w:rFonts w:hint="default"/>
        <w:lang w:val="fr-FR" w:eastAsia="fr-FR" w:bidi="fr-FR"/>
      </w:rPr>
    </w:lvl>
    <w:lvl w:ilvl="2">
      <w:start w:val="1"/>
      <w:numFmt w:val="decimal"/>
      <w:lvlText w:val="%1.%2.%3."/>
      <w:lvlJc w:val="left"/>
      <w:pPr>
        <w:ind w:left="1189" w:hanging="756"/>
        <w:jc w:val="left"/>
      </w:pPr>
      <w:rPr>
        <w:rFonts w:hint="default" w:ascii="Times New Roman" w:hAnsi="Times New Roman" w:eastAsia="Times New Roman" w:cs="Times New Roman"/>
        <w:b/>
        <w:bCs/>
        <w:spacing w:val="-4"/>
        <w:w w:val="100"/>
        <w:sz w:val="28"/>
        <w:szCs w:val="28"/>
        <w:lang w:val="fr-FR" w:eastAsia="fr-FR" w:bidi="fr-FR"/>
      </w:rPr>
    </w:lvl>
    <w:lvl w:ilvl="3">
      <w:start w:val="1"/>
      <w:numFmt w:val="lowerLetter"/>
      <w:lvlText w:val="%4)"/>
      <w:lvlJc w:val="left"/>
      <w:pPr>
        <w:ind w:left="1002" w:hanging="286"/>
        <w:jc w:val="left"/>
      </w:pPr>
      <w:rPr>
        <w:rFonts w:hint="default" w:ascii="Times New Roman" w:hAnsi="Times New Roman" w:eastAsia="Times New Roman" w:cs="Times New Roman"/>
        <w:spacing w:val="-3"/>
        <w:w w:val="100"/>
        <w:sz w:val="28"/>
        <w:szCs w:val="28"/>
        <w:lang w:val="fr-FR" w:eastAsia="fr-FR" w:bidi="fr-FR"/>
      </w:rPr>
    </w:lvl>
    <w:lvl w:ilvl="4">
      <w:start w:val="0"/>
      <w:numFmt w:val="bullet"/>
      <w:lvlText w:val="•"/>
      <w:lvlJc w:val="left"/>
      <w:pPr>
        <w:ind w:left="4395" w:hanging="286"/>
      </w:pPr>
      <w:rPr>
        <w:rFonts w:hint="default"/>
        <w:lang w:val="fr-FR" w:eastAsia="fr-FR" w:bidi="fr-FR"/>
      </w:rPr>
    </w:lvl>
    <w:lvl w:ilvl="5">
      <w:start w:val="0"/>
      <w:numFmt w:val="bullet"/>
      <w:lvlText w:val="•"/>
      <w:lvlJc w:val="left"/>
      <w:pPr>
        <w:ind w:left="5467" w:hanging="286"/>
      </w:pPr>
      <w:rPr>
        <w:rFonts w:hint="default"/>
        <w:lang w:val="fr-FR" w:eastAsia="fr-FR" w:bidi="fr-FR"/>
      </w:rPr>
    </w:lvl>
    <w:lvl w:ilvl="6">
      <w:start w:val="0"/>
      <w:numFmt w:val="bullet"/>
      <w:lvlText w:val="•"/>
      <w:lvlJc w:val="left"/>
      <w:pPr>
        <w:ind w:left="6539" w:hanging="286"/>
      </w:pPr>
      <w:rPr>
        <w:rFonts w:hint="default"/>
        <w:lang w:val="fr-FR" w:eastAsia="fr-FR" w:bidi="fr-FR"/>
      </w:rPr>
    </w:lvl>
    <w:lvl w:ilvl="7">
      <w:start w:val="0"/>
      <w:numFmt w:val="bullet"/>
      <w:lvlText w:val="•"/>
      <w:lvlJc w:val="left"/>
      <w:pPr>
        <w:ind w:left="7610" w:hanging="286"/>
      </w:pPr>
      <w:rPr>
        <w:rFonts w:hint="default"/>
        <w:lang w:val="fr-FR" w:eastAsia="fr-FR" w:bidi="fr-FR"/>
      </w:rPr>
    </w:lvl>
    <w:lvl w:ilvl="8">
      <w:start w:val="0"/>
      <w:numFmt w:val="bullet"/>
      <w:lvlText w:val="•"/>
      <w:lvlJc w:val="left"/>
      <w:pPr>
        <w:ind w:left="8682" w:hanging="286"/>
      </w:pPr>
      <w:rPr>
        <w:rFonts w:hint="default"/>
        <w:lang w:val="fr-FR" w:eastAsia="fr-FR" w:bidi="fr-FR"/>
      </w:rPr>
    </w:lvl>
  </w:abstractNum>
  <w:abstractNum w:abstractNumId="65">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64">
    <w:multiLevelType w:val="hybridMultilevel"/>
    <w:lvl w:ilvl="0">
      <w:start w:val="0"/>
      <w:numFmt w:val="bullet"/>
      <w:lvlText w:val=""/>
      <w:lvlJc w:val="left"/>
      <w:pPr>
        <w:ind w:left="1220" w:hanging="360"/>
      </w:pPr>
      <w:rPr>
        <w:rFonts w:hint="default" w:ascii="Symbol" w:hAnsi="Symbol" w:eastAsia="Symbol" w:cs="Symbol"/>
        <w:w w:val="100"/>
        <w:sz w:val="28"/>
        <w:szCs w:val="28"/>
        <w:lang w:val="fr-FR" w:eastAsia="fr-FR" w:bidi="fr-FR"/>
      </w:rPr>
    </w:lvl>
    <w:lvl w:ilvl="1">
      <w:start w:val="0"/>
      <w:numFmt w:val="bullet"/>
      <w:lvlText w:val="-"/>
      <w:lvlJc w:val="left"/>
      <w:pPr>
        <w:ind w:left="1568" w:hanging="221"/>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589" w:hanging="221"/>
      </w:pPr>
      <w:rPr>
        <w:rFonts w:hint="default"/>
        <w:lang w:val="fr-FR" w:eastAsia="fr-FR" w:bidi="fr-FR"/>
      </w:rPr>
    </w:lvl>
    <w:lvl w:ilvl="3">
      <w:start w:val="0"/>
      <w:numFmt w:val="bullet"/>
      <w:lvlText w:val="•"/>
      <w:lvlJc w:val="left"/>
      <w:pPr>
        <w:ind w:left="3619" w:hanging="221"/>
      </w:pPr>
      <w:rPr>
        <w:rFonts w:hint="default"/>
        <w:lang w:val="fr-FR" w:eastAsia="fr-FR" w:bidi="fr-FR"/>
      </w:rPr>
    </w:lvl>
    <w:lvl w:ilvl="4">
      <w:start w:val="0"/>
      <w:numFmt w:val="bullet"/>
      <w:lvlText w:val="•"/>
      <w:lvlJc w:val="left"/>
      <w:pPr>
        <w:ind w:left="4648" w:hanging="221"/>
      </w:pPr>
      <w:rPr>
        <w:rFonts w:hint="default"/>
        <w:lang w:val="fr-FR" w:eastAsia="fr-FR" w:bidi="fr-FR"/>
      </w:rPr>
    </w:lvl>
    <w:lvl w:ilvl="5">
      <w:start w:val="0"/>
      <w:numFmt w:val="bullet"/>
      <w:lvlText w:val="•"/>
      <w:lvlJc w:val="left"/>
      <w:pPr>
        <w:ind w:left="5678" w:hanging="221"/>
      </w:pPr>
      <w:rPr>
        <w:rFonts w:hint="default"/>
        <w:lang w:val="fr-FR" w:eastAsia="fr-FR" w:bidi="fr-FR"/>
      </w:rPr>
    </w:lvl>
    <w:lvl w:ilvl="6">
      <w:start w:val="0"/>
      <w:numFmt w:val="bullet"/>
      <w:lvlText w:val="•"/>
      <w:lvlJc w:val="left"/>
      <w:pPr>
        <w:ind w:left="6708" w:hanging="221"/>
      </w:pPr>
      <w:rPr>
        <w:rFonts w:hint="default"/>
        <w:lang w:val="fr-FR" w:eastAsia="fr-FR" w:bidi="fr-FR"/>
      </w:rPr>
    </w:lvl>
    <w:lvl w:ilvl="7">
      <w:start w:val="0"/>
      <w:numFmt w:val="bullet"/>
      <w:lvlText w:val="•"/>
      <w:lvlJc w:val="left"/>
      <w:pPr>
        <w:ind w:left="7737" w:hanging="221"/>
      </w:pPr>
      <w:rPr>
        <w:rFonts w:hint="default"/>
        <w:lang w:val="fr-FR" w:eastAsia="fr-FR" w:bidi="fr-FR"/>
      </w:rPr>
    </w:lvl>
    <w:lvl w:ilvl="8">
      <w:start w:val="0"/>
      <w:numFmt w:val="bullet"/>
      <w:lvlText w:val="•"/>
      <w:lvlJc w:val="left"/>
      <w:pPr>
        <w:ind w:left="8767" w:hanging="221"/>
      </w:pPr>
      <w:rPr>
        <w:rFonts w:hint="default"/>
        <w:lang w:val="fr-FR" w:eastAsia="fr-FR" w:bidi="fr-FR"/>
      </w:rPr>
    </w:lvl>
  </w:abstractNum>
  <w:abstractNum w:abstractNumId="63">
    <w:multiLevelType w:val="hybridMultilevel"/>
    <w:lvl w:ilvl="0">
      <w:start w:val="0"/>
      <w:numFmt w:val="bullet"/>
      <w:lvlText w:val="-"/>
      <w:lvlJc w:val="left"/>
      <w:pPr>
        <w:ind w:left="433" w:hanging="152"/>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220" w:hanging="360"/>
      </w:pPr>
      <w:rPr>
        <w:rFonts w:hint="default" w:ascii="Wingdings" w:hAnsi="Wingdings" w:eastAsia="Wingdings" w:cs="Wingdings"/>
        <w:w w:val="100"/>
        <w:sz w:val="28"/>
        <w:szCs w:val="28"/>
        <w:lang w:val="fr-FR" w:eastAsia="fr-FR" w:bidi="fr-FR"/>
      </w:rPr>
    </w:lvl>
    <w:lvl w:ilvl="2">
      <w:start w:val="0"/>
      <w:numFmt w:val="bullet"/>
      <w:lvlText w:val="•"/>
      <w:lvlJc w:val="left"/>
      <w:pPr>
        <w:ind w:left="2287" w:hanging="360"/>
      </w:pPr>
      <w:rPr>
        <w:rFonts w:hint="default"/>
        <w:lang w:val="fr-FR" w:eastAsia="fr-FR" w:bidi="fr-FR"/>
      </w:rPr>
    </w:lvl>
    <w:lvl w:ilvl="3">
      <w:start w:val="0"/>
      <w:numFmt w:val="bullet"/>
      <w:lvlText w:val="•"/>
      <w:lvlJc w:val="left"/>
      <w:pPr>
        <w:ind w:left="3354" w:hanging="360"/>
      </w:pPr>
      <w:rPr>
        <w:rFonts w:hint="default"/>
        <w:lang w:val="fr-FR" w:eastAsia="fr-FR" w:bidi="fr-FR"/>
      </w:rPr>
    </w:lvl>
    <w:lvl w:ilvl="4">
      <w:start w:val="0"/>
      <w:numFmt w:val="bullet"/>
      <w:lvlText w:val="•"/>
      <w:lvlJc w:val="left"/>
      <w:pPr>
        <w:ind w:left="4422" w:hanging="360"/>
      </w:pPr>
      <w:rPr>
        <w:rFonts w:hint="default"/>
        <w:lang w:val="fr-FR" w:eastAsia="fr-FR" w:bidi="fr-FR"/>
      </w:rPr>
    </w:lvl>
    <w:lvl w:ilvl="5">
      <w:start w:val="0"/>
      <w:numFmt w:val="bullet"/>
      <w:lvlText w:val="•"/>
      <w:lvlJc w:val="left"/>
      <w:pPr>
        <w:ind w:left="5489" w:hanging="360"/>
      </w:pPr>
      <w:rPr>
        <w:rFonts w:hint="default"/>
        <w:lang w:val="fr-FR" w:eastAsia="fr-FR" w:bidi="fr-FR"/>
      </w:rPr>
    </w:lvl>
    <w:lvl w:ilvl="6">
      <w:start w:val="0"/>
      <w:numFmt w:val="bullet"/>
      <w:lvlText w:val="•"/>
      <w:lvlJc w:val="left"/>
      <w:pPr>
        <w:ind w:left="6556" w:hanging="360"/>
      </w:pPr>
      <w:rPr>
        <w:rFonts w:hint="default"/>
        <w:lang w:val="fr-FR" w:eastAsia="fr-FR" w:bidi="fr-FR"/>
      </w:rPr>
    </w:lvl>
    <w:lvl w:ilvl="7">
      <w:start w:val="0"/>
      <w:numFmt w:val="bullet"/>
      <w:lvlText w:val="•"/>
      <w:lvlJc w:val="left"/>
      <w:pPr>
        <w:ind w:left="7624" w:hanging="360"/>
      </w:pPr>
      <w:rPr>
        <w:rFonts w:hint="default"/>
        <w:lang w:val="fr-FR" w:eastAsia="fr-FR" w:bidi="fr-FR"/>
      </w:rPr>
    </w:lvl>
    <w:lvl w:ilvl="8">
      <w:start w:val="0"/>
      <w:numFmt w:val="bullet"/>
      <w:lvlText w:val="•"/>
      <w:lvlJc w:val="left"/>
      <w:pPr>
        <w:ind w:left="8691" w:hanging="360"/>
      </w:pPr>
      <w:rPr>
        <w:rFonts w:hint="default"/>
        <w:lang w:val="fr-FR" w:eastAsia="fr-FR" w:bidi="fr-FR"/>
      </w:rPr>
    </w:lvl>
  </w:abstractNum>
  <w:abstractNum w:abstractNumId="62">
    <w:multiLevelType w:val="hybridMultilevel"/>
    <w:lvl w:ilvl="0">
      <w:start w:val="0"/>
      <w:numFmt w:val="bullet"/>
      <w:lvlText w:val="-"/>
      <w:lvlJc w:val="left"/>
      <w:pPr>
        <w:ind w:left="1141" w:hanging="142"/>
      </w:pPr>
      <w:rPr>
        <w:rFonts w:hint="default" w:ascii="Calibri" w:hAnsi="Calibri" w:eastAsia="Calibri" w:cs="Calibri"/>
        <w:w w:val="100"/>
        <w:sz w:val="28"/>
        <w:szCs w:val="28"/>
        <w:lang w:val="fr-FR" w:eastAsia="fr-FR" w:bidi="fr-FR"/>
      </w:rPr>
    </w:lvl>
    <w:lvl w:ilvl="1">
      <w:start w:val="0"/>
      <w:numFmt w:val="bullet"/>
      <w:lvlText w:val="•"/>
      <w:lvlJc w:val="left"/>
      <w:pPr>
        <w:ind w:left="2108" w:hanging="142"/>
      </w:pPr>
      <w:rPr>
        <w:rFonts w:hint="default"/>
        <w:lang w:val="fr-FR" w:eastAsia="fr-FR" w:bidi="fr-FR"/>
      </w:rPr>
    </w:lvl>
    <w:lvl w:ilvl="2">
      <w:start w:val="0"/>
      <w:numFmt w:val="bullet"/>
      <w:lvlText w:val="•"/>
      <w:lvlJc w:val="left"/>
      <w:pPr>
        <w:ind w:left="3077" w:hanging="142"/>
      </w:pPr>
      <w:rPr>
        <w:rFonts w:hint="default"/>
        <w:lang w:val="fr-FR" w:eastAsia="fr-FR" w:bidi="fr-FR"/>
      </w:rPr>
    </w:lvl>
    <w:lvl w:ilvl="3">
      <w:start w:val="0"/>
      <w:numFmt w:val="bullet"/>
      <w:lvlText w:val="•"/>
      <w:lvlJc w:val="left"/>
      <w:pPr>
        <w:ind w:left="4045" w:hanging="142"/>
      </w:pPr>
      <w:rPr>
        <w:rFonts w:hint="default"/>
        <w:lang w:val="fr-FR" w:eastAsia="fr-FR" w:bidi="fr-FR"/>
      </w:rPr>
    </w:lvl>
    <w:lvl w:ilvl="4">
      <w:start w:val="0"/>
      <w:numFmt w:val="bullet"/>
      <w:lvlText w:val="•"/>
      <w:lvlJc w:val="left"/>
      <w:pPr>
        <w:ind w:left="5014" w:hanging="142"/>
      </w:pPr>
      <w:rPr>
        <w:rFonts w:hint="default"/>
        <w:lang w:val="fr-FR" w:eastAsia="fr-FR" w:bidi="fr-FR"/>
      </w:rPr>
    </w:lvl>
    <w:lvl w:ilvl="5">
      <w:start w:val="0"/>
      <w:numFmt w:val="bullet"/>
      <w:lvlText w:val="•"/>
      <w:lvlJc w:val="left"/>
      <w:pPr>
        <w:ind w:left="5983" w:hanging="142"/>
      </w:pPr>
      <w:rPr>
        <w:rFonts w:hint="default"/>
        <w:lang w:val="fr-FR" w:eastAsia="fr-FR" w:bidi="fr-FR"/>
      </w:rPr>
    </w:lvl>
    <w:lvl w:ilvl="6">
      <w:start w:val="0"/>
      <w:numFmt w:val="bullet"/>
      <w:lvlText w:val="•"/>
      <w:lvlJc w:val="left"/>
      <w:pPr>
        <w:ind w:left="6951" w:hanging="142"/>
      </w:pPr>
      <w:rPr>
        <w:rFonts w:hint="default"/>
        <w:lang w:val="fr-FR" w:eastAsia="fr-FR" w:bidi="fr-FR"/>
      </w:rPr>
    </w:lvl>
    <w:lvl w:ilvl="7">
      <w:start w:val="0"/>
      <w:numFmt w:val="bullet"/>
      <w:lvlText w:val="•"/>
      <w:lvlJc w:val="left"/>
      <w:pPr>
        <w:ind w:left="7920" w:hanging="142"/>
      </w:pPr>
      <w:rPr>
        <w:rFonts w:hint="default"/>
        <w:lang w:val="fr-FR" w:eastAsia="fr-FR" w:bidi="fr-FR"/>
      </w:rPr>
    </w:lvl>
    <w:lvl w:ilvl="8">
      <w:start w:val="0"/>
      <w:numFmt w:val="bullet"/>
      <w:lvlText w:val="•"/>
      <w:lvlJc w:val="left"/>
      <w:pPr>
        <w:ind w:left="8889" w:hanging="142"/>
      </w:pPr>
      <w:rPr>
        <w:rFonts w:hint="default"/>
        <w:lang w:val="fr-FR" w:eastAsia="fr-FR" w:bidi="fr-FR"/>
      </w:rPr>
    </w:lvl>
  </w:abstractNum>
  <w:abstractNum w:abstractNumId="61">
    <w:multiLevelType w:val="hybridMultilevel"/>
    <w:lvl w:ilvl="0">
      <w:start w:val="0"/>
      <w:numFmt w:val="bullet"/>
      <w:lvlText w:val="-"/>
      <w:lvlJc w:val="left"/>
      <w:pPr>
        <w:ind w:left="716" w:hanging="284"/>
      </w:pPr>
      <w:rPr>
        <w:rFonts w:hint="default" w:ascii="Calibri" w:hAnsi="Calibri" w:eastAsia="Calibri" w:cs="Calibri"/>
        <w:w w:val="100"/>
        <w:sz w:val="28"/>
        <w:szCs w:val="28"/>
        <w:lang w:val="fr-FR" w:eastAsia="fr-FR" w:bidi="fr-FR"/>
      </w:rPr>
    </w:lvl>
    <w:lvl w:ilvl="1">
      <w:start w:val="0"/>
      <w:numFmt w:val="bullet"/>
      <w:lvlText w:val=""/>
      <w:lvlJc w:val="left"/>
      <w:pPr>
        <w:ind w:left="1285" w:hanging="286"/>
      </w:pPr>
      <w:rPr>
        <w:rFonts w:hint="default" w:ascii="Symbol" w:hAnsi="Symbol" w:eastAsia="Symbol" w:cs="Symbol"/>
        <w:w w:val="100"/>
        <w:sz w:val="28"/>
        <w:szCs w:val="28"/>
        <w:lang w:val="fr-FR" w:eastAsia="fr-FR" w:bidi="fr-FR"/>
      </w:rPr>
    </w:lvl>
    <w:lvl w:ilvl="2">
      <w:start w:val="0"/>
      <w:numFmt w:val="bullet"/>
      <w:lvlText w:val="•"/>
      <w:lvlJc w:val="left"/>
      <w:pPr>
        <w:ind w:left="2340" w:hanging="286"/>
      </w:pPr>
      <w:rPr>
        <w:rFonts w:hint="default"/>
        <w:lang w:val="fr-FR" w:eastAsia="fr-FR" w:bidi="fr-FR"/>
      </w:rPr>
    </w:lvl>
    <w:lvl w:ilvl="3">
      <w:start w:val="0"/>
      <w:numFmt w:val="bullet"/>
      <w:lvlText w:val="•"/>
      <w:lvlJc w:val="left"/>
      <w:pPr>
        <w:ind w:left="3401" w:hanging="286"/>
      </w:pPr>
      <w:rPr>
        <w:rFonts w:hint="default"/>
        <w:lang w:val="fr-FR" w:eastAsia="fr-FR" w:bidi="fr-FR"/>
      </w:rPr>
    </w:lvl>
    <w:lvl w:ilvl="4">
      <w:start w:val="0"/>
      <w:numFmt w:val="bullet"/>
      <w:lvlText w:val="•"/>
      <w:lvlJc w:val="left"/>
      <w:pPr>
        <w:ind w:left="4462" w:hanging="286"/>
      </w:pPr>
      <w:rPr>
        <w:rFonts w:hint="default"/>
        <w:lang w:val="fr-FR" w:eastAsia="fr-FR" w:bidi="fr-FR"/>
      </w:rPr>
    </w:lvl>
    <w:lvl w:ilvl="5">
      <w:start w:val="0"/>
      <w:numFmt w:val="bullet"/>
      <w:lvlText w:val="•"/>
      <w:lvlJc w:val="left"/>
      <w:pPr>
        <w:ind w:left="5522" w:hanging="286"/>
      </w:pPr>
      <w:rPr>
        <w:rFonts w:hint="default"/>
        <w:lang w:val="fr-FR" w:eastAsia="fr-FR" w:bidi="fr-FR"/>
      </w:rPr>
    </w:lvl>
    <w:lvl w:ilvl="6">
      <w:start w:val="0"/>
      <w:numFmt w:val="bullet"/>
      <w:lvlText w:val="•"/>
      <w:lvlJc w:val="left"/>
      <w:pPr>
        <w:ind w:left="6583" w:hanging="286"/>
      </w:pPr>
      <w:rPr>
        <w:rFonts w:hint="default"/>
        <w:lang w:val="fr-FR" w:eastAsia="fr-FR" w:bidi="fr-FR"/>
      </w:rPr>
    </w:lvl>
    <w:lvl w:ilvl="7">
      <w:start w:val="0"/>
      <w:numFmt w:val="bullet"/>
      <w:lvlText w:val="•"/>
      <w:lvlJc w:val="left"/>
      <w:pPr>
        <w:ind w:left="7644" w:hanging="286"/>
      </w:pPr>
      <w:rPr>
        <w:rFonts w:hint="default"/>
        <w:lang w:val="fr-FR" w:eastAsia="fr-FR" w:bidi="fr-FR"/>
      </w:rPr>
    </w:lvl>
    <w:lvl w:ilvl="8">
      <w:start w:val="0"/>
      <w:numFmt w:val="bullet"/>
      <w:lvlText w:val="•"/>
      <w:lvlJc w:val="left"/>
      <w:pPr>
        <w:ind w:left="8704" w:hanging="286"/>
      </w:pPr>
      <w:rPr>
        <w:rFonts w:hint="default"/>
        <w:lang w:val="fr-FR" w:eastAsia="fr-FR" w:bidi="fr-FR"/>
      </w:rPr>
    </w:lvl>
  </w:abstractNum>
  <w:abstractNum w:abstractNumId="60">
    <w:multiLevelType w:val="hybridMultilevel"/>
    <w:lvl w:ilvl="0">
      <w:start w:val="0"/>
      <w:numFmt w:val="bullet"/>
      <w:lvlText w:val="-"/>
      <w:lvlJc w:val="left"/>
      <w:pPr>
        <w:ind w:left="1153" w:hanging="360"/>
      </w:pPr>
      <w:rPr>
        <w:rFonts w:hint="default" w:ascii="Calibri" w:hAnsi="Calibri" w:eastAsia="Calibri" w:cs="Calibri"/>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59">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58">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57">
    <w:multiLevelType w:val="hybridMultilevel"/>
    <w:lvl w:ilvl="0">
      <w:start w:val="0"/>
      <w:numFmt w:val="bullet"/>
      <w:lvlText w:val=""/>
      <w:lvlJc w:val="left"/>
      <w:pPr>
        <w:ind w:left="716" w:hanging="284"/>
      </w:pPr>
      <w:rPr>
        <w:rFonts w:hint="default" w:ascii="Wingdings" w:hAnsi="Wingdings" w:eastAsia="Wingdings" w:cs="Wingdings"/>
        <w:w w:val="100"/>
        <w:sz w:val="28"/>
        <w:szCs w:val="28"/>
        <w:lang w:val="fr-FR" w:eastAsia="fr-FR" w:bidi="fr-FR"/>
      </w:rPr>
    </w:lvl>
    <w:lvl w:ilvl="1">
      <w:start w:val="0"/>
      <w:numFmt w:val="bullet"/>
      <w:lvlText w:val=""/>
      <w:lvlJc w:val="left"/>
      <w:pPr>
        <w:ind w:left="999" w:hanging="284"/>
      </w:pPr>
      <w:rPr>
        <w:rFonts w:hint="default" w:ascii="Wingdings" w:hAnsi="Wingdings" w:eastAsia="Wingdings" w:cs="Wingdings"/>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56">
    <w:multiLevelType w:val="hybridMultilevel"/>
    <w:lvl w:ilvl="0">
      <w:start w:val="4"/>
      <w:numFmt w:val="upperRoman"/>
      <w:lvlText w:val="%1"/>
      <w:lvlJc w:val="left"/>
      <w:pPr>
        <w:ind w:left="1306" w:hanging="874"/>
        <w:jc w:val="left"/>
      </w:pPr>
      <w:rPr>
        <w:rFonts w:hint="default"/>
        <w:lang w:val="fr-FR" w:eastAsia="fr-FR" w:bidi="fr-FR"/>
      </w:rPr>
    </w:lvl>
    <w:lvl w:ilvl="1">
      <w:start w:val="2"/>
      <w:numFmt w:val="decimal"/>
      <w:lvlText w:val="%1.%2"/>
      <w:lvlJc w:val="left"/>
      <w:pPr>
        <w:ind w:left="1306" w:hanging="874"/>
        <w:jc w:val="left"/>
      </w:pPr>
      <w:rPr>
        <w:rFonts w:hint="default"/>
        <w:lang w:val="fr-FR" w:eastAsia="fr-FR" w:bidi="fr-FR"/>
      </w:rPr>
    </w:lvl>
    <w:lvl w:ilvl="2">
      <w:start w:val="1"/>
      <w:numFmt w:val="decimal"/>
      <w:lvlText w:val="%1.%2.%3."/>
      <w:lvlJc w:val="left"/>
      <w:pPr>
        <w:ind w:left="1306" w:hanging="874"/>
        <w:jc w:val="left"/>
      </w:pPr>
      <w:rPr>
        <w:rFonts w:hint="default" w:ascii="Times New Roman" w:hAnsi="Times New Roman" w:eastAsia="Times New Roman" w:cs="Times New Roman"/>
        <w:b/>
        <w:bCs/>
        <w:spacing w:val="-2"/>
        <w:w w:val="100"/>
        <w:sz w:val="28"/>
        <w:szCs w:val="28"/>
        <w:lang w:val="fr-FR" w:eastAsia="fr-FR" w:bidi="fr-FR"/>
      </w:rPr>
    </w:lvl>
    <w:lvl w:ilvl="3">
      <w:start w:val="0"/>
      <w:numFmt w:val="bullet"/>
      <w:lvlText w:val=""/>
      <w:lvlJc w:val="left"/>
      <w:pPr>
        <w:ind w:left="999" w:hanging="284"/>
      </w:pPr>
      <w:rPr>
        <w:rFonts w:hint="default" w:ascii="Symbol" w:hAnsi="Symbol" w:eastAsia="Symbol" w:cs="Symbol"/>
        <w:w w:val="100"/>
        <w:sz w:val="28"/>
        <w:szCs w:val="28"/>
        <w:lang w:val="fr-FR" w:eastAsia="fr-FR" w:bidi="fr-FR"/>
      </w:rPr>
    </w:lvl>
    <w:lvl w:ilvl="4">
      <w:start w:val="0"/>
      <w:numFmt w:val="bullet"/>
      <w:lvlText w:val="-"/>
      <w:lvlJc w:val="left"/>
      <w:pPr>
        <w:ind w:left="1426" w:hanging="284"/>
      </w:pPr>
      <w:rPr>
        <w:rFonts w:hint="default" w:ascii="Calibri" w:hAnsi="Calibri" w:eastAsia="Calibri" w:cs="Calibri"/>
        <w:w w:val="100"/>
        <w:sz w:val="28"/>
        <w:szCs w:val="28"/>
        <w:lang w:val="fr-FR" w:eastAsia="fr-FR" w:bidi="fr-FR"/>
      </w:rPr>
    </w:lvl>
    <w:lvl w:ilvl="5">
      <w:start w:val="0"/>
      <w:numFmt w:val="bullet"/>
      <w:lvlText w:val=""/>
      <w:lvlJc w:val="left"/>
      <w:pPr>
        <w:ind w:left="1993" w:hanging="284"/>
      </w:pPr>
      <w:rPr>
        <w:rFonts w:hint="default" w:ascii="Wingdings" w:hAnsi="Wingdings" w:eastAsia="Wingdings" w:cs="Wingdings"/>
        <w:w w:val="100"/>
        <w:sz w:val="28"/>
        <w:szCs w:val="28"/>
        <w:lang w:val="fr-FR" w:eastAsia="fr-FR" w:bidi="fr-FR"/>
      </w:rPr>
    </w:lvl>
    <w:lvl w:ilvl="6">
      <w:start w:val="0"/>
      <w:numFmt w:val="bullet"/>
      <w:lvlText w:val="•"/>
      <w:lvlJc w:val="left"/>
      <w:pPr>
        <w:ind w:left="3765" w:hanging="284"/>
      </w:pPr>
      <w:rPr>
        <w:rFonts w:hint="default"/>
        <w:lang w:val="fr-FR" w:eastAsia="fr-FR" w:bidi="fr-FR"/>
      </w:rPr>
    </w:lvl>
    <w:lvl w:ilvl="7">
      <w:start w:val="0"/>
      <w:numFmt w:val="bullet"/>
      <w:lvlText w:val="•"/>
      <w:lvlJc w:val="left"/>
      <w:pPr>
        <w:ind w:left="5530" w:hanging="284"/>
      </w:pPr>
      <w:rPr>
        <w:rFonts w:hint="default"/>
        <w:lang w:val="fr-FR" w:eastAsia="fr-FR" w:bidi="fr-FR"/>
      </w:rPr>
    </w:lvl>
    <w:lvl w:ilvl="8">
      <w:start w:val="0"/>
      <w:numFmt w:val="bullet"/>
      <w:lvlText w:val="•"/>
      <w:lvlJc w:val="left"/>
      <w:pPr>
        <w:ind w:left="7295" w:hanging="284"/>
      </w:pPr>
      <w:rPr>
        <w:rFonts w:hint="default"/>
        <w:lang w:val="fr-FR" w:eastAsia="fr-FR" w:bidi="fr-FR"/>
      </w:rPr>
    </w:lvl>
  </w:abstractNum>
  <w:abstractNum w:abstractNumId="55">
    <w:multiLevelType w:val="hybridMultilevel"/>
    <w:lvl w:ilvl="0">
      <w:start w:val="0"/>
      <w:numFmt w:val="bullet"/>
      <w:lvlText w:val=""/>
      <w:lvlJc w:val="left"/>
      <w:pPr>
        <w:ind w:left="999" w:hanging="284"/>
      </w:pPr>
      <w:rPr>
        <w:rFonts w:hint="default" w:ascii="Symbol" w:hAnsi="Symbol" w:eastAsia="Symbol" w:cs="Symbol"/>
        <w:w w:val="100"/>
        <w:sz w:val="22"/>
        <w:szCs w:val="22"/>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54">
    <w:multiLevelType w:val="hybridMultilevel"/>
    <w:lvl w:ilvl="0">
      <w:start w:val="1"/>
      <w:numFmt w:val="decimal"/>
      <w:lvlText w:val="%1-"/>
      <w:lvlJc w:val="left"/>
      <w:pPr>
        <w:ind w:left="716" w:hanging="284"/>
        <w:jc w:val="left"/>
      </w:pPr>
      <w:rPr>
        <w:rFonts w:hint="default" w:ascii="Times New Roman" w:hAnsi="Times New Roman" w:eastAsia="Times New Roman" w:cs="Times New Roman"/>
        <w:spacing w:val="-2"/>
        <w:w w:val="100"/>
        <w:sz w:val="28"/>
        <w:szCs w:val="28"/>
        <w:lang w:val="fr-FR" w:eastAsia="fr-FR" w:bidi="fr-FR"/>
      </w:rPr>
    </w:lvl>
    <w:lvl w:ilvl="1">
      <w:start w:val="0"/>
      <w:numFmt w:val="bullet"/>
      <w:lvlText w:val="•"/>
      <w:lvlJc w:val="left"/>
      <w:pPr>
        <w:ind w:left="1730" w:hanging="284"/>
      </w:pPr>
      <w:rPr>
        <w:rFonts w:hint="default"/>
        <w:lang w:val="fr-FR" w:eastAsia="fr-FR" w:bidi="fr-FR"/>
      </w:rPr>
    </w:lvl>
    <w:lvl w:ilvl="2">
      <w:start w:val="0"/>
      <w:numFmt w:val="bullet"/>
      <w:lvlText w:val="•"/>
      <w:lvlJc w:val="left"/>
      <w:pPr>
        <w:ind w:left="2741" w:hanging="284"/>
      </w:pPr>
      <w:rPr>
        <w:rFonts w:hint="default"/>
        <w:lang w:val="fr-FR" w:eastAsia="fr-FR" w:bidi="fr-FR"/>
      </w:rPr>
    </w:lvl>
    <w:lvl w:ilvl="3">
      <w:start w:val="0"/>
      <w:numFmt w:val="bullet"/>
      <w:lvlText w:val="•"/>
      <w:lvlJc w:val="left"/>
      <w:pPr>
        <w:ind w:left="3751" w:hanging="284"/>
      </w:pPr>
      <w:rPr>
        <w:rFonts w:hint="default"/>
        <w:lang w:val="fr-FR" w:eastAsia="fr-FR" w:bidi="fr-FR"/>
      </w:rPr>
    </w:lvl>
    <w:lvl w:ilvl="4">
      <w:start w:val="0"/>
      <w:numFmt w:val="bullet"/>
      <w:lvlText w:val="•"/>
      <w:lvlJc w:val="left"/>
      <w:pPr>
        <w:ind w:left="4762" w:hanging="284"/>
      </w:pPr>
      <w:rPr>
        <w:rFonts w:hint="default"/>
        <w:lang w:val="fr-FR" w:eastAsia="fr-FR" w:bidi="fr-FR"/>
      </w:rPr>
    </w:lvl>
    <w:lvl w:ilvl="5">
      <w:start w:val="0"/>
      <w:numFmt w:val="bullet"/>
      <w:lvlText w:val="•"/>
      <w:lvlJc w:val="left"/>
      <w:pPr>
        <w:ind w:left="5773" w:hanging="284"/>
      </w:pPr>
      <w:rPr>
        <w:rFonts w:hint="default"/>
        <w:lang w:val="fr-FR" w:eastAsia="fr-FR" w:bidi="fr-FR"/>
      </w:rPr>
    </w:lvl>
    <w:lvl w:ilvl="6">
      <w:start w:val="0"/>
      <w:numFmt w:val="bullet"/>
      <w:lvlText w:val="•"/>
      <w:lvlJc w:val="left"/>
      <w:pPr>
        <w:ind w:left="6783" w:hanging="284"/>
      </w:pPr>
      <w:rPr>
        <w:rFonts w:hint="default"/>
        <w:lang w:val="fr-FR" w:eastAsia="fr-FR" w:bidi="fr-FR"/>
      </w:rPr>
    </w:lvl>
    <w:lvl w:ilvl="7">
      <w:start w:val="0"/>
      <w:numFmt w:val="bullet"/>
      <w:lvlText w:val="•"/>
      <w:lvlJc w:val="left"/>
      <w:pPr>
        <w:ind w:left="7794" w:hanging="284"/>
      </w:pPr>
      <w:rPr>
        <w:rFonts w:hint="default"/>
        <w:lang w:val="fr-FR" w:eastAsia="fr-FR" w:bidi="fr-FR"/>
      </w:rPr>
    </w:lvl>
    <w:lvl w:ilvl="8">
      <w:start w:val="0"/>
      <w:numFmt w:val="bullet"/>
      <w:lvlText w:val="•"/>
      <w:lvlJc w:val="left"/>
      <w:pPr>
        <w:ind w:left="8805" w:hanging="284"/>
      </w:pPr>
      <w:rPr>
        <w:rFonts w:hint="default"/>
        <w:lang w:val="fr-FR" w:eastAsia="fr-FR" w:bidi="fr-FR"/>
      </w:rPr>
    </w:lvl>
  </w:abstractNum>
  <w:abstractNum w:abstractNumId="53">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3"/>
      <w:numFmt w:val="lowerLetter"/>
      <w:lvlText w:val="%2-"/>
      <w:lvlJc w:val="left"/>
      <w:pPr>
        <w:ind w:left="1287" w:hanging="288"/>
        <w:jc w:val="left"/>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340" w:hanging="288"/>
      </w:pPr>
      <w:rPr>
        <w:rFonts w:hint="default"/>
        <w:lang w:val="fr-FR" w:eastAsia="fr-FR" w:bidi="fr-FR"/>
      </w:rPr>
    </w:lvl>
    <w:lvl w:ilvl="3">
      <w:start w:val="0"/>
      <w:numFmt w:val="bullet"/>
      <w:lvlText w:val="•"/>
      <w:lvlJc w:val="left"/>
      <w:pPr>
        <w:ind w:left="3401" w:hanging="288"/>
      </w:pPr>
      <w:rPr>
        <w:rFonts w:hint="default"/>
        <w:lang w:val="fr-FR" w:eastAsia="fr-FR" w:bidi="fr-FR"/>
      </w:rPr>
    </w:lvl>
    <w:lvl w:ilvl="4">
      <w:start w:val="0"/>
      <w:numFmt w:val="bullet"/>
      <w:lvlText w:val="•"/>
      <w:lvlJc w:val="left"/>
      <w:pPr>
        <w:ind w:left="4462" w:hanging="288"/>
      </w:pPr>
      <w:rPr>
        <w:rFonts w:hint="default"/>
        <w:lang w:val="fr-FR" w:eastAsia="fr-FR" w:bidi="fr-FR"/>
      </w:rPr>
    </w:lvl>
    <w:lvl w:ilvl="5">
      <w:start w:val="0"/>
      <w:numFmt w:val="bullet"/>
      <w:lvlText w:val="•"/>
      <w:lvlJc w:val="left"/>
      <w:pPr>
        <w:ind w:left="5522" w:hanging="288"/>
      </w:pPr>
      <w:rPr>
        <w:rFonts w:hint="default"/>
        <w:lang w:val="fr-FR" w:eastAsia="fr-FR" w:bidi="fr-FR"/>
      </w:rPr>
    </w:lvl>
    <w:lvl w:ilvl="6">
      <w:start w:val="0"/>
      <w:numFmt w:val="bullet"/>
      <w:lvlText w:val="•"/>
      <w:lvlJc w:val="left"/>
      <w:pPr>
        <w:ind w:left="6583" w:hanging="288"/>
      </w:pPr>
      <w:rPr>
        <w:rFonts w:hint="default"/>
        <w:lang w:val="fr-FR" w:eastAsia="fr-FR" w:bidi="fr-FR"/>
      </w:rPr>
    </w:lvl>
    <w:lvl w:ilvl="7">
      <w:start w:val="0"/>
      <w:numFmt w:val="bullet"/>
      <w:lvlText w:val="•"/>
      <w:lvlJc w:val="left"/>
      <w:pPr>
        <w:ind w:left="7644" w:hanging="288"/>
      </w:pPr>
      <w:rPr>
        <w:rFonts w:hint="default"/>
        <w:lang w:val="fr-FR" w:eastAsia="fr-FR" w:bidi="fr-FR"/>
      </w:rPr>
    </w:lvl>
    <w:lvl w:ilvl="8">
      <w:start w:val="0"/>
      <w:numFmt w:val="bullet"/>
      <w:lvlText w:val="•"/>
      <w:lvlJc w:val="left"/>
      <w:pPr>
        <w:ind w:left="8704" w:hanging="288"/>
      </w:pPr>
      <w:rPr>
        <w:rFonts w:hint="default"/>
        <w:lang w:val="fr-FR" w:eastAsia="fr-FR" w:bidi="fr-FR"/>
      </w:rPr>
    </w:lvl>
  </w:abstractNum>
  <w:abstractNum w:abstractNumId="52">
    <w:multiLevelType w:val="hybridMultilevel"/>
    <w:lvl w:ilvl="0">
      <w:start w:val="0"/>
      <w:numFmt w:val="bullet"/>
      <w:lvlText w:val="-"/>
      <w:lvlJc w:val="left"/>
      <w:pPr>
        <w:ind w:left="1153" w:hanging="360"/>
      </w:pPr>
      <w:rPr>
        <w:rFonts w:hint="default" w:ascii="Calibri" w:hAnsi="Calibri" w:eastAsia="Calibri" w:cs="Calibri"/>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51">
    <w:multiLevelType w:val="hybridMultilevel"/>
    <w:lvl w:ilvl="0">
      <w:start w:val="1"/>
      <w:numFmt w:val="decimal"/>
      <w:lvlText w:val="%1-"/>
      <w:lvlJc w:val="left"/>
      <w:pPr>
        <w:ind w:left="738" w:hanging="305"/>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748" w:hanging="305"/>
      </w:pPr>
      <w:rPr>
        <w:rFonts w:hint="default"/>
        <w:lang w:val="fr-FR" w:eastAsia="fr-FR" w:bidi="fr-FR"/>
      </w:rPr>
    </w:lvl>
    <w:lvl w:ilvl="2">
      <w:start w:val="0"/>
      <w:numFmt w:val="bullet"/>
      <w:lvlText w:val="•"/>
      <w:lvlJc w:val="left"/>
      <w:pPr>
        <w:ind w:left="2757" w:hanging="305"/>
      </w:pPr>
      <w:rPr>
        <w:rFonts w:hint="default"/>
        <w:lang w:val="fr-FR" w:eastAsia="fr-FR" w:bidi="fr-FR"/>
      </w:rPr>
    </w:lvl>
    <w:lvl w:ilvl="3">
      <w:start w:val="0"/>
      <w:numFmt w:val="bullet"/>
      <w:lvlText w:val="•"/>
      <w:lvlJc w:val="left"/>
      <w:pPr>
        <w:ind w:left="3765" w:hanging="305"/>
      </w:pPr>
      <w:rPr>
        <w:rFonts w:hint="default"/>
        <w:lang w:val="fr-FR" w:eastAsia="fr-FR" w:bidi="fr-FR"/>
      </w:rPr>
    </w:lvl>
    <w:lvl w:ilvl="4">
      <w:start w:val="0"/>
      <w:numFmt w:val="bullet"/>
      <w:lvlText w:val="•"/>
      <w:lvlJc w:val="left"/>
      <w:pPr>
        <w:ind w:left="4774" w:hanging="305"/>
      </w:pPr>
      <w:rPr>
        <w:rFonts w:hint="default"/>
        <w:lang w:val="fr-FR" w:eastAsia="fr-FR" w:bidi="fr-FR"/>
      </w:rPr>
    </w:lvl>
    <w:lvl w:ilvl="5">
      <w:start w:val="0"/>
      <w:numFmt w:val="bullet"/>
      <w:lvlText w:val="•"/>
      <w:lvlJc w:val="left"/>
      <w:pPr>
        <w:ind w:left="5783" w:hanging="305"/>
      </w:pPr>
      <w:rPr>
        <w:rFonts w:hint="default"/>
        <w:lang w:val="fr-FR" w:eastAsia="fr-FR" w:bidi="fr-FR"/>
      </w:rPr>
    </w:lvl>
    <w:lvl w:ilvl="6">
      <w:start w:val="0"/>
      <w:numFmt w:val="bullet"/>
      <w:lvlText w:val="•"/>
      <w:lvlJc w:val="left"/>
      <w:pPr>
        <w:ind w:left="6791" w:hanging="305"/>
      </w:pPr>
      <w:rPr>
        <w:rFonts w:hint="default"/>
        <w:lang w:val="fr-FR" w:eastAsia="fr-FR" w:bidi="fr-FR"/>
      </w:rPr>
    </w:lvl>
    <w:lvl w:ilvl="7">
      <w:start w:val="0"/>
      <w:numFmt w:val="bullet"/>
      <w:lvlText w:val="•"/>
      <w:lvlJc w:val="left"/>
      <w:pPr>
        <w:ind w:left="7800" w:hanging="305"/>
      </w:pPr>
      <w:rPr>
        <w:rFonts w:hint="default"/>
        <w:lang w:val="fr-FR" w:eastAsia="fr-FR" w:bidi="fr-FR"/>
      </w:rPr>
    </w:lvl>
    <w:lvl w:ilvl="8">
      <w:start w:val="0"/>
      <w:numFmt w:val="bullet"/>
      <w:lvlText w:val="•"/>
      <w:lvlJc w:val="left"/>
      <w:pPr>
        <w:ind w:left="8809" w:hanging="305"/>
      </w:pPr>
      <w:rPr>
        <w:rFonts w:hint="default"/>
        <w:lang w:val="fr-FR" w:eastAsia="fr-FR" w:bidi="fr-FR"/>
      </w:rPr>
    </w:lvl>
  </w:abstractNum>
  <w:abstractNum w:abstractNumId="50">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9">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8">
    <w:multiLevelType w:val="hybridMultilevel"/>
    <w:lvl w:ilvl="0">
      <w:start w:val="0"/>
      <w:numFmt w:val="bullet"/>
      <w:lvlText w:val=""/>
      <w:lvlJc w:val="left"/>
      <w:pPr>
        <w:ind w:left="433" w:hanging="360"/>
      </w:pPr>
      <w:rPr>
        <w:rFonts w:hint="default" w:ascii="Wingdings" w:hAnsi="Wingdings" w:eastAsia="Wingdings" w:cs="Wingdings"/>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47">
    <w:multiLevelType w:val="hybridMultilevel"/>
    <w:lvl w:ilvl="0">
      <w:start w:val="0"/>
      <w:numFmt w:val="bullet"/>
      <w:lvlText w:val=""/>
      <w:lvlJc w:val="left"/>
      <w:pPr>
        <w:ind w:left="1153" w:hanging="360"/>
      </w:pPr>
      <w:rPr>
        <w:rFonts w:hint="default" w:ascii="Symbol" w:hAnsi="Symbol" w:eastAsia="Symbol" w:cs="Symbol"/>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46">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5">
    <w:multiLevelType w:val="hybridMultilevel"/>
    <w:lvl w:ilvl="0">
      <w:start w:val="1"/>
      <w:numFmt w:val="decimal"/>
      <w:lvlText w:val="%1."/>
      <w:lvlJc w:val="left"/>
      <w:pPr>
        <w:ind w:left="999" w:hanging="284"/>
        <w:jc w:val="left"/>
      </w:pPr>
      <w:rPr>
        <w:rFonts w:hint="default" w:ascii="Times New Roman" w:hAnsi="Times New Roman" w:eastAsia="Times New Roman" w:cs="Times New Roman"/>
        <w:spacing w:val="0"/>
        <w:w w:val="100"/>
        <w:sz w:val="28"/>
        <w:szCs w:val="28"/>
        <w:lang w:val="fr-FR" w:eastAsia="fr-FR" w:bidi="fr-FR"/>
      </w:rPr>
    </w:lvl>
    <w:lvl w:ilvl="1">
      <w:start w:val="1"/>
      <w:numFmt w:val="lowerLetter"/>
      <w:lvlText w:val="(%2)"/>
      <w:lvlJc w:val="left"/>
      <w:pPr>
        <w:ind w:left="1381" w:hanging="382"/>
        <w:jc w:val="left"/>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429" w:hanging="382"/>
      </w:pPr>
      <w:rPr>
        <w:rFonts w:hint="default"/>
        <w:lang w:val="fr-FR" w:eastAsia="fr-FR" w:bidi="fr-FR"/>
      </w:rPr>
    </w:lvl>
    <w:lvl w:ilvl="3">
      <w:start w:val="0"/>
      <w:numFmt w:val="bullet"/>
      <w:lvlText w:val="•"/>
      <w:lvlJc w:val="left"/>
      <w:pPr>
        <w:ind w:left="3479" w:hanging="382"/>
      </w:pPr>
      <w:rPr>
        <w:rFonts w:hint="default"/>
        <w:lang w:val="fr-FR" w:eastAsia="fr-FR" w:bidi="fr-FR"/>
      </w:rPr>
    </w:lvl>
    <w:lvl w:ilvl="4">
      <w:start w:val="0"/>
      <w:numFmt w:val="bullet"/>
      <w:lvlText w:val="•"/>
      <w:lvlJc w:val="left"/>
      <w:pPr>
        <w:ind w:left="4528" w:hanging="382"/>
      </w:pPr>
      <w:rPr>
        <w:rFonts w:hint="default"/>
        <w:lang w:val="fr-FR" w:eastAsia="fr-FR" w:bidi="fr-FR"/>
      </w:rPr>
    </w:lvl>
    <w:lvl w:ilvl="5">
      <w:start w:val="0"/>
      <w:numFmt w:val="bullet"/>
      <w:lvlText w:val="•"/>
      <w:lvlJc w:val="left"/>
      <w:pPr>
        <w:ind w:left="5578" w:hanging="382"/>
      </w:pPr>
      <w:rPr>
        <w:rFonts w:hint="default"/>
        <w:lang w:val="fr-FR" w:eastAsia="fr-FR" w:bidi="fr-FR"/>
      </w:rPr>
    </w:lvl>
    <w:lvl w:ilvl="6">
      <w:start w:val="0"/>
      <w:numFmt w:val="bullet"/>
      <w:lvlText w:val="•"/>
      <w:lvlJc w:val="left"/>
      <w:pPr>
        <w:ind w:left="6628" w:hanging="382"/>
      </w:pPr>
      <w:rPr>
        <w:rFonts w:hint="default"/>
        <w:lang w:val="fr-FR" w:eastAsia="fr-FR" w:bidi="fr-FR"/>
      </w:rPr>
    </w:lvl>
    <w:lvl w:ilvl="7">
      <w:start w:val="0"/>
      <w:numFmt w:val="bullet"/>
      <w:lvlText w:val="•"/>
      <w:lvlJc w:val="left"/>
      <w:pPr>
        <w:ind w:left="7677" w:hanging="382"/>
      </w:pPr>
      <w:rPr>
        <w:rFonts w:hint="default"/>
        <w:lang w:val="fr-FR" w:eastAsia="fr-FR" w:bidi="fr-FR"/>
      </w:rPr>
    </w:lvl>
    <w:lvl w:ilvl="8">
      <w:start w:val="0"/>
      <w:numFmt w:val="bullet"/>
      <w:lvlText w:val="•"/>
      <w:lvlJc w:val="left"/>
      <w:pPr>
        <w:ind w:left="8727" w:hanging="382"/>
      </w:pPr>
      <w:rPr>
        <w:rFonts w:hint="default"/>
        <w:lang w:val="fr-FR" w:eastAsia="fr-FR" w:bidi="fr-FR"/>
      </w:rPr>
    </w:lvl>
  </w:abstractNum>
  <w:abstractNum w:abstractNumId="44">
    <w:multiLevelType w:val="hybridMultilevel"/>
    <w:lvl w:ilvl="0">
      <w:start w:val="4"/>
      <w:numFmt w:val="upperRoman"/>
      <w:lvlText w:val="%1"/>
      <w:lvlJc w:val="left"/>
      <w:pPr>
        <w:ind w:left="1306" w:hanging="874"/>
        <w:jc w:val="left"/>
      </w:pPr>
      <w:rPr>
        <w:rFonts w:hint="default"/>
        <w:lang w:val="fr-FR" w:eastAsia="fr-FR" w:bidi="fr-FR"/>
      </w:rPr>
    </w:lvl>
    <w:lvl w:ilvl="1">
      <w:start w:val="1"/>
      <w:numFmt w:val="decimal"/>
      <w:lvlText w:val="%1.%2"/>
      <w:lvlJc w:val="left"/>
      <w:pPr>
        <w:ind w:left="1306" w:hanging="874"/>
        <w:jc w:val="left"/>
      </w:pPr>
      <w:rPr>
        <w:rFonts w:hint="default"/>
        <w:lang w:val="fr-FR" w:eastAsia="fr-FR" w:bidi="fr-FR"/>
      </w:rPr>
    </w:lvl>
    <w:lvl w:ilvl="2">
      <w:start w:val="1"/>
      <w:numFmt w:val="decimal"/>
      <w:lvlText w:val="%1.%2.%3."/>
      <w:lvlJc w:val="left"/>
      <w:pPr>
        <w:ind w:left="1306" w:hanging="874"/>
        <w:jc w:val="left"/>
      </w:pPr>
      <w:rPr>
        <w:rFonts w:hint="default" w:ascii="Times New Roman" w:hAnsi="Times New Roman" w:eastAsia="Times New Roman" w:cs="Times New Roman"/>
        <w:b/>
        <w:bCs/>
        <w:spacing w:val="-2"/>
        <w:w w:val="100"/>
        <w:sz w:val="28"/>
        <w:szCs w:val="28"/>
        <w:lang w:val="fr-FR" w:eastAsia="fr-FR" w:bidi="fr-FR"/>
      </w:rPr>
    </w:lvl>
    <w:lvl w:ilvl="3">
      <w:start w:val="1"/>
      <w:numFmt w:val="decimal"/>
      <w:lvlText w:val="%4)"/>
      <w:lvlJc w:val="left"/>
      <w:pPr>
        <w:ind w:left="999" w:hanging="284"/>
        <w:jc w:val="left"/>
      </w:pPr>
      <w:rPr>
        <w:rFonts w:hint="default"/>
        <w:spacing w:val="0"/>
        <w:w w:val="100"/>
        <w:lang w:val="fr-FR" w:eastAsia="fr-FR" w:bidi="fr-FR"/>
      </w:rPr>
    </w:lvl>
    <w:lvl w:ilvl="4">
      <w:start w:val="0"/>
      <w:numFmt w:val="bullet"/>
      <w:lvlText w:val="•"/>
      <w:lvlJc w:val="left"/>
      <w:pPr>
        <w:ind w:left="4475" w:hanging="284"/>
      </w:pPr>
      <w:rPr>
        <w:rFonts w:hint="default"/>
        <w:lang w:val="fr-FR" w:eastAsia="fr-FR" w:bidi="fr-FR"/>
      </w:rPr>
    </w:lvl>
    <w:lvl w:ilvl="5">
      <w:start w:val="0"/>
      <w:numFmt w:val="bullet"/>
      <w:lvlText w:val="•"/>
      <w:lvlJc w:val="left"/>
      <w:pPr>
        <w:ind w:left="5533" w:hanging="284"/>
      </w:pPr>
      <w:rPr>
        <w:rFonts w:hint="default"/>
        <w:lang w:val="fr-FR" w:eastAsia="fr-FR" w:bidi="fr-FR"/>
      </w:rPr>
    </w:lvl>
    <w:lvl w:ilvl="6">
      <w:start w:val="0"/>
      <w:numFmt w:val="bullet"/>
      <w:lvlText w:val="•"/>
      <w:lvlJc w:val="left"/>
      <w:pPr>
        <w:ind w:left="6592" w:hanging="284"/>
      </w:pPr>
      <w:rPr>
        <w:rFonts w:hint="default"/>
        <w:lang w:val="fr-FR" w:eastAsia="fr-FR" w:bidi="fr-FR"/>
      </w:rPr>
    </w:lvl>
    <w:lvl w:ilvl="7">
      <w:start w:val="0"/>
      <w:numFmt w:val="bullet"/>
      <w:lvlText w:val="•"/>
      <w:lvlJc w:val="left"/>
      <w:pPr>
        <w:ind w:left="7650" w:hanging="284"/>
      </w:pPr>
      <w:rPr>
        <w:rFonts w:hint="default"/>
        <w:lang w:val="fr-FR" w:eastAsia="fr-FR" w:bidi="fr-FR"/>
      </w:rPr>
    </w:lvl>
    <w:lvl w:ilvl="8">
      <w:start w:val="0"/>
      <w:numFmt w:val="bullet"/>
      <w:lvlText w:val="•"/>
      <w:lvlJc w:val="left"/>
      <w:pPr>
        <w:ind w:left="8709" w:hanging="284"/>
      </w:pPr>
      <w:rPr>
        <w:rFonts w:hint="default"/>
        <w:lang w:val="fr-FR" w:eastAsia="fr-FR" w:bidi="fr-FR"/>
      </w:rPr>
    </w:lvl>
  </w:abstractNum>
  <w:abstractNum w:abstractNumId="43">
    <w:multiLevelType w:val="hybridMultilevel"/>
    <w:lvl w:ilvl="0">
      <w:start w:val="3"/>
      <w:numFmt w:val="upperRoman"/>
      <w:lvlText w:val="%1"/>
      <w:lvlJc w:val="left"/>
      <w:pPr>
        <w:ind w:left="1320" w:hanging="888"/>
        <w:jc w:val="left"/>
      </w:pPr>
      <w:rPr>
        <w:rFonts w:hint="default"/>
        <w:lang w:val="fr-FR" w:eastAsia="fr-FR" w:bidi="fr-FR"/>
      </w:rPr>
    </w:lvl>
    <w:lvl w:ilvl="1">
      <w:start w:val="2"/>
      <w:numFmt w:val="decimal"/>
      <w:lvlText w:val="%1.%2"/>
      <w:lvlJc w:val="left"/>
      <w:pPr>
        <w:ind w:left="1320" w:hanging="888"/>
        <w:jc w:val="left"/>
      </w:pPr>
      <w:rPr>
        <w:rFonts w:hint="default"/>
        <w:lang w:val="fr-FR" w:eastAsia="fr-FR" w:bidi="fr-FR"/>
      </w:rPr>
    </w:lvl>
    <w:lvl w:ilvl="2">
      <w:start w:val="1"/>
      <w:numFmt w:val="decimal"/>
      <w:lvlText w:val="%1.%2.%3."/>
      <w:lvlJc w:val="left"/>
      <w:pPr>
        <w:ind w:left="1320" w:hanging="888"/>
        <w:jc w:val="left"/>
      </w:pPr>
      <w:rPr>
        <w:rFonts w:hint="default" w:ascii="Times New Roman" w:hAnsi="Times New Roman" w:eastAsia="Times New Roman" w:cs="Times New Roman"/>
        <w:b/>
        <w:bCs/>
        <w:spacing w:val="-3"/>
        <w:w w:val="100"/>
        <w:sz w:val="28"/>
        <w:szCs w:val="28"/>
        <w:lang w:val="fr-FR" w:eastAsia="fr-FR" w:bidi="fr-FR"/>
      </w:rPr>
    </w:lvl>
    <w:lvl w:ilvl="3">
      <w:start w:val="0"/>
      <w:numFmt w:val="bullet"/>
      <w:lvlText w:val=""/>
      <w:lvlJc w:val="left"/>
      <w:pPr>
        <w:ind w:left="999" w:hanging="284"/>
      </w:pPr>
      <w:rPr>
        <w:rFonts w:hint="default" w:ascii="Symbol" w:hAnsi="Symbol" w:eastAsia="Symbol" w:cs="Symbol"/>
        <w:w w:val="100"/>
        <w:sz w:val="28"/>
        <w:szCs w:val="28"/>
        <w:lang w:val="fr-FR" w:eastAsia="fr-FR" w:bidi="fr-FR"/>
      </w:rPr>
    </w:lvl>
    <w:lvl w:ilvl="4">
      <w:start w:val="0"/>
      <w:numFmt w:val="bullet"/>
      <w:lvlText w:val="•"/>
      <w:lvlJc w:val="left"/>
      <w:pPr>
        <w:ind w:left="4488" w:hanging="284"/>
      </w:pPr>
      <w:rPr>
        <w:rFonts w:hint="default"/>
        <w:lang w:val="fr-FR" w:eastAsia="fr-FR" w:bidi="fr-FR"/>
      </w:rPr>
    </w:lvl>
    <w:lvl w:ilvl="5">
      <w:start w:val="0"/>
      <w:numFmt w:val="bullet"/>
      <w:lvlText w:val="•"/>
      <w:lvlJc w:val="left"/>
      <w:pPr>
        <w:ind w:left="5545" w:hanging="284"/>
      </w:pPr>
      <w:rPr>
        <w:rFonts w:hint="default"/>
        <w:lang w:val="fr-FR" w:eastAsia="fr-FR" w:bidi="fr-FR"/>
      </w:rPr>
    </w:lvl>
    <w:lvl w:ilvl="6">
      <w:start w:val="0"/>
      <w:numFmt w:val="bullet"/>
      <w:lvlText w:val="•"/>
      <w:lvlJc w:val="left"/>
      <w:pPr>
        <w:ind w:left="6601" w:hanging="284"/>
      </w:pPr>
      <w:rPr>
        <w:rFonts w:hint="default"/>
        <w:lang w:val="fr-FR" w:eastAsia="fr-FR" w:bidi="fr-FR"/>
      </w:rPr>
    </w:lvl>
    <w:lvl w:ilvl="7">
      <w:start w:val="0"/>
      <w:numFmt w:val="bullet"/>
      <w:lvlText w:val="•"/>
      <w:lvlJc w:val="left"/>
      <w:pPr>
        <w:ind w:left="7657" w:hanging="284"/>
      </w:pPr>
      <w:rPr>
        <w:rFonts w:hint="default"/>
        <w:lang w:val="fr-FR" w:eastAsia="fr-FR" w:bidi="fr-FR"/>
      </w:rPr>
    </w:lvl>
    <w:lvl w:ilvl="8">
      <w:start w:val="0"/>
      <w:numFmt w:val="bullet"/>
      <w:lvlText w:val="•"/>
      <w:lvlJc w:val="left"/>
      <w:pPr>
        <w:ind w:left="8713" w:hanging="284"/>
      </w:pPr>
      <w:rPr>
        <w:rFonts w:hint="default"/>
        <w:lang w:val="fr-FR" w:eastAsia="fr-FR" w:bidi="fr-FR"/>
      </w:rPr>
    </w:lvl>
  </w:abstractNum>
  <w:abstractNum w:abstractNumId="42">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1">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2"/>
        <w:szCs w:val="22"/>
        <w:lang w:val="fr-FR" w:eastAsia="fr-FR" w:bidi="fr-FR"/>
      </w:rPr>
    </w:lvl>
    <w:lvl w:ilvl="1">
      <w:start w:val="0"/>
      <w:numFmt w:val="bullet"/>
      <w:lvlText w:val="•"/>
      <w:lvlJc w:val="left"/>
      <w:pPr>
        <w:ind w:left="1748" w:hanging="360"/>
      </w:pPr>
      <w:rPr>
        <w:rFonts w:hint="default" w:ascii="Times New Roman" w:hAnsi="Times New Roman" w:eastAsia="Times New Roman" w:cs="Times New Roman"/>
        <w:w w:val="100"/>
        <w:sz w:val="22"/>
        <w:szCs w:val="22"/>
        <w:lang w:val="fr-FR" w:eastAsia="fr-FR" w:bidi="fr-FR"/>
      </w:rPr>
    </w:lvl>
    <w:lvl w:ilvl="2">
      <w:start w:val="0"/>
      <w:numFmt w:val="bullet"/>
      <w:lvlText w:val="•"/>
      <w:lvlJc w:val="left"/>
      <w:pPr>
        <w:ind w:left="2749" w:hanging="360"/>
      </w:pPr>
      <w:rPr>
        <w:rFonts w:hint="default"/>
        <w:lang w:val="fr-FR" w:eastAsia="fr-FR" w:bidi="fr-FR"/>
      </w:rPr>
    </w:lvl>
    <w:lvl w:ilvl="3">
      <w:start w:val="0"/>
      <w:numFmt w:val="bullet"/>
      <w:lvlText w:val="•"/>
      <w:lvlJc w:val="left"/>
      <w:pPr>
        <w:ind w:left="3759" w:hanging="360"/>
      </w:pPr>
      <w:rPr>
        <w:rFonts w:hint="default"/>
        <w:lang w:val="fr-FR" w:eastAsia="fr-FR" w:bidi="fr-FR"/>
      </w:rPr>
    </w:lvl>
    <w:lvl w:ilvl="4">
      <w:start w:val="0"/>
      <w:numFmt w:val="bullet"/>
      <w:lvlText w:val="•"/>
      <w:lvlJc w:val="left"/>
      <w:pPr>
        <w:ind w:left="4768" w:hanging="360"/>
      </w:pPr>
      <w:rPr>
        <w:rFonts w:hint="default"/>
        <w:lang w:val="fr-FR" w:eastAsia="fr-FR" w:bidi="fr-FR"/>
      </w:rPr>
    </w:lvl>
    <w:lvl w:ilvl="5">
      <w:start w:val="0"/>
      <w:numFmt w:val="bullet"/>
      <w:lvlText w:val="•"/>
      <w:lvlJc w:val="left"/>
      <w:pPr>
        <w:ind w:left="5778" w:hanging="360"/>
      </w:pPr>
      <w:rPr>
        <w:rFonts w:hint="default"/>
        <w:lang w:val="fr-FR" w:eastAsia="fr-FR" w:bidi="fr-FR"/>
      </w:rPr>
    </w:lvl>
    <w:lvl w:ilvl="6">
      <w:start w:val="0"/>
      <w:numFmt w:val="bullet"/>
      <w:lvlText w:val="•"/>
      <w:lvlJc w:val="left"/>
      <w:pPr>
        <w:ind w:left="6788" w:hanging="360"/>
      </w:pPr>
      <w:rPr>
        <w:rFonts w:hint="default"/>
        <w:lang w:val="fr-FR" w:eastAsia="fr-FR" w:bidi="fr-FR"/>
      </w:rPr>
    </w:lvl>
    <w:lvl w:ilvl="7">
      <w:start w:val="0"/>
      <w:numFmt w:val="bullet"/>
      <w:lvlText w:val="•"/>
      <w:lvlJc w:val="left"/>
      <w:pPr>
        <w:ind w:left="7797" w:hanging="360"/>
      </w:pPr>
      <w:rPr>
        <w:rFonts w:hint="default"/>
        <w:lang w:val="fr-FR" w:eastAsia="fr-FR" w:bidi="fr-FR"/>
      </w:rPr>
    </w:lvl>
    <w:lvl w:ilvl="8">
      <w:start w:val="0"/>
      <w:numFmt w:val="bullet"/>
      <w:lvlText w:val="•"/>
      <w:lvlJc w:val="left"/>
      <w:pPr>
        <w:ind w:left="8807" w:hanging="360"/>
      </w:pPr>
      <w:rPr>
        <w:rFonts w:hint="default"/>
        <w:lang w:val="fr-FR" w:eastAsia="fr-FR" w:bidi="fr-FR"/>
      </w:rPr>
    </w:lvl>
  </w:abstractNum>
  <w:abstractNum w:abstractNumId="40">
    <w:multiLevelType w:val="hybridMultilevel"/>
    <w:lvl w:ilvl="0">
      <w:start w:val="0"/>
      <w:numFmt w:val="bullet"/>
      <w:lvlText w:val="-"/>
      <w:lvlJc w:val="left"/>
      <w:pPr>
        <w:ind w:left="999" w:hanging="284"/>
      </w:pPr>
      <w:rPr>
        <w:rFonts w:hint="default" w:ascii="Calibri" w:hAnsi="Calibri" w:eastAsia="Calibri" w:cs="Calibri"/>
        <w:w w:val="100"/>
        <w:sz w:val="28"/>
        <w:szCs w:val="28"/>
        <w:lang w:val="fr-FR" w:eastAsia="fr-FR" w:bidi="fr-FR"/>
      </w:rPr>
    </w:lvl>
    <w:lvl w:ilvl="1">
      <w:start w:val="0"/>
      <w:numFmt w:val="bullet"/>
      <w:lvlText w:val="•"/>
      <w:lvlJc w:val="left"/>
      <w:pPr>
        <w:ind w:left="1503" w:hanging="360"/>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536" w:hanging="360"/>
      </w:pPr>
      <w:rPr>
        <w:rFonts w:hint="default"/>
        <w:lang w:val="fr-FR" w:eastAsia="fr-FR" w:bidi="fr-FR"/>
      </w:rPr>
    </w:lvl>
    <w:lvl w:ilvl="3">
      <w:start w:val="0"/>
      <w:numFmt w:val="bullet"/>
      <w:lvlText w:val="•"/>
      <w:lvlJc w:val="left"/>
      <w:pPr>
        <w:ind w:left="3572" w:hanging="360"/>
      </w:pPr>
      <w:rPr>
        <w:rFonts w:hint="default"/>
        <w:lang w:val="fr-FR" w:eastAsia="fr-FR" w:bidi="fr-FR"/>
      </w:rPr>
    </w:lvl>
    <w:lvl w:ilvl="4">
      <w:start w:val="0"/>
      <w:numFmt w:val="bullet"/>
      <w:lvlText w:val="•"/>
      <w:lvlJc w:val="left"/>
      <w:pPr>
        <w:ind w:left="4608" w:hanging="360"/>
      </w:pPr>
      <w:rPr>
        <w:rFonts w:hint="default"/>
        <w:lang w:val="fr-FR" w:eastAsia="fr-FR" w:bidi="fr-FR"/>
      </w:rPr>
    </w:lvl>
    <w:lvl w:ilvl="5">
      <w:start w:val="0"/>
      <w:numFmt w:val="bullet"/>
      <w:lvlText w:val="•"/>
      <w:lvlJc w:val="left"/>
      <w:pPr>
        <w:ind w:left="5645" w:hanging="360"/>
      </w:pPr>
      <w:rPr>
        <w:rFonts w:hint="default"/>
        <w:lang w:val="fr-FR" w:eastAsia="fr-FR" w:bidi="fr-FR"/>
      </w:rPr>
    </w:lvl>
    <w:lvl w:ilvl="6">
      <w:start w:val="0"/>
      <w:numFmt w:val="bullet"/>
      <w:lvlText w:val="•"/>
      <w:lvlJc w:val="left"/>
      <w:pPr>
        <w:ind w:left="6681" w:hanging="360"/>
      </w:pPr>
      <w:rPr>
        <w:rFonts w:hint="default"/>
        <w:lang w:val="fr-FR" w:eastAsia="fr-FR" w:bidi="fr-FR"/>
      </w:rPr>
    </w:lvl>
    <w:lvl w:ilvl="7">
      <w:start w:val="0"/>
      <w:numFmt w:val="bullet"/>
      <w:lvlText w:val="•"/>
      <w:lvlJc w:val="left"/>
      <w:pPr>
        <w:ind w:left="7717" w:hanging="360"/>
      </w:pPr>
      <w:rPr>
        <w:rFonts w:hint="default"/>
        <w:lang w:val="fr-FR" w:eastAsia="fr-FR" w:bidi="fr-FR"/>
      </w:rPr>
    </w:lvl>
    <w:lvl w:ilvl="8">
      <w:start w:val="0"/>
      <w:numFmt w:val="bullet"/>
      <w:lvlText w:val="•"/>
      <w:lvlJc w:val="left"/>
      <w:pPr>
        <w:ind w:left="8753" w:hanging="360"/>
      </w:pPr>
      <w:rPr>
        <w:rFonts w:hint="default"/>
        <w:lang w:val="fr-FR" w:eastAsia="fr-FR" w:bidi="fr-FR"/>
      </w:rPr>
    </w:lvl>
  </w:abstractNum>
  <w:abstractNum w:abstractNumId="39">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2"/>
        <w:szCs w:val="22"/>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38">
    <w:multiLevelType w:val="hybridMultilevel"/>
    <w:lvl w:ilvl="0">
      <w:start w:val="3"/>
      <w:numFmt w:val="decimalZero"/>
      <w:lvlText w:val="(%1)"/>
      <w:lvlJc w:val="left"/>
      <w:pPr>
        <w:ind w:left="433" w:hanging="550"/>
        <w:jc w:val="left"/>
      </w:pPr>
      <w:rPr>
        <w:rFonts w:hint="default" w:ascii="Times New Roman" w:hAnsi="Times New Roman" w:eastAsia="Times New Roman" w:cs="Times New Roman"/>
        <w:spacing w:val="-2"/>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2"/>
        <w:szCs w:val="22"/>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37">
    <w:multiLevelType w:val="hybridMultilevel"/>
    <w:lvl w:ilvl="0">
      <w:start w:val="3"/>
      <w:numFmt w:val="upperRoman"/>
      <w:lvlText w:val="%1"/>
      <w:lvlJc w:val="left"/>
      <w:pPr>
        <w:ind w:left="1320" w:hanging="888"/>
        <w:jc w:val="left"/>
      </w:pPr>
      <w:rPr>
        <w:rFonts w:hint="default"/>
        <w:lang w:val="fr-FR" w:eastAsia="fr-FR" w:bidi="fr-FR"/>
      </w:rPr>
    </w:lvl>
    <w:lvl w:ilvl="1">
      <w:start w:val="1"/>
      <w:numFmt w:val="decimal"/>
      <w:lvlText w:val="%1.%2"/>
      <w:lvlJc w:val="left"/>
      <w:pPr>
        <w:ind w:left="1320" w:hanging="888"/>
        <w:jc w:val="left"/>
      </w:pPr>
      <w:rPr>
        <w:rFonts w:hint="default"/>
        <w:lang w:val="fr-FR" w:eastAsia="fr-FR" w:bidi="fr-FR"/>
      </w:rPr>
    </w:lvl>
    <w:lvl w:ilvl="2">
      <w:start w:val="2"/>
      <w:numFmt w:val="decimal"/>
      <w:lvlText w:val="%1.%2.%3."/>
      <w:lvlJc w:val="left"/>
      <w:pPr>
        <w:ind w:left="1320" w:hanging="888"/>
        <w:jc w:val="left"/>
      </w:pPr>
      <w:rPr>
        <w:rFonts w:hint="default" w:ascii="Times New Roman" w:hAnsi="Times New Roman" w:eastAsia="Times New Roman" w:cs="Times New Roman"/>
        <w:b/>
        <w:bCs/>
        <w:spacing w:val="-3"/>
        <w:w w:val="100"/>
        <w:sz w:val="28"/>
        <w:szCs w:val="28"/>
        <w:lang w:val="fr-FR" w:eastAsia="fr-FR" w:bidi="fr-FR"/>
      </w:rPr>
    </w:lvl>
    <w:lvl w:ilvl="3">
      <w:start w:val="0"/>
      <w:numFmt w:val="bullet"/>
      <w:lvlText w:val="•"/>
      <w:lvlJc w:val="left"/>
      <w:pPr>
        <w:ind w:left="884" w:hanging="169"/>
      </w:pPr>
      <w:rPr>
        <w:rFonts w:hint="default" w:ascii="Times New Roman" w:hAnsi="Times New Roman" w:eastAsia="Times New Roman" w:cs="Times New Roman"/>
        <w:w w:val="100"/>
        <w:sz w:val="28"/>
        <w:szCs w:val="28"/>
        <w:lang w:val="fr-FR" w:eastAsia="fr-FR" w:bidi="fr-FR"/>
      </w:rPr>
    </w:lvl>
    <w:lvl w:ilvl="4">
      <w:start w:val="0"/>
      <w:numFmt w:val="bullet"/>
      <w:lvlText w:val="•"/>
      <w:lvlJc w:val="left"/>
      <w:pPr>
        <w:ind w:left="4488" w:hanging="169"/>
      </w:pPr>
      <w:rPr>
        <w:rFonts w:hint="default"/>
        <w:lang w:val="fr-FR" w:eastAsia="fr-FR" w:bidi="fr-FR"/>
      </w:rPr>
    </w:lvl>
    <w:lvl w:ilvl="5">
      <w:start w:val="0"/>
      <w:numFmt w:val="bullet"/>
      <w:lvlText w:val="•"/>
      <w:lvlJc w:val="left"/>
      <w:pPr>
        <w:ind w:left="5545" w:hanging="169"/>
      </w:pPr>
      <w:rPr>
        <w:rFonts w:hint="default"/>
        <w:lang w:val="fr-FR" w:eastAsia="fr-FR" w:bidi="fr-FR"/>
      </w:rPr>
    </w:lvl>
    <w:lvl w:ilvl="6">
      <w:start w:val="0"/>
      <w:numFmt w:val="bullet"/>
      <w:lvlText w:val="•"/>
      <w:lvlJc w:val="left"/>
      <w:pPr>
        <w:ind w:left="6601" w:hanging="169"/>
      </w:pPr>
      <w:rPr>
        <w:rFonts w:hint="default"/>
        <w:lang w:val="fr-FR" w:eastAsia="fr-FR" w:bidi="fr-FR"/>
      </w:rPr>
    </w:lvl>
    <w:lvl w:ilvl="7">
      <w:start w:val="0"/>
      <w:numFmt w:val="bullet"/>
      <w:lvlText w:val="•"/>
      <w:lvlJc w:val="left"/>
      <w:pPr>
        <w:ind w:left="7657" w:hanging="169"/>
      </w:pPr>
      <w:rPr>
        <w:rFonts w:hint="default"/>
        <w:lang w:val="fr-FR" w:eastAsia="fr-FR" w:bidi="fr-FR"/>
      </w:rPr>
    </w:lvl>
    <w:lvl w:ilvl="8">
      <w:start w:val="0"/>
      <w:numFmt w:val="bullet"/>
      <w:lvlText w:val="•"/>
      <w:lvlJc w:val="left"/>
      <w:pPr>
        <w:ind w:left="8713" w:hanging="169"/>
      </w:pPr>
      <w:rPr>
        <w:rFonts w:hint="default"/>
        <w:lang w:val="fr-FR" w:eastAsia="fr-FR" w:bidi="fr-FR"/>
      </w:rPr>
    </w:lvl>
  </w:abstractNum>
  <w:abstractNum w:abstractNumId="36">
    <w:multiLevelType w:val="hybridMultilevel"/>
    <w:lvl w:ilvl="0">
      <w:start w:val="3"/>
      <w:numFmt w:val="upperRoman"/>
      <w:lvlText w:val="%1"/>
      <w:lvlJc w:val="left"/>
      <w:pPr>
        <w:ind w:left="1251" w:hanging="818"/>
        <w:jc w:val="left"/>
      </w:pPr>
      <w:rPr>
        <w:rFonts w:hint="default"/>
        <w:lang w:val="fr-FR" w:eastAsia="fr-FR" w:bidi="fr-FR"/>
      </w:rPr>
    </w:lvl>
    <w:lvl w:ilvl="1">
      <w:start w:val="1"/>
      <w:numFmt w:val="decimal"/>
      <w:lvlText w:val="%1.%2"/>
      <w:lvlJc w:val="left"/>
      <w:pPr>
        <w:ind w:left="1251" w:hanging="818"/>
        <w:jc w:val="left"/>
      </w:pPr>
      <w:rPr>
        <w:rFonts w:hint="default"/>
        <w:lang w:val="fr-FR" w:eastAsia="fr-FR" w:bidi="fr-FR"/>
      </w:rPr>
    </w:lvl>
    <w:lvl w:ilvl="2">
      <w:start w:val="1"/>
      <w:numFmt w:val="decimal"/>
      <w:lvlText w:val="%1.%2.%3"/>
      <w:lvlJc w:val="left"/>
      <w:pPr>
        <w:ind w:left="1251" w:hanging="818"/>
        <w:jc w:val="left"/>
      </w:pPr>
      <w:rPr>
        <w:rFonts w:hint="default" w:ascii="Times New Roman" w:hAnsi="Times New Roman" w:eastAsia="Times New Roman" w:cs="Times New Roman"/>
        <w:b/>
        <w:bCs/>
        <w:spacing w:val="-3"/>
        <w:w w:val="100"/>
        <w:sz w:val="28"/>
        <w:szCs w:val="28"/>
        <w:lang w:val="fr-FR" w:eastAsia="fr-FR" w:bidi="fr-FR"/>
      </w:rPr>
    </w:lvl>
    <w:lvl w:ilvl="3">
      <w:start w:val="0"/>
      <w:numFmt w:val="bullet"/>
      <w:lvlText w:val="-"/>
      <w:lvlJc w:val="left"/>
      <w:pPr>
        <w:ind w:left="1719" w:hanging="360"/>
      </w:pPr>
      <w:rPr>
        <w:rFonts w:hint="default" w:ascii="Times New Roman" w:hAnsi="Times New Roman" w:eastAsia="Times New Roman" w:cs="Times New Roman"/>
        <w:w w:val="100"/>
        <w:sz w:val="22"/>
        <w:szCs w:val="22"/>
        <w:lang w:val="fr-FR" w:eastAsia="fr-FR" w:bidi="fr-FR"/>
      </w:rPr>
    </w:lvl>
    <w:lvl w:ilvl="4">
      <w:start w:val="0"/>
      <w:numFmt w:val="bullet"/>
      <w:lvlText w:val="•"/>
      <w:lvlJc w:val="left"/>
      <w:pPr>
        <w:ind w:left="4755" w:hanging="360"/>
      </w:pPr>
      <w:rPr>
        <w:rFonts w:hint="default"/>
        <w:lang w:val="fr-FR" w:eastAsia="fr-FR" w:bidi="fr-FR"/>
      </w:rPr>
    </w:lvl>
    <w:lvl w:ilvl="5">
      <w:start w:val="0"/>
      <w:numFmt w:val="bullet"/>
      <w:lvlText w:val="•"/>
      <w:lvlJc w:val="left"/>
      <w:pPr>
        <w:ind w:left="5767" w:hanging="360"/>
      </w:pPr>
      <w:rPr>
        <w:rFonts w:hint="default"/>
        <w:lang w:val="fr-FR" w:eastAsia="fr-FR" w:bidi="fr-FR"/>
      </w:rPr>
    </w:lvl>
    <w:lvl w:ilvl="6">
      <w:start w:val="0"/>
      <w:numFmt w:val="bullet"/>
      <w:lvlText w:val="•"/>
      <w:lvlJc w:val="left"/>
      <w:pPr>
        <w:ind w:left="6779" w:hanging="360"/>
      </w:pPr>
      <w:rPr>
        <w:rFonts w:hint="default"/>
        <w:lang w:val="fr-FR" w:eastAsia="fr-FR" w:bidi="fr-FR"/>
      </w:rPr>
    </w:lvl>
    <w:lvl w:ilvl="7">
      <w:start w:val="0"/>
      <w:numFmt w:val="bullet"/>
      <w:lvlText w:val="•"/>
      <w:lvlJc w:val="left"/>
      <w:pPr>
        <w:ind w:left="7790" w:hanging="360"/>
      </w:pPr>
      <w:rPr>
        <w:rFonts w:hint="default"/>
        <w:lang w:val="fr-FR" w:eastAsia="fr-FR" w:bidi="fr-FR"/>
      </w:rPr>
    </w:lvl>
    <w:lvl w:ilvl="8">
      <w:start w:val="0"/>
      <w:numFmt w:val="bullet"/>
      <w:lvlText w:val="•"/>
      <w:lvlJc w:val="left"/>
      <w:pPr>
        <w:ind w:left="8802" w:hanging="360"/>
      </w:pPr>
      <w:rPr>
        <w:rFonts w:hint="default"/>
        <w:lang w:val="fr-FR" w:eastAsia="fr-FR" w:bidi="fr-FR"/>
      </w:rPr>
    </w:lvl>
  </w:abstractNum>
  <w:abstractNum w:abstractNumId="35">
    <w:multiLevelType w:val="hybridMultilevel"/>
    <w:lvl w:ilvl="0">
      <w:start w:val="0"/>
      <w:numFmt w:val="bullet"/>
      <w:lvlText w:val="-"/>
      <w:lvlJc w:val="left"/>
      <w:pPr>
        <w:ind w:left="999" w:hanging="425"/>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425"/>
      </w:pPr>
      <w:rPr>
        <w:rFonts w:hint="default"/>
        <w:lang w:val="fr-FR" w:eastAsia="fr-FR" w:bidi="fr-FR"/>
      </w:rPr>
    </w:lvl>
    <w:lvl w:ilvl="2">
      <w:start w:val="0"/>
      <w:numFmt w:val="bullet"/>
      <w:lvlText w:val="•"/>
      <w:lvlJc w:val="left"/>
      <w:pPr>
        <w:ind w:left="2965" w:hanging="425"/>
      </w:pPr>
      <w:rPr>
        <w:rFonts w:hint="default"/>
        <w:lang w:val="fr-FR" w:eastAsia="fr-FR" w:bidi="fr-FR"/>
      </w:rPr>
    </w:lvl>
    <w:lvl w:ilvl="3">
      <w:start w:val="0"/>
      <w:numFmt w:val="bullet"/>
      <w:lvlText w:val="•"/>
      <w:lvlJc w:val="left"/>
      <w:pPr>
        <w:ind w:left="3947" w:hanging="425"/>
      </w:pPr>
      <w:rPr>
        <w:rFonts w:hint="default"/>
        <w:lang w:val="fr-FR" w:eastAsia="fr-FR" w:bidi="fr-FR"/>
      </w:rPr>
    </w:lvl>
    <w:lvl w:ilvl="4">
      <w:start w:val="0"/>
      <w:numFmt w:val="bullet"/>
      <w:lvlText w:val="•"/>
      <w:lvlJc w:val="left"/>
      <w:pPr>
        <w:ind w:left="4930" w:hanging="425"/>
      </w:pPr>
      <w:rPr>
        <w:rFonts w:hint="default"/>
        <w:lang w:val="fr-FR" w:eastAsia="fr-FR" w:bidi="fr-FR"/>
      </w:rPr>
    </w:lvl>
    <w:lvl w:ilvl="5">
      <w:start w:val="0"/>
      <w:numFmt w:val="bullet"/>
      <w:lvlText w:val="•"/>
      <w:lvlJc w:val="left"/>
      <w:pPr>
        <w:ind w:left="5913" w:hanging="425"/>
      </w:pPr>
      <w:rPr>
        <w:rFonts w:hint="default"/>
        <w:lang w:val="fr-FR" w:eastAsia="fr-FR" w:bidi="fr-FR"/>
      </w:rPr>
    </w:lvl>
    <w:lvl w:ilvl="6">
      <w:start w:val="0"/>
      <w:numFmt w:val="bullet"/>
      <w:lvlText w:val="•"/>
      <w:lvlJc w:val="left"/>
      <w:pPr>
        <w:ind w:left="6895" w:hanging="425"/>
      </w:pPr>
      <w:rPr>
        <w:rFonts w:hint="default"/>
        <w:lang w:val="fr-FR" w:eastAsia="fr-FR" w:bidi="fr-FR"/>
      </w:rPr>
    </w:lvl>
    <w:lvl w:ilvl="7">
      <w:start w:val="0"/>
      <w:numFmt w:val="bullet"/>
      <w:lvlText w:val="•"/>
      <w:lvlJc w:val="left"/>
      <w:pPr>
        <w:ind w:left="7878" w:hanging="425"/>
      </w:pPr>
      <w:rPr>
        <w:rFonts w:hint="default"/>
        <w:lang w:val="fr-FR" w:eastAsia="fr-FR" w:bidi="fr-FR"/>
      </w:rPr>
    </w:lvl>
    <w:lvl w:ilvl="8">
      <w:start w:val="0"/>
      <w:numFmt w:val="bullet"/>
      <w:lvlText w:val="•"/>
      <w:lvlJc w:val="left"/>
      <w:pPr>
        <w:ind w:left="8861" w:hanging="425"/>
      </w:pPr>
      <w:rPr>
        <w:rFonts w:hint="default"/>
        <w:lang w:val="fr-FR" w:eastAsia="fr-FR" w:bidi="fr-FR"/>
      </w:rPr>
    </w:lvl>
  </w:abstractNum>
  <w:abstractNum w:abstractNumId="34">
    <w:multiLevelType w:val="hybridMultilevel"/>
    <w:lvl w:ilvl="0">
      <w:start w:val="2"/>
      <w:numFmt w:val="upperRoman"/>
      <w:lvlText w:val="%1"/>
      <w:lvlJc w:val="left"/>
      <w:pPr>
        <w:ind w:left="1213" w:hanging="780"/>
        <w:jc w:val="left"/>
      </w:pPr>
      <w:rPr>
        <w:rFonts w:hint="default"/>
        <w:lang w:val="fr-FR" w:eastAsia="fr-FR" w:bidi="fr-FR"/>
      </w:rPr>
    </w:lvl>
    <w:lvl w:ilvl="1">
      <w:start w:val="3"/>
      <w:numFmt w:val="decimal"/>
      <w:lvlText w:val="%1.%2"/>
      <w:lvlJc w:val="left"/>
      <w:pPr>
        <w:ind w:left="1213" w:hanging="780"/>
        <w:jc w:val="left"/>
      </w:pPr>
      <w:rPr>
        <w:rFonts w:hint="default"/>
        <w:lang w:val="fr-FR" w:eastAsia="fr-FR" w:bidi="fr-FR"/>
      </w:rPr>
    </w:lvl>
    <w:lvl w:ilvl="2">
      <w:start w:val="1"/>
      <w:numFmt w:val="decimal"/>
      <w:lvlText w:val="%1.%2.%3."/>
      <w:lvlJc w:val="left"/>
      <w:pPr>
        <w:ind w:left="1213" w:hanging="780"/>
        <w:jc w:val="left"/>
      </w:pPr>
      <w:rPr>
        <w:rFonts w:hint="default" w:ascii="Times New Roman" w:hAnsi="Times New Roman" w:eastAsia="Times New Roman" w:cs="Times New Roman"/>
        <w:b/>
        <w:bCs/>
        <w:spacing w:val="-4"/>
        <w:w w:val="100"/>
        <w:sz w:val="28"/>
        <w:szCs w:val="28"/>
        <w:lang w:val="fr-FR" w:eastAsia="fr-FR" w:bidi="fr-FR"/>
      </w:rPr>
    </w:lvl>
    <w:lvl w:ilvl="3">
      <w:start w:val="0"/>
      <w:numFmt w:val="bullet"/>
      <w:lvlText w:val=""/>
      <w:lvlJc w:val="left"/>
      <w:pPr>
        <w:ind w:left="934" w:hanging="219"/>
      </w:pPr>
      <w:rPr>
        <w:rFonts w:hint="default" w:ascii="Symbol" w:hAnsi="Symbol" w:eastAsia="Symbol" w:cs="Symbol"/>
        <w:w w:val="100"/>
        <w:sz w:val="28"/>
        <w:szCs w:val="28"/>
        <w:lang w:val="fr-FR" w:eastAsia="fr-FR" w:bidi="fr-FR"/>
      </w:rPr>
    </w:lvl>
    <w:lvl w:ilvl="4">
      <w:start w:val="0"/>
      <w:numFmt w:val="bullet"/>
      <w:lvlText w:val="•"/>
      <w:lvlJc w:val="left"/>
      <w:pPr>
        <w:ind w:left="3621" w:hanging="219"/>
      </w:pPr>
      <w:rPr>
        <w:rFonts w:hint="default"/>
        <w:lang w:val="fr-FR" w:eastAsia="fr-FR" w:bidi="fr-FR"/>
      </w:rPr>
    </w:lvl>
    <w:lvl w:ilvl="5">
      <w:start w:val="0"/>
      <w:numFmt w:val="bullet"/>
      <w:lvlText w:val="•"/>
      <w:lvlJc w:val="left"/>
      <w:pPr>
        <w:ind w:left="4822" w:hanging="219"/>
      </w:pPr>
      <w:rPr>
        <w:rFonts w:hint="default"/>
        <w:lang w:val="fr-FR" w:eastAsia="fr-FR" w:bidi="fr-FR"/>
      </w:rPr>
    </w:lvl>
    <w:lvl w:ilvl="6">
      <w:start w:val="0"/>
      <w:numFmt w:val="bullet"/>
      <w:lvlText w:val="•"/>
      <w:lvlJc w:val="left"/>
      <w:pPr>
        <w:ind w:left="6023" w:hanging="219"/>
      </w:pPr>
      <w:rPr>
        <w:rFonts w:hint="default"/>
        <w:lang w:val="fr-FR" w:eastAsia="fr-FR" w:bidi="fr-FR"/>
      </w:rPr>
    </w:lvl>
    <w:lvl w:ilvl="7">
      <w:start w:val="0"/>
      <w:numFmt w:val="bullet"/>
      <w:lvlText w:val="•"/>
      <w:lvlJc w:val="left"/>
      <w:pPr>
        <w:ind w:left="7224" w:hanging="219"/>
      </w:pPr>
      <w:rPr>
        <w:rFonts w:hint="default"/>
        <w:lang w:val="fr-FR" w:eastAsia="fr-FR" w:bidi="fr-FR"/>
      </w:rPr>
    </w:lvl>
    <w:lvl w:ilvl="8">
      <w:start w:val="0"/>
      <w:numFmt w:val="bullet"/>
      <w:lvlText w:val="•"/>
      <w:lvlJc w:val="left"/>
      <w:pPr>
        <w:ind w:left="8424" w:hanging="219"/>
      </w:pPr>
      <w:rPr>
        <w:rFonts w:hint="default"/>
        <w:lang w:val="fr-FR" w:eastAsia="fr-FR" w:bidi="fr-FR"/>
      </w:rPr>
    </w:lvl>
  </w:abstractNum>
  <w:abstractNum w:abstractNumId="33">
    <w:multiLevelType w:val="hybridMultilevel"/>
    <w:lvl w:ilvl="0">
      <w:start w:val="0"/>
      <w:numFmt w:val="bullet"/>
      <w:lvlText w:val="•"/>
      <w:lvlJc w:val="left"/>
      <w:pPr>
        <w:ind w:left="1285" w:hanging="286"/>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2234" w:hanging="286"/>
      </w:pPr>
      <w:rPr>
        <w:rFonts w:hint="default"/>
        <w:lang w:val="fr-FR" w:eastAsia="fr-FR" w:bidi="fr-FR"/>
      </w:rPr>
    </w:lvl>
    <w:lvl w:ilvl="2">
      <w:start w:val="0"/>
      <w:numFmt w:val="bullet"/>
      <w:lvlText w:val="•"/>
      <w:lvlJc w:val="left"/>
      <w:pPr>
        <w:ind w:left="3189" w:hanging="286"/>
      </w:pPr>
      <w:rPr>
        <w:rFonts w:hint="default"/>
        <w:lang w:val="fr-FR" w:eastAsia="fr-FR" w:bidi="fr-FR"/>
      </w:rPr>
    </w:lvl>
    <w:lvl w:ilvl="3">
      <w:start w:val="0"/>
      <w:numFmt w:val="bullet"/>
      <w:lvlText w:val="•"/>
      <w:lvlJc w:val="left"/>
      <w:pPr>
        <w:ind w:left="4143" w:hanging="286"/>
      </w:pPr>
      <w:rPr>
        <w:rFonts w:hint="default"/>
        <w:lang w:val="fr-FR" w:eastAsia="fr-FR" w:bidi="fr-FR"/>
      </w:rPr>
    </w:lvl>
    <w:lvl w:ilvl="4">
      <w:start w:val="0"/>
      <w:numFmt w:val="bullet"/>
      <w:lvlText w:val="•"/>
      <w:lvlJc w:val="left"/>
      <w:pPr>
        <w:ind w:left="5098" w:hanging="286"/>
      </w:pPr>
      <w:rPr>
        <w:rFonts w:hint="default"/>
        <w:lang w:val="fr-FR" w:eastAsia="fr-FR" w:bidi="fr-FR"/>
      </w:rPr>
    </w:lvl>
    <w:lvl w:ilvl="5">
      <w:start w:val="0"/>
      <w:numFmt w:val="bullet"/>
      <w:lvlText w:val="•"/>
      <w:lvlJc w:val="left"/>
      <w:pPr>
        <w:ind w:left="6053" w:hanging="286"/>
      </w:pPr>
      <w:rPr>
        <w:rFonts w:hint="default"/>
        <w:lang w:val="fr-FR" w:eastAsia="fr-FR" w:bidi="fr-FR"/>
      </w:rPr>
    </w:lvl>
    <w:lvl w:ilvl="6">
      <w:start w:val="0"/>
      <w:numFmt w:val="bullet"/>
      <w:lvlText w:val="•"/>
      <w:lvlJc w:val="left"/>
      <w:pPr>
        <w:ind w:left="7007" w:hanging="286"/>
      </w:pPr>
      <w:rPr>
        <w:rFonts w:hint="default"/>
        <w:lang w:val="fr-FR" w:eastAsia="fr-FR" w:bidi="fr-FR"/>
      </w:rPr>
    </w:lvl>
    <w:lvl w:ilvl="7">
      <w:start w:val="0"/>
      <w:numFmt w:val="bullet"/>
      <w:lvlText w:val="•"/>
      <w:lvlJc w:val="left"/>
      <w:pPr>
        <w:ind w:left="7962" w:hanging="286"/>
      </w:pPr>
      <w:rPr>
        <w:rFonts w:hint="default"/>
        <w:lang w:val="fr-FR" w:eastAsia="fr-FR" w:bidi="fr-FR"/>
      </w:rPr>
    </w:lvl>
    <w:lvl w:ilvl="8">
      <w:start w:val="0"/>
      <w:numFmt w:val="bullet"/>
      <w:lvlText w:val="•"/>
      <w:lvlJc w:val="left"/>
      <w:pPr>
        <w:ind w:left="8917" w:hanging="286"/>
      </w:pPr>
      <w:rPr>
        <w:rFonts w:hint="default"/>
        <w:lang w:val="fr-FR" w:eastAsia="fr-FR" w:bidi="fr-FR"/>
      </w:rPr>
    </w:lvl>
  </w:abstractNum>
  <w:abstractNum w:abstractNumId="32">
    <w:multiLevelType w:val="hybridMultilevel"/>
    <w:lvl w:ilvl="0">
      <w:start w:val="1"/>
      <w:numFmt w:val="decimal"/>
      <w:lvlText w:val="%1-"/>
      <w:lvlJc w:val="left"/>
      <w:pPr>
        <w:ind w:left="433" w:hanging="329"/>
        <w:jc w:val="left"/>
      </w:pPr>
      <w:rPr>
        <w:rFonts w:hint="default" w:ascii="Times New Roman" w:hAnsi="Times New Roman" w:eastAsia="Times New Roman" w:cs="Times New Roman"/>
        <w:spacing w:val="0"/>
        <w:w w:val="100"/>
        <w:sz w:val="28"/>
        <w:szCs w:val="28"/>
        <w:lang w:val="fr-FR" w:eastAsia="fr-FR" w:bidi="fr-FR"/>
      </w:rPr>
    </w:lvl>
    <w:lvl w:ilvl="1">
      <w:start w:val="2"/>
      <w:numFmt w:val="decimal"/>
      <w:lvlText w:val="%2-"/>
      <w:lvlJc w:val="left"/>
      <w:pPr>
        <w:ind w:left="999" w:hanging="284"/>
        <w:jc w:val="left"/>
      </w:pPr>
      <w:rPr>
        <w:rFonts w:hint="default" w:ascii="Times New Roman" w:hAnsi="Times New Roman" w:eastAsia="Times New Roman" w:cs="Times New Roman"/>
        <w:spacing w:val="0"/>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31">
    <w:multiLevelType w:val="hybridMultilevel"/>
    <w:lvl w:ilvl="0">
      <w:start w:val="1"/>
      <w:numFmt w:val="decimal"/>
      <w:lvlText w:val="%1-"/>
      <w:lvlJc w:val="left"/>
      <w:pPr>
        <w:ind w:left="433" w:hanging="329"/>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478" w:hanging="329"/>
      </w:pPr>
      <w:rPr>
        <w:rFonts w:hint="default"/>
        <w:lang w:val="fr-FR" w:eastAsia="fr-FR" w:bidi="fr-FR"/>
      </w:rPr>
    </w:lvl>
    <w:lvl w:ilvl="2">
      <w:start w:val="0"/>
      <w:numFmt w:val="bullet"/>
      <w:lvlText w:val="•"/>
      <w:lvlJc w:val="left"/>
      <w:pPr>
        <w:ind w:left="2517" w:hanging="329"/>
      </w:pPr>
      <w:rPr>
        <w:rFonts w:hint="default"/>
        <w:lang w:val="fr-FR" w:eastAsia="fr-FR" w:bidi="fr-FR"/>
      </w:rPr>
    </w:lvl>
    <w:lvl w:ilvl="3">
      <w:start w:val="0"/>
      <w:numFmt w:val="bullet"/>
      <w:lvlText w:val="•"/>
      <w:lvlJc w:val="left"/>
      <w:pPr>
        <w:ind w:left="3555" w:hanging="329"/>
      </w:pPr>
      <w:rPr>
        <w:rFonts w:hint="default"/>
        <w:lang w:val="fr-FR" w:eastAsia="fr-FR" w:bidi="fr-FR"/>
      </w:rPr>
    </w:lvl>
    <w:lvl w:ilvl="4">
      <w:start w:val="0"/>
      <w:numFmt w:val="bullet"/>
      <w:lvlText w:val="•"/>
      <w:lvlJc w:val="left"/>
      <w:pPr>
        <w:ind w:left="4594" w:hanging="329"/>
      </w:pPr>
      <w:rPr>
        <w:rFonts w:hint="default"/>
        <w:lang w:val="fr-FR" w:eastAsia="fr-FR" w:bidi="fr-FR"/>
      </w:rPr>
    </w:lvl>
    <w:lvl w:ilvl="5">
      <w:start w:val="0"/>
      <w:numFmt w:val="bullet"/>
      <w:lvlText w:val="•"/>
      <w:lvlJc w:val="left"/>
      <w:pPr>
        <w:ind w:left="5633" w:hanging="329"/>
      </w:pPr>
      <w:rPr>
        <w:rFonts w:hint="default"/>
        <w:lang w:val="fr-FR" w:eastAsia="fr-FR" w:bidi="fr-FR"/>
      </w:rPr>
    </w:lvl>
    <w:lvl w:ilvl="6">
      <w:start w:val="0"/>
      <w:numFmt w:val="bullet"/>
      <w:lvlText w:val="•"/>
      <w:lvlJc w:val="left"/>
      <w:pPr>
        <w:ind w:left="6671" w:hanging="329"/>
      </w:pPr>
      <w:rPr>
        <w:rFonts w:hint="default"/>
        <w:lang w:val="fr-FR" w:eastAsia="fr-FR" w:bidi="fr-FR"/>
      </w:rPr>
    </w:lvl>
    <w:lvl w:ilvl="7">
      <w:start w:val="0"/>
      <w:numFmt w:val="bullet"/>
      <w:lvlText w:val="•"/>
      <w:lvlJc w:val="left"/>
      <w:pPr>
        <w:ind w:left="7710" w:hanging="329"/>
      </w:pPr>
      <w:rPr>
        <w:rFonts w:hint="default"/>
        <w:lang w:val="fr-FR" w:eastAsia="fr-FR" w:bidi="fr-FR"/>
      </w:rPr>
    </w:lvl>
    <w:lvl w:ilvl="8">
      <w:start w:val="0"/>
      <w:numFmt w:val="bullet"/>
      <w:lvlText w:val="•"/>
      <w:lvlJc w:val="left"/>
      <w:pPr>
        <w:ind w:left="8749" w:hanging="329"/>
      </w:pPr>
      <w:rPr>
        <w:rFonts w:hint="default"/>
        <w:lang w:val="fr-FR" w:eastAsia="fr-FR" w:bidi="fr-FR"/>
      </w:rPr>
    </w:lvl>
  </w:abstractNum>
  <w:abstractNum w:abstractNumId="30">
    <w:multiLevelType w:val="hybridMultilevel"/>
    <w:lvl w:ilvl="0">
      <w:start w:val="1"/>
      <w:numFmt w:val="decimal"/>
      <w:lvlText w:val="%1-"/>
      <w:lvlJc w:val="left"/>
      <w:pPr>
        <w:ind w:left="433" w:hanging="305"/>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478" w:hanging="305"/>
      </w:pPr>
      <w:rPr>
        <w:rFonts w:hint="default"/>
        <w:lang w:val="fr-FR" w:eastAsia="fr-FR" w:bidi="fr-FR"/>
      </w:rPr>
    </w:lvl>
    <w:lvl w:ilvl="2">
      <w:start w:val="0"/>
      <w:numFmt w:val="bullet"/>
      <w:lvlText w:val="•"/>
      <w:lvlJc w:val="left"/>
      <w:pPr>
        <w:ind w:left="2517" w:hanging="305"/>
      </w:pPr>
      <w:rPr>
        <w:rFonts w:hint="default"/>
        <w:lang w:val="fr-FR" w:eastAsia="fr-FR" w:bidi="fr-FR"/>
      </w:rPr>
    </w:lvl>
    <w:lvl w:ilvl="3">
      <w:start w:val="0"/>
      <w:numFmt w:val="bullet"/>
      <w:lvlText w:val="•"/>
      <w:lvlJc w:val="left"/>
      <w:pPr>
        <w:ind w:left="3555" w:hanging="305"/>
      </w:pPr>
      <w:rPr>
        <w:rFonts w:hint="default"/>
        <w:lang w:val="fr-FR" w:eastAsia="fr-FR" w:bidi="fr-FR"/>
      </w:rPr>
    </w:lvl>
    <w:lvl w:ilvl="4">
      <w:start w:val="0"/>
      <w:numFmt w:val="bullet"/>
      <w:lvlText w:val="•"/>
      <w:lvlJc w:val="left"/>
      <w:pPr>
        <w:ind w:left="4594" w:hanging="305"/>
      </w:pPr>
      <w:rPr>
        <w:rFonts w:hint="default"/>
        <w:lang w:val="fr-FR" w:eastAsia="fr-FR" w:bidi="fr-FR"/>
      </w:rPr>
    </w:lvl>
    <w:lvl w:ilvl="5">
      <w:start w:val="0"/>
      <w:numFmt w:val="bullet"/>
      <w:lvlText w:val="•"/>
      <w:lvlJc w:val="left"/>
      <w:pPr>
        <w:ind w:left="5633" w:hanging="305"/>
      </w:pPr>
      <w:rPr>
        <w:rFonts w:hint="default"/>
        <w:lang w:val="fr-FR" w:eastAsia="fr-FR" w:bidi="fr-FR"/>
      </w:rPr>
    </w:lvl>
    <w:lvl w:ilvl="6">
      <w:start w:val="0"/>
      <w:numFmt w:val="bullet"/>
      <w:lvlText w:val="•"/>
      <w:lvlJc w:val="left"/>
      <w:pPr>
        <w:ind w:left="6671" w:hanging="305"/>
      </w:pPr>
      <w:rPr>
        <w:rFonts w:hint="default"/>
        <w:lang w:val="fr-FR" w:eastAsia="fr-FR" w:bidi="fr-FR"/>
      </w:rPr>
    </w:lvl>
    <w:lvl w:ilvl="7">
      <w:start w:val="0"/>
      <w:numFmt w:val="bullet"/>
      <w:lvlText w:val="•"/>
      <w:lvlJc w:val="left"/>
      <w:pPr>
        <w:ind w:left="7710" w:hanging="305"/>
      </w:pPr>
      <w:rPr>
        <w:rFonts w:hint="default"/>
        <w:lang w:val="fr-FR" w:eastAsia="fr-FR" w:bidi="fr-FR"/>
      </w:rPr>
    </w:lvl>
    <w:lvl w:ilvl="8">
      <w:start w:val="0"/>
      <w:numFmt w:val="bullet"/>
      <w:lvlText w:val="•"/>
      <w:lvlJc w:val="left"/>
      <w:pPr>
        <w:ind w:left="8749" w:hanging="305"/>
      </w:pPr>
      <w:rPr>
        <w:rFonts w:hint="default"/>
        <w:lang w:val="fr-FR" w:eastAsia="fr-FR" w:bidi="fr-FR"/>
      </w:rPr>
    </w:lvl>
  </w:abstractNum>
  <w:abstractNum w:abstractNumId="29">
    <w:multiLevelType w:val="hybridMultilevel"/>
    <w:lvl w:ilvl="0">
      <w:start w:val="0"/>
      <w:numFmt w:val="bullet"/>
      <w:lvlText w:val=""/>
      <w:lvlJc w:val="left"/>
      <w:pPr>
        <w:ind w:left="999" w:hanging="284"/>
      </w:pPr>
      <w:rPr>
        <w:rFonts w:hint="default" w:ascii="Wingdings" w:hAnsi="Wingdings" w:eastAsia="Wingdings" w:cs="Wingdings"/>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28">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27">
    <w:multiLevelType w:val="hybridMultilevel"/>
    <w:lvl w:ilvl="0">
      <w:start w:val="0"/>
      <w:numFmt w:val="bullet"/>
      <w:lvlText w:val="-"/>
      <w:lvlJc w:val="left"/>
      <w:pPr>
        <w:ind w:left="999" w:hanging="284"/>
      </w:pPr>
      <w:rPr>
        <w:rFonts w:hint="default" w:ascii="Calibri" w:hAnsi="Calibri" w:eastAsia="Calibri" w:cs="Calibri"/>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26">
    <w:multiLevelType w:val="hybridMultilevel"/>
    <w:lvl w:ilvl="0">
      <w:start w:val="2"/>
      <w:numFmt w:val="upperRoman"/>
      <w:lvlText w:val="%1"/>
      <w:lvlJc w:val="left"/>
      <w:pPr>
        <w:ind w:left="1210" w:hanging="778"/>
        <w:jc w:val="left"/>
      </w:pPr>
      <w:rPr>
        <w:rFonts w:hint="default"/>
        <w:lang w:val="fr-FR" w:eastAsia="fr-FR" w:bidi="fr-FR"/>
      </w:rPr>
    </w:lvl>
    <w:lvl w:ilvl="1">
      <w:start w:val="1"/>
      <w:numFmt w:val="decimal"/>
      <w:lvlText w:val="%1.%2"/>
      <w:lvlJc w:val="left"/>
      <w:pPr>
        <w:ind w:left="1210" w:hanging="778"/>
        <w:jc w:val="left"/>
      </w:pPr>
      <w:rPr>
        <w:rFonts w:hint="default"/>
        <w:lang w:val="fr-FR" w:eastAsia="fr-FR" w:bidi="fr-FR"/>
      </w:rPr>
    </w:lvl>
    <w:lvl w:ilvl="2">
      <w:start w:val="1"/>
      <w:numFmt w:val="decimal"/>
      <w:lvlText w:val="%1.%2.%3."/>
      <w:lvlJc w:val="left"/>
      <w:pPr>
        <w:ind w:left="1210" w:hanging="778"/>
        <w:jc w:val="left"/>
      </w:pPr>
      <w:rPr>
        <w:rFonts w:hint="default" w:ascii="Times New Roman" w:hAnsi="Times New Roman" w:eastAsia="Times New Roman" w:cs="Times New Roman"/>
        <w:b/>
        <w:bCs/>
        <w:spacing w:val="-3"/>
        <w:w w:val="100"/>
        <w:sz w:val="28"/>
        <w:szCs w:val="28"/>
        <w:lang w:val="fr-FR" w:eastAsia="fr-FR" w:bidi="fr-FR"/>
      </w:rPr>
    </w:lvl>
    <w:lvl w:ilvl="3">
      <w:start w:val="1"/>
      <w:numFmt w:val="lowerLetter"/>
      <w:lvlText w:val="%4)"/>
      <w:lvlJc w:val="left"/>
      <w:pPr>
        <w:ind w:left="934" w:hanging="360"/>
        <w:jc w:val="right"/>
      </w:pPr>
      <w:rPr>
        <w:rFonts w:hint="default" w:ascii="Times New Roman" w:hAnsi="Times New Roman" w:eastAsia="Times New Roman" w:cs="Times New Roman"/>
        <w:spacing w:val="-3"/>
        <w:w w:val="100"/>
        <w:sz w:val="28"/>
        <w:szCs w:val="28"/>
        <w:lang w:val="fr-FR" w:eastAsia="fr-FR" w:bidi="fr-FR"/>
      </w:rPr>
    </w:lvl>
    <w:lvl w:ilvl="4">
      <w:start w:val="0"/>
      <w:numFmt w:val="bullet"/>
      <w:lvlText w:val="-"/>
      <w:lvlJc w:val="left"/>
      <w:pPr>
        <w:ind w:left="999" w:hanging="284"/>
      </w:pPr>
      <w:rPr>
        <w:rFonts w:hint="default" w:ascii="Calibri" w:hAnsi="Calibri" w:eastAsia="Calibri" w:cs="Calibri"/>
        <w:w w:val="100"/>
        <w:sz w:val="28"/>
        <w:szCs w:val="28"/>
        <w:lang w:val="fr-FR" w:eastAsia="fr-FR" w:bidi="fr-FR"/>
      </w:rPr>
    </w:lvl>
    <w:lvl w:ilvl="5">
      <w:start w:val="0"/>
      <w:numFmt w:val="bullet"/>
      <w:lvlText w:val="•"/>
      <w:lvlJc w:val="left"/>
      <w:pPr>
        <w:ind w:left="4822" w:hanging="284"/>
      </w:pPr>
      <w:rPr>
        <w:rFonts w:hint="default"/>
        <w:lang w:val="fr-FR" w:eastAsia="fr-FR" w:bidi="fr-FR"/>
      </w:rPr>
    </w:lvl>
    <w:lvl w:ilvl="6">
      <w:start w:val="0"/>
      <w:numFmt w:val="bullet"/>
      <w:lvlText w:val="•"/>
      <w:lvlJc w:val="left"/>
      <w:pPr>
        <w:ind w:left="6023" w:hanging="284"/>
      </w:pPr>
      <w:rPr>
        <w:rFonts w:hint="default"/>
        <w:lang w:val="fr-FR" w:eastAsia="fr-FR" w:bidi="fr-FR"/>
      </w:rPr>
    </w:lvl>
    <w:lvl w:ilvl="7">
      <w:start w:val="0"/>
      <w:numFmt w:val="bullet"/>
      <w:lvlText w:val="•"/>
      <w:lvlJc w:val="left"/>
      <w:pPr>
        <w:ind w:left="7224" w:hanging="284"/>
      </w:pPr>
      <w:rPr>
        <w:rFonts w:hint="default"/>
        <w:lang w:val="fr-FR" w:eastAsia="fr-FR" w:bidi="fr-FR"/>
      </w:rPr>
    </w:lvl>
    <w:lvl w:ilvl="8">
      <w:start w:val="0"/>
      <w:numFmt w:val="bullet"/>
      <w:lvlText w:val="•"/>
      <w:lvlJc w:val="left"/>
      <w:pPr>
        <w:ind w:left="8424" w:hanging="284"/>
      </w:pPr>
      <w:rPr>
        <w:rFonts w:hint="default"/>
        <w:lang w:val="fr-FR" w:eastAsia="fr-FR" w:bidi="fr-FR"/>
      </w:rPr>
    </w:lvl>
  </w:abstractNum>
  <w:abstractNum w:abstractNumId="25">
    <w:multiLevelType w:val="hybridMultilevel"/>
    <w:lvl w:ilvl="0">
      <w:start w:val="0"/>
      <w:numFmt w:val="bullet"/>
      <w:lvlText w:val=""/>
      <w:lvlJc w:val="left"/>
      <w:pPr>
        <w:ind w:left="773" w:hanging="360"/>
      </w:pPr>
      <w:rPr>
        <w:rFonts w:hint="default" w:ascii="Symbol" w:hAnsi="Symbol" w:eastAsia="Symbol" w:cs="Symbol"/>
        <w:w w:val="100"/>
        <w:sz w:val="22"/>
        <w:szCs w:val="22"/>
        <w:lang w:val="fr-FR" w:eastAsia="fr-FR" w:bidi="fr-FR"/>
      </w:rPr>
    </w:lvl>
    <w:lvl w:ilvl="1">
      <w:start w:val="0"/>
      <w:numFmt w:val="bullet"/>
      <w:lvlText w:val="•"/>
      <w:lvlJc w:val="left"/>
      <w:pPr>
        <w:ind w:left="944" w:hanging="360"/>
      </w:pPr>
      <w:rPr>
        <w:rFonts w:hint="default"/>
        <w:lang w:val="fr-FR" w:eastAsia="fr-FR" w:bidi="fr-FR"/>
      </w:rPr>
    </w:lvl>
    <w:lvl w:ilvl="2">
      <w:start w:val="0"/>
      <w:numFmt w:val="bullet"/>
      <w:lvlText w:val="•"/>
      <w:lvlJc w:val="left"/>
      <w:pPr>
        <w:ind w:left="1109" w:hanging="360"/>
      </w:pPr>
      <w:rPr>
        <w:rFonts w:hint="default"/>
        <w:lang w:val="fr-FR" w:eastAsia="fr-FR" w:bidi="fr-FR"/>
      </w:rPr>
    </w:lvl>
    <w:lvl w:ilvl="3">
      <w:start w:val="0"/>
      <w:numFmt w:val="bullet"/>
      <w:lvlText w:val="•"/>
      <w:lvlJc w:val="left"/>
      <w:pPr>
        <w:ind w:left="1274" w:hanging="360"/>
      </w:pPr>
      <w:rPr>
        <w:rFonts w:hint="default"/>
        <w:lang w:val="fr-FR" w:eastAsia="fr-FR" w:bidi="fr-FR"/>
      </w:rPr>
    </w:lvl>
    <w:lvl w:ilvl="4">
      <w:start w:val="0"/>
      <w:numFmt w:val="bullet"/>
      <w:lvlText w:val="•"/>
      <w:lvlJc w:val="left"/>
      <w:pPr>
        <w:ind w:left="1438" w:hanging="360"/>
      </w:pPr>
      <w:rPr>
        <w:rFonts w:hint="default"/>
        <w:lang w:val="fr-FR" w:eastAsia="fr-FR" w:bidi="fr-FR"/>
      </w:rPr>
    </w:lvl>
    <w:lvl w:ilvl="5">
      <w:start w:val="0"/>
      <w:numFmt w:val="bullet"/>
      <w:lvlText w:val="•"/>
      <w:lvlJc w:val="left"/>
      <w:pPr>
        <w:ind w:left="1603" w:hanging="360"/>
      </w:pPr>
      <w:rPr>
        <w:rFonts w:hint="default"/>
        <w:lang w:val="fr-FR" w:eastAsia="fr-FR" w:bidi="fr-FR"/>
      </w:rPr>
    </w:lvl>
    <w:lvl w:ilvl="6">
      <w:start w:val="0"/>
      <w:numFmt w:val="bullet"/>
      <w:lvlText w:val="•"/>
      <w:lvlJc w:val="left"/>
      <w:pPr>
        <w:ind w:left="1768" w:hanging="360"/>
      </w:pPr>
      <w:rPr>
        <w:rFonts w:hint="default"/>
        <w:lang w:val="fr-FR" w:eastAsia="fr-FR" w:bidi="fr-FR"/>
      </w:rPr>
    </w:lvl>
    <w:lvl w:ilvl="7">
      <w:start w:val="0"/>
      <w:numFmt w:val="bullet"/>
      <w:lvlText w:val="•"/>
      <w:lvlJc w:val="left"/>
      <w:pPr>
        <w:ind w:left="1932" w:hanging="360"/>
      </w:pPr>
      <w:rPr>
        <w:rFonts w:hint="default"/>
        <w:lang w:val="fr-FR" w:eastAsia="fr-FR" w:bidi="fr-FR"/>
      </w:rPr>
    </w:lvl>
    <w:lvl w:ilvl="8">
      <w:start w:val="0"/>
      <w:numFmt w:val="bullet"/>
      <w:lvlText w:val="•"/>
      <w:lvlJc w:val="left"/>
      <w:pPr>
        <w:ind w:left="2097" w:hanging="360"/>
      </w:pPr>
      <w:rPr>
        <w:rFonts w:hint="default"/>
        <w:lang w:val="fr-FR" w:eastAsia="fr-FR" w:bidi="fr-FR"/>
      </w:rPr>
    </w:lvl>
  </w:abstractNum>
  <w:abstractNum w:abstractNumId="24">
    <w:multiLevelType w:val="hybridMultilevel"/>
    <w:lvl w:ilvl="0">
      <w:start w:val="0"/>
      <w:numFmt w:val="bullet"/>
      <w:lvlText w:val=""/>
      <w:lvlJc w:val="left"/>
      <w:pPr>
        <w:ind w:left="329" w:hanging="142"/>
      </w:pPr>
      <w:rPr>
        <w:rFonts w:hint="default" w:ascii="Symbol" w:hAnsi="Symbol" w:eastAsia="Symbol" w:cs="Symbol"/>
        <w:w w:val="100"/>
        <w:sz w:val="22"/>
        <w:szCs w:val="22"/>
        <w:lang w:val="fr-FR" w:eastAsia="fr-FR" w:bidi="fr-FR"/>
      </w:rPr>
    </w:lvl>
    <w:lvl w:ilvl="1">
      <w:start w:val="0"/>
      <w:numFmt w:val="bullet"/>
      <w:lvlText w:val="•"/>
      <w:lvlJc w:val="left"/>
      <w:pPr>
        <w:ind w:left="513" w:hanging="142"/>
      </w:pPr>
      <w:rPr>
        <w:rFonts w:hint="default"/>
        <w:lang w:val="fr-FR" w:eastAsia="fr-FR" w:bidi="fr-FR"/>
      </w:rPr>
    </w:lvl>
    <w:lvl w:ilvl="2">
      <w:start w:val="0"/>
      <w:numFmt w:val="bullet"/>
      <w:lvlText w:val="•"/>
      <w:lvlJc w:val="left"/>
      <w:pPr>
        <w:ind w:left="707" w:hanging="142"/>
      </w:pPr>
      <w:rPr>
        <w:rFonts w:hint="default"/>
        <w:lang w:val="fr-FR" w:eastAsia="fr-FR" w:bidi="fr-FR"/>
      </w:rPr>
    </w:lvl>
    <w:lvl w:ilvl="3">
      <w:start w:val="0"/>
      <w:numFmt w:val="bullet"/>
      <w:lvlText w:val="•"/>
      <w:lvlJc w:val="left"/>
      <w:pPr>
        <w:ind w:left="901" w:hanging="142"/>
      </w:pPr>
      <w:rPr>
        <w:rFonts w:hint="default"/>
        <w:lang w:val="fr-FR" w:eastAsia="fr-FR" w:bidi="fr-FR"/>
      </w:rPr>
    </w:lvl>
    <w:lvl w:ilvl="4">
      <w:start w:val="0"/>
      <w:numFmt w:val="bullet"/>
      <w:lvlText w:val="•"/>
      <w:lvlJc w:val="left"/>
      <w:pPr>
        <w:ind w:left="1095" w:hanging="142"/>
      </w:pPr>
      <w:rPr>
        <w:rFonts w:hint="default"/>
        <w:lang w:val="fr-FR" w:eastAsia="fr-FR" w:bidi="fr-FR"/>
      </w:rPr>
    </w:lvl>
    <w:lvl w:ilvl="5">
      <w:start w:val="0"/>
      <w:numFmt w:val="bullet"/>
      <w:lvlText w:val="•"/>
      <w:lvlJc w:val="left"/>
      <w:pPr>
        <w:ind w:left="1289" w:hanging="142"/>
      </w:pPr>
      <w:rPr>
        <w:rFonts w:hint="default"/>
        <w:lang w:val="fr-FR" w:eastAsia="fr-FR" w:bidi="fr-FR"/>
      </w:rPr>
    </w:lvl>
    <w:lvl w:ilvl="6">
      <w:start w:val="0"/>
      <w:numFmt w:val="bullet"/>
      <w:lvlText w:val="•"/>
      <w:lvlJc w:val="left"/>
      <w:pPr>
        <w:ind w:left="1483" w:hanging="142"/>
      </w:pPr>
      <w:rPr>
        <w:rFonts w:hint="default"/>
        <w:lang w:val="fr-FR" w:eastAsia="fr-FR" w:bidi="fr-FR"/>
      </w:rPr>
    </w:lvl>
    <w:lvl w:ilvl="7">
      <w:start w:val="0"/>
      <w:numFmt w:val="bullet"/>
      <w:lvlText w:val="•"/>
      <w:lvlJc w:val="left"/>
      <w:pPr>
        <w:ind w:left="1677" w:hanging="142"/>
      </w:pPr>
      <w:rPr>
        <w:rFonts w:hint="default"/>
        <w:lang w:val="fr-FR" w:eastAsia="fr-FR" w:bidi="fr-FR"/>
      </w:rPr>
    </w:lvl>
    <w:lvl w:ilvl="8">
      <w:start w:val="0"/>
      <w:numFmt w:val="bullet"/>
      <w:lvlText w:val="•"/>
      <w:lvlJc w:val="left"/>
      <w:pPr>
        <w:ind w:left="1871" w:hanging="142"/>
      </w:pPr>
      <w:rPr>
        <w:rFonts w:hint="default"/>
        <w:lang w:val="fr-FR" w:eastAsia="fr-FR" w:bidi="fr-FR"/>
      </w:rPr>
    </w:lvl>
  </w:abstractNum>
  <w:abstractNum w:abstractNumId="23">
    <w:multiLevelType w:val="hybridMultilevel"/>
    <w:lvl w:ilvl="0">
      <w:start w:val="0"/>
      <w:numFmt w:val="bullet"/>
      <w:lvlText w:val=""/>
      <w:lvlJc w:val="left"/>
      <w:pPr>
        <w:ind w:left="188" w:hanging="142"/>
      </w:pPr>
      <w:rPr>
        <w:rFonts w:hint="default" w:ascii="Symbol" w:hAnsi="Symbol" w:eastAsia="Symbol" w:cs="Symbol"/>
        <w:w w:val="100"/>
        <w:sz w:val="22"/>
        <w:szCs w:val="22"/>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44" w:hanging="142"/>
      </w:pPr>
      <w:rPr>
        <w:rFonts w:hint="default"/>
        <w:lang w:val="fr-FR" w:eastAsia="fr-FR" w:bidi="fr-FR"/>
      </w:rPr>
    </w:lvl>
    <w:lvl w:ilvl="3">
      <w:start w:val="0"/>
      <w:numFmt w:val="bullet"/>
      <w:lvlText w:val="•"/>
      <w:lvlJc w:val="left"/>
      <w:pPr>
        <w:ind w:left="726" w:hanging="142"/>
      </w:pPr>
      <w:rPr>
        <w:rFonts w:hint="default"/>
        <w:lang w:val="fr-FR" w:eastAsia="fr-FR" w:bidi="fr-FR"/>
      </w:rPr>
    </w:lvl>
    <w:lvl w:ilvl="4">
      <w:start w:val="0"/>
      <w:numFmt w:val="bullet"/>
      <w:lvlText w:val="•"/>
      <w:lvlJc w:val="left"/>
      <w:pPr>
        <w:ind w:left="908" w:hanging="142"/>
      </w:pPr>
      <w:rPr>
        <w:rFonts w:hint="default"/>
        <w:lang w:val="fr-FR" w:eastAsia="fr-FR" w:bidi="fr-FR"/>
      </w:rPr>
    </w:lvl>
    <w:lvl w:ilvl="5">
      <w:start w:val="0"/>
      <w:numFmt w:val="bullet"/>
      <w:lvlText w:val="•"/>
      <w:lvlJc w:val="left"/>
      <w:pPr>
        <w:ind w:left="1090" w:hanging="142"/>
      </w:pPr>
      <w:rPr>
        <w:rFonts w:hint="default"/>
        <w:lang w:val="fr-FR" w:eastAsia="fr-FR" w:bidi="fr-FR"/>
      </w:rPr>
    </w:lvl>
    <w:lvl w:ilvl="6">
      <w:start w:val="0"/>
      <w:numFmt w:val="bullet"/>
      <w:lvlText w:val="•"/>
      <w:lvlJc w:val="left"/>
      <w:pPr>
        <w:ind w:left="1272" w:hanging="142"/>
      </w:pPr>
      <w:rPr>
        <w:rFonts w:hint="default"/>
        <w:lang w:val="fr-FR" w:eastAsia="fr-FR" w:bidi="fr-FR"/>
      </w:rPr>
    </w:lvl>
    <w:lvl w:ilvl="7">
      <w:start w:val="0"/>
      <w:numFmt w:val="bullet"/>
      <w:lvlText w:val="•"/>
      <w:lvlJc w:val="left"/>
      <w:pPr>
        <w:ind w:left="1454" w:hanging="142"/>
      </w:pPr>
      <w:rPr>
        <w:rFonts w:hint="default"/>
        <w:lang w:val="fr-FR" w:eastAsia="fr-FR" w:bidi="fr-FR"/>
      </w:rPr>
    </w:lvl>
    <w:lvl w:ilvl="8">
      <w:start w:val="0"/>
      <w:numFmt w:val="bullet"/>
      <w:lvlText w:val="•"/>
      <w:lvlJc w:val="left"/>
      <w:pPr>
        <w:ind w:left="1636" w:hanging="142"/>
      </w:pPr>
      <w:rPr>
        <w:rFonts w:hint="default"/>
        <w:lang w:val="fr-FR" w:eastAsia="fr-FR" w:bidi="fr-FR"/>
      </w:rPr>
    </w:lvl>
  </w:abstractNum>
  <w:abstractNum w:abstractNumId="22">
    <w:multiLevelType w:val="hybridMultilevel"/>
    <w:lvl w:ilvl="0">
      <w:start w:val="0"/>
      <w:numFmt w:val="bullet"/>
      <w:lvlText w:val=""/>
      <w:lvlJc w:val="left"/>
      <w:pPr>
        <w:ind w:left="256" w:hanging="118"/>
      </w:pPr>
      <w:rPr>
        <w:rFonts w:hint="default" w:ascii="Symbol" w:hAnsi="Symbol" w:eastAsia="Symbol" w:cs="Symbol"/>
        <w:w w:val="100"/>
        <w:sz w:val="20"/>
        <w:szCs w:val="20"/>
        <w:lang w:val="fr-FR" w:eastAsia="fr-FR" w:bidi="fr-FR"/>
      </w:rPr>
    </w:lvl>
    <w:lvl w:ilvl="1">
      <w:start w:val="0"/>
      <w:numFmt w:val="bullet"/>
      <w:lvlText w:val="•"/>
      <w:lvlJc w:val="left"/>
      <w:pPr>
        <w:ind w:left="353" w:hanging="118"/>
      </w:pPr>
      <w:rPr>
        <w:rFonts w:hint="default"/>
        <w:lang w:val="fr-FR" w:eastAsia="fr-FR" w:bidi="fr-FR"/>
      </w:rPr>
    </w:lvl>
    <w:lvl w:ilvl="2">
      <w:start w:val="0"/>
      <w:numFmt w:val="bullet"/>
      <w:lvlText w:val="•"/>
      <w:lvlJc w:val="left"/>
      <w:pPr>
        <w:ind w:left="446" w:hanging="118"/>
      </w:pPr>
      <w:rPr>
        <w:rFonts w:hint="default"/>
        <w:lang w:val="fr-FR" w:eastAsia="fr-FR" w:bidi="fr-FR"/>
      </w:rPr>
    </w:lvl>
    <w:lvl w:ilvl="3">
      <w:start w:val="0"/>
      <w:numFmt w:val="bullet"/>
      <w:lvlText w:val="•"/>
      <w:lvlJc w:val="left"/>
      <w:pPr>
        <w:ind w:left="539" w:hanging="118"/>
      </w:pPr>
      <w:rPr>
        <w:rFonts w:hint="default"/>
        <w:lang w:val="fr-FR" w:eastAsia="fr-FR" w:bidi="fr-FR"/>
      </w:rPr>
    </w:lvl>
    <w:lvl w:ilvl="4">
      <w:start w:val="0"/>
      <w:numFmt w:val="bullet"/>
      <w:lvlText w:val="•"/>
      <w:lvlJc w:val="left"/>
      <w:pPr>
        <w:ind w:left="632" w:hanging="118"/>
      </w:pPr>
      <w:rPr>
        <w:rFonts w:hint="default"/>
        <w:lang w:val="fr-FR" w:eastAsia="fr-FR" w:bidi="fr-FR"/>
      </w:rPr>
    </w:lvl>
    <w:lvl w:ilvl="5">
      <w:start w:val="0"/>
      <w:numFmt w:val="bullet"/>
      <w:lvlText w:val="•"/>
      <w:lvlJc w:val="left"/>
      <w:pPr>
        <w:ind w:left="725" w:hanging="118"/>
      </w:pPr>
      <w:rPr>
        <w:rFonts w:hint="default"/>
        <w:lang w:val="fr-FR" w:eastAsia="fr-FR" w:bidi="fr-FR"/>
      </w:rPr>
    </w:lvl>
    <w:lvl w:ilvl="6">
      <w:start w:val="0"/>
      <w:numFmt w:val="bullet"/>
      <w:lvlText w:val="•"/>
      <w:lvlJc w:val="left"/>
      <w:pPr>
        <w:ind w:left="818" w:hanging="118"/>
      </w:pPr>
      <w:rPr>
        <w:rFonts w:hint="default"/>
        <w:lang w:val="fr-FR" w:eastAsia="fr-FR" w:bidi="fr-FR"/>
      </w:rPr>
    </w:lvl>
    <w:lvl w:ilvl="7">
      <w:start w:val="0"/>
      <w:numFmt w:val="bullet"/>
      <w:lvlText w:val="•"/>
      <w:lvlJc w:val="left"/>
      <w:pPr>
        <w:ind w:left="911" w:hanging="118"/>
      </w:pPr>
      <w:rPr>
        <w:rFonts w:hint="default"/>
        <w:lang w:val="fr-FR" w:eastAsia="fr-FR" w:bidi="fr-FR"/>
      </w:rPr>
    </w:lvl>
    <w:lvl w:ilvl="8">
      <w:start w:val="0"/>
      <w:numFmt w:val="bullet"/>
      <w:lvlText w:val="•"/>
      <w:lvlJc w:val="left"/>
      <w:pPr>
        <w:ind w:left="1004" w:hanging="118"/>
      </w:pPr>
      <w:rPr>
        <w:rFonts w:hint="default"/>
        <w:lang w:val="fr-FR" w:eastAsia="fr-FR" w:bidi="fr-FR"/>
      </w:rPr>
    </w:lvl>
  </w:abstractNum>
  <w:abstractNum w:abstractNumId="21">
    <w:multiLevelType w:val="hybridMultilevel"/>
    <w:lvl w:ilvl="0">
      <w:start w:val="0"/>
      <w:numFmt w:val="bullet"/>
      <w:lvlText w:val=""/>
      <w:lvlJc w:val="left"/>
      <w:pPr>
        <w:ind w:left="258" w:hanging="118"/>
      </w:pPr>
      <w:rPr>
        <w:rFonts w:hint="default" w:ascii="Symbol" w:hAnsi="Symbol" w:eastAsia="Symbol" w:cs="Symbol"/>
        <w:w w:val="100"/>
        <w:sz w:val="20"/>
        <w:szCs w:val="20"/>
        <w:lang w:val="fr-FR" w:eastAsia="fr-FR" w:bidi="fr-FR"/>
      </w:rPr>
    </w:lvl>
    <w:lvl w:ilvl="1">
      <w:start w:val="0"/>
      <w:numFmt w:val="bullet"/>
      <w:lvlText w:val="•"/>
      <w:lvlJc w:val="left"/>
      <w:pPr>
        <w:ind w:left="353" w:hanging="118"/>
      </w:pPr>
      <w:rPr>
        <w:rFonts w:hint="default"/>
        <w:lang w:val="fr-FR" w:eastAsia="fr-FR" w:bidi="fr-FR"/>
      </w:rPr>
    </w:lvl>
    <w:lvl w:ilvl="2">
      <w:start w:val="0"/>
      <w:numFmt w:val="bullet"/>
      <w:lvlText w:val="•"/>
      <w:lvlJc w:val="left"/>
      <w:pPr>
        <w:ind w:left="446" w:hanging="118"/>
      </w:pPr>
      <w:rPr>
        <w:rFonts w:hint="default"/>
        <w:lang w:val="fr-FR" w:eastAsia="fr-FR" w:bidi="fr-FR"/>
      </w:rPr>
    </w:lvl>
    <w:lvl w:ilvl="3">
      <w:start w:val="0"/>
      <w:numFmt w:val="bullet"/>
      <w:lvlText w:val="•"/>
      <w:lvlJc w:val="left"/>
      <w:pPr>
        <w:ind w:left="539" w:hanging="118"/>
      </w:pPr>
      <w:rPr>
        <w:rFonts w:hint="default"/>
        <w:lang w:val="fr-FR" w:eastAsia="fr-FR" w:bidi="fr-FR"/>
      </w:rPr>
    </w:lvl>
    <w:lvl w:ilvl="4">
      <w:start w:val="0"/>
      <w:numFmt w:val="bullet"/>
      <w:lvlText w:val="•"/>
      <w:lvlJc w:val="left"/>
      <w:pPr>
        <w:ind w:left="632" w:hanging="118"/>
      </w:pPr>
      <w:rPr>
        <w:rFonts w:hint="default"/>
        <w:lang w:val="fr-FR" w:eastAsia="fr-FR" w:bidi="fr-FR"/>
      </w:rPr>
    </w:lvl>
    <w:lvl w:ilvl="5">
      <w:start w:val="0"/>
      <w:numFmt w:val="bullet"/>
      <w:lvlText w:val="•"/>
      <w:lvlJc w:val="left"/>
      <w:pPr>
        <w:ind w:left="726" w:hanging="118"/>
      </w:pPr>
      <w:rPr>
        <w:rFonts w:hint="default"/>
        <w:lang w:val="fr-FR" w:eastAsia="fr-FR" w:bidi="fr-FR"/>
      </w:rPr>
    </w:lvl>
    <w:lvl w:ilvl="6">
      <w:start w:val="0"/>
      <w:numFmt w:val="bullet"/>
      <w:lvlText w:val="•"/>
      <w:lvlJc w:val="left"/>
      <w:pPr>
        <w:ind w:left="819" w:hanging="118"/>
      </w:pPr>
      <w:rPr>
        <w:rFonts w:hint="default"/>
        <w:lang w:val="fr-FR" w:eastAsia="fr-FR" w:bidi="fr-FR"/>
      </w:rPr>
    </w:lvl>
    <w:lvl w:ilvl="7">
      <w:start w:val="0"/>
      <w:numFmt w:val="bullet"/>
      <w:lvlText w:val="•"/>
      <w:lvlJc w:val="left"/>
      <w:pPr>
        <w:ind w:left="912" w:hanging="118"/>
      </w:pPr>
      <w:rPr>
        <w:rFonts w:hint="default"/>
        <w:lang w:val="fr-FR" w:eastAsia="fr-FR" w:bidi="fr-FR"/>
      </w:rPr>
    </w:lvl>
    <w:lvl w:ilvl="8">
      <w:start w:val="0"/>
      <w:numFmt w:val="bullet"/>
      <w:lvlText w:val="•"/>
      <w:lvlJc w:val="left"/>
      <w:pPr>
        <w:ind w:left="1005" w:hanging="118"/>
      </w:pPr>
      <w:rPr>
        <w:rFonts w:hint="default"/>
        <w:lang w:val="fr-FR" w:eastAsia="fr-FR" w:bidi="fr-FR"/>
      </w:rPr>
    </w:lvl>
  </w:abstractNum>
  <w:abstractNum w:abstractNumId="20">
    <w:multiLevelType w:val="hybridMultilevel"/>
    <w:lvl w:ilvl="0">
      <w:start w:val="0"/>
      <w:numFmt w:val="bullet"/>
      <w:lvlText w:val=""/>
      <w:lvlJc w:val="left"/>
      <w:pPr>
        <w:ind w:left="282" w:hanging="142"/>
      </w:pPr>
      <w:rPr>
        <w:rFonts w:hint="default" w:ascii="Symbol" w:hAnsi="Symbol" w:eastAsia="Symbol" w:cs="Symbol"/>
        <w:w w:val="100"/>
        <w:sz w:val="22"/>
        <w:szCs w:val="22"/>
        <w:lang w:val="fr-FR" w:eastAsia="fr-FR" w:bidi="fr-FR"/>
      </w:rPr>
    </w:lvl>
    <w:lvl w:ilvl="1">
      <w:start w:val="0"/>
      <w:numFmt w:val="bullet"/>
      <w:lvlText w:val="•"/>
      <w:lvlJc w:val="left"/>
      <w:pPr>
        <w:ind w:left="463" w:hanging="142"/>
      </w:pPr>
      <w:rPr>
        <w:rFonts w:hint="default"/>
        <w:lang w:val="fr-FR" w:eastAsia="fr-FR" w:bidi="fr-FR"/>
      </w:rPr>
    </w:lvl>
    <w:lvl w:ilvl="2">
      <w:start w:val="0"/>
      <w:numFmt w:val="bullet"/>
      <w:lvlText w:val="•"/>
      <w:lvlJc w:val="left"/>
      <w:pPr>
        <w:ind w:left="647" w:hanging="142"/>
      </w:pPr>
      <w:rPr>
        <w:rFonts w:hint="default"/>
        <w:lang w:val="fr-FR" w:eastAsia="fr-FR" w:bidi="fr-FR"/>
      </w:rPr>
    </w:lvl>
    <w:lvl w:ilvl="3">
      <w:start w:val="0"/>
      <w:numFmt w:val="bullet"/>
      <w:lvlText w:val="•"/>
      <w:lvlJc w:val="left"/>
      <w:pPr>
        <w:ind w:left="831" w:hanging="142"/>
      </w:pPr>
      <w:rPr>
        <w:rFonts w:hint="default"/>
        <w:lang w:val="fr-FR" w:eastAsia="fr-FR" w:bidi="fr-FR"/>
      </w:rPr>
    </w:lvl>
    <w:lvl w:ilvl="4">
      <w:start w:val="0"/>
      <w:numFmt w:val="bullet"/>
      <w:lvlText w:val="•"/>
      <w:lvlJc w:val="left"/>
      <w:pPr>
        <w:ind w:left="1014" w:hanging="142"/>
      </w:pPr>
      <w:rPr>
        <w:rFonts w:hint="default"/>
        <w:lang w:val="fr-FR" w:eastAsia="fr-FR" w:bidi="fr-FR"/>
      </w:rPr>
    </w:lvl>
    <w:lvl w:ilvl="5">
      <w:start w:val="0"/>
      <w:numFmt w:val="bullet"/>
      <w:lvlText w:val="•"/>
      <w:lvlJc w:val="left"/>
      <w:pPr>
        <w:ind w:left="1198" w:hanging="142"/>
      </w:pPr>
      <w:rPr>
        <w:rFonts w:hint="default"/>
        <w:lang w:val="fr-FR" w:eastAsia="fr-FR" w:bidi="fr-FR"/>
      </w:rPr>
    </w:lvl>
    <w:lvl w:ilvl="6">
      <w:start w:val="0"/>
      <w:numFmt w:val="bullet"/>
      <w:lvlText w:val="•"/>
      <w:lvlJc w:val="left"/>
      <w:pPr>
        <w:ind w:left="1382" w:hanging="142"/>
      </w:pPr>
      <w:rPr>
        <w:rFonts w:hint="default"/>
        <w:lang w:val="fr-FR" w:eastAsia="fr-FR" w:bidi="fr-FR"/>
      </w:rPr>
    </w:lvl>
    <w:lvl w:ilvl="7">
      <w:start w:val="0"/>
      <w:numFmt w:val="bullet"/>
      <w:lvlText w:val="•"/>
      <w:lvlJc w:val="left"/>
      <w:pPr>
        <w:ind w:left="1565" w:hanging="142"/>
      </w:pPr>
      <w:rPr>
        <w:rFonts w:hint="default"/>
        <w:lang w:val="fr-FR" w:eastAsia="fr-FR" w:bidi="fr-FR"/>
      </w:rPr>
    </w:lvl>
    <w:lvl w:ilvl="8">
      <w:start w:val="0"/>
      <w:numFmt w:val="bullet"/>
      <w:lvlText w:val="•"/>
      <w:lvlJc w:val="left"/>
      <w:pPr>
        <w:ind w:left="1749" w:hanging="142"/>
      </w:pPr>
      <w:rPr>
        <w:rFonts w:hint="default"/>
        <w:lang w:val="fr-FR" w:eastAsia="fr-FR" w:bidi="fr-FR"/>
      </w:rPr>
    </w:lvl>
  </w:abstractNum>
  <w:abstractNum w:abstractNumId="19">
    <w:multiLevelType w:val="hybridMultilevel"/>
    <w:lvl w:ilvl="0">
      <w:start w:val="0"/>
      <w:numFmt w:val="bullet"/>
      <w:lvlText w:val=""/>
      <w:lvlJc w:val="left"/>
      <w:pPr>
        <w:ind w:left="256" w:hanging="118"/>
      </w:pPr>
      <w:rPr>
        <w:rFonts w:hint="default" w:ascii="Symbol" w:hAnsi="Symbol" w:eastAsia="Symbol" w:cs="Symbol"/>
        <w:spacing w:val="16"/>
        <w:w w:val="100"/>
        <w:sz w:val="20"/>
        <w:szCs w:val="20"/>
        <w:lang w:val="fr-FR" w:eastAsia="fr-FR" w:bidi="fr-FR"/>
      </w:rPr>
    </w:lvl>
    <w:lvl w:ilvl="1">
      <w:start w:val="0"/>
      <w:numFmt w:val="bullet"/>
      <w:lvlText w:val="•"/>
      <w:lvlJc w:val="left"/>
      <w:pPr>
        <w:ind w:left="429" w:hanging="118"/>
      </w:pPr>
      <w:rPr>
        <w:rFonts w:hint="default"/>
        <w:lang w:val="fr-FR" w:eastAsia="fr-FR" w:bidi="fr-FR"/>
      </w:rPr>
    </w:lvl>
    <w:lvl w:ilvl="2">
      <w:start w:val="0"/>
      <w:numFmt w:val="bullet"/>
      <w:lvlText w:val="•"/>
      <w:lvlJc w:val="left"/>
      <w:pPr>
        <w:ind w:left="599" w:hanging="118"/>
      </w:pPr>
      <w:rPr>
        <w:rFonts w:hint="default"/>
        <w:lang w:val="fr-FR" w:eastAsia="fr-FR" w:bidi="fr-FR"/>
      </w:rPr>
    </w:lvl>
    <w:lvl w:ilvl="3">
      <w:start w:val="0"/>
      <w:numFmt w:val="bullet"/>
      <w:lvlText w:val="•"/>
      <w:lvlJc w:val="left"/>
      <w:pPr>
        <w:ind w:left="768" w:hanging="118"/>
      </w:pPr>
      <w:rPr>
        <w:rFonts w:hint="default"/>
        <w:lang w:val="fr-FR" w:eastAsia="fr-FR" w:bidi="fr-FR"/>
      </w:rPr>
    </w:lvl>
    <w:lvl w:ilvl="4">
      <w:start w:val="0"/>
      <w:numFmt w:val="bullet"/>
      <w:lvlText w:val="•"/>
      <w:lvlJc w:val="left"/>
      <w:pPr>
        <w:ind w:left="938" w:hanging="118"/>
      </w:pPr>
      <w:rPr>
        <w:rFonts w:hint="default"/>
        <w:lang w:val="fr-FR" w:eastAsia="fr-FR" w:bidi="fr-FR"/>
      </w:rPr>
    </w:lvl>
    <w:lvl w:ilvl="5">
      <w:start w:val="0"/>
      <w:numFmt w:val="bullet"/>
      <w:lvlText w:val="•"/>
      <w:lvlJc w:val="left"/>
      <w:pPr>
        <w:ind w:left="1108" w:hanging="118"/>
      </w:pPr>
      <w:rPr>
        <w:rFonts w:hint="default"/>
        <w:lang w:val="fr-FR" w:eastAsia="fr-FR" w:bidi="fr-FR"/>
      </w:rPr>
    </w:lvl>
    <w:lvl w:ilvl="6">
      <w:start w:val="0"/>
      <w:numFmt w:val="bullet"/>
      <w:lvlText w:val="•"/>
      <w:lvlJc w:val="left"/>
      <w:pPr>
        <w:ind w:left="1277" w:hanging="118"/>
      </w:pPr>
      <w:rPr>
        <w:rFonts w:hint="default"/>
        <w:lang w:val="fr-FR" w:eastAsia="fr-FR" w:bidi="fr-FR"/>
      </w:rPr>
    </w:lvl>
    <w:lvl w:ilvl="7">
      <w:start w:val="0"/>
      <w:numFmt w:val="bullet"/>
      <w:lvlText w:val="•"/>
      <w:lvlJc w:val="left"/>
      <w:pPr>
        <w:ind w:left="1447" w:hanging="118"/>
      </w:pPr>
      <w:rPr>
        <w:rFonts w:hint="default"/>
        <w:lang w:val="fr-FR" w:eastAsia="fr-FR" w:bidi="fr-FR"/>
      </w:rPr>
    </w:lvl>
    <w:lvl w:ilvl="8">
      <w:start w:val="0"/>
      <w:numFmt w:val="bullet"/>
      <w:lvlText w:val="•"/>
      <w:lvlJc w:val="left"/>
      <w:pPr>
        <w:ind w:left="1616" w:hanging="118"/>
      </w:pPr>
      <w:rPr>
        <w:rFonts w:hint="default"/>
        <w:lang w:val="fr-FR" w:eastAsia="fr-FR" w:bidi="fr-FR"/>
      </w:rPr>
    </w:lvl>
  </w:abstractNum>
  <w:abstractNum w:abstractNumId="18">
    <w:multiLevelType w:val="hybridMultilevel"/>
    <w:lvl w:ilvl="0">
      <w:start w:val="1"/>
      <w:numFmt w:val="upperRoman"/>
      <w:lvlText w:val="%1"/>
      <w:lvlJc w:val="left"/>
      <w:pPr>
        <w:ind w:left="1102" w:hanging="669"/>
        <w:jc w:val="left"/>
      </w:pPr>
      <w:rPr>
        <w:rFonts w:hint="default"/>
        <w:lang w:val="fr-FR" w:eastAsia="fr-FR" w:bidi="fr-FR"/>
      </w:rPr>
    </w:lvl>
    <w:lvl w:ilvl="1">
      <w:start w:val="4"/>
      <w:numFmt w:val="decimal"/>
      <w:lvlText w:val="%1.%2"/>
      <w:lvlJc w:val="left"/>
      <w:pPr>
        <w:ind w:left="1102" w:hanging="669"/>
        <w:jc w:val="left"/>
      </w:pPr>
      <w:rPr>
        <w:rFonts w:hint="default"/>
        <w:lang w:val="fr-FR" w:eastAsia="fr-FR" w:bidi="fr-FR"/>
      </w:rPr>
    </w:lvl>
    <w:lvl w:ilvl="2">
      <w:start w:val="1"/>
      <w:numFmt w:val="decimal"/>
      <w:lvlText w:val="%1.%2.%3."/>
      <w:lvlJc w:val="left"/>
      <w:pPr>
        <w:ind w:left="1102" w:hanging="669"/>
        <w:jc w:val="left"/>
      </w:pPr>
      <w:rPr>
        <w:rFonts w:hint="default" w:ascii="Times New Roman" w:hAnsi="Times New Roman" w:eastAsia="Times New Roman" w:cs="Times New Roman"/>
        <w:b/>
        <w:bCs/>
        <w:spacing w:val="-4"/>
        <w:w w:val="100"/>
        <w:sz w:val="28"/>
        <w:szCs w:val="28"/>
        <w:lang w:val="fr-FR" w:eastAsia="fr-FR" w:bidi="fr-FR"/>
      </w:rPr>
    </w:lvl>
    <w:lvl w:ilvl="3">
      <w:start w:val="0"/>
      <w:numFmt w:val="bullet"/>
      <w:lvlText w:val=""/>
      <w:lvlJc w:val="left"/>
      <w:pPr>
        <w:ind w:left="999" w:hanging="284"/>
      </w:pPr>
      <w:rPr>
        <w:rFonts w:hint="default"/>
        <w:w w:val="100"/>
        <w:lang w:val="fr-FR" w:eastAsia="fr-FR" w:bidi="fr-FR"/>
      </w:rPr>
    </w:lvl>
    <w:lvl w:ilvl="4">
      <w:start w:val="0"/>
      <w:numFmt w:val="bullet"/>
      <w:lvlText w:val="•"/>
      <w:lvlJc w:val="left"/>
      <w:pPr>
        <w:ind w:left="3576" w:hanging="284"/>
      </w:pPr>
      <w:rPr>
        <w:rFonts w:hint="default"/>
        <w:lang w:val="fr-FR" w:eastAsia="fr-FR" w:bidi="fr-FR"/>
      </w:rPr>
    </w:lvl>
    <w:lvl w:ilvl="5">
      <w:start w:val="0"/>
      <w:numFmt w:val="bullet"/>
      <w:lvlText w:val="•"/>
      <w:lvlJc w:val="left"/>
      <w:pPr>
        <w:ind w:left="4784" w:hanging="284"/>
      </w:pPr>
      <w:rPr>
        <w:rFonts w:hint="default"/>
        <w:lang w:val="fr-FR" w:eastAsia="fr-FR" w:bidi="fr-FR"/>
      </w:rPr>
    </w:lvl>
    <w:lvl w:ilvl="6">
      <w:start w:val="0"/>
      <w:numFmt w:val="bullet"/>
      <w:lvlText w:val="•"/>
      <w:lvlJc w:val="left"/>
      <w:pPr>
        <w:ind w:left="5993" w:hanging="284"/>
      </w:pPr>
      <w:rPr>
        <w:rFonts w:hint="default"/>
        <w:lang w:val="fr-FR" w:eastAsia="fr-FR" w:bidi="fr-FR"/>
      </w:rPr>
    </w:lvl>
    <w:lvl w:ilvl="7">
      <w:start w:val="0"/>
      <w:numFmt w:val="bullet"/>
      <w:lvlText w:val="•"/>
      <w:lvlJc w:val="left"/>
      <w:pPr>
        <w:ind w:left="7201" w:hanging="284"/>
      </w:pPr>
      <w:rPr>
        <w:rFonts w:hint="default"/>
        <w:lang w:val="fr-FR" w:eastAsia="fr-FR" w:bidi="fr-FR"/>
      </w:rPr>
    </w:lvl>
    <w:lvl w:ilvl="8">
      <w:start w:val="0"/>
      <w:numFmt w:val="bullet"/>
      <w:lvlText w:val="•"/>
      <w:lvlJc w:val="left"/>
      <w:pPr>
        <w:ind w:left="8409" w:hanging="284"/>
      </w:pPr>
      <w:rPr>
        <w:rFonts w:hint="default"/>
        <w:lang w:val="fr-FR" w:eastAsia="fr-FR" w:bidi="fr-FR"/>
      </w:rPr>
    </w:lvl>
  </w:abstractNum>
  <w:abstractNum w:abstractNumId="17">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w w:val="100"/>
        <w:sz w:val="28"/>
        <w:szCs w:val="28"/>
        <w:lang w:val="fr-FR" w:eastAsia="fr-FR" w:bidi="fr-FR"/>
      </w:rPr>
    </w:lvl>
    <w:lvl w:ilvl="1">
      <w:start w:val="1"/>
      <w:numFmt w:val="decimal"/>
      <w:lvlText w:val="%1.%2."/>
      <w:lvlJc w:val="left"/>
      <w:pPr>
        <w:ind w:left="433" w:hanging="468"/>
        <w:jc w:val="left"/>
      </w:pPr>
      <w:rPr>
        <w:rFonts w:hint="default" w:ascii="Times New Roman" w:hAnsi="Times New Roman" w:eastAsia="Times New Roman" w:cs="Times New Roman"/>
        <w:b/>
        <w:bCs/>
        <w:spacing w:val="-1"/>
        <w:w w:val="100"/>
        <w:sz w:val="28"/>
        <w:szCs w:val="28"/>
        <w:lang w:val="fr-FR" w:eastAsia="fr-FR" w:bidi="fr-FR"/>
      </w:rPr>
    </w:lvl>
    <w:lvl w:ilvl="2">
      <w:start w:val="0"/>
      <w:numFmt w:val="bullet"/>
      <w:lvlText w:val=""/>
      <w:lvlJc w:val="left"/>
      <w:pPr>
        <w:ind w:left="999" w:hanging="284"/>
      </w:pPr>
      <w:rPr>
        <w:rFonts w:hint="default" w:ascii="Symbol" w:hAnsi="Symbol" w:eastAsia="Symbol" w:cs="Symbol"/>
        <w:w w:val="100"/>
        <w:sz w:val="28"/>
        <w:szCs w:val="28"/>
        <w:lang w:val="fr-FR" w:eastAsia="fr-FR" w:bidi="fr-FR"/>
      </w:rPr>
    </w:lvl>
    <w:lvl w:ilvl="3">
      <w:start w:val="0"/>
      <w:numFmt w:val="bullet"/>
      <w:lvlText w:val="•"/>
      <w:lvlJc w:val="left"/>
      <w:pPr>
        <w:ind w:left="1100" w:hanging="284"/>
      </w:pPr>
      <w:rPr>
        <w:rFonts w:hint="default"/>
        <w:lang w:val="fr-FR" w:eastAsia="fr-FR" w:bidi="fr-FR"/>
      </w:rPr>
    </w:lvl>
    <w:lvl w:ilvl="4">
      <w:start w:val="0"/>
      <w:numFmt w:val="bullet"/>
      <w:lvlText w:val="•"/>
      <w:lvlJc w:val="left"/>
      <w:pPr>
        <w:ind w:left="1120" w:hanging="284"/>
      </w:pPr>
      <w:rPr>
        <w:rFonts w:hint="default"/>
        <w:lang w:val="fr-FR" w:eastAsia="fr-FR" w:bidi="fr-FR"/>
      </w:rPr>
    </w:lvl>
    <w:lvl w:ilvl="5">
      <w:start w:val="0"/>
      <w:numFmt w:val="bullet"/>
      <w:lvlText w:val="•"/>
      <w:lvlJc w:val="left"/>
      <w:pPr>
        <w:ind w:left="1360" w:hanging="284"/>
      </w:pPr>
      <w:rPr>
        <w:rFonts w:hint="default"/>
        <w:lang w:val="fr-FR" w:eastAsia="fr-FR" w:bidi="fr-FR"/>
      </w:rPr>
    </w:lvl>
    <w:lvl w:ilvl="6">
      <w:start w:val="0"/>
      <w:numFmt w:val="bullet"/>
      <w:lvlText w:val="•"/>
      <w:lvlJc w:val="left"/>
      <w:pPr>
        <w:ind w:left="3253" w:hanging="284"/>
      </w:pPr>
      <w:rPr>
        <w:rFonts w:hint="default"/>
        <w:lang w:val="fr-FR" w:eastAsia="fr-FR" w:bidi="fr-FR"/>
      </w:rPr>
    </w:lvl>
    <w:lvl w:ilvl="7">
      <w:start w:val="0"/>
      <w:numFmt w:val="bullet"/>
      <w:lvlText w:val="•"/>
      <w:lvlJc w:val="left"/>
      <w:pPr>
        <w:ind w:left="5146" w:hanging="284"/>
      </w:pPr>
      <w:rPr>
        <w:rFonts w:hint="default"/>
        <w:lang w:val="fr-FR" w:eastAsia="fr-FR" w:bidi="fr-FR"/>
      </w:rPr>
    </w:lvl>
    <w:lvl w:ilvl="8">
      <w:start w:val="0"/>
      <w:numFmt w:val="bullet"/>
      <w:lvlText w:val="•"/>
      <w:lvlJc w:val="left"/>
      <w:pPr>
        <w:ind w:left="7039" w:hanging="284"/>
      </w:pPr>
      <w:rPr>
        <w:rFonts w:hint="default"/>
        <w:lang w:val="fr-FR" w:eastAsia="fr-FR" w:bidi="fr-FR"/>
      </w:rPr>
    </w:lvl>
  </w:abstractNum>
  <w:abstractNum w:abstractNumId="16">
    <w:multiLevelType w:val="hybridMultilevel"/>
    <w:lvl w:ilvl="0">
      <w:start w:val="0"/>
      <w:numFmt w:val="bullet"/>
      <w:lvlText w:val="-"/>
      <w:lvlJc w:val="left"/>
      <w:pPr>
        <w:ind w:left="999" w:hanging="286"/>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286"/>
      </w:pPr>
      <w:rPr>
        <w:rFonts w:hint="default"/>
        <w:lang w:val="fr-FR" w:eastAsia="fr-FR" w:bidi="fr-FR"/>
      </w:rPr>
    </w:lvl>
    <w:lvl w:ilvl="2">
      <w:start w:val="0"/>
      <w:numFmt w:val="bullet"/>
      <w:lvlText w:val="•"/>
      <w:lvlJc w:val="left"/>
      <w:pPr>
        <w:ind w:left="2965" w:hanging="286"/>
      </w:pPr>
      <w:rPr>
        <w:rFonts w:hint="default"/>
        <w:lang w:val="fr-FR" w:eastAsia="fr-FR" w:bidi="fr-FR"/>
      </w:rPr>
    </w:lvl>
    <w:lvl w:ilvl="3">
      <w:start w:val="0"/>
      <w:numFmt w:val="bullet"/>
      <w:lvlText w:val="•"/>
      <w:lvlJc w:val="left"/>
      <w:pPr>
        <w:ind w:left="3947" w:hanging="286"/>
      </w:pPr>
      <w:rPr>
        <w:rFonts w:hint="default"/>
        <w:lang w:val="fr-FR" w:eastAsia="fr-FR" w:bidi="fr-FR"/>
      </w:rPr>
    </w:lvl>
    <w:lvl w:ilvl="4">
      <w:start w:val="0"/>
      <w:numFmt w:val="bullet"/>
      <w:lvlText w:val="•"/>
      <w:lvlJc w:val="left"/>
      <w:pPr>
        <w:ind w:left="4930" w:hanging="286"/>
      </w:pPr>
      <w:rPr>
        <w:rFonts w:hint="default"/>
        <w:lang w:val="fr-FR" w:eastAsia="fr-FR" w:bidi="fr-FR"/>
      </w:rPr>
    </w:lvl>
    <w:lvl w:ilvl="5">
      <w:start w:val="0"/>
      <w:numFmt w:val="bullet"/>
      <w:lvlText w:val="•"/>
      <w:lvlJc w:val="left"/>
      <w:pPr>
        <w:ind w:left="5913" w:hanging="286"/>
      </w:pPr>
      <w:rPr>
        <w:rFonts w:hint="default"/>
        <w:lang w:val="fr-FR" w:eastAsia="fr-FR" w:bidi="fr-FR"/>
      </w:rPr>
    </w:lvl>
    <w:lvl w:ilvl="6">
      <w:start w:val="0"/>
      <w:numFmt w:val="bullet"/>
      <w:lvlText w:val="•"/>
      <w:lvlJc w:val="left"/>
      <w:pPr>
        <w:ind w:left="6895" w:hanging="286"/>
      </w:pPr>
      <w:rPr>
        <w:rFonts w:hint="default"/>
        <w:lang w:val="fr-FR" w:eastAsia="fr-FR" w:bidi="fr-FR"/>
      </w:rPr>
    </w:lvl>
    <w:lvl w:ilvl="7">
      <w:start w:val="0"/>
      <w:numFmt w:val="bullet"/>
      <w:lvlText w:val="•"/>
      <w:lvlJc w:val="left"/>
      <w:pPr>
        <w:ind w:left="7878" w:hanging="286"/>
      </w:pPr>
      <w:rPr>
        <w:rFonts w:hint="default"/>
        <w:lang w:val="fr-FR" w:eastAsia="fr-FR" w:bidi="fr-FR"/>
      </w:rPr>
    </w:lvl>
    <w:lvl w:ilvl="8">
      <w:start w:val="0"/>
      <w:numFmt w:val="bullet"/>
      <w:lvlText w:val="•"/>
      <w:lvlJc w:val="left"/>
      <w:pPr>
        <w:ind w:left="8861" w:hanging="286"/>
      </w:pPr>
      <w:rPr>
        <w:rFonts w:hint="default"/>
        <w:lang w:val="fr-FR" w:eastAsia="fr-FR" w:bidi="fr-FR"/>
      </w:rPr>
    </w:lvl>
  </w:abstractNum>
  <w:abstractNum w:abstractNumId="15">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14">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2298" w:hanging="164"/>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3247" w:hanging="164"/>
      </w:pPr>
      <w:rPr>
        <w:rFonts w:hint="default"/>
        <w:lang w:val="fr-FR" w:eastAsia="fr-FR" w:bidi="fr-FR"/>
      </w:rPr>
    </w:lvl>
    <w:lvl w:ilvl="3">
      <w:start w:val="0"/>
      <w:numFmt w:val="bullet"/>
      <w:lvlText w:val="•"/>
      <w:lvlJc w:val="left"/>
      <w:pPr>
        <w:ind w:left="4194" w:hanging="164"/>
      </w:pPr>
      <w:rPr>
        <w:rFonts w:hint="default"/>
        <w:lang w:val="fr-FR" w:eastAsia="fr-FR" w:bidi="fr-FR"/>
      </w:rPr>
    </w:lvl>
    <w:lvl w:ilvl="4">
      <w:start w:val="0"/>
      <w:numFmt w:val="bullet"/>
      <w:lvlText w:val="•"/>
      <w:lvlJc w:val="left"/>
      <w:pPr>
        <w:ind w:left="5142" w:hanging="164"/>
      </w:pPr>
      <w:rPr>
        <w:rFonts w:hint="default"/>
        <w:lang w:val="fr-FR" w:eastAsia="fr-FR" w:bidi="fr-FR"/>
      </w:rPr>
    </w:lvl>
    <w:lvl w:ilvl="5">
      <w:start w:val="0"/>
      <w:numFmt w:val="bullet"/>
      <w:lvlText w:val="•"/>
      <w:lvlJc w:val="left"/>
      <w:pPr>
        <w:ind w:left="6089" w:hanging="164"/>
      </w:pPr>
      <w:rPr>
        <w:rFonts w:hint="default"/>
        <w:lang w:val="fr-FR" w:eastAsia="fr-FR" w:bidi="fr-FR"/>
      </w:rPr>
    </w:lvl>
    <w:lvl w:ilvl="6">
      <w:start w:val="0"/>
      <w:numFmt w:val="bullet"/>
      <w:lvlText w:val="•"/>
      <w:lvlJc w:val="left"/>
      <w:pPr>
        <w:ind w:left="7036" w:hanging="164"/>
      </w:pPr>
      <w:rPr>
        <w:rFonts w:hint="default"/>
        <w:lang w:val="fr-FR" w:eastAsia="fr-FR" w:bidi="fr-FR"/>
      </w:rPr>
    </w:lvl>
    <w:lvl w:ilvl="7">
      <w:start w:val="0"/>
      <w:numFmt w:val="bullet"/>
      <w:lvlText w:val="•"/>
      <w:lvlJc w:val="left"/>
      <w:pPr>
        <w:ind w:left="7984" w:hanging="164"/>
      </w:pPr>
      <w:rPr>
        <w:rFonts w:hint="default"/>
        <w:lang w:val="fr-FR" w:eastAsia="fr-FR" w:bidi="fr-FR"/>
      </w:rPr>
    </w:lvl>
    <w:lvl w:ilvl="8">
      <w:start w:val="0"/>
      <w:numFmt w:val="bullet"/>
      <w:lvlText w:val="•"/>
      <w:lvlJc w:val="left"/>
      <w:pPr>
        <w:ind w:left="8931" w:hanging="164"/>
      </w:pPr>
      <w:rPr>
        <w:rFonts w:hint="default"/>
        <w:lang w:val="fr-FR" w:eastAsia="fr-FR" w:bidi="fr-FR"/>
      </w:rPr>
    </w:lvl>
  </w:abstractNum>
  <w:abstractNum w:abstractNumId="13">
    <w:multiLevelType w:val="hybridMultilevel"/>
    <w:lvl w:ilvl="0">
      <w:start w:val="1"/>
      <w:numFmt w:val="decimal"/>
      <w:lvlText w:val="%1."/>
      <w:lvlJc w:val="left"/>
      <w:pPr>
        <w:ind w:left="1285" w:hanging="286"/>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2234" w:hanging="286"/>
      </w:pPr>
      <w:rPr>
        <w:rFonts w:hint="default"/>
        <w:lang w:val="fr-FR" w:eastAsia="fr-FR" w:bidi="fr-FR"/>
      </w:rPr>
    </w:lvl>
    <w:lvl w:ilvl="2">
      <w:start w:val="0"/>
      <w:numFmt w:val="bullet"/>
      <w:lvlText w:val="•"/>
      <w:lvlJc w:val="left"/>
      <w:pPr>
        <w:ind w:left="3189" w:hanging="286"/>
      </w:pPr>
      <w:rPr>
        <w:rFonts w:hint="default"/>
        <w:lang w:val="fr-FR" w:eastAsia="fr-FR" w:bidi="fr-FR"/>
      </w:rPr>
    </w:lvl>
    <w:lvl w:ilvl="3">
      <w:start w:val="0"/>
      <w:numFmt w:val="bullet"/>
      <w:lvlText w:val="•"/>
      <w:lvlJc w:val="left"/>
      <w:pPr>
        <w:ind w:left="4143" w:hanging="286"/>
      </w:pPr>
      <w:rPr>
        <w:rFonts w:hint="default"/>
        <w:lang w:val="fr-FR" w:eastAsia="fr-FR" w:bidi="fr-FR"/>
      </w:rPr>
    </w:lvl>
    <w:lvl w:ilvl="4">
      <w:start w:val="0"/>
      <w:numFmt w:val="bullet"/>
      <w:lvlText w:val="•"/>
      <w:lvlJc w:val="left"/>
      <w:pPr>
        <w:ind w:left="5098" w:hanging="286"/>
      </w:pPr>
      <w:rPr>
        <w:rFonts w:hint="default"/>
        <w:lang w:val="fr-FR" w:eastAsia="fr-FR" w:bidi="fr-FR"/>
      </w:rPr>
    </w:lvl>
    <w:lvl w:ilvl="5">
      <w:start w:val="0"/>
      <w:numFmt w:val="bullet"/>
      <w:lvlText w:val="•"/>
      <w:lvlJc w:val="left"/>
      <w:pPr>
        <w:ind w:left="6053" w:hanging="286"/>
      </w:pPr>
      <w:rPr>
        <w:rFonts w:hint="default"/>
        <w:lang w:val="fr-FR" w:eastAsia="fr-FR" w:bidi="fr-FR"/>
      </w:rPr>
    </w:lvl>
    <w:lvl w:ilvl="6">
      <w:start w:val="0"/>
      <w:numFmt w:val="bullet"/>
      <w:lvlText w:val="•"/>
      <w:lvlJc w:val="left"/>
      <w:pPr>
        <w:ind w:left="7007" w:hanging="286"/>
      </w:pPr>
      <w:rPr>
        <w:rFonts w:hint="default"/>
        <w:lang w:val="fr-FR" w:eastAsia="fr-FR" w:bidi="fr-FR"/>
      </w:rPr>
    </w:lvl>
    <w:lvl w:ilvl="7">
      <w:start w:val="0"/>
      <w:numFmt w:val="bullet"/>
      <w:lvlText w:val="•"/>
      <w:lvlJc w:val="left"/>
      <w:pPr>
        <w:ind w:left="7962" w:hanging="286"/>
      </w:pPr>
      <w:rPr>
        <w:rFonts w:hint="default"/>
        <w:lang w:val="fr-FR" w:eastAsia="fr-FR" w:bidi="fr-FR"/>
      </w:rPr>
    </w:lvl>
    <w:lvl w:ilvl="8">
      <w:start w:val="0"/>
      <w:numFmt w:val="bullet"/>
      <w:lvlText w:val="•"/>
      <w:lvlJc w:val="left"/>
      <w:pPr>
        <w:ind w:left="8917" w:hanging="286"/>
      </w:pPr>
      <w:rPr>
        <w:rFonts w:hint="default"/>
        <w:lang w:val="fr-FR" w:eastAsia="fr-FR" w:bidi="fr-FR"/>
      </w:rPr>
    </w:lvl>
  </w:abstractNum>
  <w:abstractNum w:abstractNumId="12">
    <w:multiLevelType w:val="hybridMultilevel"/>
    <w:lvl w:ilvl="0">
      <w:start w:val="1"/>
      <w:numFmt w:val="decimal"/>
      <w:lvlText w:val="%1-"/>
      <w:lvlJc w:val="left"/>
      <w:pPr>
        <w:ind w:left="999" w:hanging="348"/>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982" w:hanging="348"/>
      </w:pPr>
      <w:rPr>
        <w:rFonts w:hint="default"/>
        <w:lang w:val="fr-FR" w:eastAsia="fr-FR" w:bidi="fr-FR"/>
      </w:rPr>
    </w:lvl>
    <w:lvl w:ilvl="2">
      <w:start w:val="0"/>
      <w:numFmt w:val="bullet"/>
      <w:lvlText w:val="•"/>
      <w:lvlJc w:val="left"/>
      <w:pPr>
        <w:ind w:left="2965" w:hanging="348"/>
      </w:pPr>
      <w:rPr>
        <w:rFonts w:hint="default"/>
        <w:lang w:val="fr-FR" w:eastAsia="fr-FR" w:bidi="fr-FR"/>
      </w:rPr>
    </w:lvl>
    <w:lvl w:ilvl="3">
      <w:start w:val="0"/>
      <w:numFmt w:val="bullet"/>
      <w:lvlText w:val="•"/>
      <w:lvlJc w:val="left"/>
      <w:pPr>
        <w:ind w:left="3947" w:hanging="348"/>
      </w:pPr>
      <w:rPr>
        <w:rFonts w:hint="default"/>
        <w:lang w:val="fr-FR" w:eastAsia="fr-FR" w:bidi="fr-FR"/>
      </w:rPr>
    </w:lvl>
    <w:lvl w:ilvl="4">
      <w:start w:val="0"/>
      <w:numFmt w:val="bullet"/>
      <w:lvlText w:val="•"/>
      <w:lvlJc w:val="left"/>
      <w:pPr>
        <w:ind w:left="4930" w:hanging="348"/>
      </w:pPr>
      <w:rPr>
        <w:rFonts w:hint="default"/>
        <w:lang w:val="fr-FR" w:eastAsia="fr-FR" w:bidi="fr-FR"/>
      </w:rPr>
    </w:lvl>
    <w:lvl w:ilvl="5">
      <w:start w:val="0"/>
      <w:numFmt w:val="bullet"/>
      <w:lvlText w:val="•"/>
      <w:lvlJc w:val="left"/>
      <w:pPr>
        <w:ind w:left="5913" w:hanging="348"/>
      </w:pPr>
      <w:rPr>
        <w:rFonts w:hint="default"/>
        <w:lang w:val="fr-FR" w:eastAsia="fr-FR" w:bidi="fr-FR"/>
      </w:rPr>
    </w:lvl>
    <w:lvl w:ilvl="6">
      <w:start w:val="0"/>
      <w:numFmt w:val="bullet"/>
      <w:lvlText w:val="•"/>
      <w:lvlJc w:val="left"/>
      <w:pPr>
        <w:ind w:left="6895" w:hanging="348"/>
      </w:pPr>
      <w:rPr>
        <w:rFonts w:hint="default"/>
        <w:lang w:val="fr-FR" w:eastAsia="fr-FR" w:bidi="fr-FR"/>
      </w:rPr>
    </w:lvl>
    <w:lvl w:ilvl="7">
      <w:start w:val="0"/>
      <w:numFmt w:val="bullet"/>
      <w:lvlText w:val="•"/>
      <w:lvlJc w:val="left"/>
      <w:pPr>
        <w:ind w:left="7878" w:hanging="348"/>
      </w:pPr>
      <w:rPr>
        <w:rFonts w:hint="default"/>
        <w:lang w:val="fr-FR" w:eastAsia="fr-FR" w:bidi="fr-FR"/>
      </w:rPr>
    </w:lvl>
    <w:lvl w:ilvl="8">
      <w:start w:val="0"/>
      <w:numFmt w:val="bullet"/>
      <w:lvlText w:val="•"/>
      <w:lvlJc w:val="left"/>
      <w:pPr>
        <w:ind w:left="8861" w:hanging="348"/>
      </w:pPr>
      <w:rPr>
        <w:rFonts w:hint="default"/>
        <w:lang w:val="fr-FR" w:eastAsia="fr-FR" w:bidi="fr-FR"/>
      </w:rPr>
    </w:lvl>
  </w:abstractNum>
  <w:abstractNum w:abstractNumId="11">
    <w:multiLevelType w:val="hybridMultilevel"/>
    <w:lvl w:ilvl="0">
      <w:start w:val="5"/>
      <w:numFmt w:val="upperRoman"/>
      <w:lvlText w:val="%1"/>
      <w:lvlJc w:val="left"/>
      <w:pPr>
        <w:ind w:left="985" w:hanging="553"/>
        <w:jc w:val="left"/>
      </w:pPr>
      <w:rPr>
        <w:rFonts w:hint="default"/>
        <w:lang w:val="fr-FR" w:eastAsia="fr-FR" w:bidi="fr-FR"/>
      </w:rPr>
    </w:lvl>
    <w:lvl w:ilvl="1">
      <w:start w:val="1"/>
      <w:numFmt w:val="decimal"/>
      <w:lvlText w:val="%1.%2."/>
      <w:lvlJc w:val="left"/>
      <w:pPr>
        <w:ind w:left="985" w:hanging="553"/>
        <w:jc w:val="left"/>
      </w:pPr>
      <w:rPr>
        <w:rFonts w:hint="default" w:ascii="Times New Roman" w:hAnsi="Times New Roman" w:eastAsia="Times New Roman" w:cs="Times New Roman"/>
        <w:b/>
        <w:bCs/>
        <w:spacing w:val="-2"/>
        <w:w w:val="100"/>
        <w:sz w:val="28"/>
        <w:szCs w:val="28"/>
        <w:lang w:val="fr-FR" w:eastAsia="fr-FR" w:bidi="fr-FR"/>
      </w:rPr>
    </w:lvl>
    <w:lvl w:ilvl="2">
      <w:start w:val="0"/>
      <w:numFmt w:val="bullet"/>
      <w:lvlText w:val=""/>
      <w:lvlJc w:val="left"/>
      <w:pPr>
        <w:ind w:left="999" w:hanging="284"/>
      </w:pPr>
      <w:rPr>
        <w:rFonts w:hint="default" w:ascii="Symbol" w:hAnsi="Symbol" w:eastAsia="Symbol" w:cs="Symbol"/>
        <w:w w:val="100"/>
        <w:sz w:val="28"/>
        <w:szCs w:val="28"/>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10">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9">
    <w:multiLevelType w:val="hybridMultilevel"/>
    <w:lvl w:ilvl="0">
      <w:start w:val="0"/>
      <w:numFmt w:val="bullet"/>
      <w:lvlText w:val="-"/>
      <w:lvlJc w:val="left"/>
      <w:pPr>
        <w:ind w:left="433" w:hanging="284"/>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478" w:hanging="284"/>
      </w:pPr>
      <w:rPr>
        <w:rFonts w:hint="default"/>
        <w:lang w:val="fr-FR" w:eastAsia="fr-FR" w:bidi="fr-FR"/>
      </w:rPr>
    </w:lvl>
    <w:lvl w:ilvl="2">
      <w:start w:val="0"/>
      <w:numFmt w:val="bullet"/>
      <w:lvlText w:val="•"/>
      <w:lvlJc w:val="left"/>
      <w:pPr>
        <w:ind w:left="2517" w:hanging="284"/>
      </w:pPr>
      <w:rPr>
        <w:rFonts w:hint="default"/>
        <w:lang w:val="fr-FR" w:eastAsia="fr-FR" w:bidi="fr-FR"/>
      </w:rPr>
    </w:lvl>
    <w:lvl w:ilvl="3">
      <w:start w:val="0"/>
      <w:numFmt w:val="bullet"/>
      <w:lvlText w:val="•"/>
      <w:lvlJc w:val="left"/>
      <w:pPr>
        <w:ind w:left="3555" w:hanging="284"/>
      </w:pPr>
      <w:rPr>
        <w:rFonts w:hint="default"/>
        <w:lang w:val="fr-FR" w:eastAsia="fr-FR" w:bidi="fr-FR"/>
      </w:rPr>
    </w:lvl>
    <w:lvl w:ilvl="4">
      <w:start w:val="0"/>
      <w:numFmt w:val="bullet"/>
      <w:lvlText w:val="•"/>
      <w:lvlJc w:val="left"/>
      <w:pPr>
        <w:ind w:left="4594" w:hanging="284"/>
      </w:pPr>
      <w:rPr>
        <w:rFonts w:hint="default"/>
        <w:lang w:val="fr-FR" w:eastAsia="fr-FR" w:bidi="fr-FR"/>
      </w:rPr>
    </w:lvl>
    <w:lvl w:ilvl="5">
      <w:start w:val="0"/>
      <w:numFmt w:val="bullet"/>
      <w:lvlText w:val="•"/>
      <w:lvlJc w:val="left"/>
      <w:pPr>
        <w:ind w:left="5633" w:hanging="284"/>
      </w:pPr>
      <w:rPr>
        <w:rFonts w:hint="default"/>
        <w:lang w:val="fr-FR" w:eastAsia="fr-FR" w:bidi="fr-FR"/>
      </w:rPr>
    </w:lvl>
    <w:lvl w:ilvl="6">
      <w:start w:val="0"/>
      <w:numFmt w:val="bullet"/>
      <w:lvlText w:val="•"/>
      <w:lvlJc w:val="left"/>
      <w:pPr>
        <w:ind w:left="6671" w:hanging="284"/>
      </w:pPr>
      <w:rPr>
        <w:rFonts w:hint="default"/>
        <w:lang w:val="fr-FR" w:eastAsia="fr-FR" w:bidi="fr-FR"/>
      </w:rPr>
    </w:lvl>
    <w:lvl w:ilvl="7">
      <w:start w:val="0"/>
      <w:numFmt w:val="bullet"/>
      <w:lvlText w:val="•"/>
      <w:lvlJc w:val="left"/>
      <w:pPr>
        <w:ind w:left="7710" w:hanging="284"/>
      </w:pPr>
      <w:rPr>
        <w:rFonts w:hint="default"/>
        <w:lang w:val="fr-FR" w:eastAsia="fr-FR" w:bidi="fr-FR"/>
      </w:rPr>
    </w:lvl>
    <w:lvl w:ilvl="8">
      <w:start w:val="0"/>
      <w:numFmt w:val="bullet"/>
      <w:lvlText w:val="•"/>
      <w:lvlJc w:val="left"/>
      <w:pPr>
        <w:ind w:left="8749" w:hanging="284"/>
      </w:pPr>
      <w:rPr>
        <w:rFonts w:hint="default"/>
        <w:lang w:val="fr-FR" w:eastAsia="fr-FR" w:bidi="fr-FR"/>
      </w:rPr>
    </w:lvl>
  </w:abstractNum>
  <w:abstractNum w:abstractNumId="8">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spacing w:val="0"/>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999" w:hanging="284"/>
      </w:pPr>
      <w:rPr>
        <w:rFonts w:hint="default" w:ascii="Wingdings" w:hAnsi="Wingdings" w:eastAsia="Wingdings" w:cs="Wingdings"/>
        <w:w w:val="100"/>
        <w:sz w:val="28"/>
        <w:szCs w:val="28"/>
        <w:lang w:val="fr-FR" w:eastAsia="fr-FR" w:bidi="fr-FR"/>
      </w:rPr>
    </w:lvl>
    <w:lvl w:ilvl="3">
      <w:start w:val="0"/>
      <w:numFmt w:val="bullet"/>
      <w:lvlText w:val="•"/>
      <w:lvlJc w:val="left"/>
      <w:pPr>
        <w:ind w:left="1140" w:hanging="284"/>
      </w:pPr>
      <w:rPr>
        <w:rFonts w:hint="default"/>
        <w:lang w:val="fr-FR" w:eastAsia="fr-FR" w:bidi="fr-FR"/>
      </w:rPr>
    </w:lvl>
    <w:lvl w:ilvl="4">
      <w:start w:val="0"/>
      <w:numFmt w:val="bullet"/>
      <w:lvlText w:val="•"/>
      <w:lvlJc w:val="left"/>
      <w:pPr>
        <w:ind w:left="2523" w:hanging="284"/>
      </w:pPr>
      <w:rPr>
        <w:rFonts w:hint="default"/>
        <w:lang w:val="fr-FR" w:eastAsia="fr-FR" w:bidi="fr-FR"/>
      </w:rPr>
    </w:lvl>
    <w:lvl w:ilvl="5">
      <w:start w:val="0"/>
      <w:numFmt w:val="bullet"/>
      <w:lvlText w:val="•"/>
      <w:lvlJc w:val="left"/>
      <w:pPr>
        <w:ind w:left="3907" w:hanging="284"/>
      </w:pPr>
      <w:rPr>
        <w:rFonts w:hint="default"/>
        <w:lang w:val="fr-FR" w:eastAsia="fr-FR" w:bidi="fr-FR"/>
      </w:rPr>
    </w:lvl>
    <w:lvl w:ilvl="6">
      <w:start w:val="0"/>
      <w:numFmt w:val="bullet"/>
      <w:lvlText w:val="•"/>
      <w:lvlJc w:val="left"/>
      <w:pPr>
        <w:ind w:left="5291" w:hanging="284"/>
      </w:pPr>
      <w:rPr>
        <w:rFonts w:hint="default"/>
        <w:lang w:val="fr-FR" w:eastAsia="fr-FR" w:bidi="fr-FR"/>
      </w:rPr>
    </w:lvl>
    <w:lvl w:ilvl="7">
      <w:start w:val="0"/>
      <w:numFmt w:val="bullet"/>
      <w:lvlText w:val="•"/>
      <w:lvlJc w:val="left"/>
      <w:pPr>
        <w:ind w:left="6675" w:hanging="284"/>
      </w:pPr>
      <w:rPr>
        <w:rFonts w:hint="default"/>
        <w:lang w:val="fr-FR" w:eastAsia="fr-FR" w:bidi="fr-FR"/>
      </w:rPr>
    </w:lvl>
    <w:lvl w:ilvl="8">
      <w:start w:val="0"/>
      <w:numFmt w:val="bullet"/>
      <w:lvlText w:val="•"/>
      <w:lvlJc w:val="left"/>
      <w:pPr>
        <w:ind w:left="8058" w:hanging="284"/>
      </w:pPr>
      <w:rPr>
        <w:rFonts w:hint="default"/>
        <w:lang w:val="fr-FR" w:eastAsia="fr-FR" w:bidi="fr-FR"/>
      </w:rPr>
    </w:lvl>
  </w:abstractNum>
  <w:abstractNum w:abstractNumId="7">
    <w:multiLevelType w:val="hybridMultilevel"/>
    <w:lvl w:ilvl="0">
      <w:start w:val="1"/>
      <w:numFmt w:val="upperRoman"/>
      <w:lvlText w:val="%1."/>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1193" w:hanging="319"/>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693" w:hanging="601"/>
        <w:jc w:val="left"/>
      </w:pPr>
      <w:rPr>
        <w:rFonts w:hint="default" w:ascii="Times New Roman" w:hAnsi="Times New Roman" w:eastAsia="Times New Roman" w:cs="Times New Roman"/>
        <w:spacing w:val="-2"/>
        <w:w w:val="99"/>
        <w:sz w:val="20"/>
        <w:szCs w:val="20"/>
        <w:lang w:val="fr-FR" w:eastAsia="fr-FR" w:bidi="fr-FR"/>
      </w:rPr>
    </w:lvl>
    <w:lvl w:ilvl="3">
      <w:start w:val="0"/>
      <w:numFmt w:val="bullet"/>
      <w:lvlText w:val="•"/>
      <w:lvlJc w:val="left"/>
      <w:pPr>
        <w:ind w:left="1700" w:hanging="601"/>
      </w:pPr>
      <w:rPr>
        <w:rFonts w:hint="default"/>
        <w:lang w:val="fr-FR" w:eastAsia="fr-FR" w:bidi="fr-FR"/>
      </w:rPr>
    </w:lvl>
    <w:lvl w:ilvl="4">
      <w:start w:val="0"/>
      <w:numFmt w:val="bullet"/>
      <w:lvlText w:val="•"/>
      <w:lvlJc w:val="left"/>
      <w:pPr>
        <w:ind w:left="3003" w:hanging="601"/>
      </w:pPr>
      <w:rPr>
        <w:rFonts w:hint="default"/>
        <w:lang w:val="fr-FR" w:eastAsia="fr-FR" w:bidi="fr-FR"/>
      </w:rPr>
    </w:lvl>
    <w:lvl w:ilvl="5">
      <w:start w:val="0"/>
      <w:numFmt w:val="bullet"/>
      <w:lvlText w:val="•"/>
      <w:lvlJc w:val="left"/>
      <w:pPr>
        <w:ind w:left="4307" w:hanging="601"/>
      </w:pPr>
      <w:rPr>
        <w:rFonts w:hint="default"/>
        <w:lang w:val="fr-FR" w:eastAsia="fr-FR" w:bidi="fr-FR"/>
      </w:rPr>
    </w:lvl>
    <w:lvl w:ilvl="6">
      <w:start w:val="0"/>
      <w:numFmt w:val="bullet"/>
      <w:lvlText w:val="•"/>
      <w:lvlJc w:val="left"/>
      <w:pPr>
        <w:ind w:left="5611" w:hanging="601"/>
      </w:pPr>
      <w:rPr>
        <w:rFonts w:hint="default"/>
        <w:lang w:val="fr-FR" w:eastAsia="fr-FR" w:bidi="fr-FR"/>
      </w:rPr>
    </w:lvl>
    <w:lvl w:ilvl="7">
      <w:start w:val="0"/>
      <w:numFmt w:val="bullet"/>
      <w:lvlText w:val="•"/>
      <w:lvlJc w:val="left"/>
      <w:pPr>
        <w:ind w:left="6915" w:hanging="601"/>
      </w:pPr>
      <w:rPr>
        <w:rFonts w:hint="default"/>
        <w:lang w:val="fr-FR" w:eastAsia="fr-FR" w:bidi="fr-FR"/>
      </w:rPr>
    </w:lvl>
    <w:lvl w:ilvl="8">
      <w:start w:val="0"/>
      <w:numFmt w:val="bullet"/>
      <w:lvlText w:val="•"/>
      <w:lvlJc w:val="left"/>
      <w:pPr>
        <w:ind w:left="8218" w:hanging="601"/>
      </w:pPr>
      <w:rPr>
        <w:rFonts w:hint="default"/>
        <w:lang w:val="fr-FR" w:eastAsia="fr-FR" w:bidi="fr-FR"/>
      </w:rPr>
    </w:lvl>
  </w:abstractNum>
  <w:abstractNum w:abstractNumId="6">
    <w:multiLevelType w:val="hybridMultilevel"/>
    <w:lvl w:ilvl="0">
      <w:start w:val="4"/>
      <w:numFmt w:val="upperRoman"/>
      <w:lvlText w:val="%1"/>
      <w:lvlJc w:val="left"/>
      <w:pPr>
        <w:ind w:left="874" w:hanging="412"/>
        <w:jc w:val="left"/>
      </w:pPr>
      <w:rPr>
        <w:rFonts w:hint="default"/>
        <w:lang w:val="fr-FR" w:eastAsia="fr-FR" w:bidi="fr-FR"/>
      </w:rPr>
    </w:lvl>
    <w:lvl w:ilvl="1">
      <w:start w:val="2"/>
      <w:numFmt w:val="decimal"/>
      <w:lvlText w:val="%1.%2"/>
      <w:lvlJc w:val="left"/>
      <w:pPr>
        <w:ind w:left="874" w:hanging="412"/>
        <w:jc w:val="left"/>
      </w:pPr>
      <w:rPr>
        <w:rFonts w:hint="default" w:ascii="Times New Roman" w:hAnsi="Times New Roman" w:eastAsia="Times New Roman" w:cs="Times New Roman"/>
        <w:spacing w:val="-1"/>
        <w:w w:val="99"/>
        <w:sz w:val="20"/>
        <w:szCs w:val="20"/>
        <w:lang w:val="fr-FR" w:eastAsia="fr-FR" w:bidi="fr-FR"/>
      </w:rPr>
    </w:lvl>
    <w:lvl w:ilvl="2">
      <w:start w:val="1"/>
      <w:numFmt w:val="decimal"/>
      <w:lvlText w:val="%1.%2.%3."/>
      <w:lvlJc w:val="left"/>
      <w:pPr>
        <w:ind w:left="1706" w:hanging="613"/>
        <w:jc w:val="left"/>
      </w:pPr>
      <w:rPr>
        <w:rFonts w:hint="default" w:ascii="Times New Roman" w:hAnsi="Times New Roman" w:eastAsia="Times New Roman" w:cs="Times New Roman"/>
        <w:spacing w:val="-1"/>
        <w:w w:val="99"/>
        <w:sz w:val="20"/>
        <w:szCs w:val="20"/>
        <w:lang w:val="fr-FR" w:eastAsia="fr-FR" w:bidi="fr-FR"/>
      </w:rPr>
    </w:lvl>
    <w:lvl w:ilvl="3">
      <w:start w:val="0"/>
      <w:numFmt w:val="bullet"/>
      <w:lvlText w:val="•"/>
      <w:lvlJc w:val="left"/>
      <w:pPr>
        <w:ind w:left="3728" w:hanging="613"/>
      </w:pPr>
      <w:rPr>
        <w:rFonts w:hint="default"/>
        <w:lang w:val="fr-FR" w:eastAsia="fr-FR" w:bidi="fr-FR"/>
      </w:rPr>
    </w:lvl>
    <w:lvl w:ilvl="4">
      <w:start w:val="0"/>
      <w:numFmt w:val="bullet"/>
      <w:lvlText w:val="•"/>
      <w:lvlJc w:val="left"/>
      <w:pPr>
        <w:ind w:left="4742" w:hanging="613"/>
      </w:pPr>
      <w:rPr>
        <w:rFonts w:hint="default"/>
        <w:lang w:val="fr-FR" w:eastAsia="fr-FR" w:bidi="fr-FR"/>
      </w:rPr>
    </w:lvl>
    <w:lvl w:ilvl="5">
      <w:start w:val="0"/>
      <w:numFmt w:val="bullet"/>
      <w:lvlText w:val="•"/>
      <w:lvlJc w:val="left"/>
      <w:pPr>
        <w:ind w:left="5756" w:hanging="613"/>
      </w:pPr>
      <w:rPr>
        <w:rFonts w:hint="default"/>
        <w:lang w:val="fr-FR" w:eastAsia="fr-FR" w:bidi="fr-FR"/>
      </w:rPr>
    </w:lvl>
    <w:lvl w:ilvl="6">
      <w:start w:val="0"/>
      <w:numFmt w:val="bullet"/>
      <w:lvlText w:val="•"/>
      <w:lvlJc w:val="left"/>
      <w:pPr>
        <w:ind w:left="6770" w:hanging="613"/>
      </w:pPr>
      <w:rPr>
        <w:rFonts w:hint="default"/>
        <w:lang w:val="fr-FR" w:eastAsia="fr-FR" w:bidi="fr-FR"/>
      </w:rPr>
    </w:lvl>
    <w:lvl w:ilvl="7">
      <w:start w:val="0"/>
      <w:numFmt w:val="bullet"/>
      <w:lvlText w:val="•"/>
      <w:lvlJc w:val="left"/>
      <w:pPr>
        <w:ind w:left="7784" w:hanging="613"/>
      </w:pPr>
      <w:rPr>
        <w:rFonts w:hint="default"/>
        <w:lang w:val="fr-FR" w:eastAsia="fr-FR" w:bidi="fr-FR"/>
      </w:rPr>
    </w:lvl>
    <w:lvl w:ilvl="8">
      <w:start w:val="0"/>
      <w:numFmt w:val="bullet"/>
      <w:lvlText w:val="•"/>
      <w:lvlJc w:val="left"/>
      <w:pPr>
        <w:ind w:left="8798" w:hanging="613"/>
      </w:pPr>
      <w:rPr>
        <w:rFonts w:hint="default"/>
        <w:lang w:val="fr-FR" w:eastAsia="fr-FR" w:bidi="fr-FR"/>
      </w:rPr>
    </w:lvl>
  </w:abstractNum>
  <w:abstractNum w:abstractNumId="5">
    <w:multiLevelType w:val="hybridMultilevel"/>
    <w:lvl w:ilvl="0">
      <w:start w:val="3"/>
      <w:numFmt w:val="upperRoman"/>
      <w:lvlText w:val="%1."/>
      <w:lvlJc w:val="left"/>
      <w:pPr>
        <w:ind w:left="985" w:hanging="332"/>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1337" w:hanging="463"/>
        <w:jc w:val="left"/>
      </w:pPr>
      <w:rPr>
        <w:rFonts w:hint="default" w:ascii="Times New Roman" w:hAnsi="Times New Roman" w:eastAsia="Times New Roman" w:cs="Times New Roman"/>
        <w:w w:val="99"/>
        <w:sz w:val="20"/>
        <w:szCs w:val="20"/>
        <w:lang w:val="fr-FR" w:eastAsia="fr-FR" w:bidi="fr-FR"/>
      </w:rPr>
    </w:lvl>
    <w:lvl w:ilvl="2">
      <w:start w:val="0"/>
      <w:numFmt w:val="bullet"/>
      <w:lvlText w:val="•"/>
      <w:lvlJc w:val="left"/>
      <w:pPr>
        <w:ind w:left="2394" w:hanging="463"/>
      </w:pPr>
      <w:rPr>
        <w:rFonts w:hint="default"/>
        <w:lang w:val="fr-FR" w:eastAsia="fr-FR" w:bidi="fr-FR"/>
      </w:rPr>
    </w:lvl>
    <w:lvl w:ilvl="3">
      <w:start w:val="0"/>
      <w:numFmt w:val="bullet"/>
      <w:lvlText w:val="•"/>
      <w:lvlJc w:val="left"/>
      <w:pPr>
        <w:ind w:left="3448" w:hanging="463"/>
      </w:pPr>
      <w:rPr>
        <w:rFonts w:hint="default"/>
        <w:lang w:val="fr-FR" w:eastAsia="fr-FR" w:bidi="fr-FR"/>
      </w:rPr>
    </w:lvl>
    <w:lvl w:ilvl="4">
      <w:start w:val="0"/>
      <w:numFmt w:val="bullet"/>
      <w:lvlText w:val="•"/>
      <w:lvlJc w:val="left"/>
      <w:pPr>
        <w:ind w:left="4502" w:hanging="463"/>
      </w:pPr>
      <w:rPr>
        <w:rFonts w:hint="default"/>
        <w:lang w:val="fr-FR" w:eastAsia="fr-FR" w:bidi="fr-FR"/>
      </w:rPr>
    </w:lvl>
    <w:lvl w:ilvl="5">
      <w:start w:val="0"/>
      <w:numFmt w:val="bullet"/>
      <w:lvlText w:val="•"/>
      <w:lvlJc w:val="left"/>
      <w:pPr>
        <w:ind w:left="5556" w:hanging="463"/>
      </w:pPr>
      <w:rPr>
        <w:rFonts w:hint="default"/>
        <w:lang w:val="fr-FR" w:eastAsia="fr-FR" w:bidi="fr-FR"/>
      </w:rPr>
    </w:lvl>
    <w:lvl w:ilvl="6">
      <w:start w:val="0"/>
      <w:numFmt w:val="bullet"/>
      <w:lvlText w:val="•"/>
      <w:lvlJc w:val="left"/>
      <w:pPr>
        <w:ind w:left="6610" w:hanging="463"/>
      </w:pPr>
      <w:rPr>
        <w:rFonts w:hint="default"/>
        <w:lang w:val="fr-FR" w:eastAsia="fr-FR" w:bidi="fr-FR"/>
      </w:rPr>
    </w:lvl>
    <w:lvl w:ilvl="7">
      <w:start w:val="0"/>
      <w:numFmt w:val="bullet"/>
      <w:lvlText w:val="•"/>
      <w:lvlJc w:val="left"/>
      <w:pPr>
        <w:ind w:left="7664" w:hanging="463"/>
      </w:pPr>
      <w:rPr>
        <w:rFonts w:hint="default"/>
        <w:lang w:val="fr-FR" w:eastAsia="fr-FR" w:bidi="fr-FR"/>
      </w:rPr>
    </w:lvl>
    <w:lvl w:ilvl="8">
      <w:start w:val="0"/>
      <w:numFmt w:val="bullet"/>
      <w:lvlText w:val="•"/>
      <w:lvlJc w:val="left"/>
      <w:pPr>
        <w:ind w:left="8718" w:hanging="463"/>
      </w:pPr>
      <w:rPr>
        <w:rFonts w:hint="default"/>
        <w:lang w:val="fr-FR" w:eastAsia="fr-FR" w:bidi="fr-FR"/>
      </w:rPr>
    </w:lvl>
  </w:abstractNum>
  <w:abstractNum w:abstractNumId="4">
    <w:multiLevelType w:val="hybridMultilevel"/>
    <w:lvl w:ilvl="0">
      <w:start w:val="2"/>
      <w:numFmt w:val="upperRoman"/>
      <w:lvlText w:val="%1"/>
      <w:lvlJc w:val="left"/>
      <w:pPr>
        <w:ind w:left="1257" w:hanging="383"/>
        <w:jc w:val="left"/>
      </w:pPr>
      <w:rPr>
        <w:rFonts w:hint="default"/>
        <w:lang w:val="fr-FR" w:eastAsia="fr-FR" w:bidi="fr-FR"/>
      </w:rPr>
    </w:lvl>
    <w:lvl w:ilvl="1">
      <w:start w:val="2"/>
      <w:numFmt w:val="decimal"/>
      <w:lvlText w:val="%1.%2."/>
      <w:lvlJc w:val="left"/>
      <w:pPr>
        <w:ind w:left="1257" w:hanging="383"/>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626" w:hanging="534"/>
        <w:jc w:val="left"/>
      </w:pPr>
      <w:rPr>
        <w:rFonts w:hint="default" w:ascii="Times New Roman" w:hAnsi="Times New Roman" w:eastAsia="Times New Roman" w:cs="Times New Roman"/>
        <w:spacing w:val="-2"/>
        <w:w w:val="99"/>
        <w:sz w:val="20"/>
        <w:szCs w:val="20"/>
        <w:lang w:val="fr-FR" w:eastAsia="fr-FR" w:bidi="fr-FR"/>
      </w:rPr>
    </w:lvl>
    <w:lvl w:ilvl="3">
      <w:start w:val="0"/>
      <w:numFmt w:val="bullet"/>
      <w:lvlText w:val="•"/>
      <w:lvlJc w:val="left"/>
      <w:pPr>
        <w:ind w:left="3665" w:hanging="534"/>
      </w:pPr>
      <w:rPr>
        <w:rFonts w:hint="default"/>
        <w:lang w:val="fr-FR" w:eastAsia="fr-FR" w:bidi="fr-FR"/>
      </w:rPr>
    </w:lvl>
    <w:lvl w:ilvl="4">
      <w:start w:val="0"/>
      <w:numFmt w:val="bullet"/>
      <w:lvlText w:val="•"/>
      <w:lvlJc w:val="left"/>
      <w:pPr>
        <w:ind w:left="4688" w:hanging="534"/>
      </w:pPr>
      <w:rPr>
        <w:rFonts w:hint="default"/>
        <w:lang w:val="fr-FR" w:eastAsia="fr-FR" w:bidi="fr-FR"/>
      </w:rPr>
    </w:lvl>
    <w:lvl w:ilvl="5">
      <w:start w:val="0"/>
      <w:numFmt w:val="bullet"/>
      <w:lvlText w:val="•"/>
      <w:lvlJc w:val="left"/>
      <w:pPr>
        <w:ind w:left="5711" w:hanging="534"/>
      </w:pPr>
      <w:rPr>
        <w:rFonts w:hint="default"/>
        <w:lang w:val="fr-FR" w:eastAsia="fr-FR" w:bidi="fr-FR"/>
      </w:rPr>
    </w:lvl>
    <w:lvl w:ilvl="6">
      <w:start w:val="0"/>
      <w:numFmt w:val="bullet"/>
      <w:lvlText w:val="•"/>
      <w:lvlJc w:val="left"/>
      <w:pPr>
        <w:ind w:left="6734" w:hanging="534"/>
      </w:pPr>
      <w:rPr>
        <w:rFonts w:hint="default"/>
        <w:lang w:val="fr-FR" w:eastAsia="fr-FR" w:bidi="fr-FR"/>
      </w:rPr>
    </w:lvl>
    <w:lvl w:ilvl="7">
      <w:start w:val="0"/>
      <w:numFmt w:val="bullet"/>
      <w:lvlText w:val="•"/>
      <w:lvlJc w:val="left"/>
      <w:pPr>
        <w:ind w:left="7757" w:hanging="534"/>
      </w:pPr>
      <w:rPr>
        <w:rFonts w:hint="default"/>
        <w:lang w:val="fr-FR" w:eastAsia="fr-FR" w:bidi="fr-FR"/>
      </w:rPr>
    </w:lvl>
    <w:lvl w:ilvl="8">
      <w:start w:val="0"/>
      <w:numFmt w:val="bullet"/>
      <w:lvlText w:val="•"/>
      <w:lvlJc w:val="left"/>
      <w:pPr>
        <w:ind w:left="8780" w:hanging="534"/>
      </w:pPr>
      <w:rPr>
        <w:rFonts w:hint="default"/>
        <w:lang w:val="fr-FR" w:eastAsia="fr-FR" w:bidi="fr-FR"/>
      </w:rPr>
    </w:lvl>
  </w:abstractNum>
  <w:abstractNum w:abstractNumId="3">
    <w:multiLevelType w:val="hybridMultilevel"/>
    <w:lvl w:ilvl="0">
      <w:start w:val="1"/>
      <w:numFmt w:val="upperRoman"/>
      <w:lvlText w:val="%1."/>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874" w:hanging="335"/>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576" w:hanging="484"/>
        <w:jc w:val="left"/>
      </w:pPr>
      <w:rPr>
        <w:rFonts w:hint="default" w:ascii="Times New Roman" w:hAnsi="Times New Roman" w:eastAsia="Times New Roman" w:cs="Times New Roman"/>
        <w:w w:val="99"/>
        <w:sz w:val="20"/>
        <w:szCs w:val="20"/>
        <w:lang w:val="fr-FR" w:eastAsia="fr-FR" w:bidi="fr-FR"/>
      </w:rPr>
    </w:lvl>
    <w:lvl w:ilvl="3">
      <w:start w:val="0"/>
      <w:numFmt w:val="bullet"/>
      <w:lvlText w:val="•"/>
      <w:lvlJc w:val="left"/>
      <w:pPr>
        <w:ind w:left="2735" w:hanging="484"/>
      </w:pPr>
      <w:rPr>
        <w:rFonts w:hint="default"/>
        <w:lang w:val="fr-FR" w:eastAsia="fr-FR" w:bidi="fr-FR"/>
      </w:rPr>
    </w:lvl>
    <w:lvl w:ilvl="4">
      <w:start w:val="0"/>
      <w:numFmt w:val="bullet"/>
      <w:lvlText w:val="•"/>
      <w:lvlJc w:val="left"/>
      <w:pPr>
        <w:ind w:left="3891" w:hanging="484"/>
      </w:pPr>
      <w:rPr>
        <w:rFonts w:hint="default"/>
        <w:lang w:val="fr-FR" w:eastAsia="fr-FR" w:bidi="fr-FR"/>
      </w:rPr>
    </w:lvl>
    <w:lvl w:ilvl="5">
      <w:start w:val="0"/>
      <w:numFmt w:val="bullet"/>
      <w:lvlText w:val="•"/>
      <w:lvlJc w:val="left"/>
      <w:pPr>
        <w:ind w:left="5047" w:hanging="484"/>
      </w:pPr>
      <w:rPr>
        <w:rFonts w:hint="default"/>
        <w:lang w:val="fr-FR" w:eastAsia="fr-FR" w:bidi="fr-FR"/>
      </w:rPr>
    </w:lvl>
    <w:lvl w:ilvl="6">
      <w:start w:val="0"/>
      <w:numFmt w:val="bullet"/>
      <w:lvlText w:val="•"/>
      <w:lvlJc w:val="left"/>
      <w:pPr>
        <w:ind w:left="6203" w:hanging="484"/>
      </w:pPr>
      <w:rPr>
        <w:rFonts w:hint="default"/>
        <w:lang w:val="fr-FR" w:eastAsia="fr-FR" w:bidi="fr-FR"/>
      </w:rPr>
    </w:lvl>
    <w:lvl w:ilvl="7">
      <w:start w:val="0"/>
      <w:numFmt w:val="bullet"/>
      <w:lvlText w:val="•"/>
      <w:lvlJc w:val="left"/>
      <w:pPr>
        <w:ind w:left="7359" w:hanging="484"/>
      </w:pPr>
      <w:rPr>
        <w:rFonts w:hint="default"/>
        <w:lang w:val="fr-FR" w:eastAsia="fr-FR" w:bidi="fr-FR"/>
      </w:rPr>
    </w:lvl>
    <w:lvl w:ilvl="8">
      <w:start w:val="0"/>
      <w:numFmt w:val="bullet"/>
      <w:lvlText w:val="•"/>
      <w:lvlJc w:val="left"/>
      <w:pPr>
        <w:ind w:left="8514" w:hanging="484"/>
      </w:pPr>
      <w:rPr>
        <w:rFonts w:hint="default"/>
        <w:lang w:val="fr-FR" w:eastAsia="fr-FR" w:bidi="fr-FR"/>
      </w:rPr>
    </w:lvl>
  </w:abstractNum>
  <w:abstractNum w:abstractNumId="2">
    <w:multiLevelType w:val="hybridMultilevel"/>
    <w:lvl w:ilvl="0">
      <w:start w:val="3"/>
      <w:numFmt w:val="upperRoman"/>
      <w:lvlText w:val="%1"/>
      <w:lvlJc w:val="left"/>
      <w:pPr>
        <w:ind w:left="1693" w:hanging="601"/>
        <w:jc w:val="left"/>
      </w:pPr>
      <w:rPr>
        <w:rFonts w:hint="default"/>
        <w:lang w:val="fr-FR" w:eastAsia="fr-FR" w:bidi="fr-FR"/>
      </w:rPr>
    </w:lvl>
    <w:lvl w:ilvl="1">
      <w:start w:val="1"/>
      <w:numFmt w:val="decimal"/>
      <w:lvlText w:val="%1.%2"/>
      <w:lvlJc w:val="left"/>
      <w:pPr>
        <w:ind w:left="1693" w:hanging="601"/>
        <w:jc w:val="left"/>
      </w:pPr>
      <w:rPr>
        <w:rFonts w:hint="default"/>
        <w:lang w:val="fr-FR" w:eastAsia="fr-FR" w:bidi="fr-FR"/>
      </w:rPr>
    </w:lvl>
    <w:lvl w:ilvl="2">
      <w:start w:val="2"/>
      <w:numFmt w:val="decimal"/>
      <w:lvlText w:val="%1.%2.%3."/>
      <w:lvlJc w:val="left"/>
      <w:pPr>
        <w:ind w:left="1693" w:hanging="601"/>
        <w:jc w:val="left"/>
      </w:pPr>
      <w:rPr>
        <w:rFonts w:hint="default" w:ascii="Times New Roman" w:hAnsi="Times New Roman" w:eastAsia="Times New Roman" w:cs="Times New Roman"/>
        <w:spacing w:val="-2"/>
        <w:w w:val="99"/>
        <w:sz w:val="20"/>
        <w:szCs w:val="20"/>
        <w:lang w:val="fr-FR" w:eastAsia="fr-FR" w:bidi="fr-FR"/>
      </w:rPr>
    </w:lvl>
    <w:lvl w:ilvl="3">
      <w:start w:val="0"/>
      <w:numFmt w:val="bullet"/>
      <w:lvlText w:val="•"/>
      <w:lvlJc w:val="left"/>
      <w:pPr>
        <w:ind w:left="4437" w:hanging="601"/>
      </w:pPr>
      <w:rPr>
        <w:rFonts w:hint="default"/>
        <w:lang w:val="fr-FR" w:eastAsia="fr-FR" w:bidi="fr-FR"/>
      </w:rPr>
    </w:lvl>
    <w:lvl w:ilvl="4">
      <w:start w:val="0"/>
      <w:numFmt w:val="bullet"/>
      <w:lvlText w:val="•"/>
      <w:lvlJc w:val="left"/>
      <w:pPr>
        <w:ind w:left="5350" w:hanging="601"/>
      </w:pPr>
      <w:rPr>
        <w:rFonts w:hint="default"/>
        <w:lang w:val="fr-FR" w:eastAsia="fr-FR" w:bidi="fr-FR"/>
      </w:rPr>
    </w:lvl>
    <w:lvl w:ilvl="5">
      <w:start w:val="0"/>
      <w:numFmt w:val="bullet"/>
      <w:lvlText w:val="•"/>
      <w:lvlJc w:val="left"/>
      <w:pPr>
        <w:ind w:left="6263" w:hanging="601"/>
      </w:pPr>
      <w:rPr>
        <w:rFonts w:hint="default"/>
        <w:lang w:val="fr-FR" w:eastAsia="fr-FR" w:bidi="fr-FR"/>
      </w:rPr>
    </w:lvl>
    <w:lvl w:ilvl="6">
      <w:start w:val="0"/>
      <w:numFmt w:val="bullet"/>
      <w:lvlText w:val="•"/>
      <w:lvlJc w:val="left"/>
      <w:pPr>
        <w:ind w:left="7175" w:hanging="601"/>
      </w:pPr>
      <w:rPr>
        <w:rFonts w:hint="default"/>
        <w:lang w:val="fr-FR" w:eastAsia="fr-FR" w:bidi="fr-FR"/>
      </w:rPr>
    </w:lvl>
    <w:lvl w:ilvl="7">
      <w:start w:val="0"/>
      <w:numFmt w:val="bullet"/>
      <w:lvlText w:val="•"/>
      <w:lvlJc w:val="left"/>
      <w:pPr>
        <w:ind w:left="8088" w:hanging="601"/>
      </w:pPr>
      <w:rPr>
        <w:rFonts w:hint="default"/>
        <w:lang w:val="fr-FR" w:eastAsia="fr-FR" w:bidi="fr-FR"/>
      </w:rPr>
    </w:lvl>
    <w:lvl w:ilvl="8">
      <w:start w:val="0"/>
      <w:numFmt w:val="bullet"/>
      <w:lvlText w:val="•"/>
      <w:lvlJc w:val="left"/>
      <w:pPr>
        <w:ind w:left="9001" w:hanging="601"/>
      </w:pPr>
      <w:rPr>
        <w:rFonts w:hint="default"/>
        <w:lang w:val="fr-FR" w:eastAsia="fr-FR" w:bidi="fr-FR"/>
      </w:rPr>
    </w:lvl>
  </w:abstractNum>
  <w:abstractNum w:abstractNumId="1">
    <w:multiLevelType w:val="hybridMultilevel"/>
    <w:lvl w:ilvl="0">
      <w:start w:val="1"/>
      <w:numFmt w:val="upperRoman"/>
      <w:lvlText w:val="%1."/>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1190" w:hanging="316"/>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560" w:hanging="467"/>
        <w:jc w:val="left"/>
      </w:pPr>
      <w:rPr>
        <w:rFonts w:hint="default" w:ascii="Times New Roman" w:hAnsi="Times New Roman" w:eastAsia="Times New Roman" w:cs="Times New Roman"/>
        <w:w w:val="99"/>
        <w:sz w:val="20"/>
        <w:szCs w:val="20"/>
        <w:lang w:val="fr-FR" w:eastAsia="fr-FR" w:bidi="fr-FR"/>
      </w:rPr>
    </w:lvl>
    <w:lvl w:ilvl="3">
      <w:start w:val="0"/>
      <w:numFmt w:val="bullet"/>
      <w:lvlText w:val="•"/>
      <w:lvlJc w:val="left"/>
      <w:pPr>
        <w:ind w:left="1280" w:hanging="467"/>
      </w:pPr>
      <w:rPr>
        <w:rFonts w:hint="default"/>
        <w:lang w:val="fr-FR" w:eastAsia="fr-FR" w:bidi="fr-FR"/>
      </w:rPr>
    </w:lvl>
    <w:lvl w:ilvl="4">
      <w:start w:val="0"/>
      <w:numFmt w:val="bullet"/>
      <w:lvlText w:val="•"/>
      <w:lvlJc w:val="left"/>
      <w:pPr>
        <w:ind w:left="1320" w:hanging="467"/>
      </w:pPr>
      <w:rPr>
        <w:rFonts w:hint="default"/>
        <w:lang w:val="fr-FR" w:eastAsia="fr-FR" w:bidi="fr-FR"/>
      </w:rPr>
    </w:lvl>
    <w:lvl w:ilvl="5">
      <w:start w:val="0"/>
      <w:numFmt w:val="bullet"/>
      <w:lvlText w:val="•"/>
      <w:lvlJc w:val="left"/>
      <w:pPr>
        <w:ind w:left="1340" w:hanging="467"/>
      </w:pPr>
      <w:rPr>
        <w:rFonts w:hint="default"/>
        <w:lang w:val="fr-FR" w:eastAsia="fr-FR" w:bidi="fr-FR"/>
      </w:rPr>
    </w:lvl>
    <w:lvl w:ilvl="6">
      <w:start w:val="0"/>
      <w:numFmt w:val="bullet"/>
      <w:lvlText w:val="•"/>
      <w:lvlJc w:val="left"/>
      <w:pPr>
        <w:ind w:left="1560" w:hanging="467"/>
      </w:pPr>
      <w:rPr>
        <w:rFonts w:hint="default"/>
        <w:lang w:val="fr-FR" w:eastAsia="fr-FR" w:bidi="fr-FR"/>
      </w:rPr>
    </w:lvl>
    <w:lvl w:ilvl="7">
      <w:start w:val="0"/>
      <w:numFmt w:val="bullet"/>
      <w:lvlText w:val="•"/>
      <w:lvlJc w:val="left"/>
      <w:pPr>
        <w:ind w:left="1620" w:hanging="467"/>
      </w:pPr>
      <w:rPr>
        <w:rFonts w:hint="default"/>
        <w:lang w:val="fr-FR" w:eastAsia="fr-FR" w:bidi="fr-FR"/>
      </w:rPr>
    </w:lvl>
    <w:lvl w:ilvl="8">
      <w:start w:val="0"/>
      <w:numFmt w:val="bullet"/>
      <w:lvlText w:val="•"/>
      <w:lvlJc w:val="left"/>
      <w:pPr>
        <w:ind w:left="1640" w:hanging="467"/>
      </w:pPr>
      <w:rPr>
        <w:rFonts w:hint="default"/>
        <w:lang w:val="fr-FR" w:eastAsia="fr-FR" w:bidi="fr-FR"/>
      </w:rPr>
    </w:lvl>
  </w:abstractNum>
  <w:abstractNum w:abstractNumId="0">
    <w:multiLevelType w:val="hybridMultilevel"/>
    <w:lvl w:ilvl="0">
      <w:start w:val="0"/>
      <w:numFmt w:val="bullet"/>
      <w:lvlText w:val=""/>
      <w:lvlJc w:val="left"/>
      <w:pPr>
        <w:ind w:left="793" w:hanging="284"/>
      </w:pPr>
      <w:rPr>
        <w:rFonts w:hint="default"/>
        <w:w w:val="100"/>
        <w:lang w:val="fr-FR" w:eastAsia="fr-FR" w:bidi="fr-FR"/>
      </w:rPr>
    </w:lvl>
    <w:lvl w:ilvl="1">
      <w:start w:val="1"/>
      <w:numFmt w:val="upperRoman"/>
      <w:lvlText w:val="%2."/>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2">
      <w:start w:val="1"/>
      <w:numFmt w:val="decimal"/>
      <w:lvlText w:val="%2.%3."/>
      <w:lvlJc w:val="left"/>
      <w:pPr>
        <w:ind w:left="1270" w:hanging="396"/>
        <w:jc w:val="left"/>
      </w:pPr>
      <w:rPr>
        <w:rFonts w:hint="default" w:ascii="Times New Roman" w:hAnsi="Times New Roman" w:eastAsia="Times New Roman" w:cs="Times New Roman"/>
        <w:w w:val="99"/>
        <w:sz w:val="20"/>
        <w:szCs w:val="20"/>
        <w:lang w:val="fr-FR" w:eastAsia="fr-FR" w:bidi="fr-FR"/>
      </w:rPr>
    </w:lvl>
    <w:lvl w:ilvl="3">
      <w:start w:val="0"/>
      <w:numFmt w:val="bullet"/>
      <w:lvlText w:val="•"/>
      <w:lvlJc w:val="left"/>
      <w:pPr>
        <w:ind w:left="2473" w:hanging="396"/>
      </w:pPr>
      <w:rPr>
        <w:rFonts w:hint="default"/>
        <w:lang w:val="fr-FR" w:eastAsia="fr-FR" w:bidi="fr-FR"/>
      </w:rPr>
    </w:lvl>
    <w:lvl w:ilvl="4">
      <w:start w:val="0"/>
      <w:numFmt w:val="bullet"/>
      <w:lvlText w:val="•"/>
      <w:lvlJc w:val="left"/>
      <w:pPr>
        <w:ind w:left="3666" w:hanging="396"/>
      </w:pPr>
      <w:rPr>
        <w:rFonts w:hint="default"/>
        <w:lang w:val="fr-FR" w:eastAsia="fr-FR" w:bidi="fr-FR"/>
      </w:rPr>
    </w:lvl>
    <w:lvl w:ilvl="5">
      <w:start w:val="0"/>
      <w:numFmt w:val="bullet"/>
      <w:lvlText w:val="•"/>
      <w:lvlJc w:val="left"/>
      <w:pPr>
        <w:ind w:left="4859" w:hanging="396"/>
      </w:pPr>
      <w:rPr>
        <w:rFonts w:hint="default"/>
        <w:lang w:val="fr-FR" w:eastAsia="fr-FR" w:bidi="fr-FR"/>
      </w:rPr>
    </w:lvl>
    <w:lvl w:ilvl="6">
      <w:start w:val="0"/>
      <w:numFmt w:val="bullet"/>
      <w:lvlText w:val="•"/>
      <w:lvlJc w:val="left"/>
      <w:pPr>
        <w:ind w:left="6053" w:hanging="396"/>
      </w:pPr>
      <w:rPr>
        <w:rFonts w:hint="default"/>
        <w:lang w:val="fr-FR" w:eastAsia="fr-FR" w:bidi="fr-FR"/>
      </w:rPr>
    </w:lvl>
    <w:lvl w:ilvl="7">
      <w:start w:val="0"/>
      <w:numFmt w:val="bullet"/>
      <w:lvlText w:val="•"/>
      <w:lvlJc w:val="left"/>
      <w:pPr>
        <w:ind w:left="7246" w:hanging="396"/>
      </w:pPr>
      <w:rPr>
        <w:rFonts w:hint="default"/>
        <w:lang w:val="fr-FR" w:eastAsia="fr-FR" w:bidi="fr-FR"/>
      </w:rPr>
    </w:lvl>
    <w:lvl w:ilvl="8">
      <w:start w:val="0"/>
      <w:numFmt w:val="bullet"/>
      <w:lvlText w:val="•"/>
      <w:lvlJc w:val="left"/>
      <w:pPr>
        <w:ind w:left="8439" w:hanging="396"/>
      </w:pPr>
      <w:rPr>
        <w:rFonts w:hint="default"/>
        <w:lang w:val="fr-FR" w:eastAsia="fr-FR" w:bidi="fr-FR"/>
      </w:rPr>
    </w:lvl>
  </w:abstract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fr-FR" w:bidi="fr-FR"/>
    </w:rPr>
  </w:style>
  <w:style w:styleId="TOC1" w:type="paragraph">
    <w:name w:val="TOC 1"/>
    <w:basedOn w:val="Normal"/>
    <w:uiPriority w:val="1"/>
    <w:qFormat/>
    <w:pPr>
      <w:ind w:left="433"/>
    </w:pPr>
    <w:rPr>
      <w:rFonts w:ascii="Times New Roman" w:hAnsi="Times New Roman" w:eastAsia="Times New Roman" w:cs="Times New Roman"/>
      <w:b/>
      <w:bCs/>
      <w:sz w:val="20"/>
      <w:szCs w:val="20"/>
      <w:lang w:val="fr-FR" w:eastAsia="fr-FR" w:bidi="fr-FR"/>
    </w:rPr>
  </w:style>
  <w:style w:styleId="TOC2" w:type="paragraph">
    <w:name w:val="TOC 2"/>
    <w:basedOn w:val="Normal"/>
    <w:uiPriority w:val="1"/>
    <w:qFormat/>
    <w:pPr>
      <w:spacing w:before="5"/>
      <w:ind w:left="433" w:right="748" w:firstLine="146"/>
    </w:pPr>
    <w:rPr>
      <w:rFonts w:ascii="Times New Roman" w:hAnsi="Times New Roman" w:eastAsia="Times New Roman" w:cs="Times New Roman"/>
      <w:b/>
      <w:bCs/>
      <w:sz w:val="20"/>
      <w:szCs w:val="20"/>
      <w:lang w:val="fr-FR" w:eastAsia="fr-FR" w:bidi="fr-FR"/>
    </w:rPr>
  </w:style>
  <w:style w:styleId="TOC3" w:type="paragraph">
    <w:name w:val="TOC 3"/>
    <w:basedOn w:val="Normal"/>
    <w:uiPriority w:val="1"/>
    <w:qFormat/>
    <w:pPr>
      <w:ind w:left="654"/>
    </w:pPr>
    <w:rPr>
      <w:rFonts w:ascii="Times New Roman" w:hAnsi="Times New Roman" w:eastAsia="Times New Roman" w:cs="Times New Roman"/>
      <w:b/>
      <w:bCs/>
      <w:sz w:val="20"/>
      <w:szCs w:val="20"/>
      <w:lang w:val="fr-FR" w:eastAsia="fr-FR" w:bidi="fr-FR"/>
    </w:rPr>
  </w:style>
  <w:style w:styleId="TOC4" w:type="paragraph">
    <w:name w:val="TOC 4"/>
    <w:basedOn w:val="Normal"/>
    <w:uiPriority w:val="1"/>
    <w:qFormat/>
    <w:pPr>
      <w:ind w:left="1270" w:hanging="397"/>
    </w:pPr>
    <w:rPr>
      <w:rFonts w:ascii="Times New Roman" w:hAnsi="Times New Roman" w:eastAsia="Times New Roman" w:cs="Times New Roman"/>
      <w:sz w:val="20"/>
      <w:szCs w:val="20"/>
      <w:lang w:val="fr-FR" w:eastAsia="fr-FR" w:bidi="fr-FR"/>
    </w:rPr>
  </w:style>
  <w:style w:styleId="TOC5" w:type="paragraph">
    <w:name w:val="TOC 5"/>
    <w:basedOn w:val="Normal"/>
    <w:uiPriority w:val="1"/>
    <w:qFormat/>
    <w:pPr>
      <w:ind w:left="1706" w:hanging="614"/>
    </w:pPr>
    <w:rPr>
      <w:rFonts w:ascii="Times New Roman" w:hAnsi="Times New Roman" w:eastAsia="Times New Roman" w:cs="Times New Roman"/>
      <w:sz w:val="20"/>
      <w:szCs w:val="20"/>
      <w:lang w:val="fr-FR" w:eastAsia="fr-FR" w:bidi="fr-FR"/>
    </w:rPr>
  </w:style>
  <w:style w:styleId="BodyText" w:type="paragraph">
    <w:name w:val="Body Text"/>
    <w:basedOn w:val="Normal"/>
    <w:uiPriority w:val="1"/>
    <w:qFormat/>
    <w:pPr>
      <w:ind w:left="433" w:firstLine="566"/>
      <w:jc w:val="both"/>
    </w:pPr>
    <w:rPr>
      <w:rFonts w:ascii="Times New Roman" w:hAnsi="Times New Roman" w:eastAsia="Times New Roman" w:cs="Times New Roman"/>
      <w:sz w:val="28"/>
      <w:szCs w:val="28"/>
      <w:lang w:val="fr-FR" w:eastAsia="fr-FR" w:bidi="fr-FR"/>
    </w:rPr>
  </w:style>
  <w:style w:styleId="Heading1" w:type="paragraph">
    <w:name w:val="Heading 1"/>
    <w:basedOn w:val="Normal"/>
    <w:uiPriority w:val="1"/>
    <w:qFormat/>
    <w:pPr>
      <w:spacing w:before="86"/>
      <w:ind w:left="433"/>
      <w:outlineLvl w:val="1"/>
    </w:pPr>
    <w:rPr>
      <w:rFonts w:ascii="Times New Roman" w:hAnsi="Times New Roman" w:eastAsia="Times New Roman" w:cs="Times New Roman"/>
      <w:b/>
      <w:bCs/>
      <w:sz w:val="32"/>
      <w:szCs w:val="32"/>
      <w:lang w:val="fr-FR" w:eastAsia="fr-FR" w:bidi="fr-FR"/>
    </w:rPr>
  </w:style>
  <w:style w:styleId="Heading2" w:type="paragraph">
    <w:name w:val="Heading 2"/>
    <w:basedOn w:val="Normal"/>
    <w:uiPriority w:val="1"/>
    <w:qFormat/>
    <w:pPr>
      <w:spacing w:before="89"/>
      <w:ind w:left="433"/>
      <w:jc w:val="both"/>
      <w:outlineLvl w:val="2"/>
    </w:pPr>
    <w:rPr>
      <w:rFonts w:ascii="Times New Roman" w:hAnsi="Times New Roman" w:eastAsia="Times New Roman" w:cs="Times New Roman"/>
      <w:b/>
      <w:bCs/>
      <w:sz w:val="28"/>
      <w:szCs w:val="28"/>
      <w:lang w:val="fr-FR" w:eastAsia="fr-FR" w:bidi="fr-FR"/>
    </w:rPr>
  </w:style>
  <w:style w:styleId="Heading3" w:type="paragraph">
    <w:name w:val="Heading 3"/>
    <w:basedOn w:val="Normal"/>
    <w:uiPriority w:val="1"/>
    <w:qFormat/>
    <w:pPr>
      <w:spacing w:before="126" w:line="318" w:lineRule="exact"/>
      <w:ind w:left="433"/>
      <w:jc w:val="both"/>
      <w:outlineLvl w:val="3"/>
    </w:pPr>
    <w:rPr>
      <w:rFonts w:ascii="Times New Roman" w:hAnsi="Times New Roman" w:eastAsia="Times New Roman" w:cs="Times New Roman"/>
      <w:b/>
      <w:bCs/>
      <w:i/>
      <w:sz w:val="28"/>
      <w:szCs w:val="28"/>
      <w:lang w:val="fr-FR" w:eastAsia="fr-FR" w:bidi="fr-FR"/>
    </w:rPr>
  </w:style>
  <w:style w:styleId="ListParagraph" w:type="paragraph">
    <w:name w:val="List Paragraph"/>
    <w:basedOn w:val="Normal"/>
    <w:uiPriority w:val="1"/>
    <w:qFormat/>
    <w:pPr>
      <w:ind w:left="999" w:hanging="284"/>
    </w:pPr>
    <w:rPr>
      <w:rFonts w:ascii="Times New Roman" w:hAnsi="Times New Roman" w:eastAsia="Times New Roman" w:cs="Times New Roman"/>
      <w:lang w:val="fr-FR" w:eastAsia="fr-FR" w:bidi="fr-FR"/>
    </w:rPr>
  </w:style>
  <w:style w:styleId="TableParagraph" w:type="paragraph">
    <w:name w:val="Table Paragraph"/>
    <w:basedOn w:val="Normal"/>
    <w:uiPriority w:val="1"/>
    <w:qFormat/>
    <w:pPr/>
    <w:rPr>
      <w:rFonts w:ascii="Times New Roman" w:hAnsi="Times New Roman" w:eastAsia="Times New Roman" w:cs="Times New Roman"/>
      <w:lang w:val="fr-FR" w:eastAsia="fr-FR" w:bidi="fr-F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yperlink" Target="http://www.tuneps-kit.tn/" TargetMode="External"/><Relationship Id="rId9" Type="http://schemas.openxmlformats.org/officeDocument/2006/relationships/hyperlink" Target="mailto:gct.achatmp@gct.com.tn" TargetMode="External"/><Relationship Id="rId10" Type="http://schemas.openxmlformats.org/officeDocument/2006/relationships/hyperlink" Target="mailto:gct_achatmp@gct.com.tn" TargetMode="External"/><Relationship Id="rId11" Type="http://schemas.openxmlformats.org/officeDocument/2006/relationships/hyperlink" Target="mailto:gct.croomtunis@gct.com.tn"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image" Target="media/image1.jpeg"/><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Mejdi Tahar</dc:creator>
  <dcterms:created xsi:type="dcterms:W3CDTF">2025-01-17T12:09:58Z</dcterms:created>
  <dcterms:modified xsi:type="dcterms:W3CDTF">2025-01-17T12:09:58Z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2022-12-29T00:00:00Z</vt:filetime>
  </property>
  <property fmtid="{D5CDD505-2E9C-101B-9397-08002B2CF9AE}" pid="3" name="Creator">
    <vt:lpwstr>Microsoft® Word 2013</vt:lpwstr>
  </property>
  <property fmtid="{D5CDD505-2E9C-101B-9397-08002B2CF9AE}" pid="4" name="LastSaved">
    <vt:filetime>2025-01-17T00:00:00Z</vt:filetime>
  </property>
</Properties>
</file>