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4E78"/>
        </w:rPr>
        <w:t>Bot Detection Analysis</w:t>
      </w:r>
    </w:p>
    <w:p>
      <w:r>
        <w:rPr>
          <w:b/>
          <w:sz w:val="26"/>
        </w:rPr>
        <w:t>Verizon Broadband Plans — Automated Session Network Capture</w:t>
      </w:r>
    </w:p>
    <w:p>
      <w:r>
        <w:rPr>
          <w:i/>
          <w:color w:val="595959"/>
          <w:sz w:val="18"/>
        </w:rPr>
        <w:t>Source: network capture from the automated Playwright run (verizon_plans.py) · 792 calls across 69 hosts · logs/api_calls_20260807_115452.xlsx · Generated Aug 7, 2026</w:t>
      </w:r>
    </w:p>
    <w:p/>
    <w:p>
      <w:pPr>
        <w:spacing w:before="120" w:after="120"/>
      </w:pPr>
      <w:r>
        <w:rPr>
          <w:b/>
          <w:color w:val="C00000"/>
        </w:rPr>
        <w:t xml:space="preserve">Headline finding:  </w:t>
      </w:r>
      <w:r>
        <w:rPr>
          <w:color w:val="C00000"/>
        </w:rPr>
        <w:t>Akamai Bot Manager's _abck cookie carries a sensor-validation flag that stayed at “-1” (not validated) for the entire session, and a PerimeterX-style device-fingerprint beacon to sv.verizon.com was rejected with HTTP 403 on its very first call — before any scripted interaction took place.</w:t>
      </w:r>
    </w:p>
    <w:tbl>
      <w:tblPr>
        <w:tblStyle w:val="LightGrid-Accent1"/>
        <w:tblW w:type="auto" w:w="0"/>
        <w:jc w:val="left"/>
        <w:tblLook w:firstColumn="1" w:firstRow="1" w:lastColumn="0" w:lastRow="0" w:noHBand="0" w:noVBand="1" w:val="04A0"/>
      </w:tblPr>
      <w:tblGrid>
        <w:gridCol w:w="1930"/>
        <w:gridCol w:w="1930"/>
        <w:gridCol w:w="1930"/>
        <w:gridCol w:w="1930"/>
        <w:gridCol w:w="1930"/>
      </w:tblGrid>
      <w:tr>
        <w:tc>
          <w:tcPr>
            <w:tcW w:type="dxa" w:w="1930"/>
            <w:shd w:fill="1F4E78"/>
          </w:tcPr>
          <w:p>
            <w:r>
              <w:rPr>
                <w:b/>
                <w:color w:val="FFFFFF"/>
              </w:rPr>
              <w:t>Total calls</w:t>
            </w:r>
          </w:p>
        </w:tc>
        <w:tc>
          <w:tcPr>
            <w:tcW w:type="dxa" w:w="1930"/>
            <w:shd w:fill="1F4E78"/>
          </w:tcPr>
          <w:p>
            <w:r>
              <w:rPr>
                <w:b/>
                <w:color w:val="FFFFFF"/>
              </w:rPr>
              <w:t>Distinct hosts</w:t>
            </w:r>
          </w:p>
        </w:tc>
        <w:tc>
          <w:tcPr>
            <w:tcW w:type="dxa" w:w="1930"/>
            <w:shd w:fill="1F4E78"/>
          </w:tcPr>
          <w:p>
            <w:r>
              <w:rPr>
                <w:b/>
                <w:color w:val="FFFFFF"/>
              </w:rPr>
              <w:t>Vendors found</w:t>
            </w:r>
          </w:p>
        </w:tc>
        <w:tc>
          <w:tcPr>
            <w:tcW w:type="dxa" w:w="1930"/>
            <w:shd w:fill="1F4E78"/>
          </w:tcPr>
          <w:p>
            <w:r>
              <w:rPr>
                <w:b/>
                <w:color w:val="FFFFFF"/>
              </w:rPr>
              <w:t>Akamai sensor calls</w:t>
            </w:r>
          </w:p>
        </w:tc>
        <w:tc>
          <w:tcPr>
            <w:tcW w:type="dxa" w:w="1930"/>
            <w:shd w:fill="1F4E78"/>
          </w:tcPr>
          <w:p>
            <w:r>
              <w:rPr>
                <w:b/>
                <w:color w:val="FFFFFF"/>
              </w:rPr>
              <w:t>Blocked fingerprint calls</w:t>
            </w:r>
          </w:p>
        </w:tc>
      </w:tr>
      <w:tr>
        <w:tc>
          <w:tcPr>
            <w:tcW w:type="dxa" w:w="1930"/>
          </w:tcPr>
          <w:p>
            <w:pPr>
              <w:spacing w:after="40"/>
            </w:pPr>
            <w:r>
              <w:rPr>
                <w:sz w:val="18"/>
              </w:rPr>
              <w:t>792</w:t>
            </w:r>
          </w:p>
        </w:tc>
        <w:tc>
          <w:tcPr>
            <w:tcW w:type="dxa" w:w="1930"/>
          </w:tcPr>
          <w:p>
            <w:pPr>
              <w:spacing w:after="40"/>
            </w:pPr>
            <w:r>
              <w:rPr>
                <w:sz w:val="18"/>
              </w:rPr>
              <w:t>69</w:t>
            </w:r>
          </w:p>
        </w:tc>
        <w:tc>
          <w:tcPr>
            <w:tcW w:type="dxa" w:w="1930"/>
          </w:tcPr>
          <w:p>
            <w:pPr>
              <w:spacing w:after="40"/>
            </w:pPr>
            <w:r>
              <w:rPr>
                <w:sz w:val="18"/>
              </w:rPr>
              <w:t>4</w:t>
            </w:r>
          </w:p>
        </w:tc>
        <w:tc>
          <w:tcPr>
            <w:tcW w:type="dxa" w:w="1930"/>
          </w:tcPr>
          <w:p>
            <w:pPr>
              <w:spacing w:after="40"/>
            </w:pPr>
            <w:r>
              <w:rPr>
                <w:sz w:val="18"/>
              </w:rPr>
              <w:t>27 (4 load + 23 submit)</w:t>
            </w:r>
          </w:p>
        </w:tc>
        <w:tc>
          <w:tcPr>
            <w:tcW w:type="dxa" w:w="1930"/>
          </w:tcPr>
          <w:p>
            <w:pPr>
              <w:spacing w:after="40"/>
            </w:pPr>
            <w:r>
              <w:rPr>
                <w:sz w:val="18"/>
              </w:rPr>
              <w:t>1 (HTTP 403)</w:t>
            </w:r>
          </w:p>
        </w:tc>
      </w:tr>
    </w:tbl>
    <w:p/>
    <w:p>
      <w:r>
        <w:br w:type="page"/>
      </w:r>
    </w:p>
    <w:p>
      <w:pPr>
        <w:pStyle w:val="Heading1"/>
      </w:pPr>
      <w:r>
        <w:rPr>
          <w:color w:val="1F4E78"/>
        </w:rPr>
        <w:t>Methodology — Why Three Separate Views Are Needed</w:t>
      </w:r>
    </w:p>
    <w:p>
      <w:r>
        <w:t>Bot-mitigation evidence lives at three different layers of a browser session, and each layer needs its own lens to see clearly. Collapsing them into a single list would hide the very patterns that reveal bot detection is happening — each sheet below answers a question the other two structurally cannot.</w:t>
      </w:r>
    </w:p>
    <w:p>
      <w:pPr>
        <w:pStyle w:val="Heading2"/>
      </w:pPr>
      <w:r>
        <w:t>API Calls — raw, per-request ground truth</w:t>
      </w:r>
    </w:p>
    <w:p>
      <w:r>
        <w:rPr>
          <w:b/>
        </w:rPr>
        <w:t xml:space="preserve">What it captures: </w:t>
      </w:r>
      <w:r>
        <w:t>every single network request/response — full URL, headers, request/response payload, status, and duration, tagged with the automation phase that triggered it.</w:t>
      </w:r>
    </w:p>
    <w:p>
      <w:r>
        <w:rPr>
          <w:b/>
        </w:rPr>
        <w:t xml:space="preserve">Why it needs its own inspection pass: </w:t>
      </w:r>
      <w:r>
        <w:t>bot-mitigation vendors intentionally hide in plain sight. Their scripts are served from randomized, unbranded URLs and return heavily obfuscated JavaScript specifically so they don't stand out in a request list — an aggregated view or a cookie list would never surface this; only reading individual request/response bodies does.</w:t>
      </w:r>
    </w:p>
    <w:p>
      <w:pPr>
        <w:pStyle w:val="ListBullet"/>
      </w:pPr>
      <w:r>
        <w:t>Example: the path “/QfNarR/B/w/jjsGZutEvwQD/.../VyIB” on www.verizon.com looked like meaningless noise until its response body was opened and found to contain obfuscated JS (“(function(){if(typeof Array.prototype.entries...”). That's Akamai Bot Manager's sensor script — invisible unless the raw call is inspected.</w:t>
      </w:r>
    </w:p>
    <w:p>
      <w:pPr>
        <w:pStyle w:val="ListBullet"/>
      </w:pPr>
      <w:r>
        <w:t>Example: the exact query parameters on the blocked sv.verizon.com call (sv_px_domain_data, sv_session, sv_cid, sv_tzOffset) — which reveal exactly what device/session data was being fingerprinted — only exist in the raw URL of that one row.</w:t>
      </w:r>
    </w:p>
    <w:p>
      <w:pPr>
        <w:pStyle w:val="Heading2"/>
      </w:pPr>
      <w:r>
        <w:t>Bot Detection Signals — aggregated, cross-cutting summary</w:t>
      </w:r>
    </w:p>
    <w:p>
      <w:r>
        <w:rPr>
          <w:b/>
        </w:rPr>
        <w:t xml:space="preserve">What it captures: </w:t>
      </w:r>
      <w:r>
        <w:t>the same 792 raw rows rolled up by vendor-signature match — call count, hosts touched, and any error responses, per vendor.</w:t>
      </w:r>
    </w:p>
    <w:p>
      <w:r>
        <w:rPr>
          <w:b/>
        </w:rPr>
        <w:t xml:space="preserve">Why it needs its own inspection pass: </w:t>
      </w:r>
      <w:r>
        <w:t>no one can scan 792 individual rows and mentally tally how many calls came from Akamai vs. Quantum Metric vs. Adobe. Aggregation is required to answer volume and scope questions — how aggressive is each vendor, is it isolated to one host or spread across many, does it correlate with errors — and to decide where the row-level API Calls inspection should focus next.</w:t>
      </w:r>
    </w:p>
    <w:p>
      <w:pPr>
        <w:pStyle w:val="ListBullet"/>
      </w:pPr>
      <w:r>
        <w:t>Example: this sheet is what shows, in one line, that Akamai matched 302 of 792 calls across 8 hosts while PerimeterX matched only 1 call and it happened to 403 — a comparison that would take extensive manual filtering of the API Calls sheet to reproduce by hand.</w:t>
      </w:r>
    </w:p>
    <w:p>
      <w:pPr>
        <w:pStyle w:val="Heading2"/>
      </w:pPr>
      <w:r>
        <w:t>Cookie Timeline — point-in-time cookie-jar snapshots</w:t>
      </w:r>
    </w:p>
    <w:p>
      <w:r>
        <w:rPr>
          <w:b/>
        </w:rPr>
        <w:t xml:space="preserve">What it captures: </w:t>
      </w:r>
      <w:r>
        <w:t>the entire browser cookie jar (every cookie, not just the ones seen in a particular request's headers) captured at 4 fixed checkpoints in the flow.</w:t>
      </w:r>
    </w:p>
    <w:p>
      <w:r>
        <w:rPr>
          <w:b/>
        </w:rPr>
        <w:t xml:space="preserve">Why it needs its own inspection pass: </w:t>
      </w:r>
      <w:r>
        <w:t>for two structural reasons neither of the other sheets can cover.</w:t>
      </w:r>
    </w:p>
    <w:p>
      <w:pPr>
        <w:pStyle w:val="ListBullet"/>
      </w:pPr>
      <w:r>
        <w:t>Not every bot-mitigation cookie is visible in network traffic at all. Some are written client-side via document.cookie from JavaScript (a common Akamai/Quantum Metric implementation pattern) and never appear as a Set-Cookie response header, so the API Calls sheet's cookie columns would simply miss them. A full cookie-jar snapshot is the only way to see the complete picture.</w:t>
      </w:r>
    </w:p>
    <w:p>
      <w:pPr>
        <w:pStyle w:val="ListBullet"/>
      </w:pPr>
      <w:r>
        <w:t>Cookies like Akamai's _abck encode state as a tilde-delimited value that changes on every request. Determining whether that state persists, resets, or flips over a session requires comparing the SAME cookie across multiple points in time — exactly what the checkpoint-based timeline is built for.</w:t>
      </w:r>
    </w:p>
    <w:p>
      <w:r>
        <w:rPr>
          <w:b/>
        </w:rPr>
        <w:t xml:space="preserve">Example: </w:t>
      </w:r>
      <w:r>
        <w:t>the most important finding in this whole analysis — that _abck's sensor-validation segment stayed at “-1” through all 4 checkpoints (landing page → get started → offers page → after reviewing all plans) — could only be established by diffing the same cookie's value at four different times. Any single API Calls row only ever shows one snapshot of that cookie, never its trend.</w:t>
      </w:r>
    </w:p>
    <w:p>
      <w:r>
        <w:rPr>
          <w:i/>
        </w:rPr>
        <w:t>In short: API Calls answers “what exactly happened,” Bot Detection Signals answers “how much of it happened and where,” and Cookie Timeline answers “did detection state change over the course of the session.” None of the three can be reconstructed from either of the other two, so each requires its own dedicated inspection pass.</w:t>
      </w:r>
    </w:p>
    <w:p>
      <w:r>
        <w:br w:type="page"/>
      </w:r>
    </w:p>
    <w:p>
      <w:pPr>
        <w:pStyle w:val="Heading1"/>
      </w:pPr>
      <w:r>
        <w:rPr>
          <w:color w:val="1F4E78"/>
        </w:rPr>
        <w:t>1. Bot Detection Services Identified</w:t>
      </w:r>
    </w:p>
    <w:p>
      <w:r>
        <w:t>Ranked by strength of evidence found in this session's traffic.</w:t>
      </w:r>
    </w:p>
    <w:p>
      <w:pPr>
        <w:pStyle w:val="Heading2"/>
      </w:pPr>
      <w:r>
        <w:t>Akamai Bot Manager — Confirmed</w:t>
      </w:r>
    </w:p>
    <w:p>
      <w:pPr>
        <w:pStyle w:val="ListBullet"/>
      </w:pPr>
      <w:r>
        <w:t>_abck, bm_sz, ak_bmsc cookies set on the very first page load.</w:t>
      </w:r>
    </w:p>
    <w:p>
      <w:pPr>
        <w:pStyle w:val="ListBullet"/>
      </w:pPr>
      <w:r>
        <w:t>Obfuscated sensor script served from a randomized first-party path (e.g. /QfNarR/B/w/jjsGZutEvwQD/.../VyIB).</w:t>
      </w:r>
    </w:p>
    <w:p>
      <w:pPr>
        <w:pStyle w:val="ListBullet"/>
      </w:pPr>
      <w:r>
        <w:t>27 sensor calls (4 script loads + 23 data submissions), spread across every phase of the session — including each individual plan-review step.</w:t>
      </w:r>
    </w:p>
    <w:p>
      <w:pPr>
        <w:pStyle w:val="ListBullet"/>
      </w:pPr>
      <w:r>
        <w:t>_abck validation flag stayed at “-1” (unvalidated) at all 4 cookie-jar checkpoints taken.</w:t>
      </w:r>
    </w:p>
    <w:p>
      <w:pPr>
        <w:pStyle w:val="Heading2"/>
      </w:pPr>
      <w:r>
        <w:t>PerimeterX / HUMAN-style identity service — Detected, blocked</w:t>
      </w:r>
    </w:p>
    <w:p>
      <w:pPr>
        <w:pStyle w:val="ListBullet"/>
      </w:pPr>
      <w:r>
        <w:t>First-party proxy endpoint sv.verizon.com/internal/id-event called with vendor=trackIdentity and an encrypted sv_px_domain_data fingerprint blob — the “_px” naming convention is characteristic of PerimeterX/HUMAN Security.</w:t>
      </w:r>
    </w:p>
    <w:p>
      <w:pPr>
        <w:pStyle w:val="ListBullet"/>
      </w:pPr>
      <w:r>
        <w:t>Fired immediately on landing-page load, before the address was even typed.</w:t>
      </w:r>
    </w:p>
    <w:p>
      <w:pPr>
        <w:pStyle w:val="ListBullet"/>
      </w:pPr>
      <w:r>
        <w:t>Returned HTTP 403 every time it was called in this session — could indicate active rejection of the automated session, or a broken/deprecated endpoint; can't fully distinguish from this data alone.</w:t>
      </w:r>
    </w:p>
    <w:p>
      <w:pPr>
        <w:pStyle w:val="Heading2"/>
      </w:pPr>
      <w:r>
        <w:t>Quantum Metric — Confirmed, behavioral</w:t>
      </w:r>
    </w:p>
    <w:p>
      <w:pPr>
        <w:pStyle w:val="ListBullet"/>
      </w:pPr>
      <w:r>
        <w:t>95 calls — SDK loaded from cdn.quantummetric.com/network-interceptor/quantum-verizon.js, telemetry streamed to ingestusipv4.quantummetric.com.</w:t>
      </w:r>
    </w:p>
    <w:p>
      <w:pPr>
        <w:pStyle w:val="ListBullet"/>
      </w:pPr>
      <w:r>
        <w:t>Session/user tracked via QuantumMetricSessionID and QuantumMetricUserID cookies, present from first load.</w:t>
      </w:r>
    </w:p>
    <w:p>
      <w:pPr>
        <w:pStyle w:val="ListBullet"/>
      </w:pPr>
      <w:r>
        <w:t>Primarily a UX session-replay tool, but the “network-interceptor” SDK explicitly hooks page XHR/fetch calls too — this class of telemetry is commonly reused as a fraud/bot signal source.</w:t>
      </w:r>
    </w:p>
    <w:p>
      <w:pPr>
        <w:pStyle w:val="Heading2"/>
      </w:pPr>
      <w:r>
        <w:t>Adobe Experience Platform — Supporting signal</w:t>
      </w:r>
    </w:p>
    <w:p>
      <w:pPr>
        <w:pStyle w:val="ListBullet"/>
      </w:pPr>
      <w:r>
        <w:t>51 calls to sanalytics.verizon.com (Adobe Alloy/Edge) and adobedc.demdex.net (Adobe Audience Manager identity).</w:t>
      </w:r>
    </w:p>
    <w:p>
      <w:pPr>
        <w:pStyle w:val="ListBullet"/>
      </w:pPr>
      <w:r>
        <w:t>Resolves a persistent visitor ID (ECID) plus a demdex cookie — identity/personalization focused, not a dedicated bot-mitigation product.</w:t>
      </w:r>
    </w:p>
    <w:p>
      <w:r>
        <w:rPr>
          <w:b/>
        </w:rPr>
        <w:t xml:space="preserve">Not observed on verizon.com: </w:t>
      </w:r>
      <w:r>
        <w:t>DataDome, Cloudflare Bot Management, Imperva/Incapsula, Kasada, Arkose Labs/FunCaptcha, and Google reCAPTCHA/hCaptcha did not appear anywhere on Verizon's own domains in this session. Cloudflare signals did appear (53 calls) but only on third-party ad-tech domains — LinkedIn Ads, Qualtrics, and Quantum Metric's own CDN — not on verizon.com itself.</w:t>
      </w:r>
    </w:p>
    <w:p>
      <w:r>
        <w:br w:type="page"/>
      </w:r>
    </w:p>
    <w:p>
      <w:pPr>
        <w:pStyle w:val="Heading1"/>
      </w:pPr>
      <w:r>
        <w:rPr>
          <w:color w:val="1F4E78"/>
        </w:rPr>
        <w:t>2. What Activity Happened, and When</w:t>
      </w:r>
    </w:p>
    <w:p>
      <w:pPr>
        <w:pStyle w:val="Heading2"/>
      </w:pPr>
      <w:r>
        <w:t>Calls by resource type</w:t>
      </w:r>
    </w:p>
    <w:tbl>
      <w:tblPr>
        <w:tblStyle w:val="LightGrid-Accent1"/>
        <w:tblW w:type="auto" w:w="0"/>
        <w:jc w:val="left"/>
        <w:tblLook w:firstColumn="1" w:firstRow="1" w:lastColumn="0" w:lastRow="0" w:noHBand="0" w:noVBand="1" w:val="04A0"/>
      </w:tblPr>
      <w:tblGrid>
        <w:gridCol w:w="3216"/>
        <w:gridCol w:w="3216"/>
        <w:gridCol w:w="3216"/>
      </w:tblGrid>
      <w:tr>
        <w:tc>
          <w:tcPr>
            <w:tcW w:type="dxa" w:w="2880"/>
            <w:shd w:fill="1F4E78"/>
          </w:tcPr>
          <w:p>
            <w:r>
              <w:rPr>
                <w:b/>
                <w:color w:val="FFFFFF"/>
              </w:rPr>
              <w:t>Resource type</w:t>
            </w:r>
          </w:p>
        </w:tc>
        <w:tc>
          <w:tcPr>
            <w:tcW w:type="dxa" w:w="2160"/>
            <w:shd w:fill="1F4E78"/>
          </w:tcPr>
          <w:p>
            <w:r>
              <w:rPr>
                <w:b/>
                <w:color w:val="FFFFFF"/>
              </w:rPr>
              <w:t>Call count</w:t>
            </w:r>
          </w:p>
        </w:tc>
        <w:tc>
          <w:tcPr>
            <w:tcW w:type="dxa" w:w="2160"/>
            <w:shd w:fill="1F4E78"/>
          </w:tcPr>
          <w:p>
            <w:r>
              <w:rPr>
                <w:b/>
                <w:color w:val="FFFFFF"/>
              </w:rPr>
              <w:t>Share of total</w:t>
            </w:r>
          </w:p>
        </w:tc>
      </w:tr>
      <w:tr>
        <w:tc>
          <w:tcPr>
            <w:tcW w:type="dxa" w:w="2880"/>
          </w:tcPr>
          <w:p>
            <w:pPr>
              <w:spacing w:after="40"/>
            </w:pPr>
            <w:r>
              <w:rPr>
                <w:sz w:val="18"/>
              </w:rPr>
              <w:t>script</w:t>
            </w:r>
          </w:p>
        </w:tc>
        <w:tc>
          <w:tcPr>
            <w:tcW w:type="dxa" w:w="2160"/>
          </w:tcPr>
          <w:p>
            <w:pPr>
              <w:spacing w:after="40"/>
            </w:pPr>
            <w:r>
              <w:rPr>
                <w:sz w:val="18"/>
              </w:rPr>
              <w:t>349</w:t>
            </w:r>
          </w:p>
        </w:tc>
        <w:tc>
          <w:tcPr>
            <w:tcW w:type="dxa" w:w="2160"/>
          </w:tcPr>
          <w:p>
            <w:pPr>
              <w:spacing w:after="40"/>
            </w:pPr>
            <w:r>
              <w:rPr>
                <w:sz w:val="18"/>
              </w:rPr>
              <w:t>44%</w:t>
            </w:r>
          </w:p>
        </w:tc>
      </w:tr>
      <w:tr>
        <w:tc>
          <w:tcPr>
            <w:tcW w:type="dxa" w:w="2880"/>
          </w:tcPr>
          <w:p>
            <w:pPr>
              <w:spacing w:after="40"/>
            </w:pPr>
            <w:r>
              <w:rPr>
                <w:sz w:val="18"/>
              </w:rPr>
              <w:t>fetch</w:t>
            </w:r>
          </w:p>
        </w:tc>
        <w:tc>
          <w:tcPr>
            <w:tcW w:type="dxa" w:w="2160"/>
          </w:tcPr>
          <w:p>
            <w:pPr>
              <w:spacing w:after="40"/>
            </w:pPr>
            <w:r>
              <w:rPr>
                <w:sz w:val="18"/>
              </w:rPr>
              <w:t>212</w:t>
            </w:r>
          </w:p>
        </w:tc>
        <w:tc>
          <w:tcPr>
            <w:tcW w:type="dxa" w:w="2160"/>
          </w:tcPr>
          <w:p>
            <w:pPr>
              <w:spacing w:after="40"/>
            </w:pPr>
            <w:r>
              <w:rPr>
                <w:sz w:val="18"/>
              </w:rPr>
              <w:t>27%</w:t>
            </w:r>
          </w:p>
        </w:tc>
      </w:tr>
      <w:tr>
        <w:tc>
          <w:tcPr>
            <w:tcW w:type="dxa" w:w="2880"/>
          </w:tcPr>
          <w:p>
            <w:pPr>
              <w:spacing w:after="40"/>
            </w:pPr>
            <w:r>
              <w:rPr>
                <w:sz w:val="18"/>
              </w:rPr>
              <w:t>xhr</w:t>
            </w:r>
          </w:p>
        </w:tc>
        <w:tc>
          <w:tcPr>
            <w:tcW w:type="dxa" w:w="2160"/>
          </w:tcPr>
          <w:p>
            <w:pPr>
              <w:spacing w:after="40"/>
            </w:pPr>
            <w:r>
              <w:rPr>
                <w:sz w:val="18"/>
              </w:rPr>
              <w:t>133</w:t>
            </w:r>
          </w:p>
        </w:tc>
        <w:tc>
          <w:tcPr>
            <w:tcW w:type="dxa" w:w="2160"/>
          </w:tcPr>
          <w:p>
            <w:pPr>
              <w:spacing w:after="40"/>
            </w:pPr>
            <w:r>
              <w:rPr>
                <w:sz w:val="18"/>
              </w:rPr>
              <w:t>17%</w:t>
            </w:r>
          </w:p>
        </w:tc>
      </w:tr>
      <w:tr>
        <w:tc>
          <w:tcPr>
            <w:tcW w:type="dxa" w:w="2880"/>
          </w:tcPr>
          <w:p>
            <w:pPr>
              <w:spacing w:after="40"/>
            </w:pPr>
            <w:r>
              <w:rPr>
                <w:sz w:val="18"/>
              </w:rPr>
              <w:t>ping</w:t>
            </w:r>
          </w:p>
        </w:tc>
        <w:tc>
          <w:tcPr>
            <w:tcW w:type="dxa" w:w="2160"/>
          </w:tcPr>
          <w:p>
            <w:pPr>
              <w:spacing w:after="40"/>
            </w:pPr>
            <w:r>
              <w:rPr>
                <w:sz w:val="18"/>
              </w:rPr>
              <w:t>52</w:t>
            </w:r>
          </w:p>
        </w:tc>
        <w:tc>
          <w:tcPr>
            <w:tcW w:type="dxa" w:w="2160"/>
          </w:tcPr>
          <w:p>
            <w:pPr>
              <w:spacing w:after="40"/>
            </w:pPr>
            <w:r>
              <w:rPr>
                <w:sz w:val="18"/>
              </w:rPr>
              <w:t>7%</w:t>
            </w:r>
          </w:p>
        </w:tc>
      </w:tr>
      <w:tr>
        <w:tc>
          <w:tcPr>
            <w:tcW w:type="dxa" w:w="2880"/>
          </w:tcPr>
          <w:p>
            <w:pPr>
              <w:spacing w:after="40"/>
            </w:pPr>
            <w:r>
              <w:rPr>
                <w:sz w:val="18"/>
              </w:rPr>
              <w:t>document</w:t>
            </w:r>
          </w:p>
        </w:tc>
        <w:tc>
          <w:tcPr>
            <w:tcW w:type="dxa" w:w="2160"/>
          </w:tcPr>
          <w:p>
            <w:pPr>
              <w:spacing w:after="40"/>
            </w:pPr>
            <w:r>
              <w:rPr>
                <w:sz w:val="18"/>
              </w:rPr>
              <w:t>46</w:t>
            </w:r>
          </w:p>
        </w:tc>
        <w:tc>
          <w:tcPr>
            <w:tcW w:type="dxa" w:w="2160"/>
          </w:tcPr>
          <w:p>
            <w:pPr>
              <w:spacing w:after="40"/>
            </w:pPr>
            <w:r>
              <w:rPr>
                <w:sz w:val="18"/>
              </w:rPr>
              <w:t>6%</w:t>
            </w:r>
          </w:p>
        </w:tc>
      </w:tr>
    </w:tbl>
    <w:p/>
    <w:p>
      <w:r>
        <w:rPr>
          <w:i/>
          <w:color w:val="595959"/>
          <w:sz w:val="18"/>
        </w:rPr>
        <w:t>Source: API Calls sheet, resource_type column · 792 calls total. Scripts dominate — this is where SDK loaders (Akamai sensor, Quantum Metric, Adobe Launch) live, and would have been invisible if capture were limited to xhr/fetch only.</w:t>
      </w:r>
    </w:p>
    <w:p>
      <w:pPr>
        <w:pStyle w:val="Heading2"/>
      </w:pPr>
      <w:r>
        <w:t>Akamai sensor submissions, by automation phase</w:t>
      </w:r>
    </w:p>
    <w:tbl>
      <w:tblPr>
        <w:tblStyle w:val="LightGrid-Accent1"/>
        <w:tblW w:type="auto" w:w="0"/>
        <w:jc w:val="left"/>
        <w:tblLook w:firstColumn="1" w:firstRow="1" w:lastColumn="0" w:lastRow="0" w:noHBand="0" w:noVBand="1" w:val="04A0"/>
      </w:tblPr>
      <w:tblGrid>
        <w:gridCol w:w="4824"/>
        <w:gridCol w:w="4824"/>
      </w:tblGrid>
      <w:tr>
        <w:tc>
          <w:tcPr>
            <w:tcW w:type="dxa" w:w="5040"/>
            <w:shd w:fill="1F4E78"/>
          </w:tcPr>
          <w:p>
            <w:r>
              <w:rPr>
                <w:b/>
                <w:color w:val="FFFFFF"/>
              </w:rPr>
              <w:t>Phase</w:t>
            </w:r>
          </w:p>
        </w:tc>
        <w:tc>
          <w:tcPr>
            <w:tcW w:type="dxa" w:w="2160"/>
            <w:shd w:fill="1F4E78"/>
          </w:tcPr>
          <w:p>
            <w:r>
              <w:rPr>
                <w:b/>
                <w:color w:val="FFFFFF"/>
              </w:rPr>
              <w:t>Sensor calls</w:t>
            </w:r>
          </w:p>
        </w:tc>
      </w:tr>
      <w:tr>
        <w:tc>
          <w:tcPr>
            <w:tcW w:type="dxa" w:w="5040"/>
          </w:tcPr>
          <w:p>
            <w:pPr>
              <w:spacing w:after="40"/>
            </w:pPr>
            <w:r>
              <w:rPr>
                <w:sz w:val="18"/>
              </w:rPr>
              <w:t>Landing page (initial load)</w:t>
            </w:r>
          </w:p>
        </w:tc>
        <w:tc>
          <w:tcPr>
            <w:tcW w:type="dxa" w:w="2160"/>
          </w:tcPr>
          <w:p>
            <w:pPr>
              <w:spacing w:after="40"/>
            </w:pPr>
            <w:r>
              <w:rPr>
                <w:sz w:val="18"/>
              </w:rPr>
              <w:t>7</w:t>
            </w:r>
          </w:p>
        </w:tc>
      </w:tr>
      <w:tr>
        <w:tc>
          <w:tcPr>
            <w:tcW w:type="dxa" w:w="5040"/>
          </w:tcPr>
          <w:p>
            <w:pPr>
              <w:spacing w:after="40"/>
            </w:pPr>
            <w:r>
              <w:rPr>
                <w:sz w:val="18"/>
              </w:rPr>
              <w:t>Address typing</w:t>
            </w:r>
          </w:p>
        </w:tc>
        <w:tc>
          <w:tcPr>
            <w:tcW w:type="dxa" w:w="2160"/>
          </w:tcPr>
          <w:p>
            <w:pPr>
              <w:spacing w:after="40"/>
            </w:pPr>
            <w:r>
              <w:rPr>
                <w:sz w:val="18"/>
              </w:rPr>
              <w:t>1</w:t>
            </w:r>
          </w:p>
        </w:tc>
      </w:tr>
      <w:tr>
        <w:tc>
          <w:tcPr>
            <w:tcW w:type="dxa" w:w="5040"/>
          </w:tcPr>
          <w:p>
            <w:pPr>
              <w:spacing w:after="40"/>
            </w:pPr>
            <w:r>
              <w:rPr>
                <w:sz w:val="18"/>
              </w:rPr>
              <w:t>Autocomplete suggestions</w:t>
            </w:r>
          </w:p>
        </w:tc>
        <w:tc>
          <w:tcPr>
            <w:tcW w:type="dxa" w:w="2160"/>
          </w:tcPr>
          <w:p>
            <w:pPr>
              <w:spacing w:after="40"/>
            </w:pPr>
            <w:r>
              <w:rPr>
                <w:sz w:val="18"/>
              </w:rPr>
              <w:t>1</w:t>
            </w:r>
          </w:p>
        </w:tc>
      </w:tr>
      <w:tr>
        <w:tc>
          <w:tcPr>
            <w:tcW w:type="dxa" w:w="5040"/>
          </w:tcPr>
          <w:p>
            <w:pPr>
              <w:spacing w:after="40"/>
            </w:pPr>
            <w:r>
              <w:rPr>
                <w:sz w:val="18"/>
              </w:rPr>
              <w:t>Get started click</w:t>
            </w:r>
          </w:p>
        </w:tc>
        <w:tc>
          <w:tcPr>
            <w:tcW w:type="dxa" w:w="2160"/>
          </w:tcPr>
          <w:p>
            <w:pPr>
              <w:spacing w:after="40"/>
            </w:pPr>
            <w:r>
              <w:rPr>
                <w:sz w:val="18"/>
              </w:rPr>
              <w:t>0</w:t>
            </w:r>
          </w:p>
        </w:tc>
      </w:tr>
      <w:tr>
        <w:tc>
          <w:tcPr>
            <w:tcW w:type="dxa" w:w="5040"/>
          </w:tcPr>
          <w:p>
            <w:pPr>
              <w:spacing w:after="40"/>
            </w:pPr>
            <w:r>
              <w:rPr>
                <w:sz w:val="18"/>
              </w:rPr>
              <w:t>Business/residential modal</w:t>
            </w:r>
          </w:p>
        </w:tc>
        <w:tc>
          <w:tcPr>
            <w:tcW w:type="dxa" w:w="2160"/>
          </w:tcPr>
          <w:p>
            <w:pPr>
              <w:spacing w:after="40"/>
            </w:pPr>
            <w:r>
              <w:rPr>
                <w:sz w:val="18"/>
              </w:rPr>
              <w:t>2</w:t>
            </w:r>
          </w:p>
        </w:tc>
      </w:tr>
      <w:tr>
        <w:tc>
          <w:tcPr>
            <w:tcW w:type="dxa" w:w="5040"/>
          </w:tcPr>
          <w:p>
            <w:pPr>
              <w:spacing w:after="40"/>
            </w:pPr>
            <w:r>
              <w:rPr>
                <w:sz w:val="18"/>
              </w:rPr>
              <w:t>Offers page loading</w:t>
            </w:r>
          </w:p>
        </w:tc>
        <w:tc>
          <w:tcPr>
            <w:tcW w:type="dxa" w:w="2160"/>
          </w:tcPr>
          <w:p>
            <w:pPr>
              <w:spacing w:after="40"/>
            </w:pPr>
            <w:r>
              <w:rPr>
                <w:sz w:val="18"/>
              </w:rPr>
              <w:t>6</w:t>
            </w:r>
          </w:p>
        </w:tc>
      </w:tr>
      <w:tr>
        <w:tc>
          <w:tcPr>
            <w:tcW w:type="dxa" w:w="5040"/>
          </w:tcPr>
          <w:p>
            <w:pPr>
              <w:spacing w:after="40"/>
            </w:pPr>
            <w:r>
              <w:rPr>
                <w:sz w:val="18"/>
              </w:rPr>
              <w:t>Plan review 1 of 5</w:t>
            </w:r>
          </w:p>
        </w:tc>
        <w:tc>
          <w:tcPr>
            <w:tcW w:type="dxa" w:w="2160"/>
          </w:tcPr>
          <w:p>
            <w:pPr>
              <w:spacing w:after="40"/>
            </w:pPr>
            <w:r>
              <w:rPr>
                <w:sz w:val="18"/>
              </w:rPr>
              <w:t>2</w:t>
            </w:r>
          </w:p>
        </w:tc>
      </w:tr>
      <w:tr>
        <w:tc>
          <w:tcPr>
            <w:tcW w:type="dxa" w:w="5040"/>
          </w:tcPr>
          <w:p>
            <w:pPr>
              <w:spacing w:after="40"/>
            </w:pPr>
            <w:r>
              <w:rPr>
                <w:sz w:val="18"/>
              </w:rPr>
              <w:t>Plan review 2 of 5</w:t>
            </w:r>
          </w:p>
        </w:tc>
        <w:tc>
          <w:tcPr>
            <w:tcW w:type="dxa" w:w="2160"/>
          </w:tcPr>
          <w:p>
            <w:pPr>
              <w:spacing w:after="40"/>
            </w:pPr>
            <w:r>
              <w:rPr>
                <w:sz w:val="18"/>
              </w:rPr>
              <w:t>2</w:t>
            </w:r>
          </w:p>
        </w:tc>
      </w:tr>
      <w:tr>
        <w:tc>
          <w:tcPr>
            <w:tcW w:type="dxa" w:w="5040"/>
          </w:tcPr>
          <w:p>
            <w:pPr>
              <w:spacing w:after="40"/>
            </w:pPr>
            <w:r>
              <w:rPr>
                <w:sz w:val="18"/>
              </w:rPr>
              <w:t>Plan review 3 of 5</w:t>
            </w:r>
          </w:p>
        </w:tc>
        <w:tc>
          <w:tcPr>
            <w:tcW w:type="dxa" w:w="2160"/>
          </w:tcPr>
          <w:p>
            <w:pPr>
              <w:spacing w:after="40"/>
            </w:pPr>
            <w:r>
              <w:rPr>
                <w:sz w:val="18"/>
              </w:rPr>
              <w:t>2</w:t>
            </w:r>
          </w:p>
        </w:tc>
      </w:tr>
      <w:tr>
        <w:tc>
          <w:tcPr>
            <w:tcW w:type="dxa" w:w="5040"/>
          </w:tcPr>
          <w:p>
            <w:pPr>
              <w:spacing w:after="40"/>
            </w:pPr>
            <w:r>
              <w:rPr>
                <w:sz w:val="18"/>
              </w:rPr>
              <w:t>Plan review 4 of 5</w:t>
            </w:r>
          </w:p>
        </w:tc>
        <w:tc>
          <w:tcPr>
            <w:tcW w:type="dxa" w:w="2160"/>
          </w:tcPr>
          <w:p>
            <w:pPr>
              <w:spacing w:after="40"/>
            </w:pPr>
            <w:r>
              <w:rPr>
                <w:sz w:val="18"/>
              </w:rPr>
              <w:t>2</w:t>
            </w:r>
          </w:p>
        </w:tc>
      </w:tr>
      <w:tr>
        <w:tc>
          <w:tcPr>
            <w:tcW w:type="dxa" w:w="5040"/>
          </w:tcPr>
          <w:p>
            <w:pPr>
              <w:spacing w:after="40"/>
            </w:pPr>
            <w:r>
              <w:rPr>
                <w:sz w:val="18"/>
              </w:rPr>
              <w:t>Plan review 5 of 5</w:t>
            </w:r>
          </w:p>
        </w:tc>
        <w:tc>
          <w:tcPr>
            <w:tcW w:type="dxa" w:w="2160"/>
          </w:tcPr>
          <w:p>
            <w:pPr>
              <w:spacing w:after="40"/>
            </w:pPr>
            <w:r>
              <w:rPr>
                <w:sz w:val="18"/>
              </w:rPr>
              <w:t>2</w:t>
            </w:r>
          </w:p>
        </w:tc>
      </w:tr>
    </w:tbl>
    <w:p/>
    <w:p>
      <w:r>
        <w:rPr>
          <w:i/>
          <w:color w:val="595959"/>
          <w:sz w:val="18"/>
        </w:rPr>
        <w:t>Source: API Calls sheet, Phase column, URLs matching the randomized /QfNarR/... pattern. Fires continuously — including once for every individual plan viewed — not just on initial load.</w:t>
      </w:r>
    </w:p>
    <w:p>
      <w:pPr>
        <w:pStyle w:val="Heading2"/>
      </w:pPr>
      <w:r>
        <w:t>Vendor-matched call volume</w:t>
      </w:r>
    </w:p>
    <w:tbl>
      <w:tblPr>
        <w:tblStyle w:val="LightGrid-Accent1"/>
        <w:tblW w:type="auto" w:w="0"/>
        <w:jc w:val="left"/>
        <w:tblLook w:firstColumn="1" w:firstRow="1" w:lastColumn="0" w:lastRow="0" w:noHBand="0" w:noVBand="1" w:val="04A0"/>
      </w:tblPr>
      <w:tblGrid>
        <w:gridCol w:w="4824"/>
        <w:gridCol w:w="4824"/>
      </w:tblGrid>
      <w:tr>
        <w:tc>
          <w:tcPr>
            <w:tcW w:type="dxa" w:w="5040"/>
            <w:shd w:fill="1F4E78"/>
          </w:tcPr>
          <w:p>
            <w:r>
              <w:rPr>
                <w:b/>
                <w:color w:val="FFFFFF"/>
              </w:rPr>
              <w:t>Vendor</w:t>
            </w:r>
          </w:p>
        </w:tc>
        <w:tc>
          <w:tcPr>
            <w:tcW w:type="dxa" w:w="2160"/>
            <w:shd w:fill="1F4E78"/>
          </w:tcPr>
          <w:p>
            <w:r>
              <w:rPr>
                <w:b/>
                <w:color w:val="FFFFFF"/>
              </w:rPr>
              <w:t>Matched network calls</w:t>
            </w:r>
          </w:p>
        </w:tc>
      </w:tr>
      <w:tr>
        <w:tc>
          <w:tcPr>
            <w:tcW w:type="dxa" w:w="5040"/>
            <w:shd w:fill="FFD8A8"/>
          </w:tcPr>
          <w:p>
            <w:pPr>
              <w:spacing w:after="40"/>
            </w:pPr>
            <w:r>
              <w:rPr>
                <w:sz w:val="18"/>
              </w:rPr>
              <w:t>Akamai Bot Manager</w:t>
            </w:r>
          </w:p>
        </w:tc>
        <w:tc>
          <w:tcPr>
            <w:tcW w:type="dxa" w:w="2160"/>
            <w:shd w:fill="FFD8A8"/>
          </w:tcPr>
          <w:p>
            <w:pPr>
              <w:spacing w:after="40"/>
            </w:pPr>
            <w:r>
              <w:rPr>
                <w:sz w:val="18"/>
              </w:rPr>
              <w:t>302</w:t>
            </w:r>
          </w:p>
        </w:tc>
      </w:tr>
      <w:tr>
        <w:tc>
          <w:tcPr>
            <w:tcW w:type="dxa" w:w="5040"/>
            <w:shd w:fill="A5D8FF"/>
          </w:tcPr>
          <w:p>
            <w:pPr>
              <w:spacing w:after="40"/>
            </w:pPr>
            <w:r>
              <w:rPr>
                <w:sz w:val="18"/>
              </w:rPr>
              <w:t>Quantum Metric</w:t>
            </w:r>
          </w:p>
        </w:tc>
        <w:tc>
          <w:tcPr>
            <w:tcW w:type="dxa" w:w="2160"/>
            <w:shd w:fill="A5D8FF"/>
          </w:tcPr>
          <w:p>
            <w:pPr>
              <w:spacing w:after="40"/>
            </w:pPr>
            <w:r>
              <w:rPr>
                <w:sz w:val="18"/>
              </w:rPr>
              <w:t>95</w:t>
            </w:r>
          </w:p>
        </w:tc>
      </w:tr>
      <w:tr>
        <w:tc>
          <w:tcPr>
            <w:tcW w:type="dxa" w:w="5040"/>
            <w:shd w:fill="99E9F2"/>
          </w:tcPr>
          <w:p>
            <w:pPr>
              <w:spacing w:after="40"/>
            </w:pPr>
            <w:r>
              <w:rPr>
                <w:sz w:val="18"/>
              </w:rPr>
              <w:t>Cloudflare (3rd-party only)</w:t>
            </w:r>
          </w:p>
        </w:tc>
        <w:tc>
          <w:tcPr>
            <w:tcW w:type="dxa" w:w="2160"/>
            <w:shd w:fill="99E9F2"/>
          </w:tcPr>
          <w:p>
            <w:pPr>
              <w:spacing w:after="40"/>
            </w:pPr>
            <w:r>
              <w:rPr>
                <w:sz w:val="18"/>
              </w:rPr>
              <w:t>53</w:t>
            </w:r>
          </w:p>
        </w:tc>
      </w:tr>
      <w:tr>
        <w:tc>
          <w:tcPr>
            <w:tcW w:type="dxa" w:w="5040"/>
            <w:shd w:fill="C3FAE8"/>
          </w:tcPr>
          <w:p>
            <w:pPr>
              <w:spacing w:after="40"/>
            </w:pPr>
            <w:r>
              <w:rPr>
                <w:sz w:val="18"/>
              </w:rPr>
              <w:t>Adobe Experience Platform</w:t>
            </w:r>
          </w:p>
        </w:tc>
        <w:tc>
          <w:tcPr>
            <w:tcW w:type="dxa" w:w="2160"/>
            <w:shd w:fill="C3FAE8"/>
          </w:tcPr>
          <w:p>
            <w:pPr>
              <w:spacing w:after="40"/>
            </w:pPr>
            <w:r>
              <w:rPr>
                <w:sz w:val="18"/>
              </w:rPr>
              <w:t>51</w:t>
            </w:r>
          </w:p>
        </w:tc>
      </w:tr>
      <w:tr>
        <w:tc>
          <w:tcPr>
            <w:tcW w:type="dxa" w:w="5040"/>
            <w:shd w:fill="D0BFFF"/>
          </w:tcPr>
          <w:p>
            <w:pPr>
              <w:spacing w:after="40"/>
            </w:pPr>
            <w:r>
              <w:rPr>
                <w:sz w:val="18"/>
              </w:rPr>
              <w:t>PerimeterX-style identity</w:t>
            </w:r>
          </w:p>
        </w:tc>
        <w:tc>
          <w:tcPr>
            <w:tcW w:type="dxa" w:w="2160"/>
            <w:shd w:fill="D0BFFF"/>
          </w:tcPr>
          <w:p>
            <w:pPr>
              <w:spacing w:after="40"/>
            </w:pPr>
            <w:r>
              <w:rPr>
                <w:sz w:val="18"/>
              </w:rPr>
              <w:t>1</w:t>
            </w:r>
          </w:p>
        </w:tc>
      </w:tr>
    </w:tbl>
    <w:p/>
    <w:p>
      <w:r>
        <w:rPr>
          <w:i/>
          <w:color w:val="595959"/>
          <w:sz w:val="18"/>
        </w:rPr>
        <w:t>Source: Bot Detection Signals sheet. Not mutually exclusive — a single call can match more than one vendor signature, so counts don't sum to 792.</w:t>
      </w:r>
    </w:p>
    <w:p>
      <w:r>
        <w:br w:type="page"/>
      </w:r>
    </w:p>
    <w:p>
      <w:pPr>
        <w:pStyle w:val="Heading1"/>
      </w:pPr>
      <w:r>
        <w:rPr>
          <w:color w:val="1F4E78"/>
        </w:rPr>
        <w:t>3. Which of Our Data Likely Feeds Bot Detection</w:t>
      </w:r>
    </w:p>
    <w:tbl>
      <w:tblPr>
        <w:tblStyle w:val="LightGrid-Accent1"/>
        <w:tblW w:type="auto" w:w="0"/>
        <w:jc w:val="left"/>
        <w:tblLook w:firstColumn="1" w:firstRow="1" w:lastColumn="0" w:lastRow="0" w:noHBand="0" w:noVBand="1" w:val="04A0"/>
      </w:tblPr>
      <w:tblGrid>
        <w:gridCol w:w="2412"/>
        <w:gridCol w:w="2412"/>
        <w:gridCol w:w="2412"/>
        <w:gridCol w:w="2412"/>
      </w:tblGrid>
      <w:tr>
        <w:tc>
          <w:tcPr>
            <w:tcW w:type="dxa" w:w="2304"/>
            <w:shd w:fill="1F4E78"/>
          </w:tcPr>
          <w:p>
            <w:r>
              <w:rPr>
                <w:b/>
                <w:color w:val="FFFFFF"/>
              </w:rPr>
              <w:t>Data category</w:t>
            </w:r>
          </w:p>
        </w:tc>
        <w:tc>
          <w:tcPr>
            <w:tcW w:type="dxa" w:w="3456"/>
            <w:shd w:fill="1F4E78"/>
          </w:tcPr>
          <w:p>
            <w:r>
              <w:rPr>
                <w:b/>
                <w:color w:val="FFFFFF"/>
              </w:rPr>
              <w:t>Specific fields observed</w:t>
            </w:r>
          </w:p>
        </w:tc>
        <w:tc>
          <w:tcPr>
            <w:tcW w:type="dxa" w:w="2448"/>
            <w:shd w:fill="1F4E78"/>
          </w:tcPr>
          <w:p>
            <w:r>
              <w:rPr>
                <w:b/>
                <w:color w:val="FFFFFF"/>
              </w:rPr>
              <w:t>Collected by</w:t>
            </w:r>
          </w:p>
        </w:tc>
        <w:tc>
          <w:tcPr>
            <w:tcW w:type="dxa" w:w="2880"/>
            <w:shd w:fill="1F4E78"/>
          </w:tcPr>
          <w:p>
            <w:r>
              <w:rPr>
                <w:b/>
                <w:color w:val="FFFFFF"/>
              </w:rPr>
              <w:t>Example from this session</w:t>
            </w:r>
          </w:p>
        </w:tc>
      </w:tr>
      <w:tr>
        <w:tc>
          <w:tcPr>
            <w:tcW w:type="dxa" w:w="2304"/>
          </w:tcPr>
          <w:p>
            <w:pPr>
              <w:spacing w:after="40"/>
            </w:pPr>
            <w:r>
              <w:rPr>
                <w:sz w:val="18"/>
              </w:rPr>
              <w:t>Device / browser fingerprint</w:t>
            </w:r>
          </w:p>
        </w:tc>
        <w:tc>
          <w:tcPr>
            <w:tcW w:type="dxa" w:w="3456"/>
          </w:tcPr>
          <w:p>
            <w:pPr>
              <w:spacing w:after="40"/>
            </w:pPr>
            <w:r>
              <w:rPr>
                <w:sz w:val="18"/>
              </w:rPr>
              <w:t>User-Agent, sec-ch-ua / sec-ch-ua-mobile / sec-ch-ua-platform, screen width/height, viewport size, timezone offset, IANA timezone</w:t>
            </w:r>
          </w:p>
        </w:tc>
        <w:tc>
          <w:tcPr>
            <w:tcW w:type="dxa" w:w="2448"/>
          </w:tcPr>
          <w:p>
            <w:pPr>
              <w:spacing w:after="40"/>
            </w:pPr>
            <w:r>
              <w:rPr>
                <w:sz w:val="18"/>
              </w:rPr>
              <w:t>Adobe Alloy (sanalytics), sv.verizon.com identity beacon</w:t>
            </w:r>
          </w:p>
        </w:tc>
        <w:tc>
          <w:tcPr>
            <w:tcW w:type="dxa" w:w="2880"/>
          </w:tcPr>
          <w:p>
            <w:pPr>
              <w:spacing w:after="40"/>
            </w:pPr>
            <w:r>
              <w:rPr>
                <w:sz w:val="18"/>
              </w:rPr>
              <w:t>1440×900 · macOS · America/Chicago · GMT-0500</w:t>
            </w:r>
          </w:p>
        </w:tc>
      </w:tr>
      <w:tr>
        <w:tc>
          <w:tcPr>
            <w:tcW w:type="dxa" w:w="2304"/>
          </w:tcPr>
          <w:p>
            <w:pPr>
              <w:spacing w:after="40"/>
            </w:pPr>
            <w:r>
              <w:rPr>
                <w:sz w:val="18"/>
              </w:rPr>
              <w:t>Deep browser/device entropy (canvas, WebGL, fonts, hardware, timing)</w:t>
            </w:r>
          </w:p>
        </w:tc>
        <w:tc>
          <w:tcPr>
            <w:tcW w:type="dxa" w:w="3456"/>
          </w:tcPr>
          <w:p>
            <w:pPr>
              <w:spacing w:after="40"/>
            </w:pPr>
            <w:r>
              <w:rPr>
                <w:sz w:val="18"/>
              </w:rPr>
              <w:t>Not directly readable — encoded inside an obfuscated JS-collected payload</w:t>
            </w:r>
          </w:p>
        </w:tc>
        <w:tc>
          <w:tcPr>
            <w:tcW w:type="dxa" w:w="2448"/>
          </w:tcPr>
          <w:p>
            <w:pPr>
              <w:spacing w:after="40"/>
            </w:pPr>
            <w:r>
              <w:rPr>
                <w:sz w:val="18"/>
              </w:rPr>
              <w:t>Akamai Bot Manager sensor script</w:t>
            </w:r>
          </w:p>
        </w:tc>
        <w:tc>
          <w:tcPr>
            <w:tcW w:type="dxa" w:w="2880"/>
          </w:tcPr>
          <w:p>
            <w:pPr>
              <w:spacing w:after="40"/>
            </w:pPr>
            <w:r>
              <w:rPr>
                <w:sz w:val="18"/>
              </w:rPr>
              <w:t>Payload is intentionally obfuscated at the network layer; only inferred from the sensor script's presence</w:t>
            </w:r>
          </w:p>
        </w:tc>
      </w:tr>
      <w:tr>
        <w:tc>
          <w:tcPr>
            <w:tcW w:type="dxa" w:w="2304"/>
          </w:tcPr>
          <w:p>
            <w:pPr>
              <w:spacing w:after="40"/>
            </w:pPr>
            <w:r>
              <w:rPr>
                <w:sz w:val="18"/>
              </w:rPr>
              <w:t>Session / identity cookies</w:t>
            </w:r>
          </w:p>
        </w:tc>
        <w:tc>
          <w:tcPr>
            <w:tcW w:type="dxa" w:w="3456"/>
          </w:tcPr>
          <w:p>
            <w:pPr>
              <w:spacing w:after="40"/>
            </w:pPr>
            <w:r>
              <w:rPr>
                <w:sz w:val="18"/>
              </w:rPr>
              <w:t>_abck, bm_sz, ak_bmsc · QuantumMetricSessionID, QuantumMetricUserID · demdex / AMCV (ECID)</w:t>
            </w:r>
          </w:p>
        </w:tc>
        <w:tc>
          <w:tcPr>
            <w:tcW w:type="dxa" w:w="2448"/>
          </w:tcPr>
          <w:p>
            <w:pPr>
              <w:spacing w:after="40"/>
            </w:pPr>
            <w:r>
              <w:rPr>
                <w:sz w:val="18"/>
              </w:rPr>
              <w:t>Akamai, Quantum Metric, Adobe</w:t>
            </w:r>
          </w:p>
        </w:tc>
        <w:tc>
          <w:tcPr>
            <w:tcW w:type="dxa" w:w="2880"/>
          </w:tcPr>
          <w:p>
            <w:pPr>
              <w:spacing w:after="40"/>
            </w:pPr>
            <w:r>
              <w:rPr>
                <w:sz w:val="18"/>
              </w:rPr>
              <w:t>_abck = &lt;hash&gt;~-1~&lt;hash&gt;~-1~-1~&lt;ts&gt;~... (persisted across all 4 checkpoints)</w:t>
            </w:r>
          </w:p>
        </w:tc>
      </w:tr>
      <w:tr>
        <w:tc>
          <w:tcPr>
            <w:tcW w:type="dxa" w:w="2304"/>
          </w:tcPr>
          <w:p>
            <w:pPr>
              <w:spacing w:after="40"/>
            </w:pPr>
            <w:r>
              <w:rPr>
                <w:sz w:val="18"/>
              </w:rPr>
              <w:t>Page &amp; navigation context</w:t>
            </w:r>
          </w:p>
        </w:tc>
        <w:tc>
          <w:tcPr>
            <w:tcW w:type="dxa" w:w="3456"/>
          </w:tcPr>
          <w:p>
            <w:pPr>
              <w:spacing w:after="40"/>
            </w:pPr>
            <w:r>
              <w:rPr>
                <w:sz w:val="18"/>
              </w:rPr>
              <w:t>Current URL, referrer, page title, SEO keywords, first-visit flag, entry page/flow name</w:t>
            </w:r>
          </w:p>
        </w:tc>
        <w:tc>
          <w:tcPr>
            <w:tcW w:type="dxa" w:w="2448"/>
          </w:tcPr>
          <w:p>
            <w:pPr>
              <w:spacing w:after="40"/>
            </w:pPr>
            <w:r>
              <w:rPr>
                <w:sz w:val="18"/>
              </w:rPr>
              <w:t>sv.verizon.com trackIdentity beacon, Adobe Alloy</w:t>
            </w:r>
          </w:p>
        </w:tc>
        <w:tc>
          <w:tcPr>
            <w:tcW w:type="dxa" w:w="2880"/>
          </w:tcPr>
          <w:p>
            <w:pPr>
              <w:spacing w:after="40"/>
            </w:pPr>
            <w:r>
              <w:rPr>
                <w:sz w:val="18"/>
              </w:rPr>
              <w:t>sv_referrer=(empty) · sv_url=verizon.com/home/internet/ · sv_first=true</w:t>
            </w:r>
          </w:p>
        </w:tc>
      </w:tr>
      <w:tr>
        <w:tc>
          <w:tcPr>
            <w:tcW w:type="dxa" w:w="2304"/>
          </w:tcPr>
          <w:p>
            <w:pPr>
              <w:spacing w:after="40"/>
            </w:pPr>
            <w:r>
              <w:rPr>
                <w:sz w:val="18"/>
              </w:rPr>
              <w:t>Behavioral / interaction telemetry</w:t>
            </w:r>
          </w:p>
        </w:tc>
        <w:tc>
          <w:tcPr>
            <w:tcW w:type="dxa" w:w="3456"/>
          </w:tcPr>
          <w:p>
            <w:pPr>
              <w:spacing w:after="40"/>
            </w:pPr>
            <w:r>
              <w:rPr>
                <w:sz w:val="18"/>
              </w:rPr>
              <w:t>Mouse movement, clicks, scroll position, DOM mutations, and the page's own network activity (session replay)</w:t>
            </w:r>
          </w:p>
        </w:tc>
        <w:tc>
          <w:tcPr>
            <w:tcW w:type="dxa" w:w="2448"/>
          </w:tcPr>
          <w:p>
            <w:pPr>
              <w:spacing w:after="40"/>
            </w:pPr>
            <w:r>
              <w:rPr>
                <w:sz w:val="18"/>
              </w:rPr>
              <w:t>Quantum Metric “network-interceptor” SDK</w:t>
            </w:r>
          </w:p>
        </w:tc>
        <w:tc>
          <w:tcPr>
            <w:tcW w:type="dxa" w:w="2880"/>
          </w:tcPr>
          <w:p>
            <w:pPr>
              <w:spacing w:after="40"/>
            </w:pPr>
            <w:r>
              <w:rPr>
                <w:sz w:val="18"/>
              </w:rPr>
              <w:t>Opaque binary POST bodies (~1–2 KB per beacon) to ingestusipv4.quantummetric.com</w:t>
            </w:r>
          </w:p>
        </w:tc>
      </w:tr>
      <w:tr>
        <w:tc>
          <w:tcPr>
            <w:tcW w:type="dxa" w:w="2304"/>
          </w:tcPr>
          <w:p>
            <w:pPr>
              <w:spacing w:after="40"/>
            </w:pPr>
            <w:r>
              <w:rPr>
                <w:sz w:val="18"/>
              </w:rPr>
              <w:t>Opaque encrypted device fingerprint</w:t>
            </w:r>
          </w:p>
        </w:tc>
        <w:tc>
          <w:tcPr>
            <w:tcW w:type="dxa" w:w="3456"/>
          </w:tcPr>
          <w:p>
            <w:pPr>
              <w:spacing w:after="40"/>
            </w:pPr>
            <w:r>
              <w:rPr>
                <w:sz w:val="18"/>
              </w:rPr>
              <w:t>A single long encrypted/encoded blob, query param sv_px_domain_data</w:t>
            </w:r>
          </w:p>
        </w:tc>
        <w:tc>
          <w:tcPr>
            <w:tcW w:type="dxa" w:w="2448"/>
          </w:tcPr>
          <w:p>
            <w:pPr>
              <w:spacing w:after="40"/>
            </w:pPr>
            <w:r>
              <w:rPr>
                <w:sz w:val="18"/>
              </w:rPr>
              <w:t>PerimeterX/HUMAN-style trackIdentity endpoint</w:t>
            </w:r>
          </w:p>
        </w:tc>
        <w:tc>
          <w:tcPr>
            <w:tcW w:type="dxa" w:w="2880"/>
          </w:tcPr>
          <w:p>
            <w:pPr>
              <w:spacing w:after="40"/>
            </w:pPr>
            <w:r>
              <w:rPr>
                <w:sz w:val="18"/>
              </w:rPr>
              <w:t>sv_px_domain_data="iHjobdQ1L1QHmw5y..." (truncated, encrypted)</w:t>
            </w:r>
          </w:p>
        </w:tc>
      </w:tr>
    </w:tbl>
    <w:p/>
    <w:p>
      <w:pPr>
        <w:pStyle w:val="Heading2"/>
      </w:pPr>
      <w:r>
        <w:t>Cookies tagging this session</w:t>
      </w:r>
    </w:p>
    <w:tbl>
      <w:tblPr>
        <w:tblStyle w:val="LightGrid-Accent1"/>
        <w:tblW w:type="auto" w:w="0"/>
        <w:jc w:val="left"/>
        <w:tblLook w:firstColumn="1" w:firstRow="1" w:lastColumn="0" w:lastRow="0" w:noHBand="0" w:noVBand="1" w:val="04A0"/>
      </w:tblPr>
      <w:tblGrid>
        <w:gridCol w:w="2412"/>
        <w:gridCol w:w="2412"/>
        <w:gridCol w:w="2412"/>
        <w:gridCol w:w="2412"/>
      </w:tblGrid>
      <w:tr>
        <w:tc>
          <w:tcPr>
            <w:tcW w:type="dxa" w:w="2592"/>
            <w:shd w:fill="1F4E78"/>
          </w:tcPr>
          <w:p>
            <w:r>
              <w:rPr>
                <w:b/>
                <w:color w:val="FFFFFF"/>
              </w:rPr>
              <w:t>Cookie</w:t>
            </w:r>
          </w:p>
        </w:tc>
        <w:tc>
          <w:tcPr>
            <w:tcW w:type="dxa" w:w="2880"/>
            <w:shd w:fill="1F4E78"/>
          </w:tcPr>
          <w:p>
            <w:r>
              <w:rPr>
                <w:b/>
                <w:color w:val="FFFFFF"/>
              </w:rPr>
              <w:t>Vendor</w:t>
            </w:r>
          </w:p>
        </w:tc>
        <w:tc>
          <w:tcPr>
            <w:tcW w:type="dxa" w:w="4032"/>
            <w:shd w:fill="1F4E78"/>
          </w:tcPr>
          <w:p>
            <w:r>
              <w:rPr>
                <w:b/>
                <w:color w:val="FFFFFF"/>
              </w:rPr>
              <w:t>Sample value (truncated)</w:t>
            </w:r>
          </w:p>
        </w:tc>
        <w:tc>
          <w:tcPr>
            <w:tcW w:type="dxa" w:w="2304"/>
            <w:shd w:fill="1F4E78"/>
          </w:tcPr>
          <w:p>
            <w:r>
              <w:rPr>
                <w:b/>
                <w:color w:val="FFFFFF"/>
              </w:rPr>
              <w:t>Present at all 4 checkpoints?</w:t>
            </w:r>
          </w:p>
        </w:tc>
      </w:tr>
      <w:tr>
        <w:tc>
          <w:tcPr>
            <w:tcW w:type="dxa" w:w="2592"/>
            <w:shd w:fill="FFD8A8"/>
          </w:tcPr>
          <w:p>
            <w:pPr>
              <w:spacing w:after="40"/>
            </w:pPr>
            <w:r>
              <w:rPr>
                <w:sz w:val="18"/>
              </w:rPr>
              <w:t>_abck</w:t>
            </w:r>
          </w:p>
        </w:tc>
        <w:tc>
          <w:tcPr>
            <w:tcW w:type="dxa" w:w="2880"/>
            <w:shd w:fill="FFD8A8"/>
          </w:tcPr>
          <w:p>
            <w:pPr>
              <w:spacing w:after="40"/>
            </w:pPr>
            <w:r>
              <w:rPr>
                <w:sz w:val="18"/>
              </w:rPr>
              <w:t>Akamai Bot Manager</w:t>
            </w:r>
          </w:p>
        </w:tc>
        <w:tc>
          <w:tcPr>
            <w:tcW w:type="dxa" w:w="4032"/>
            <w:shd w:fill="FFD8A8"/>
          </w:tcPr>
          <w:p>
            <w:pPr>
              <w:spacing w:after="40"/>
            </w:pPr>
            <w:r>
              <w:rPr>
                <w:sz w:val="18"/>
              </w:rPr>
              <w:t>998A17BB...~-1~YAAQ3DYv...</w:t>
            </w:r>
          </w:p>
        </w:tc>
        <w:tc>
          <w:tcPr>
            <w:tcW w:type="dxa" w:w="2304"/>
            <w:shd w:fill="FFD8A8"/>
          </w:tcPr>
          <w:p>
            <w:pPr>
              <w:spacing w:after="40"/>
            </w:pPr>
            <w:r>
              <w:rPr>
                <w:sz w:val="18"/>
              </w:rPr>
              <w:t>Yes</w:t>
            </w:r>
          </w:p>
        </w:tc>
      </w:tr>
      <w:tr>
        <w:tc>
          <w:tcPr>
            <w:tcW w:type="dxa" w:w="2592"/>
            <w:shd w:fill="FFD8A8"/>
          </w:tcPr>
          <w:p>
            <w:pPr>
              <w:spacing w:after="40"/>
            </w:pPr>
            <w:r>
              <w:rPr>
                <w:sz w:val="18"/>
              </w:rPr>
              <w:t>bm_sz</w:t>
            </w:r>
          </w:p>
        </w:tc>
        <w:tc>
          <w:tcPr>
            <w:tcW w:type="dxa" w:w="2880"/>
            <w:shd w:fill="FFD8A8"/>
          </w:tcPr>
          <w:p>
            <w:pPr>
              <w:spacing w:after="40"/>
            </w:pPr>
            <w:r>
              <w:rPr>
                <w:sz w:val="18"/>
              </w:rPr>
              <w:t>Akamai Bot Manager</w:t>
            </w:r>
          </w:p>
        </w:tc>
        <w:tc>
          <w:tcPr>
            <w:tcW w:type="dxa" w:w="4032"/>
            <w:shd w:fill="FFD8A8"/>
          </w:tcPr>
          <w:p>
            <w:pPr>
              <w:spacing w:after="40"/>
            </w:pPr>
            <w:r>
              <w:rPr>
                <w:sz w:val="18"/>
              </w:rPr>
              <w:t>8253DCAA2D02C0...~YAAQ3DYv...</w:t>
            </w:r>
          </w:p>
        </w:tc>
        <w:tc>
          <w:tcPr>
            <w:tcW w:type="dxa" w:w="2304"/>
            <w:shd w:fill="FFD8A8"/>
          </w:tcPr>
          <w:p>
            <w:pPr>
              <w:spacing w:after="40"/>
            </w:pPr>
            <w:r>
              <w:rPr>
                <w:sz w:val="18"/>
              </w:rPr>
              <w:t>Yes</w:t>
            </w:r>
          </w:p>
        </w:tc>
      </w:tr>
      <w:tr>
        <w:tc>
          <w:tcPr>
            <w:tcW w:type="dxa" w:w="2592"/>
            <w:shd w:fill="FFD8A8"/>
          </w:tcPr>
          <w:p>
            <w:pPr>
              <w:spacing w:after="40"/>
            </w:pPr>
            <w:r>
              <w:rPr>
                <w:sz w:val="18"/>
              </w:rPr>
              <w:t>ak_bmsc</w:t>
            </w:r>
          </w:p>
        </w:tc>
        <w:tc>
          <w:tcPr>
            <w:tcW w:type="dxa" w:w="2880"/>
            <w:shd w:fill="FFD8A8"/>
          </w:tcPr>
          <w:p>
            <w:pPr>
              <w:spacing w:after="40"/>
            </w:pPr>
            <w:r>
              <w:rPr>
                <w:sz w:val="18"/>
              </w:rPr>
              <w:t>Akamai Bot Manager</w:t>
            </w:r>
          </w:p>
        </w:tc>
        <w:tc>
          <w:tcPr>
            <w:tcW w:type="dxa" w:w="4032"/>
            <w:shd w:fill="FFD8A8"/>
          </w:tcPr>
          <w:p>
            <w:pPr>
              <w:spacing w:after="40"/>
            </w:pPr>
            <w:r>
              <w:rPr>
                <w:sz w:val="18"/>
              </w:rPr>
              <w:t>B5D89BDFD4030...~00000000...</w:t>
            </w:r>
          </w:p>
        </w:tc>
        <w:tc>
          <w:tcPr>
            <w:tcW w:type="dxa" w:w="2304"/>
            <w:shd w:fill="FFD8A8"/>
          </w:tcPr>
          <w:p>
            <w:pPr>
              <w:spacing w:after="40"/>
            </w:pPr>
            <w:r>
              <w:rPr>
                <w:sz w:val="18"/>
              </w:rPr>
              <w:t>Yes</w:t>
            </w:r>
          </w:p>
        </w:tc>
      </w:tr>
      <w:tr>
        <w:tc>
          <w:tcPr>
            <w:tcW w:type="dxa" w:w="2592"/>
            <w:shd w:fill="A5D8FF"/>
          </w:tcPr>
          <w:p>
            <w:pPr>
              <w:spacing w:after="40"/>
            </w:pPr>
            <w:r>
              <w:rPr>
                <w:sz w:val="18"/>
              </w:rPr>
              <w:t>QuantumMetricSessionID</w:t>
            </w:r>
          </w:p>
        </w:tc>
        <w:tc>
          <w:tcPr>
            <w:tcW w:type="dxa" w:w="2880"/>
            <w:shd w:fill="A5D8FF"/>
          </w:tcPr>
          <w:p>
            <w:pPr>
              <w:spacing w:after="40"/>
            </w:pPr>
            <w:r>
              <w:rPr>
                <w:sz w:val="18"/>
              </w:rPr>
              <w:t>Quantum Metric</w:t>
            </w:r>
          </w:p>
        </w:tc>
        <w:tc>
          <w:tcPr>
            <w:tcW w:type="dxa" w:w="4032"/>
            <w:shd w:fill="A5D8FF"/>
          </w:tcPr>
          <w:p>
            <w:pPr>
              <w:spacing w:after="40"/>
            </w:pPr>
            <w:r>
              <w:rPr>
                <w:sz w:val="18"/>
              </w:rPr>
              <w:t>3c83ab22fedb44178cf09a4923805b8c</w:t>
            </w:r>
          </w:p>
        </w:tc>
        <w:tc>
          <w:tcPr>
            <w:tcW w:type="dxa" w:w="2304"/>
            <w:shd w:fill="A5D8FF"/>
          </w:tcPr>
          <w:p>
            <w:pPr>
              <w:spacing w:after="40"/>
            </w:pPr>
            <w:r>
              <w:rPr>
                <w:sz w:val="18"/>
              </w:rPr>
              <w:t>Yes</w:t>
            </w:r>
          </w:p>
        </w:tc>
      </w:tr>
      <w:tr>
        <w:tc>
          <w:tcPr>
            <w:tcW w:type="dxa" w:w="2592"/>
            <w:shd w:fill="A5D8FF"/>
          </w:tcPr>
          <w:p>
            <w:pPr>
              <w:spacing w:after="40"/>
            </w:pPr>
            <w:r>
              <w:rPr>
                <w:sz w:val="18"/>
              </w:rPr>
              <w:t>QuantumMetricUserID</w:t>
            </w:r>
          </w:p>
        </w:tc>
        <w:tc>
          <w:tcPr>
            <w:tcW w:type="dxa" w:w="2880"/>
            <w:shd w:fill="A5D8FF"/>
          </w:tcPr>
          <w:p>
            <w:pPr>
              <w:spacing w:after="40"/>
            </w:pPr>
            <w:r>
              <w:rPr>
                <w:sz w:val="18"/>
              </w:rPr>
              <w:t>Quantum Metric</w:t>
            </w:r>
          </w:p>
        </w:tc>
        <w:tc>
          <w:tcPr>
            <w:tcW w:type="dxa" w:w="4032"/>
            <w:shd w:fill="A5D8FF"/>
          </w:tcPr>
          <w:p>
            <w:pPr>
              <w:spacing w:after="40"/>
            </w:pPr>
            <w:r>
              <w:rPr>
                <w:sz w:val="18"/>
              </w:rPr>
              <w:t>45335be67bb6caf6e65b2b13c2528cbb</w:t>
            </w:r>
          </w:p>
        </w:tc>
        <w:tc>
          <w:tcPr>
            <w:tcW w:type="dxa" w:w="2304"/>
            <w:shd w:fill="A5D8FF"/>
          </w:tcPr>
          <w:p>
            <w:pPr>
              <w:spacing w:after="40"/>
            </w:pPr>
            <w:r>
              <w:rPr>
                <w:sz w:val="18"/>
              </w:rPr>
              <w:t>Yes</w:t>
            </w:r>
          </w:p>
        </w:tc>
      </w:tr>
      <w:tr>
        <w:tc>
          <w:tcPr>
            <w:tcW w:type="dxa" w:w="2592"/>
            <w:shd w:fill="C3FAE8"/>
          </w:tcPr>
          <w:p>
            <w:pPr>
              <w:spacing w:after="40"/>
            </w:pPr>
            <w:r>
              <w:rPr>
                <w:sz w:val="18"/>
              </w:rPr>
              <w:t>demdex</w:t>
            </w:r>
          </w:p>
        </w:tc>
        <w:tc>
          <w:tcPr>
            <w:tcW w:type="dxa" w:w="2880"/>
            <w:shd w:fill="C3FAE8"/>
          </w:tcPr>
          <w:p>
            <w:pPr>
              <w:spacing w:after="40"/>
            </w:pPr>
            <w:r>
              <w:rPr>
                <w:sz w:val="18"/>
              </w:rPr>
              <w:t>Adobe Experience Platform</w:t>
            </w:r>
          </w:p>
        </w:tc>
        <w:tc>
          <w:tcPr>
            <w:tcW w:type="dxa" w:w="4032"/>
            <w:shd w:fill="C3FAE8"/>
          </w:tcPr>
          <w:p>
            <w:pPr>
              <w:spacing w:after="40"/>
            </w:pPr>
            <w:r>
              <w:rPr>
                <w:sz w:val="18"/>
              </w:rPr>
              <w:t>12553034279938536060289100789141318440</w:t>
            </w:r>
          </w:p>
        </w:tc>
        <w:tc>
          <w:tcPr>
            <w:tcW w:type="dxa" w:w="2304"/>
            <w:shd w:fill="C3FAE8"/>
          </w:tcPr>
          <w:p>
            <w:pPr>
              <w:spacing w:after="40"/>
            </w:pPr>
            <w:r>
              <w:rPr>
                <w:sz w:val="18"/>
              </w:rPr>
              <w:t>Yes</w:t>
            </w:r>
          </w:p>
        </w:tc>
      </w:tr>
    </w:tbl>
    <w:p/>
    <w:p>
      <w:r>
        <w:rPr>
          <w:i/>
          <w:color w:val="595959"/>
          <w:sz w:val="18"/>
        </w:rPr>
        <w:t>Source: Cookie Timeline sheet, snapshotted at landing page load, after “Get started”, after the offers page loaded, and after all 5 plans were reviewed.</w:t>
      </w:r>
    </w:p>
    <w:p/>
    <w:p>
      <w:pPr>
        <w:pStyle w:val="Heading2"/>
      </w:pPr>
      <w:r>
        <w:t>Caveats</w:t>
      </w:r>
    </w:p>
    <w:p>
      <w:r>
        <w:rPr>
          <w:i/>
          <w:color w:val="595959"/>
          <w:sz w:val="18"/>
        </w:rPr>
        <w:t>This is inferred from client-side network traffic only — vendor identification is confidence-based pattern matching (cookie names, header markers, URL/query conventions), not confirmed against any vendor's private documentation. No JS call-stack/initiator data or TLS fingerprint was available to attribute individual calls to specific source scripts with certainty. There was no non-automated baseline session to compare against, so it's not possible to say with certainty whether the single 403 reflects bot-specific rejection versus a broken endpoint that fails for all traffic.</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