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4352" w:rsidRDefault="00B1507C">
      <w:pPr>
        <w:pStyle w:val="Titre"/>
        <w:keepNext/>
        <w:pageBreakBefore w:val="0"/>
        <w:spacing w:after="100" w:line="254" w:lineRule="auto"/>
      </w:pPr>
      <w:r>
        <w:rPr>
          <w:rFonts w:ascii="Arial" w:hAnsi="Arial"/>
          <w:color w:val="000000"/>
          <w:sz w:val="40"/>
        </w:rPr>
        <w:t>Révision des opérations booléennes</w:t>
      </w:r>
    </w:p>
    <w:p w:rsidR="00774352" w:rsidRDefault="00B1507C">
      <w:pPr>
        <w:keepNext/>
        <w:pageBreakBefore w:val="0"/>
        <w:spacing w:after="100" w:line="254" w:lineRule="auto"/>
      </w:pPr>
      <w:r>
        <w:rPr>
          <w:rFonts w:ascii="Arial" w:hAnsi="Arial"/>
          <w:color w:val="000000"/>
          <w:sz w:val="22"/>
        </w:rPr>
        <w:t>Rappels méthodes et exercices pour les Terminales STI2D EE</w:t>
      </w:r>
    </w:p>
    <w:p w:rsidR="00774352" w:rsidRDefault="00B1507C">
      <w:pPr>
        <w:pageBreakBefore w:val="0"/>
        <w:spacing w:after="100" w:line="254" w:lineRule="auto"/>
      </w:pPr>
      <w:r>
        <w:rPr>
          <w:rFonts w:ascii="Arial" w:hAnsi="Arial"/>
          <w:color w:val="000000"/>
          <w:sz w:val="22"/>
        </w:rPr>
        <w:t>Objectif. Réviser les opérations logiques appliquées à des commandes en Énergies et Environnement, reconnaître les deux conventions de symboles, simplifier une fonction et vérifier un circuit.</w:t>
      </w:r>
    </w:p>
    <w:p w:rsidR="00774352" w:rsidRDefault="00B1507C">
      <w:pPr>
        <w:pStyle w:val="Titre1"/>
        <w:pageBreakBefore w:val="0"/>
        <w:spacing w:before="180" w:after="100" w:line="254" w:lineRule="auto"/>
      </w:pPr>
      <w:r>
        <w:rPr>
          <w:rFonts w:ascii="Arial" w:hAnsi="Arial"/>
          <w:color w:val="000000"/>
          <w:sz w:val="28"/>
        </w:rPr>
        <w:t>1 Les variables et opérations logiques</w:t>
      </w:r>
    </w:p>
    <w:p w:rsidR="00774352" w:rsidRDefault="00B1507C">
      <w:pPr>
        <w:pageBreakBefore w:val="0"/>
        <w:spacing w:after="100" w:line="254" w:lineRule="auto"/>
      </w:pPr>
      <w:r>
        <w:rPr>
          <w:rFonts w:ascii="Arial" w:hAnsi="Arial"/>
          <w:color w:val="000000"/>
          <w:sz w:val="22"/>
        </w:rPr>
        <w:t>Une variable booléenne prend deux valeurs : 0 ou 1. En EE, elle peut représenter une demande de chauffage, une présence, un défaut ou le dépassement d’un seuil de température. La grandeur mesurée est traduite en une condition vraie ou fausse. Une fonction logique calcule ses sorties à partir de ces entrées.</w:t>
      </w:r>
    </w:p>
    <w:tbl>
      <w:tblPr>
        <w:tblStyle w:val="Grilledutableau"/>
        <w:tblW w:w="0" w:type="auto"/>
        <w:jc w:val="center"/>
        <w:tblLayout w:type="fixed"/>
        <w:tblLook w:val="04A0" w:firstRow="1" w:lastRow="0" w:firstColumn="1" w:lastColumn="0" w:noHBand="0" w:noVBand="1"/>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232"/>
        <w:gridCol w:w="5328"/>
      </w:tblGrid>
      <w:tr w:rsidR="00774352">
        <w:trPr>
          <w:tblHeader/>
          <w:jc w:val="center"/>
          <w:cantSplit/>
          <w:tblHeader/>
        </w:trPr>
        <w:tc>
          <w:tcPr>
            <w:tcW w:w="2088"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Opération</w:t>
            </w:r>
          </w:p>
        </w:tc>
        <w:tc>
          <w:tcPr>
            <w:tcW w:w="2232"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Écriture</w:t>
            </w:r>
          </w:p>
        </w:tc>
        <w:tc>
          <w:tcPr>
            <w:tcW w:w="5328"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Règle de fonctionnement</w:t>
            </w:r>
          </w:p>
        </w:tc>
      </w:tr>
      <w:tr w:rsidR="00774352">
        <w:trPr>
          <w:jc w:val="center"/>
          <w:cantSplit/>
        </w:trPr>
        <w:tc>
          <w:tcPr>
            <w:tcW w:w="2088"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NON (NOT)</w:t>
            </w:r>
          </w:p>
        </w:tc>
        <w:tc>
          <w:tcPr>
            <w:tcW w:w="2232"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w:t>
            </w:r>
          </w:p>
        </w:tc>
        <w:tc>
          <w:tcPr>
            <w:tcW w:w="5328"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Inverse la valeur de A.</w:t>
            </w:r>
          </w:p>
        </w:tc>
      </w:tr>
      <w:tr w:rsidR="00774352">
        <w:trPr>
          <w:jc w:val="center"/>
          <w:cantSplit/>
        </w:trPr>
        <w:tc>
          <w:tcPr>
            <w:tcW w:w="2088"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ET (AND)</w:t>
            </w:r>
          </w:p>
        </w:tc>
        <w:tc>
          <w:tcPr>
            <w:tcW w:w="2232"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w:t>
            </w:r>
          </w:p>
        </w:tc>
        <w:tc>
          <w:tcPr>
            <w:tcW w:w="5328"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Vaut 1 uniquement si A et B valent 1.</w:t>
            </w:r>
          </w:p>
        </w:tc>
      </w:tr>
      <w:tr w:rsidR="00774352">
        <w:trPr>
          <w:jc w:val="center"/>
          <w:cantSplit/>
        </w:trPr>
        <w:tc>
          <w:tcPr>
            <w:tcW w:w="2088"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OU inclusif (OR)</w:t>
            </w:r>
          </w:p>
        </w:tc>
        <w:tc>
          <w:tcPr>
            <w:tcW w:w="2232"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w:t>
            </w:r>
          </w:p>
        </w:tc>
        <w:tc>
          <w:tcPr>
            <w:tcW w:w="5328"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Vaut 1 si au moins une entrée vaut 1, y compris 11.</w:t>
            </w:r>
          </w:p>
        </w:tc>
      </w:tr>
      <w:tr w:rsidR="00774352">
        <w:trPr>
          <w:jc w:val="center"/>
          <w:cantSplit/>
        </w:trPr>
        <w:tc>
          <w:tcPr>
            <w:tcW w:w="2088"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NON-ET (NAND)</w:t>
            </w:r>
          </w:p>
        </w:tc>
        <w:tc>
          <w:tcPr>
            <w:tcW w:w="2232"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w:t>
            </w:r>
          </w:p>
        </w:tc>
        <w:tc>
          <w:tcPr>
            <w:tcW w:w="5328"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Inverse la sortie de la porte ET.</w:t>
            </w:r>
          </w:p>
        </w:tc>
      </w:tr>
      <w:tr w:rsidR="00774352">
        <w:trPr>
          <w:jc w:val="center"/>
          <w:cantSplit/>
        </w:trPr>
        <w:tc>
          <w:tcPr>
            <w:tcW w:w="2088"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NON-OU (NOR)</w:t>
            </w:r>
          </w:p>
        </w:tc>
        <w:tc>
          <w:tcPr>
            <w:tcW w:w="2232"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w:t>
            </w:r>
          </w:p>
        </w:tc>
        <w:tc>
          <w:tcPr>
            <w:tcW w:w="5328"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Inverse la sortie de la porte OU.</w:t>
            </w:r>
          </w:p>
        </w:tc>
      </w:tr>
      <w:tr w:rsidR="00774352">
        <w:trPr>
          <w:jc w:val="center"/>
          <w:cantSplit/>
        </w:trPr>
        <w:tc>
          <w:tcPr>
            <w:tcW w:w="2088"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OU exclusif (XOR)</w:t>
            </w:r>
          </w:p>
        </w:tc>
        <w:tc>
          <w:tcPr>
            <w:tcW w:w="2232"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w:t>
            </w:r>
          </w:p>
        </w:tc>
        <w:tc>
          <w:tcPr>
            <w:tcW w:w="5328"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Vaut 1 si les entrées sont différentes.</w:t>
            </w:r>
          </w:p>
        </w:tc>
      </w:tr>
    </w:tbl>
    <w:p w:rsidR="00774352" w:rsidRDefault="00B1507C">
      <w:pPr>
        <w:pStyle w:val="Titre2"/>
        <w:pageBreakBefore w:val="0"/>
        <w:spacing w:before="120" w:after="100" w:line="254" w:lineRule="auto"/>
      </w:pPr>
      <w:r>
        <w:rPr>
          <w:rFonts w:ascii="Arial" w:hAnsi="Arial"/>
          <w:color w:val="000000"/>
          <w:sz w:val="24"/>
        </w:rPr>
        <w:t>Table de vérité à deux entrées</w:t>
      </w:r>
    </w:p>
    <w:p w:rsidR="00774352" w:rsidRDefault="00B1507C">
      <w:pPr>
        <w:pageBreakBefore w:val="0"/>
        <w:spacing w:after="100" w:line="254" w:lineRule="auto"/>
      </w:pPr>
      <w:r>
        <w:rPr>
          <w:rFonts w:ascii="Arial" w:hAnsi="Arial"/>
          <w:color w:val="000000"/>
          <w:sz w:val="22"/>
        </w:rPr>
        <w:t>Avec n entrées, une table complète contient 2</w:t>
      </w:r>
      <w:r>
        <w:rPr>
          <w:rFonts w:ascii="Arial" w:hAnsi="Arial"/>
          <w:color w:val="000000"/>
          <w:sz w:val="22"/>
          <w:vertAlign w:val="superscript"/>
        </w:rPr>
        <w:t>n</w:t>
      </w:r>
      <w:r>
        <w:rPr>
          <w:rFonts w:ascii="Arial" w:hAnsi="Arial"/>
          <w:color w:val="000000"/>
          <w:sz w:val="22"/>
        </w:rPr>
        <w:t xml:space="preserve"> lignes. Avec deux entrées, il y a donc quatre combinaisons possibles.</w:t>
      </w:r>
    </w:p>
    <w:tbl>
      <w:tblPr>
        <w:tblStyle w:val="Grilledutableau"/>
        <w:tblW w:w="0" w:type="auto"/>
        <w:jc w:val="center"/>
        <w:tblLayout w:type="fixed"/>
        <w:tblLook w:val="04A0" w:firstRow="1" w:lastRow="0" w:firstColumn="1" w:lastColumn="0" w:noHBand="0" w:noVBand="1"/>
        <w:tblBorders>
          <w:top w:val="single" w:sz="5" w:color="D9D9D9"/>
          <w:left w:val="single" w:sz="5" w:color="D9D9D9"/>
          <w:bottom w:val="single" w:sz="5" w:color="D9D9D9"/>
          <w:right w:val="single" w:sz="5" w:color="D9D9D9"/>
          <w:insideH w:val="single" w:sz="5" w:color="D9D9D9"/>
          <w:insideV w:val="single" w:sz="5" w:color="D9D9D9"/>
        </w:tblBorders>
      </w:tblPr>
      <w:tblGrid>
        <w:gridCol w:w="605"/>
        <w:gridCol w:w="605"/>
        <w:gridCol w:w="749"/>
        <w:gridCol w:w="893"/>
        <w:gridCol w:w="893"/>
        <w:gridCol w:w="1224"/>
        <w:gridCol w:w="1224"/>
        <w:gridCol w:w="893"/>
      </w:tblGrid>
      <w:tr w:rsidR="00774352">
        <w:trPr>
          <w:tblHeader/>
          <w:jc w:val="center"/>
          <w:cantSplit/>
          <w:tblHeader/>
        </w:trPr>
        <w:tc>
          <w:tcPr>
            <w:tcW w:w="605"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A</w:t>
            </w:r>
          </w:p>
        </w:tc>
        <w:tc>
          <w:tcPr>
            <w:tcW w:w="605"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B</w:t>
            </w:r>
          </w:p>
        </w:tc>
        <w:tc>
          <w:tcPr>
            <w:tcW w:w="749"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¬A</w:t>
            </w:r>
          </w:p>
        </w:tc>
        <w:tc>
          <w:tcPr>
            <w:tcW w:w="893"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A·B</w:t>
            </w:r>
          </w:p>
        </w:tc>
        <w:tc>
          <w:tcPr>
            <w:tcW w:w="893"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A+B</w:t>
            </w:r>
          </w:p>
        </w:tc>
        <w:tc>
          <w:tcPr>
            <w:tcW w:w="1224"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¬(A·B)</w:t>
            </w:r>
          </w:p>
        </w:tc>
        <w:tc>
          <w:tcPr>
            <w:tcW w:w="1224"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¬(A+B)</w:t>
            </w:r>
          </w:p>
        </w:tc>
        <w:tc>
          <w:tcPr>
            <w:tcW w:w="893"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A⊕B</w:t>
            </w:r>
          </w:p>
        </w:tc>
      </w:tr>
      <w:tr w:rsidR="00774352">
        <w:trPr>
          <w:jc w:val="center"/>
          <w:cantSplit/>
        </w:trPr>
        <w:tc>
          <w:tcPr>
            <w:tcW w:w="605"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c>
          <w:tcPr>
            <w:tcW w:w="605"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c>
          <w:tcPr>
            <w:tcW w:w="749"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c>
          <w:tcPr>
            <w:tcW w:w="893"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c>
          <w:tcPr>
            <w:tcW w:w="893"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c>
          <w:tcPr>
            <w:tcW w:w="1224"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c>
          <w:tcPr>
            <w:tcW w:w="1224"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c>
          <w:tcPr>
            <w:tcW w:w="893"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r>
      <w:tr w:rsidR="00774352">
        <w:trPr>
          <w:jc w:val="center"/>
          <w:cantSplit/>
        </w:trPr>
        <w:tc>
          <w:tcPr>
            <w:tcW w:w="605"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c>
          <w:tcPr>
            <w:tcW w:w="605"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c>
          <w:tcPr>
            <w:tcW w:w="749"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c>
          <w:tcPr>
            <w:tcW w:w="893"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c>
          <w:tcPr>
            <w:tcW w:w="893"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c>
          <w:tcPr>
            <w:tcW w:w="1224"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c>
          <w:tcPr>
            <w:tcW w:w="1224"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c>
          <w:tcPr>
            <w:tcW w:w="893"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r>
      <w:tr w:rsidR="00774352">
        <w:trPr>
          <w:jc w:val="center"/>
          <w:cantSplit/>
        </w:trPr>
        <w:tc>
          <w:tcPr>
            <w:tcW w:w="605"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c>
          <w:tcPr>
            <w:tcW w:w="605"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c>
          <w:tcPr>
            <w:tcW w:w="749"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c>
          <w:tcPr>
            <w:tcW w:w="893"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c>
          <w:tcPr>
            <w:tcW w:w="893"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c>
          <w:tcPr>
            <w:tcW w:w="1224"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c>
          <w:tcPr>
            <w:tcW w:w="1224"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c>
          <w:tcPr>
            <w:tcW w:w="893"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r>
      <w:tr w:rsidR="00774352">
        <w:trPr>
          <w:jc w:val="center"/>
          <w:cantSplit/>
        </w:trPr>
        <w:tc>
          <w:tcPr>
            <w:tcW w:w="605"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c>
          <w:tcPr>
            <w:tcW w:w="605"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c>
          <w:tcPr>
            <w:tcW w:w="749"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c>
          <w:tcPr>
            <w:tcW w:w="893"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c>
          <w:tcPr>
            <w:tcW w:w="893"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1</w:t>
            </w:r>
          </w:p>
        </w:tc>
        <w:tc>
          <w:tcPr>
            <w:tcW w:w="1224"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c>
          <w:tcPr>
            <w:tcW w:w="1224"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c>
          <w:tcPr>
            <w:tcW w:w="893"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jc w:val="center"/>
            </w:pPr>
            <w:r>
              <w:rPr>
                <w:rFonts w:ascii="Arial" w:hAnsi="Arial"/>
                <w:b w:val="0"/>
                <w:color w:val="000000"/>
                <w:sz w:val="21"/>
              </w:rPr>
              <w:t>0</w:t>
            </w:r>
          </w:p>
        </w:tc>
      </w:tr>
    </w:tbl>
    <w:p w:rsidR="00774352" w:rsidRDefault="00B1507C">
      <w:pPr>
        <w:pageBreakBefore w:val="0"/>
        <w:spacing w:after="100" w:line="254" w:lineRule="auto"/>
      </w:pPr>
      <w:r>
        <w:rPr>
          <w:rFonts w:ascii="Arial" w:hAnsi="Arial"/>
          <w:b/>
          <w:color w:val="000000"/>
          <w:sz w:val="22"/>
        </w:rPr>
        <w:t xml:space="preserve">Repère. </w:t>
      </w:r>
      <w:r>
        <w:rPr>
          <w:rFonts w:ascii="Arial" w:hAnsi="Arial"/>
          <w:color w:val="000000"/>
          <w:sz w:val="22"/>
        </w:rPr>
        <w:t>OU inclusif accepte 11 ; XOR exige exactement une entrée à 1. Une bulle sur le symbole d’une porte indique une inversion.</w:t>
      </w:r>
    </w:p>
    <w:p>
      <w:pPr>
        <w:pStyle w:val="Titre2"/>
        <w:keepNext/>
        <w:spacing w:before="100" w:after="100"/>
      </w:pPr>
      <w:r>
        <w:rPr>
          <w:b w:val="0"/>
        </w:rPr>
        <w:t>Application en Énergies et Environnement</w:t>
      </w:r>
    </w:p>
    <w:p>
      <w:pPr>
        <w:keepNext w:val="0"/>
        <w:spacing w:before="0" w:after="80"/>
      </w:pPr>
      <w:r>
        <w:rPr>
          <w:b w:val="0"/>
        </w:rPr>
        <w:t>Exemple d’éclairage automatique : P = 1 lorsqu’une présence est détectée et N = 1 lorsque la luminosité est insuffisante. On commande l’éclairage seulement lorsque ces deux conditions sont réunies.</w:t>
      </w:r>
    </w:p>
    <w:p>
      <w:pPr>
        <w:keepNext w:val="0"/>
        <w:spacing w:before="0" w:after="100"/>
      </w:pPr>
      <w:r>
        <w:rPr>
          <w:b w:val="0"/>
        </w:rPr>
      </w:r>
      <m:oMath>
        <m:r>
          <m:t xml:space="preserve">L = P·N</m:t>
        </m:r>
      </m:oMath>
    </w:p>
    <w:p>
      <w:pPr>
        <w:keepNext w:val="0"/>
        <w:spacing w:before="0" w:after="60"/>
      </w:pPr>
      <w:r>
        <w:rPr>
          <w:b w:val="0"/>
        </w:rPr>
        <w:t>Pour P = 1 et N = 0, L = 0 : la présence seule ne suffit pas. Les états 0 et 1 sont définis pour chaque signal ; ils ne correspondent pas automatiquement à une tension de 0 V ou de 1 V.</w:t>
      </w:r>
    </w:p>
    <w:p>
      <w:r>
        <w:br w:type="page"/>
      </w:r>
    </w:p>
    <w:p>
      <w:pPr>
        <w:pStyle w:val="Titre1"/>
        <w:keepNext/>
        <w:spacing w:before="100" w:after="100"/>
      </w:pPr>
      <w:r>
        <w:rPr>
          <w:b w:val="0"/>
        </w:rPr>
        <w:t>Symboles européens et américains</w:t>
      </w:r>
    </w:p>
    <w:p>
      <w:pPr>
        <w:keepNext w:val="0"/>
        <w:spacing w:before="0" w:after="140"/>
      </w:pPr>
      <w:r>
        <w:rPr>
          <w:b w:val="0"/>
        </w:rPr>
        <w:t>Une même fonction logique possède deux représentations. Les symboles européens sont rectangulaires et portent un indicateur de fonction. Les symboles américains utilisent des formes distinctives. Les schémas ci-dessous représentent des portes à deux entrées, sauf NON qui n’en possède qu’une.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28"/>
        <w:gridCol w:w="1984"/>
        <w:gridCol w:w="2863"/>
        <w:gridCol w:w="2863"/>
      </w:tblGrid>
      <w:tr>
        <w:trPr>
          <w:cantSplit/>
          <w:tblHeader/>
        </w:trPr>
        <w:tc>
          <w:tcPr>
            <w:tcW w:type="dxa" w:w="1928"/>
            <w:vAlign w:val="center"/>
            <w:shd w:fill="193A55"/>
            <w:tcMar>
              <w:top w:w="55" w:type="dxa"/>
              <w:bottom w:w="55" w:type="dxa"/>
              <w:left w:w="85" w:type="dxa"/>
              <w:right w:w="85" w:type="dxa"/>
            </w:tcMar>
          </w:tcPr>
          <w:p>
            <w:pPr>
              <w:spacing w:before="0" w:after="0" w:line="247" w:lineRule="auto"/>
              <w:jc w:val="center"/>
            </w:pPr>
            <w:r>
              <w:rPr>
                <w:rFonts w:ascii="Arial" w:hAnsi="Arial"/>
                <w:b/>
                <w:color w:val="FFFFFF"/>
                <w:sz w:val="22"/>
              </w:rPr>
              <w:t>Opération</w:t>
            </w:r>
          </w:p>
        </w:tc>
        <w:tc>
          <w:tcPr>
            <w:tcW w:type="dxa" w:w="1984"/>
            <w:vAlign w:val="center"/>
            <w:shd w:fill="193A55"/>
            <w:tcMar>
              <w:top w:w="55" w:type="dxa"/>
              <w:bottom w:w="55" w:type="dxa"/>
              <w:left w:w="85" w:type="dxa"/>
              <w:right w:w="85" w:type="dxa"/>
            </w:tcMar>
          </w:tcPr>
          <w:p>
            <w:pPr>
              <w:spacing w:before="0" w:after="0" w:line="247" w:lineRule="auto"/>
              <w:jc w:val="center"/>
            </w:pPr>
            <w:r>
              <w:rPr>
                <w:rFonts w:ascii="Arial" w:hAnsi="Arial"/>
                <w:b/>
                <w:color w:val="FFFFFF"/>
                <w:sz w:val="22"/>
              </w:rPr>
              <w:t>Expression</w:t>
            </w:r>
          </w:p>
        </w:tc>
        <w:tc>
          <w:tcPr>
            <w:tcW w:type="dxa" w:w="2863"/>
            <w:vAlign w:val="center"/>
            <w:shd w:fill="193A55"/>
            <w:tcMar>
              <w:top w:w="55" w:type="dxa"/>
              <w:bottom w:w="55" w:type="dxa"/>
              <w:left w:w="85" w:type="dxa"/>
              <w:right w:w="85" w:type="dxa"/>
            </w:tcMar>
          </w:tcPr>
          <w:p>
            <w:pPr>
              <w:spacing w:before="0" w:after="0" w:line="247" w:lineRule="auto"/>
              <w:jc w:val="center"/>
            </w:pPr>
            <w:r>
              <w:rPr>
                <w:rFonts w:ascii="Arial" w:hAnsi="Arial"/>
                <w:b/>
                <w:color w:val="FFFFFF"/>
                <w:sz w:val="22"/>
              </w:rPr>
              <w:t>Européen IEC</w:t>
            </w:r>
          </w:p>
        </w:tc>
        <w:tc>
          <w:tcPr>
            <w:tcW w:type="dxa" w:w="2863"/>
            <w:vAlign w:val="center"/>
            <w:shd w:fill="193A55"/>
            <w:tcMar>
              <w:top w:w="55" w:type="dxa"/>
              <w:bottom w:w="55" w:type="dxa"/>
              <w:left w:w="85" w:type="dxa"/>
              <w:right w:w="85" w:type="dxa"/>
            </w:tcMar>
          </w:tcPr>
          <w:p>
            <w:pPr>
              <w:spacing w:before="0" w:after="0" w:line="247" w:lineRule="auto"/>
              <w:jc w:val="center"/>
            </w:pPr>
            <w:r>
              <w:rPr>
                <w:rFonts w:ascii="Arial" w:hAnsi="Arial"/>
                <w:b/>
                <w:color w:val="FFFFFF"/>
                <w:sz w:val="22"/>
              </w:rPr>
              <w:t>Américain ANSI IEEE</w:t>
            </w:r>
          </w:p>
        </w:tc>
      </w:tr>
      <w:tr>
        <w:trPr>
          <w:cantSplit/>
        </w:trPr>
        <w:tc>
          <w:tcPr>
            <w:tcW w:type="dxa" w:w="1928"/>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NON  NOT</w:t>
            </w:r>
          </w:p>
        </w:tc>
        <w:tc>
          <w:tcPr>
            <w:tcW w:type="dxa" w:w="1984"/>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S = ¬A</w:t>
            </w:r>
          </w:p>
        </w:tc>
        <w:tc>
          <w:tcPr>
            <w:tcW w:type="dxa" w:w="2863"/>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r>
              <w:drawing>
                <wp:inline xmlns:a="http://schemas.openxmlformats.org/drawingml/2006/main" xmlns:pic="http://schemas.openxmlformats.org/drawingml/2006/picture">
                  <wp:extent cx="1548000" cy="667765"/>
                  <wp:docPr id="1" name="Picture 1" descr="Porte NON  NOT avec le symbole IEC, entrées à gauche et sortie S à droite"/>
                  <wp:cNvGraphicFramePr>
                    <a:graphicFrameLocks noChangeAspect="1"/>
                  </wp:cNvGraphicFramePr>
                  <a:graphic>
                    <a:graphicData uri="http://schemas.openxmlformats.org/drawingml/2006/picture">
                      <pic:pic>
                        <pic:nvPicPr>
                          <pic:cNvPr id="0" name="NOT_IEC.png"/>
                          <pic:cNvPicPr/>
                        </pic:nvPicPr>
                        <pic:blipFill>
                          <a:blip r:embed="rId12"/>
                          <a:stretch>
                            <a:fillRect/>
                          </a:stretch>
                        </pic:blipFill>
                        <pic:spPr>
                          <a:xfrm>
                            <a:off x="0" y="0"/>
                            <a:ext cx="1548000" cy="667765"/>
                          </a:xfrm>
                          <a:prstGeom prst="rect"/>
                        </pic:spPr>
                      </pic:pic>
                    </a:graphicData>
                  </a:graphic>
                </wp:inline>
              </w:drawing>
            </w:r>
          </w:p>
        </w:tc>
        <w:tc>
          <w:tcPr>
            <w:tcW w:type="dxa" w:w="2863"/>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r>
              <w:drawing>
                <wp:inline xmlns:a="http://schemas.openxmlformats.org/drawingml/2006/main" xmlns:pic="http://schemas.openxmlformats.org/drawingml/2006/picture">
                  <wp:extent cx="1548000" cy="667765"/>
                  <wp:docPr id="2" name="Picture 2" descr="Porte NON  NOT avec le symbole ANSI, entrées à gauche et sortie S à droite"/>
                  <wp:cNvGraphicFramePr>
                    <a:graphicFrameLocks noChangeAspect="1"/>
                  </wp:cNvGraphicFramePr>
                  <a:graphic>
                    <a:graphicData uri="http://schemas.openxmlformats.org/drawingml/2006/picture">
                      <pic:pic>
                        <pic:nvPicPr>
                          <pic:cNvPr id="0" name="NOT_ANSI.png"/>
                          <pic:cNvPicPr/>
                        </pic:nvPicPr>
                        <pic:blipFill>
                          <a:blip r:embed="rId13"/>
                          <a:stretch>
                            <a:fillRect/>
                          </a:stretch>
                        </pic:blipFill>
                        <pic:spPr>
                          <a:xfrm>
                            <a:off x="0" y="0"/>
                            <a:ext cx="1548000" cy="667765"/>
                          </a:xfrm>
                          <a:prstGeom prst="rect"/>
                        </pic:spPr>
                      </pic:pic>
                    </a:graphicData>
                  </a:graphic>
                </wp:inline>
              </w:drawing>
            </w:r>
          </w:p>
        </w:tc>
      </w:tr>
      <w:tr>
        <w:trPr>
          <w:cantSplit/>
        </w:trPr>
        <w:tc>
          <w:tcPr>
            <w:tcW w:type="dxa" w:w="1928"/>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ET  AND</w:t>
            </w:r>
          </w:p>
        </w:tc>
        <w:tc>
          <w:tcPr>
            <w:tcW w:type="dxa" w:w="1984"/>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S = A·B</w:t>
            </w:r>
          </w:p>
        </w:tc>
        <w:tc>
          <w:tcPr>
            <w:tcW w:type="dxa" w:w="2863"/>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r>
              <w:drawing>
                <wp:inline xmlns:a="http://schemas.openxmlformats.org/drawingml/2006/main" xmlns:pic="http://schemas.openxmlformats.org/drawingml/2006/picture">
                  <wp:extent cx="1548000" cy="667765"/>
                  <wp:docPr id="3" name="Picture 3" descr="Porte ET  AND avec le symbole IEC, entrées à gauche et sortie S à droite"/>
                  <wp:cNvGraphicFramePr>
                    <a:graphicFrameLocks noChangeAspect="1"/>
                  </wp:cNvGraphicFramePr>
                  <a:graphic>
                    <a:graphicData uri="http://schemas.openxmlformats.org/drawingml/2006/picture">
                      <pic:pic>
                        <pic:nvPicPr>
                          <pic:cNvPr id="0" name="AND_IEC.png"/>
                          <pic:cNvPicPr/>
                        </pic:nvPicPr>
                        <pic:blipFill>
                          <a:blip r:embed="rId14"/>
                          <a:stretch>
                            <a:fillRect/>
                          </a:stretch>
                        </pic:blipFill>
                        <pic:spPr>
                          <a:xfrm>
                            <a:off x="0" y="0"/>
                            <a:ext cx="1548000" cy="667765"/>
                          </a:xfrm>
                          <a:prstGeom prst="rect"/>
                        </pic:spPr>
                      </pic:pic>
                    </a:graphicData>
                  </a:graphic>
                </wp:inline>
              </w:drawing>
            </w:r>
          </w:p>
        </w:tc>
        <w:tc>
          <w:tcPr>
            <w:tcW w:type="dxa" w:w="2863"/>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r>
              <w:drawing>
                <wp:inline xmlns:a="http://schemas.openxmlformats.org/drawingml/2006/main" xmlns:pic="http://schemas.openxmlformats.org/drawingml/2006/picture">
                  <wp:extent cx="1548000" cy="667765"/>
                  <wp:docPr id="4" name="Picture 4" descr="Porte ET  AND avec le symbole ANSI, entrées à gauche et sortie S à droite"/>
                  <wp:cNvGraphicFramePr>
                    <a:graphicFrameLocks noChangeAspect="1"/>
                  </wp:cNvGraphicFramePr>
                  <a:graphic>
                    <a:graphicData uri="http://schemas.openxmlformats.org/drawingml/2006/picture">
                      <pic:pic>
                        <pic:nvPicPr>
                          <pic:cNvPr id="0" name="AND_ANSI.png"/>
                          <pic:cNvPicPr/>
                        </pic:nvPicPr>
                        <pic:blipFill>
                          <a:blip r:embed="rId15"/>
                          <a:stretch>
                            <a:fillRect/>
                          </a:stretch>
                        </pic:blipFill>
                        <pic:spPr>
                          <a:xfrm>
                            <a:off x="0" y="0"/>
                            <a:ext cx="1548000" cy="667765"/>
                          </a:xfrm>
                          <a:prstGeom prst="rect"/>
                        </pic:spPr>
                      </pic:pic>
                    </a:graphicData>
                  </a:graphic>
                </wp:inline>
              </w:drawing>
            </w:r>
          </w:p>
        </w:tc>
      </w:tr>
      <w:tr>
        <w:trPr>
          <w:cantSplit/>
        </w:trPr>
        <w:tc>
          <w:tcPr>
            <w:tcW w:type="dxa" w:w="1928"/>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OU  OR</w:t>
            </w:r>
          </w:p>
        </w:tc>
        <w:tc>
          <w:tcPr>
            <w:tcW w:type="dxa" w:w="1984"/>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S = A+B</w:t>
            </w:r>
          </w:p>
        </w:tc>
        <w:tc>
          <w:tcPr>
            <w:tcW w:type="dxa" w:w="2863"/>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r>
              <w:drawing>
                <wp:inline xmlns:a="http://schemas.openxmlformats.org/drawingml/2006/main" xmlns:pic="http://schemas.openxmlformats.org/drawingml/2006/picture">
                  <wp:extent cx="1548000" cy="667765"/>
                  <wp:docPr id="5" name="Picture 5" descr="Porte OU  OR avec le symbole IEC, entrées à gauche et sortie S à droite"/>
                  <wp:cNvGraphicFramePr>
                    <a:graphicFrameLocks noChangeAspect="1"/>
                  </wp:cNvGraphicFramePr>
                  <a:graphic>
                    <a:graphicData uri="http://schemas.openxmlformats.org/drawingml/2006/picture">
                      <pic:pic>
                        <pic:nvPicPr>
                          <pic:cNvPr id="0" name="OR_IEC.png"/>
                          <pic:cNvPicPr/>
                        </pic:nvPicPr>
                        <pic:blipFill>
                          <a:blip r:embed="rId16"/>
                          <a:stretch>
                            <a:fillRect/>
                          </a:stretch>
                        </pic:blipFill>
                        <pic:spPr>
                          <a:xfrm>
                            <a:off x="0" y="0"/>
                            <a:ext cx="1548000" cy="667765"/>
                          </a:xfrm>
                          <a:prstGeom prst="rect"/>
                        </pic:spPr>
                      </pic:pic>
                    </a:graphicData>
                  </a:graphic>
                </wp:inline>
              </w:drawing>
            </w:r>
          </w:p>
        </w:tc>
        <w:tc>
          <w:tcPr>
            <w:tcW w:type="dxa" w:w="2863"/>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r>
              <w:drawing>
                <wp:inline xmlns:a="http://schemas.openxmlformats.org/drawingml/2006/main" xmlns:pic="http://schemas.openxmlformats.org/drawingml/2006/picture">
                  <wp:extent cx="1548000" cy="667765"/>
                  <wp:docPr id="6" name="Picture 6" descr="Porte OU  OR avec le symbole ANSI, entrées à gauche et sortie S à droite"/>
                  <wp:cNvGraphicFramePr>
                    <a:graphicFrameLocks noChangeAspect="1"/>
                  </wp:cNvGraphicFramePr>
                  <a:graphic>
                    <a:graphicData uri="http://schemas.openxmlformats.org/drawingml/2006/picture">
                      <pic:pic>
                        <pic:nvPicPr>
                          <pic:cNvPr id="0" name="OR_ANSI.png"/>
                          <pic:cNvPicPr/>
                        </pic:nvPicPr>
                        <pic:blipFill>
                          <a:blip r:embed="rId17"/>
                          <a:stretch>
                            <a:fillRect/>
                          </a:stretch>
                        </pic:blipFill>
                        <pic:spPr>
                          <a:xfrm>
                            <a:off x="0" y="0"/>
                            <a:ext cx="1548000" cy="667765"/>
                          </a:xfrm>
                          <a:prstGeom prst="rect"/>
                        </pic:spPr>
                      </pic:pic>
                    </a:graphicData>
                  </a:graphic>
                </wp:inline>
              </w:drawing>
            </w:r>
          </w:p>
        </w:tc>
      </w:tr>
      <w:tr>
        <w:trPr>
          <w:cantSplit/>
        </w:trPr>
        <w:tc>
          <w:tcPr>
            <w:tcW w:type="dxa" w:w="1928"/>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NON ET  NAND</w:t>
            </w:r>
          </w:p>
        </w:tc>
        <w:tc>
          <w:tcPr>
            <w:tcW w:type="dxa" w:w="1984"/>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S = ¬(A·B)</w:t>
            </w:r>
          </w:p>
        </w:tc>
        <w:tc>
          <w:tcPr>
            <w:tcW w:type="dxa" w:w="2863"/>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r>
              <w:drawing>
                <wp:inline xmlns:a="http://schemas.openxmlformats.org/drawingml/2006/main" xmlns:pic="http://schemas.openxmlformats.org/drawingml/2006/picture">
                  <wp:extent cx="1548000" cy="667765"/>
                  <wp:docPr id="7" name="Picture 7" descr="Porte NON ET  NAND avec le symbole IEC, entrées à gauche et sortie S à droite"/>
                  <wp:cNvGraphicFramePr>
                    <a:graphicFrameLocks noChangeAspect="1"/>
                  </wp:cNvGraphicFramePr>
                  <a:graphic>
                    <a:graphicData uri="http://schemas.openxmlformats.org/drawingml/2006/picture">
                      <pic:pic>
                        <pic:nvPicPr>
                          <pic:cNvPr id="0" name="NAND_IEC.png"/>
                          <pic:cNvPicPr/>
                        </pic:nvPicPr>
                        <pic:blipFill>
                          <a:blip r:embed="rId18"/>
                          <a:stretch>
                            <a:fillRect/>
                          </a:stretch>
                        </pic:blipFill>
                        <pic:spPr>
                          <a:xfrm>
                            <a:off x="0" y="0"/>
                            <a:ext cx="1548000" cy="667765"/>
                          </a:xfrm>
                          <a:prstGeom prst="rect"/>
                        </pic:spPr>
                      </pic:pic>
                    </a:graphicData>
                  </a:graphic>
                </wp:inline>
              </w:drawing>
            </w:r>
          </w:p>
        </w:tc>
        <w:tc>
          <w:tcPr>
            <w:tcW w:type="dxa" w:w="2863"/>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r>
              <w:drawing>
                <wp:inline xmlns:a="http://schemas.openxmlformats.org/drawingml/2006/main" xmlns:pic="http://schemas.openxmlformats.org/drawingml/2006/picture">
                  <wp:extent cx="1548000" cy="667765"/>
                  <wp:docPr id="8" name="Picture 8" descr="Porte NON ET  NAND avec le symbole ANSI, entrées à gauche et sortie S à droite"/>
                  <wp:cNvGraphicFramePr>
                    <a:graphicFrameLocks noChangeAspect="1"/>
                  </wp:cNvGraphicFramePr>
                  <a:graphic>
                    <a:graphicData uri="http://schemas.openxmlformats.org/drawingml/2006/picture">
                      <pic:pic>
                        <pic:nvPicPr>
                          <pic:cNvPr id="0" name="NAND_ANSI.png"/>
                          <pic:cNvPicPr/>
                        </pic:nvPicPr>
                        <pic:blipFill>
                          <a:blip r:embed="rId19"/>
                          <a:stretch>
                            <a:fillRect/>
                          </a:stretch>
                        </pic:blipFill>
                        <pic:spPr>
                          <a:xfrm>
                            <a:off x="0" y="0"/>
                            <a:ext cx="1548000" cy="667765"/>
                          </a:xfrm>
                          <a:prstGeom prst="rect"/>
                        </pic:spPr>
                      </pic:pic>
                    </a:graphicData>
                  </a:graphic>
                </wp:inline>
              </w:drawing>
            </w:r>
          </w:p>
        </w:tc>
      </w:tr>
      <w:tr>
        <w:trPr>
          <w:cantSplit/>
        </w:trPr>
        <w:tc>
          <w:tcPr>
            <w:tcW w:type="dxa" w:w="1928"/>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NON OU  NOR</w:t>
            </w:r>
          </w:p>
        </w:tc>
        <w:tc>
          <w:tcPr>
            <w:tcW w:type="dxa" w:w="1984"/>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S = ¬(A+B)</w:t>
            </w:r>
          </w:p>
        </w:tc>
        <w:tc>
          <w:tcPr>
            <w:tcW w:type="dxa" w:w="2863"/>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r>
              <w:drawing>
                <wp:inline xmlns:a="http://schemas.openxmlformats.org/drawingml/2006/main" xmlns:pic="http://schemas.openxmlformats.org/drawingml/2006/picture">
                  <wp:extent cx="1548000" cy="667765"/>
                  <wp:docPr id="9" name="Picture 9" descr="Porte NON OU  NOR avec le symbole IEC, entrées à gauche et sortie S à droite"/>
                  <wp:cNvGraphicFramePr>
                    <a:graphicFrameLocks noChangeAspect="1"/>
                  </wp:cNvGraphicFramePr>
                  <a:graphic>
                    <a:graphicData uri="http://schemas.openxmlformats.org/drawingml/2006/picture">
                      <pic:pic>
                        <pic:nvPicPr>
                          <pic:cNvPr id="0" name="NOR_IEC.png"/>
                          <pic:cNvPicPr/>
                        </pic:nvPicPr>
                        <pic:blipFill>
                          <a:blip r:embed="rId20"/>
                          <a:stretch>
                            <a:fillRect/>
                          </a:stretch>
                        </pic:blipFill>
                        <pic:spPr>
                          <a:xfrm>
                            <a:off x="0" y="0"/>
                            <a:ext cx="1548000" cy="667765"/>
                          </a:xfrm>
                          <a:prstGeom prst="rect"/>
                        </pic:spPr>
                      </pic:pic>
                    </a:graphicData>
                  </a:graphic>
                </wp:inline>
              </w:drawing>
            </w:r>
          </w:p>
        </w:tc>
        <w:tc>
          <w:tcPr>
            <w:tcW w:type="dxa" w:w="2863"/>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r>
              <w:drawing>
                <wp:inline xmlns:a="http://schemas.openxmlformats.org/drawingml/2006/main" xmlns:pic="http://schemas.openxmlformats.org/drawingml/2006/picture">
                  <wp:extent cx="1548000" cy="667765"/>
                  <wp:docPr id="10" name="Picture 10" descr="Porte NON OU  NOR avec le symbole ANSI, entrées à gauche et sortie S à droite"/>
                  <wp:cNvGraphicFramePr>
                    <a:graphicFrameLocks noChangeAspect="1"/>
                  </wp:cNvGraphicFramePr>
                  <a:graphic>
                    <a:graphicData uri="http://schemas.openxmlformats.org/drawingml/2006/picture">
                      <pic:pic>
                        <pic:nvPicPr>
                          <pic:cNvPr id="0" name="NOR_ANSI.png"/>
                          <pic:cNvPicPr/>
                        </pic:nvPicPr>
                        <pic:blipFill>
                          <a:blip r:embed="rId21"/>
                          <a:stretch>
                            <a:fillRect/>
                          </a:stretch>
                        </pic:blipFill>
                        <pic:spPr>
                          <a:xfrm>
                            <a:off x="0" y="0"/>
                            <a:ext cx="1548000" cy="667765"/>
                          </a:xfrm>
                          <a:prstGeom prst="rect"/>
                        </pic:spPr>
                      </pic:pic>
                    </a:graphicData>
                  </a:graphic>
                </wp:inline>
              </w:drawing>
            </w:r>
          </w:p>
        </w:tc>
      </w:tr>
      <w:tr>
        <w:trPr>
          <w:cantSplit/>
        </w:trPr>
        <w:tc>
          <w:tcPr>
            <w:tcW w:type="dxa" w:w="1928"/>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OU exclusif  XOR</w:t>
            </w:r>
          </w:p>
        </w:tc>
        <w:tc>
          <w:tcPr>
            <w:tcW w:type="dxa" w:w="1984"/>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S = A⊕B</w:t>
            </w:r>
          </w:p>
        </w:tc>
        <w:tc>
          <w:tcPr>
            <w:tcW w:type="dxa" w:w="2863"/>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r>
              <w:drawing>
                <wp:inline xmlns:a="http://schemas.openxmlformats.org/drawingml/2006/main" xmlns:pic="http://schemas.openxmlformats.org/drawingml/2006/picture">
                  <wp:extent cx="1548000" cy="667765"/>
                  <wp:docPr id="11" name="Picture 11" descr="Porte OU exclusif  XOR avec le symbole IEC, entrées à gauche et sortie S à droite"/>
                  <wp:cNvGraphicFramePr>
                    <a:graphicFrameLocks noChangeAspect="1"/>
                  </wp:cNvGraphicFramePr>
                  <a:graphic>
                    <a:graphicData uri="http://schemas.openxmlformats.org/drawingml/2006/picture">
                      <pic:pic>
                        <pic:nvPicPr>
                          <pic:cNvPr id="0" name="XOR_IEC.png"/>
                          <pic:cNvPicPr/>
                        </pic:nvPicPr>
                        <pic:blipFill>
                          <a:blip r:embed="rId22"/>
                          <a:stretch>
                            <a:fillRect/>
                          </a:stretch>
                        </pic:blipFill>
                        <pic:spPr>
                          <a:xfrm>
                            <a:off x="0" y="0"/>
                            <a:ext cx="1548000" cy="667765"/>
                          </a:xfrm>
                          <a:prstGeom prst="rect"/>
                        </pic:spPr>
                      </pic:pic>
                    </a:graphicData>
                  </a:graphic>
                </wp:inline>
              </w:drawing>
            </w:r>
          </w:p>
        </w:tc>
        <w:tc>
          <w:tcPr>
            <w:tcW w:type="dxa" w:w="2863"/>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r>
              <w:drawing>
                <wp:inline xmlns:a="http://schemas.openxmlformats.org/drawingml/2006/main" xmlns:pic="http://schemas.openxmlformats.org/drawingml/2006/picture">
                  <wp:extent cx="1548000" cy="667765"/>
                  <wp:docPr id="12" name="Picture 12" descr="Porte OU exclusif  XOR avec le symbole ANSI, entrées à gauche et sortie S à droite"/>
                  <wp:cNvGraphicFramePr>
                    <a:graphicFrameLocks noChangeAspect="1"/>
                  </wp:cNvGraphicFramePr>
                  <a:graphic>
                    <a:graphicData uri="http://schemas.openxmlformats.org/drawingml/2006/picture">
                      <pic:pic>
                        <pic:nvPicPr>
                          <pic:cNvPr id="0" name="XOR_ANSI.png"/>
                          <pic:cNvPicPr/>
                        </pic:nvPicPr>
                        <pic:blipFill>
                          <a:blip r:embed="rId23"/>
                          <a:stretch>
                            <a:fillRect/>
                          </a:stretch>
                        </pic:blipFill>
                        <pic:spPr>
                          <a:xfrm>
                            <a:off x="0" y="0"/>
                            <a:ext cx="1548000" cy="667765"/>
                          </a:xfrm>
                          <a:prstGeom prst="rect"/>
                        </pic:spPr>
                      </pic:pic>
                    </a:graphicData>
                  </a:graphic>
                </wp:inline>
              </w:drawing>
            </w:r>
          </w:p>
        </w:tc>
      </w:tr>
    </w:tbl>
    <w:p>
      <w:pPr>
        <w:pStyle w:val="Titre2"/>
        <w:keepNext/>
        <w:spacing w:before="100" w:after="100"/>
      </w:pPr>
      <w:r>
        <w:rPr>
          <w:b w:val="0"/>
        </w:rPr>
        <w:t>Repères pour lire les symboles</w:t>
      </w:r>
    </w:p>
    <w:p>
      <w:pPr>
        <w:pStyle w:val="Listepuces"/>
        <w:keepNext w:val="0"/>
        <w:spacing w:before="0" w:after="60"/>
      </w:pPr>
      <w:r>
        <w:rPr>
          <w:b w:val="0"/>
        </w:rPr>
        <w:t>&amp; indique ET ; ≥1 indique OU ; =1 indique XOR à deux entrées.</w:t>
      </w:r>
    </w:p>
    <w:p>
      <w:pPr>
        <w:pStyle w:val="Listepuces"/>
        <w:keepNext w:val="0"/>
        <w:spacing w:before="0" w:after="60"/>
      </w:pPr>
      <w:r>
        <w:rPr>
          <w:b w:val="0"/>
        </w:rPr>
        <w:t>Le rectangle 1 avec une bulle en sortie et le triangle avec une bulle représentent NON.</w:t>
      </w:r>
    </w:p>
    <w:p>
      <w:pPr>
        <w:pStyle w:val="Listepuces"/>
        <w:keepNext w:val="0"/>
        <w:spacing w:before="0" w:after="60"/>
      </w:pPr>
      <w:r>
        <w:rPr>
          <w:b w:val="0"/>
        </w:rPr>
        <w:t>Une bulle en sortie inverse le résultat : ET devient NAND et OU devient NOR.</w:t>
      </w:r>
    </w:p>
    <w:p>
      <w:pPr>
        <w:pStyle w:val="Listepuces"/>
        <w:keepNext w:val="0"/>
        <w:spacing w:before="0" w:after="60"/>
      </w:pPr>
      <w:r>
        <w:rPr>
          <w:b w:val="0"/>
        </w:rPr>
        <w:t>Le symbole américain XOR comporte un arc supplémentaire du côté des entrées.</w:t>
      </w:r>
    </w:p>
    <w:p>
      <w:pPr>
        <w:pStyle w:val="Titre2"/>
        <w:keepNext/>
        <w:spacing w:before="100" w:after="100"/>
      </w:pPr>
      <w:r>
        <w:rPr>
          <w:b w:val="0"/>
        </w:rPr>
        <w:t>Vérification rapide</w:t>
      </w:r>
    </w:p>
    <w:p>
      <w:pPr>
        <w:keepNext w:val="0"/>
        <w:spacing w:before="0" w:after="40"/>
      </w:pPr>
      <w:r>
        <w:rPr>
          <w:b w:val="0"/>
        </w:rPr>
        <w:t>1. Pour A = 1 et B = 1, donner les sorties OU et XOR.</w:t>
      </w:r>
    </w:p>
    <w:p>
      <w:pPr>
        <w:keepNext w:val="0"/>
        <w:spacing w:before="0" w:after="0" w:line="247" w:lineRule="auto"/>
      </w:pPr>
      <w:r>
        <w:rPr>
          <w:b w:val="0"/>
          <w:color w:val="777777"/>
          <w:sz w:val="22"/>
        </w:rPr>
        <w:t>...................................................................................................................</w:t>
      </w:r>
    </w:p>
    <w:p>
      <w:pPr>
        <w:keepNext w:val="0"/>
        <w:spacing w:before="0" w:after="40"/>
      </w:pPr>
      <w:r>
        <w:rPr>
          <w:b w:val="0"/>
        </w:rPr>
        <w:t>2. Une porte ET avec une bulle en sortie porte quel nom ?</w:t>
      </w:r>
    </w:p>
    <w:p>
      <w:pPr>
        <w:keepNext w:val="0"/>
        <w:spacing w:before="0" w:after="0" w:line="247" w:lineRule="auto"/>
      </w:pPr>
      <w:r>
        <w:rPr>
          <w:b w:val="0"/>
          <w:color w:val="777777"/>
          <w:sz w:val="22"/>
        </w:rPr>
        <w:t>...................................................................................................................</w:t>
      </w:r>
    </w:p>
    <w:p>
      <w:pPr>
        <w:keepNext w:val="0"/>
        <w:spacing w:before="100" w:after="0"/>
      </w:pPr>
      <w:r>
        <w:rPr>
          <w:b w:val="0"/>
          <w:sz w:val="18"/>
        </w:rPr>
        <w:t>Références des symboles : fiches techniques Nexperia 2024 et 2025, diagrammes fonctionnels page 2. Liens en fin de document.</w:t>
      </w:r>
    </w:p>
    <w:p>
      <w:r>
        <w:br w:type="page"/>
      </w:r>
    </w:p>
    <w:p w:rsidR="00774352" w:rsidRDefault="00B1507C">
      <w:pPr>
        <w:pStyle w:val="Titre1"/>
        <w:pageBreakBefore w:val="0"/>
        <w:spacing w:before="180" w:after="100" w:line="254" w:lineRule="auto"/>
      </w:pPr>
      <w:r>
        <w:rPr>
          <w:rFonts w:ascii="Arial" w:hAnsi="Arial"/>
          <w:color w:val="000000"/>
          <w:sz w:val="28"/>
        </w:rPr>
        <w:t>2 Lire une expression et respecter les priorités</w:t>
      </w:r>
    </w:p>
    <w:p w:rsidR="00774352" w:rsidRDefault="00B1507C">
      <w:pPr>
        <w:pageBreakBefore w:val="0"/>
        <w:spacing w:after="100" w:line="254" w:lineRule="auto"/>
      </w:pPr>
      <w:r>
        <w:rPr>
          <w:rFonts w:ascii="Arial" w:hAnsi="Arial"/>
          <w:color w:val="000000"/>
          <w:sz w:val="22"/>
        </w:rPr>
        <w:t>Les parenthèses imposent l’ordre du calcul. En leur absence, on applique la convention suivante : parenthèses, NON, ET, puis OU. Lorsque XOR, NAND ou NOR apparaissent dans une expression composée, ajouter des parenthèses pour rendre le calcul sans ambiguïté.</w:t>
      </w:r>
    </w:p>
    <w:tbl>
      <w:tblPr>
        <w:tblStyle w:val="Grilledutableau"/>
        <w:tblW w:w="0" w:type="auto"/>
        <w:jc w:val="center"/>
        <w:tblLayout w:type="fixed"/>
        <w:tblLook w:val="04A0" w:firstRow="1" w:lastRow="0" w:firstColumn="1" w:lastColumn="0" w:noHBand="0" w:noVBand="1"/>
        <w:tblBorders>
          <w:top w:val="single" w:sz="5" w:color="D9D9D9"/>
          <w:left w:val="single" w:sz="5" w:color="D9D9D9"/>
          <w:bottom w:val="single" w:sz="5" w:color="D9D9D9"/>
          <w:right w:val="single" w:sz="5" w:color="D9D9D9"/>
          <w:insideH w:val="single" w:sz="5" w:color="D9D9D9"/>
          <w:insideV w:val="single" w:sz="5" w:color="D9D9D9"/>
        </w:tblBorders>
      </w:tblPr>
      <w:tblGrid>
        <w:gridCol w:w="1152"/>
        <w:gridCol w:w="1944"/>
        <w:gridCol w:w="6984"/>
      </w:tblGrid>
      <w:tr w:rsidR="00774352">
        <w:trPr>
          <w:tblHeader/>
          <w:jc w:val="center"/>
          <w:cantSplit/>
          <w:tblHeader/>
        </w:trPr>
        <w:tc>
          <w:tcPr>
            <w:tcW w:w="1152"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Ordre</w:t>
            </w:r>
          </w:p>
        </w:tc>
        <w:tc>
          <w:tcPr>
            <w:tcW w:w="1944"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Opération</w:t>
            </w:r>
          </w:p>
        </w:tc>
        <w:tc>
          <w:tcPr>
            <w:tcW w:w="6984"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Exemple</w:t>
            </w:r>
          </w:p>
        </w:tc>
      </w:tr>
      <w:tr w:rsidR="00774352">
        <w:trPr>
          <w:jc w:val="center"/>
          <w:cantSplit/>
        </w:trPr>
        <w:tc>
          <w:tcPr>
            <w:tcW w:w="1152"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1</w:t>
            </w:r>
          </w:p>
        </w:tc>
        <w:tc>
          <w:tcPr>
            <w:tcW w:w="1944"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Parenthèses</w:t>
            </w:r>
          </w:p>
        </w:tc>
        <w:tc>
          <w:tcPr>
            <w:tcW w:w="6984"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(A+B)·C</w:t>
            </w:r>
          </w:p>
        </w:tc>
      </w:tr>
      <w:tr w:rsidR="00774352">
        <w:trPr>
          <w:jc w:val="center"/>
          <w:cantSplit/>
        </w:trPr>
        <w:tc>
          <w:tcPr>
            <w:tcW w:w="1152"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2</w:t>
            </w:r>
          </w:p>
        </w:tc>
        <w:tc>
          <w:tcPr>
            <w:tcW w:w="1944"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NON</w:t>
            </w:r>
          </w:p>
        </w:tc>
        <w:tc>
          <w:tcPr>
            <w:tcW w:w="6984"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w:t>
            </w:r>
          </w:p>
        </w:tc>
      </w:tr>
      <w:tr w:rsidR="00774352">
        <w:trPr>
          <w:jc w:val="center"/>
          <w:cantSplit/>
        </w:trPr>
        <w:tc>
          <w:tcPr>
            <w:tcW w:w="1152"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3</w:t>
            </w:r>
          </w:p>
        </w:tc>
        <w:tc>
          <w:tcPr>
            <w:tcW w:w="1944"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ET</w:t>
            </w:r>
          </w:p>
        </w:tc>
        <w:tc>
          <w:tcPr>
            <w:tcW w:w="6984"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w:t>
            </w:r>
          </w:p>
        </w:tc>
      </w:tr>
      <w:tr w:rsidR="00774352">
        <w:trPr>
          <w:jc w:val="center"/>
          <w:cantSplit/>
        </w:trPr>
        <w:tc>
          <w:tcPr>
            <w:tcW w:w="1152"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4</w:t>
            </w:r>
          </w:p>
        </w:tc>
        <w:tc>
          <w:tcPr>
            <w:tcW w:w="1944"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OU</w:t>
            </w:r>
          </w:p>
        </w:tc>
        <w:tc>
          <w:tcPr>
            <w:tcW w:w="6984"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w:t>
            </w:r>
          </w:p>
        </w:tc>
      </w:tr>
    </w:tbl>
    <w:p w:rsidR="00774352" w:rsidRDefault="00B1507C">
      <w:pPr>
        <w:pageBreakBefore w:val="0"/>
        <w:spacing w:after="100" w:line="254" w:lineRule="auto"/>
      </w:pPr>
      <w:r>
        <w:rPr>
          <w:rFonts w:ascii="Arial" w:hAnsi="Arial"/>
          <w:b/>
          <w:color w:val="000000"/>
          <w:sz w:val="22"/>
        </w:rPr>
        <w:t xml:space="preserve">Exemple. </w:t>
      </w:r>
      <w:r>
        <w:rPr>
          <w:rFonts w:ascii="Arial" w:hAnsi="Arial"/>
          <w:color w:val="000000"/>
          <w:sz w:val="22"/>
        </w:rPr>
        <w:t>F=¬A+B·C se lit (¬A) OU (B ET C). Pour A=0, B=1 et C=0 : ¬A=1, B·C=0, donc F=1.</w:t>
      </w:r>
    </w:p>
    <w:p w:rsidR="00774352" w:rsidRDefault="00B1507C">
      <w:pPr>
        <w:pStyle w:val="Titre1"/>
        <w:pageBreakBefore w:val="0"/>
        <w:spacing w:before="180" w:after="100" w:line="254" w:lineRule="auto"/>
      </w:pPr>
      <w:r>
        <w:rPr>
          <w:rFonts w:ascii="Arial" w:hAnsi="Arial"/>
          <w:color w:val="000000"/>
          <w:sz w:val="28"/>
        </w:rPr>
        <w:t>3 Lois de Boole pour simplifier</w:t>
      </w:r>
    </w:p>
    <w:p w:rsidR="00774352" w:rsidRDefault="00B1507C">
      <w:pPr>
        <w:pageBreakBefore w:val="0"/>
        <w:spacing w:after="100" w:line="254" w:lineRule="auto"/>
      </w:pPr>
      <w:r>
        <w:rPr>
          <w:rFonts w:ascii="Arial" w:hAnsi="Arial"/>
          <w:color w:val="000000"/>
          <w:sz w:val="22"/>
        </w:rPr>
        <w:t>Une simplification correcte conserve la même sortie pour toutes les combinaisons d’entrées. Pour justifier chaque étape, nommer la propriété utilisée ou vérifier l’égalité avec une table de vérité.</w:t>
      </w:r>
    </w:p>
    <w:tbl>
      <w:tblPr>
        <w:tblStyle w:val="Grilledutableau"/>
        <w:tblW w:w="0" w:type="auto"/>
        <w:jc w:val="center"/>
        <w:tblLayout w:type="fixed"/>
        <w:tblLook w:val="04A0" w:firstRow="1" w:lastRow="0" w:firstColumn="1" w:lastColumn="0" w:noHBand="0" w:noVBand="1"/>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696"/>
      </w:tblGrid>
      <w:tr w:rsidR="00774352">
        <w:trPr>
          <w:tblHeader/>
          <w:jc w:val="center"/>
          <w:cantSplit/>
          <w:tblHeader/>
        </w:trPr>
        <w:tc>
          <w:tcPr>
            <w:tcW w:w="2952"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Propriété</w:t>
            </w:r>
          </w:p>
        </w:tc>
        <w:tc>
          <w:tcPr>
            <w:tcW w:w="6696"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Identités</w:t>
            </w:r>
          </w:p>
        </w:tc>
      </w:tr>
      <w:tr w:rsidR="00774352">
        <w:trPr>
          <w:jc w:val="center"/>
          <w:cantSplit/>
        </w:trPr>
        <w:tc>
          <w:tcPr>
            <w:tcW w:w="2952"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Commutativité</w:t>
            </w:r>
          </w:p>
        </w:tc>
        <w:tc>
          <w:tcPr>
            <w:tcW w:w="6696"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A+B=B+A ; A·B=B·A</w:t>
            </w:r>
          </w:p>
        </w:tc>
      </w:tr>
      <w:tr w:rsidR="00774352">
        <w:trPr>
          <w:jc w:val="center"/>
          <w:cantSplit/>
        </w:trPr>
        <w:tc>
          <w:tcPr>
            <w:tcW w:w="2952"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Associativité</w:t>
            </w:r>
          </w:p>
        </w:tc>
        <w:tc>
          <w:tcPr>
            <w:tcW w:w="6696"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(A+B)+C=A+(B+C) ; (A·B)·C=A·(B·C)</w:t>
            </w:r>
          </w:p>
        </w:tc>
      </w:tr>
      <w:tr w:rsidR="00774352">
        <w:trPr>
          <w:jc w:val="center"/>
          <w:cantSplit/>
        </w:trPr>
        <w:tc>
          <w:tcPr>
            <w:tcW w:w="2952"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Neutre et absorbant</w:t>
            </w:r>
          </w:p>
        </w:tc>
        <w:tc>
          <w:tcPr>
            <w:tcW w:w="6696"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A+0=A ; A·1=A ; A+1=1 ; A·0=0</w:t>
            </w:r>
          </w:p>
        </w:tc>
      </w:tr>
      <w:tr w:rsidR="00774352">
        <w:trPr>
          <w:jc w:val="center"/>
          <w:cantSplit/>
        </w:trPr>
        <w:tc>
          <w:tcPr>
            <w:tcW w:w="2952"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Idempotence</w:t>
            </w:r>
          </w:p>
        </w:tc>
        <w:tc>
          <w:tcPr>
            <w:tcW w:w="6696"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A+A=A ; A·A=A</w:t>
            </w:r>
          </w:p>
        </w:tc>
      </w:tr>
      <w:tr w:rsidR="00774352">
        <w:trPr>
          <w:jc w:val="center"/>
          <w:cantSplit/>
        </w:trPr>
        <w:tc>
          <w:tcPr>
            <w:tcW w:w="2952"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Complément et double négation</w:t>
            </w:r>
          </w:p>
        </w:tc>
        <w:tc>
          <w:tcPr>
            <w:tcW w:w="6696"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A+¬A=1 ; A·¬A=0 ; ¬(¬A)=A</w:t>
            </w:r>
          </w:p>
        </w:tc>
      </w:tr>
      <w:tr w:rsidR="00774352">
        <w:trPr>
          <w:jc w:val="center"/>
          <w:cantSplit/>
        </w:trPr>
        <w:tc>
          <w:tcPr>
            <w:tcW w:w="2952"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Absorption</w:t>
            </w:r>
          </w:p>
        </w:tc>
        <w:tc>
          <w:tcPr>
            <w:tcW w:w="6696"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A+A·B=A ; A·(A+B)=A</w:t>
            </w:r>
          </w:p>
        </w:tc>
      </w:tr>
      <w:tr w:rsidR="00774352">
        <w:trPr>
          <w:jc w:val="center"/>
          <w:cantSplit/>
        </w:trPr>
        <w:tc>
          <w:tcPr>
            <w:tcW w:w="2952"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Distributivité</w:t>
            </w:r>
          </w:p>
        </w:tc>
        <w:tc>
          <w:tcPr>
            <w:tcW w:w="6696"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A·(B+C)=A·B+A·C ; A+B·C=(A+B)·(A+C)</w:t>
            </w:r>
          </w:p>
        </w:tc>
      </w:tr>
    </w:tbl>
    <w:p w:rsidR="00774352" w:rsidRDefault="00B1507C">
      <w:pPr>
        <w:pStyle w:val="Titre2"/>
        <w:pageBreakBefore w:val="0"/>
        <w:spacing w:before="120" w:after="100" w:line="254" w:lineRule="auto"/>
      </w:pPr>
      <w:r>
        <w:rPr>
          <w:rFonts w:ascii="Arial" w:hAnsi="Arial"/>
          <w:color w:val="000000"/>
          <w:sz w:val="24"/>
        </w:rPr>
        <w:t>Lois de De Morgan</w:t>
      </w:r>
    </w:p>
    <w:tbl>
      <w:tblPr>
        <w:tblStyle w:val="Grilledutableau"/>
        <w:tblW w:w="0" w:type="auto"/>
        <w:jc w:val="center"/>
        <w:tblLayout w:type="fixed"/>
        <w:tblLook w:val="04A0" w:firstRow="1" w:lastRow="0" w:firstColumn="1" w:lastColumn="0" w:noHBand="0" w:noVBand="1"/>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520"/>
        <w:gridCol w:w="4752"/>
      </w:tblGrid>
      <w:tr w:rsidR="00774352">
        <w:trPr>
          <w:tblHeader/>
          <w:jc w:val="center"/>
          <w:cantSplit/>
          <w:tblHeader/>
        </w:trPr>
        <w:tc>
          <w:tcPr>
            <w:tcW w:w="2376"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Forme à transformer</w:t>
            </w:r>
          </w:p>
        </w:tc>
        <w:tc>
          <w:tcPr>
            <w:tcW w:w="2520"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Forme équivalente</w:t>
            </w:r>
          </w:p>
        </w:tc>
        <w:tc>
          <w:tcPr>
            <w:tcW w:w="4752"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Méthode</w:t>
            </w:r>
          </w:p>
        </w:tc>
      </w:tr>
      <w:tr w:rsidR="00774352">
        <w:trPr>
          <w:jc w:val="center"/>
          <w:cantSplit/>
        </w:trPr>
        <w:tc>
          <w:tcPr>
            <w:tcW w:w="2376"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w:t>
            </w:r>
          </w:p>
        </w:tc>
        <w:tc>
          <w:tcPr>
            <w:tcW w:w="2520"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w:t>
            </w:r>
          </w:p>
        </w:tc>
        <w:tc>
          <w:tcPr>
            <w:tcW w:w="4752"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Échanger ET et OU, puis inverser chaque terme.</w:t>
            </w:r>
          </w:p>
        </w:tc>
      </w:tr>
      <w:tr w:rsidR="00774352">
        <w:trPr>
          <w:jc w:val="center"/>
          <w:cantSplit/>
        </w:trPr>
        <w:tc>
          <w:tcPr>
            <w:tcW w:w="2376"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w:t>
            </w:r>
          </w:p>
        </w:tc>
        <w:tc>
          <w:tcPr>
            <w:tcW w:w="2520"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w:t>
            </w:r>
          </w:p>
        </w:tc>
        <w:tc>
          <w:tcPr>
            <w:tcW w:w="4752"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Échanger OU et ET, puis inverser chaque terme.</w:t>
            </w:r>
          </w:p>
        </w:tc>
      </w:tr>
    </w:tbl>
    <w:p w:rsidR="00774352" w:rsidRDefault="00B1507C">
      <w:pPr>
        <w:pageBreakBefore w:val="0"/>
        <w:spacing w:after="100" w:line="254" w:lineRule="auto"/>
      </w:pPr>
      <w:r>
        <w:rPr>
          <w:rFonts w:ascii="Arial" w:hAnsi="Arial"/>
          <w:b/>
          <w:color w:val="000000"/>
          <w:sz w:val="22"/>
        </w:rPr>
        <w:t xml:space="preserve">Exemple de réduction. </w:t>
      </w:r>
      <w:r>
        <w:rPr>
          <w:rFonts w:ascii="Arial" w:hAnsi="Arial"/>
          <w:color w:val="000000"/>
          <w:sz w:val="22"/>
        </w:rPr>
        <w:t>A·B+A·¬B=A·(B+¬B)=A·1=A. On factorise A, puis on applique la complémentarité et l’élément neutre.</w:t>
      </w:r>
    </w:p>
    <w:p>
      <w:pPr>
        <w:pStyle w:val="Titre2"/>
        <w:keepNext/>
        <w:spacing w:before="100" w:after="100"/>
      </w:pPr>
      <w:r>
        <w:rPr>
          <w:b w:val="0"/>
        </w:rPr>
        <w:t>Exemple de commande de chauffage</w:t>
      </w:r>
    </w:p>
    <w:p>
      <w:pPr>
        <w:keepNext w:val="0"/>
        <w:spacing w:before="0" w:after="80"/>
      </w:pPr>
      <w:r>
        <w:rPr>
          <w:b w:val="0"/>
        </w:rPr>
        <w:t>Dans cet exemple, D = 1 correspond à une demande de chauffage et X = 1 à un défaut détecté. La commande C vaut 1 si la demande est présente et si aucun défaut n’est détecté.</w:t>
      </w:r>
    </w:p>
    <w:p>
      <w:pPr>
        <w:keepNext w:val="0"/>
        <w:spacing w:before="0" w:after="100"/>
      </w:pPr>
      <w:r>
        <w:rPr>
          <w:b w:val="0"/>
        </w:rPr>
      </w:r>
      <m:oMath>
        <m:r>
          <m:t xml:space="preserve">C = D·¬X</m:t>
        </m:r>
      </m:oMath>
    </w:p>
    <w:p>
      <w:pPr>
        <w:keepNext w:val="0"/>
        <w:spacing w:before="0" w:after="40"/>
      </w:pPr>
      <w:r>
        <w:rPr>
          <w:b w:val="0"/>
        </w:rPr>
        <w:t>Si D = 1 et X = 1, alors C = 1·0 = 0. La négation porte sur le défaut X, pas sur la demande D.</w:t>
      </w:r>
    </w:p>
    <w:p>
      <w:r>
        <w:br w:type="page"/>
      </w:r>
    </w:p>
    <w:p w:rsidR="00774352" w:rsidRDefault="00B1507C">
      <w:pPr>
        <w:pStyle w:val="Titre1"/>
        <w:pageBreakBefore w:val="0"/>
        <w:spacing w:before="180" w:after="100" w:line="254" w:lineRule="auto"/>
      </w:pPr>
      <w:r>
        <w:rPr>
          <w:rFonts w:ascii="Arial" w:hAnsi="Arial"/>
          <w:color w:val="000000"/>
          <w:sz w:val="28"/>
        </w:rPr>
        <w:t>4 Utiliser une carte de Karnaugh</w:t>
      </w:r>
    </w:p>
    <w:p w:rsidR="00774352" w:rsidRDefault="00B1507C">
      <w:pPr>
        <w:pageBreakBefore w:val="0"/>
        <w:spacing w:after="100" w:line="254" w:lineRule="auto"/>
      </w:pPr>
      <w:r>
        <w:rPr>
          <w:rFonts w:ascii="Arial" w:hAnsi="Arial"/>
          <w:color w:val="000000"/>
          <w:sz w:val="22"/>
        </w:rPr>
        <w:t>La carte organise les sorties 1 d’une table de vérité pour repérer les simplifications. Les lignes et les colonnes sont rangées en code Gray : 00, 01, 11, 10. Deux cases voisines diffèrent d’une seule variable. Les bords opposés sont également voisins.</w:t>
      </w:r>
    </w:p>
    <w:p w:rsidR="00774352" w:rsidRDefault="00B1507C">
      <w:pPr>
        <w:pStyle w:val="Listepuces"/>
        <w:pageBreakBefore w:val="0"/>
        <w:spacing w:after="100" w:line="254" w:lineRule="auto"/>
        <w:ind w:left="312"/>
      </w:pPr>
      <w:r>
        <w:rPr>
          <w:rFonts w:ascii="Arial" w:hAnsi="Arial"/>
          <w:color w:val="000000"/>
          <w:sz w:val="22"/>
        </w:rPr>
        <w:t>Reporter chaque valeur de la table dans la case correspondant aux entrées.</w:t>
      </w:r>
    </w:p>
    <w:p w:rsidR="00774352" w:rsidRDefault="00B1507C">
      <w:pPr>
        <w:pStyle w:val="Listepuces"/>
        <w:pageBreakBefore w:val="0"/>
        <w:spacing w:after="100" w:line="254" w:lineRule="auto"/>
        <w:ind w:left="312"/>
      </w:pPr>
      <w:r>
        <w:rPr>
          <w:rFonts w:ascii="Arial" w:hAnsi="Arial"/>
          <w:color w:val="000000"/>
          <w:sz w:val="22"/>
        </w:rPr>
        <w:t>Former des groupes de 1, 2, 4, 8 ou 16 cases ; chercher les groupes les plus grands possibles.</w:t>
      </w:r>
    </w:p>
    <w:p w:rsidR="00774352" w:rsidRDefault="00B1507C">
      <w:pPr>
        <w:pStyle w:val="Listepuces"/>
        <w:pageBreakBefore w:val="0"/>
        <w:spacing w:after="100" w:line="254" w:lineRule="auto"/>
        <w:ind w:left="312"/>
      </w:pPr>
      <w:r>
        <w:rPr>
          <w:rFonts w:ascii="Arial" w:hAnsi="Arial"/>
          <w:color w:val="000000"/>
          <w:sz w:val="22"/>
        </w:rPr>
        <w:t>Couvrir tous les 1. Un même 1 peut appartenir à plusieurs groupes si cela réduit l’expression.</w:t>
      </w:r>
    </w:p>
    <w:p w:rsidR="00774352" w:rsidRDefault="00B1507C">
      <w:pPr>
        <w:pStyle w:val="Listepuces"/>
        <w:pageBreakBefore w:val="0"/>
        <w:spacing w:after="100" w:line="254" w:lineRule="auto"/>
        <w:ind w:left="312"/>
      </w:pPr>
      <w:r>
        <w:rPr>
          <w:rFonts w:ascii="Arial" w:hAnsi="Arial"/>
          <w:color w:val="000000"/>
          <w:sz w:val="22"/>
        </w:rPr>
        <w:t>Dans chaque groupe, garder les variables qui restent constantes ; une valeur 0 porte une négation.</w:t>
      </w:r>
    </w:p>
    <w:p w:rsidR="00774352" w:rsidRDefault="00B1507C">
      <w:pPr>
        <w:pStyle w:val="Listepuces"/>
        <w:pageBreakBefore w:val="0"/>
        <w:spacing w:after="100" w:line="254" w:lineRule="auto"/>
        <w:ind w:left="312"/>
      </w:pPr>
      <w:r>
        <w:rPr>
          <w:rFonts w:ascii="Arial" w:hAnsi="Arial"/>
          <w:color w:val="000000"/>
          <w:sz w:val="22"/>
        </w:rPr>
        <w:t>Réunir les termes des groupes par OU et vérifier la formule obtenue.</w:t>
      </w:r>
    </w:p>
    <w:p w:rsidR="00774352" w:rsidRDefault="00B1507C">
      <w:pPr>
        <w:pStyle w:val="Titre2"/>
        <w:pageBreakBefore w:val="0"/>
        <w:spacing w:before="120" w:after="100" w:line="254" w:lineRule="auto"/>
      </w:pPr>
      <w:r>
        <w:rPr>
          <w:rFonts w:ascii="Arial" w:hAnsi="Arial"/>
          <w:color w:val="000000"/>
          <w:sz w:val="24"/>
        </w:rPr>
        <w:t>Exemple à trois variables</w:t>
      </w:r>
    </w:p>
    <w:p w:rsidR="00774352" w:rsidRDefault="00B1507C">
      <w:pPr>
        <w:pageBreakBefore w:val="0"/>
        <w:spacing w:after="100" w:line="254" w:lineRule="auto"/>
      </w:pPr>
      <w:r>
        <w:rPr>
          <w:rFonts w:ascii="Arial" w:hAnsi="Arial"/>
          <w:color w:val="000000"/>
          <w:sz w:val="22"/>
        </w:rPr>
        <w:t>Si F vaut 1 pour m(1, 3, 5, 7), les quatre combinaisons ont C=1. Elles forment un groupe de quatre et F=C.</w:t>
      </w:r>
    </w:p>
    <w:p w:rsidR="00774352" w:rsidRDefault="00B1507C">
      <w:pPr>
        <w:pStyle w:val="Titre2"/>
        <w:pageBreakBefore w:val="0"/>
        <w:spacing w:before="120" w:after="100" w:line="254" w:lineRule="auto"/>
      </w:pPr>
      <w:r>
        <w:rPr>
          <w:rFonts w:ascii="Arial" w:hAnsi="Arial"/>
          <w:color w:val="000000"/>
          <w:sz w:val="24"/>
        </w:rPr>
        <w:t>Extension à quatre variables</w:t>
      </w:r>
    </w:p>
    <w:p w:rsidR="00774352" w:rsidRDefault="00B1507C">
      <w:pPr>
        <w:pageBreakBefore w:val="0"/>
        <w:spacing w:after="100" w:line="254" w:lineRule="auto"/>
      </w:pPr>
      <w:r>
        <w:rPr>
          <w:rFonts w:ascii="Arial" w:hAnsi="Arial"/>
          <w:color w:val="000000"/>
          <w:sz w:val="22"/>
        </w:rPr>
        <w:t>Pour H(A,B,C,D), placer AB sur les lignes et CD sur les colonnes, dans l’ordre 00, 01, 11, 10. Des groupes de quatre coins sont possibles grâce au raccordement des bords.</w:t>
      </w:r>
    </w:p>
    <w:p w:rsidR="00774352" w:rsidRDefault="00B1507C">
      <w:pPr>
        <w:pStyle w:val="Titre1"/>
        <w:pageBreakBefore w:val="0"/>
        <w:spacing w:before="180" w:after="100" w:line="254" w:lineRule="auto"/>
      </w:pPr>
      <w:r>
        <w:rPr>
          <w:rFonts w:ascii="Arial" w:hAnsi="Arial"/>
          <w:color w:val="000000"/>
          <w:sz w:val="28"/>
        </w:rPr>
        <w:t>5 Relier expression et portes</w:t>
      </w:r>
    </w:p>
    <w:p w:rsidR="00774352" w:rsidRDefault="00B1507C">
      <w:pPr>
        <w:pageBreakBefore w:val="0"/>
        <w:spacing w:after="100" w:line="254" w:lineRule="auto"/>
      </w:pPr>
      <w:r>
        <w:rPr>
          <w:rFonts w:ascii="Arial" w:hAnsi="Arial"/>
          <w:color w:val="000000"/>
          <w:sz w:val="22"/>
        </w:rPr>
        <w:t>Pour construire le circuit, commencer par les opérations entre parenthèses, créer une porte par opération et relier les sorties intermédiaires. La porte NAND est universelle : elle permet de construire NON, ET et OU à elle seule.</w:t>
      </w:r>
    </w:p>
    <w:tbl>
      <w:tblPr>
        <w:tblStyle w:val="Grilledutableau"/>
        <w:tblW w:w="0" w:type="auto"/>
        <w:jc w:val="center"/>
        <w:tblLayout w:type="fixed"/>
        <w:tblLook w:val="04A0" w:firstRow="1" w:lastRow="0" w:firstColumn="1" w:lastColumn="0" w:noHBand="0" w:noVBand="1"/>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416"/>
      </w:tblGrid>
      <w:tr w:rsidR="00774352">
        <w:trPr>
          <w:tblHeader/>
          <w:jc w:val="center"/>
          <w:cantSplit/>
          <w:tblHeader/>
        </w:trPr>
        <w:tc>
          <w:tcPr>
            <w:tcW w:w="2232"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Fonction</w:t>
            </w:r>
          </w:p>
        </w:tc>
        <w:tc>
          <w:tcPr>
            <w:tcW w:w="7416" w:type="dxa"/>
            <w:tcBorders>
              <w:top w:val="single" w:sz="4" w:space="0" w:color="FFFFFF"/>
              <w:left w:val="single" w:sz="4" w:space="0" w:color="FFFFFF"/>
              <w:bottom w:val="single" w:sz="4" w:space="0" w:color="FFFFFF"/>
              <w:right w:val="single" w:sz="4" w:space="0" w:color="FFFFFF"/>
            </w:tcBorders>
            <w:vAlign w:val="center"/>
            <w:shd w:fill="193A55"/>
            <w:tcMar>
              <w:top w:w="55" w:type="dxa"/>
              <w:bottom w:w="55" w:type="dxa"/>
              <w:left w:w="85" w:type="dxa"/>
              <w:right w:w="85" w:type="dxa"/>
            </w:tcMar>
          </w:tcPr>
          <w:p w:rsidR="00774352" w:rsidRDefault="00B1507C">
            <w:pPr>
              <w:spacing w:before="0" w:after="0" w:line="247" w:lineRule="auto"/>
              <w:jc w:val="center"/>
            </w:pPr>
            <w:r>
              <w:rPr>
                <w:rFonts w:ascii="Arial" w:hAnsi="Arial"/>
                <w:b/>
                <w:color w:val="FFFFFF"/>
                <w:sz w:val="21"/>
              </w:rPr>
              <w:t>Équivalent avec NAND</w:t>
            </w:r>
          </w:p>
        </w:tc>
      </w:tr>
      <w:tr w:rsidR="00774352">
        <w:trPr>
          <w:jc w:val="center"/>
          <w:cantSplit/>
        </w:trPr>
        <w:tc>
          <w:tcPr>
            <w:tcW w:w="2232"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NON A</w:t>
            </w:r>
          </w:p>
        </w:tc>
        <w:tc>
          <w:tcPr>
            <w:tcW w:w="7416"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¬A=NAND(A,A)</w:t>
            </w:r>
          </w:p>
        </w:tc>
      </w:tr>
      <w:tr w:rsidR="00774352">
        <w:trPr>
          <w:jc w:val="center"/>
          <w:cantSplit/>
        </w:trPr>
        <w:tc>
          <w:tcPr>
            <w:tcW w:w="2232"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 ET B</w:t>
            </w:r>
          </w:p>
        </w:tc>
        <w:tc>
          <w:tcPr>
            <w:tcW w:w="7416" w:type="dxa"/>
            <w:tcBorders>
              <w:top w:val="single" w:sz="5" w:space="0" w:color="CCD8DF"/>
              <w:left w:val="single" w:sz="5" w:space="0" w:color="CCD8DF"/>
              <w:bottom w:val="single" w:sz="5" w:space="0" w:color="CCD8DF"/>
              <w:right w:val="single" w:sz="5" w:space="0" w:color="CCD8DF"/>
            </w:tcBorders>
            <w:vAlign w:val="center"/>
            <w:shd w:fill="F3F7FA"/>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A·B=NAND(NAND(A,B), NAND(A,B))</w:t>
            </w:r>
          </w:p>
        </w:tc>
      </w:tr>
      <w:tr w:rsidR="00774352">
        <w:trPr>
          <w:jc w:val="center"/>
          <w:cantSplit/>
        </w:trPr>
        <w:tc>
          <w:tcPr>
            <w:tcW w:w="2232"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 OU B</w:t>
            </w:r>
          </w:p>
        </w:tc>
        <w:tc>
          <w:tcPr>
            <w:tcW w:w="7416" w:type="dxa"/>
            <w:tcBorders>
              <w:top w:val="single" w:sz="5" w:space="0" w:color="CCD8DF"/>
              <w:left w:val="single" w:sz="5" w:space="0" w:color="CCD8DF"/>
              <w:bottom w:val="single" w:sz="5" w:space="0" w:color="CCD8DF"/>
              <w:right w:val="single" w:sz="5" w:space="0" w:color="CCD8DF"/>
            </w:tcBorders>
            <w:vAlign w:val="center"/>
            <w:shd w:fill="FFFFFF"/>
            <w:tcMar>
              <w:top w:w="55" w:type="dxa"/>
              <w:bottom w:w="55" w:type="dxa"/>
              <w:left w:w="85" w:type="dxa"/>
              <w:right w:w="85" w:type="dxa"/>
            </w:tcMar>
          </w:tcPr>
          <w:p w:rsidR="00774352" w:rsidRDefault="00B1507C">
            <w:pPr>
              <w:spacing w:before="0" w:after="0" w:line="247" w:lineRule="auto"/>
            </w:pPr>
            <w:r>
              <w:rPr>
                <w:rFonts w:ascii="Arial" w:hAnsi="Arial"/>
                <w:b w:val="0"/>
                <w:color w:val="000000"/>
                <w:sz w:val="21"/>
              </w:rPr>
              <w:t>A+B=NAND(NAND(A,A), NAND(B,B))</w:t>
            </w:r>
          </w:p>
        </w:tc>
      </w:tr>
    </w:tbl>
    <w:p w:rsidR="00774352" w:rsidRDefault="00B1507C">
      <w:pPr>
        <w:pageBreakBefore w:val="0"/>
        <w:spacing w:after="100" w:line="254" w:lineRule="auto"/>
      </w:pPr>
      <w:r>
        <w:rPr>
          <w:rFonts w:ascii="Arial" w:hAnsi="Arial"/>
          <w:b/>
          <w:color w:val="000000"/>
          <w:sz w:val="22"/>
        </w:rPr>
        <w:t xml:space="preserve">Vérification. </w:t>
      </w:r>
      <w:r>
        <w:rPr>
          <w:rFonts w:ascii="Arial" w:hAnsi="Arial"/>
          <w:color w:val="000000"/>
          <w:sz w:val="22"/>
        </w:rPr>
        <w:t>Comparer la sortie du circuit et celle de l’expression sur les lignes de la table de vérité, pas seulement sur un exemple.</w:t>
      </w:r>
    </w:p>
    <w:p>
      <w:pPr>
        <w:pStyle w:val="Titre2"/>
        <w:keepNext/>
        <w:spacing w:before="100" w:after="100"/>
      </w:pPr>
      <w:r>
        <w:rPr>
          <w:b w:val="0"/>
        </w:rPr>
        <w:t>Même fonction dans les deux conventions</w:t>
      </w:r>
    </w:p>
    <w:p>
      <w:pPr>
        <w:keepNext w:val="0"/>
        <w:spacing w:before="0" w:after="60"/>
      </w:pPr>
      <w:r>
        <w:rPr>
          <w:b w:val="0"/>
        </w:rPr>
      </w:r>
      <m:oMath>
        <m:r>
          <m:t xml:space="preserve">F = (A+B)·¬C</m:t>
        </m:r>
      </m:oMath>
    </w:p>
    <w:p>
      <w:pPr>
        <w:keepNext w:val="0"/>
        <w:spacing w:before="0" w:after="60"/>
      </w:pPr>
      <w:r>
        <w:rPr>
          <w:b w:val="0"/>
        </w:rPr>
        <w:t>Pour une commande de ventilation, A représente le dépassement d’un seuil, B une commande forcée et C un défaut. Calculer A+B, inverser C puis combiner ces deux résultats par ET.</w:t>
      </w:r>
    </w:p>
    <w:p>
      <w:pPr>
        <w:keepNext w:val="0"/>
        <w:spacing w:before="0" w:after="80"/>
        <w:jc w:val="center"/>
      </w:pPr>
      <w:r>
        <w:rPr>
          <w:b w:val="0"/>
        </w:rPr>
      </w:r>
      <w:r>
        <w:drawing>
          <wp:inline xmlns:a="http://schemas.openxmlformats.org/drawingml/2006/main" xmlns:pic="http://schemas.openxmlformats.org/drawingml/2006/picture">
            <wp:extent cx="6048000" cy="1661640"/>
            <wp:docPr id="13" name="Picture 13" descr="Deux circuits équivalents : à gauche IEC et à droite ANSI IEEE, chacun avec une porte OU sur A et B, un NON sur C et une porte ET en sortie F."/>
            <wp:cNvGraphicFramePr>
              <a:graphicFrameLocks noChangeAspect="1"/>
            </wp:cNvGraphicFramePr>
            <a:graphic>
              <a:graphicData uri="http://schemas.openxmlformats.org/drawingml/2006/picture">
                <pic:pic>
                  <pic:nvPicPr>
                    <pic:cNvPr id="0" name="ventilation_deux_symboles.png"/>
                    <pic:cNvPicPr/>
                  </pic:nvPicPr>
                  <pic:blipFill>
                    <a:blip r:embed="rId24"/>
                    <a:stretch>
                      <a:fillRect/>
                    </a:stretch>
                  </pic:blipFill>
                  <pic:spPr>
                    <a:xfrm>
                      <a:off x="0" y="0"/>
                      <a:ext cx="6048000" cy="1661640"/>
                    </a:xfrm>
                    <a:prstGeom prst="rect"/>
                  </pic:spPr>
                </pic:pic>
              </a:graphicData>
            </a:graphic>
          </wp:inline>
        </w:drawing>
      </w:r>
    </w:p>
    <w:p>
      <w:r>
        <w:br w:type="page"/>
      </w:r>
    </w:p>
    <w:p>
      <w:pPr>
        <w:pStyle w:val="Titre1"/>
        <w:keepNext/>
        <w:spacing w:before="100" w:after="100"/>
      </w:pPr>
      <w:r>
        <w:rPr>
          <w:b w:val="0"/>
        </w:rPr>
        <w:t>6 Exercices de révision avec validations</w:t>
      </w:r>
    </w:p>
    <w:p>
      <w:pPr>
        <w:pStyle w:val="Titre2"/>
        <w:keepNext/>
        <w:spacing w:before="100" w:after="100"/>
      </w:pPr>
      <w:r>
        <w:rPr>
          <w:b w:val="0"/>
        </w:rPr>
        <w:t>Exercice 1 Commande de ventilation sur 4</w:t>
      </w:r>
    </w:p>
    <w:p>
      <w:pPr>
        <w:keepNext w:val="0"/>
        <w:spacing w:before="0" w:after="80"/>
      </w:pPr>
      <w:r>
        <w:rPr>
          <w:b w:val="0"/>
        </w:rPr>
        <w:t>On étudie une commande de ventilation. A = 1 lorsque la température dépasse le seuil choisi ; B = 1 lorsque la commande forcée est active ; C = 1 lorsqu’un défaut est détecté.</w:t>
      </w:r>
    </w:p>
    <w:p>
      <w:pPr>
        <w:keepNext w:val="0"/>
        <w:spacing w:before="0" w:after="100"/>
      </w:pPr>
      <w:r>
        <w:rPr>
          <w:b w:val="0"/>
        </w:rPr>
        <w:t>La ventilation est commandée si A ou B vaut 1, et seulement en absence de défaut. Compléter A+B, ¬C puis F = (A+B)·¬C.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47"/>
        <w:gridCol w:w="1247"/>
        <w:gridCol w:w="1247"/>
        <w:gridCol w:w="1984"/>
        <w:gridCol w:w="1757"/>
        <w:gridCol w:w="1757"/>
      </w:tblGrid>
      <w:tr>
        <w:trPr>
          <w:cantSplit/>
          <w:tblHeader/>
        </w:trPr>
        <w:tc>
          <w:tcPr>
            <w:tcW w:type="dxa" w:w="1247"/>
            <w:vAlign w:val="center"/>
            <w:shd w:fill="193A55"/>
            <w:tcMar>
              <w:top w:w="55" w:type="dxa"/>
              <w:bottom w:w="55" w:type="dxa"/>
              <w:left w:w="85" w:type="dxa"/>
              <w:right w:w="85" w:type="dxa"/>
            </w:tcMar>
          </w:tcPr>
          <w:p>
            <w:pPr>
              <w:spacing w:before="0" w:after="0" w:line="247" w:lineRule="auto"/>
              <w:jc w:val="center"/>
            </w:pPr>
            <w:r>
              <w:rPr>
                <w:rFonts w:ascii="Arial" w:hAnsi="Arial"/>
                <w:b/>
                <w:color w:val="FFFFFF"/>
                <w:sz w:val="22"/>
              </w:rPr>
              <w:t>A</w:t>
            </w:r>
          </w:p>
        </w:tc>
        <w:tc>
          <w:tcPr>
            <w:tcW w:type="dxa" w:w="1247"/>
            <w:vAlign w:val="center"/>
            <w:shd w:fill="193A55"/>
            <w:tcMar>
              <w:top w:w="55" w:type="dxa"/>
              <w:bottom w:w="55" w:type="dxa"/>
              <w:left w:w="85" w:type="dxa"/>
              <w:right w:w="85" w:type="dxa"/>
            </w:tcMar>
          </w:tcPr>
          <w:p>
            <w:pPr>
              <w:spacing w:before="0" w:after="0" w:line="247" w:lineRule="auto"/>
              <w:jc w:val="center"/>
            </w:pPr>
            <w:r>
              <w:rPr>
                <w:rFonts w:ascii="Arial" w:hAnsi="Arial"/>
                <w:b/>
                <w:color w:val="FFFFFF"/>
                <w:sz w:val="22"/>
              </w:rPr>
              <w:t>B</w:t>
            </w:r>
          </w:p>
        </w:tc>
        <w:tc>
          <w:tcPr>
            <w:tcW w:type="dxa" w:w="1247"/>
            <w:vAlign w:val="center"/>
            <w:shd w:fill="193A55"/>
            <w:tcMar>
              <w:top w:w="55" w:type="dxa"/>
              <w:bottom w:w="55" w:type="dxa"/>
              <w:left w:w="85" w:type="dxa"/>
              <w:right w:w="85" w:type="dxa"/>
            </w:tcMar>
          </w:tcPr>
          <w:p>
            <w:pPr>
              <w:spacing w:before="0" w:after="0" w:line="247" w:lineRule="auto"/>
              <w:jc w:val="center"/>
            </w:pPr>
            <w:r>
              <w:rPr>
                <w:rFonts w:ascii="Arial" w:hAnsi="Arial"/>
                <w:b/>
                <w:color w:val="FFFFFF"/>
                <w:sz w:val="22"/>
              </w:rPr>
              <w:t>C</w:t>
            </w:r>
          </w:p>
        </w:tc>
        <w:tc>
          <w:tcPr>
            <w:tcW w:type="dxa" w:w="1984"/>
            <w:vAlign w:val="center"/>
            <w:shd w:fill="193A55"/>
            <w:tcMar>
              <w:top w:w="55" w:type="dxa"/>
              <w:bottom w:w="55" w:type="dxa"/>
              <w:left w:w="85" w:type="dxa"/>
              <w:right w:w="85" w:type="dxa"/>
            </w:tcMar>
          </w:tcPr>
          <w:p>
            <w:pPr>
              <w:spacing w:before="0" w:after="0" w:line="247" w:lineRule="auto"/>
              <w:jc w:val="center"/>
            </w:pPr>
            <w:r>
              <w:rPr>
                <w:rFonts w:ascii="Arial" w:hAnsi="Arial"/>
                <w:b/>
                <w:color w:val="FFFFFF"/>
                <w:sz w:val="22"/>
              </w:rPr>
              <w:t>A+B</w:t>
            </w:r>
          </w:p>
        </w:tc>
        <w:tc>
          <w:tcPr>
            <w:tcW w:type="dxa" w:w="1757"/>
            <w:vAlign w:val="center"/>
            <w:shd w:fill="193A55"/>
            <w:tcMar>
              <w:top w:w="55" w:type="dxa"/>
              <w:bottom w:w="55" w:type="dxa"/>
              <w:left w:w="85" w:type="dxa"/>
              <w:right w:w="85" w:type="dxa"/>
            </w:tcMar>
          </w:tcPr>
          <w:p>
            <w:pPr>
              <w:spacing w:before="0" w:after="0" w:line="247" w:lineRule="auto"/>
              <w:jc w:val="center"/>
            </w:pPr>
            <w:r>
              <w:rPr>
                <w:rFonts w:ascii="Arial" w:hAnsi="Arial"/>
                <w:b/>
                <w:color w:val="FFFFFF"/>
                <w:sz w:val="22"/>
              </w:rPr>
              <w:t>¬C</w:t>
            </w:r>
          </w:p>
        </w:tc>
        <w:tc>
          <w:tcPr>
            <w:tcW w:type="dxa" w:w="1757"/>
            <w:vAlign w:val="center"/>
            <w:shd w:fill="193A55"/>
            <w:tcMar>
              <w:top w:w="55" w:type="dxa"/>
              <w:bottom w:w="55" w:type="dxa"/>
              <w:left w:w="85" w:type="dxa"/>
              <w:right w:w="85" w:type="dxa"/>
            </w:tcMar>
          </w:tcPr>
          <w:p>
            <w:pPr>
              <w:spacing w:before="0" w:after="0" w:line="247" w:lineRule="auto"/>
              <w:jc w:val="center"/>
            </w:pPr>
            <w:r>
              <w:rPr>
                <w:rFonts w:ascii="Arial" w:hAnsi="Arial"/>
                <w:b/>
                <w:color w:val="FFFFFF"/>
                <w:sz w:val="22"/>
              </w:rPr>
              <w:t>F</w:t>
            </w:r>
          </w:p>
        </w:tc>
      </w:tr>
      <w:tr>
        <w:trPr>
          <w:cantSplit/>
        </w:trPr>
        <w:tc>
          <w:tcPr>
            <w:tcW w:type="dxa" w:w="124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0</w:t>
            </w:r>
          </w:p>
        </w:tc>
        <w:tc>
          <w:tcPr>
            <w:tcW w:type="dxa" w:w="124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0</w:t>
            </w:r>
          </w:p>
        </w:tc>
        <w:tc>
          <w:tcPr>
            <w:tcW w:type="dxa" w:w="124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0</w:t>
            </w:r>
          </w:p>
        </w:tc>
        <w:tc>
          <w:tcPr>
            <w:tcW w:type="dxa" w:w="1984"/>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r>
      <w:tr>
        <w:trPr>
          <w:cantSplit/>
        </w:trPr>
        <w:tc>
          <w:tcPr>
            <w:tcW w:type="dxa" w:w="124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0</w:t>
            </w:r>
          </w:p>
        </w:tc>
        <w:tc>
          <w:tcPr>
            <w:tcW w:type="dxa" w:w="124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0</w:t>
            </w:r>
          </w:p>
        </w:tc>
        <w:tc>
          <w:tcPr>
            <w:tcW w:type="dxa" w:w="124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1</w:t>
            </w:r>
          </w:p>
        </w:tc>
        <w:tc>
          <w:tcPr>
            <w:tcW w:type="dxa" w:w="1984"/>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r>
      <w:tr>
        <w:trPr>
          <w:cantSplit/>
        </w:trPr>
        <w:tc>
          <w:tcPr>
            <w:tcW w:type="dxa" w:w="124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0</w:t>
            </w:r>
          </w:p>
        </w:tc>
        <w:tc>
          <w:tcPr>
            <w:tcW w:type="dxa" w:w="124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1</w:t>
            </w:r>
          </w:p>
        </w:tc>
        <w:tc>
          <w:tcPr>
            <w:tcW w:type="dxa" w:w="124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0</w:t>
            </w:r>
          </w:p>
        </w:tc>
        <w:tc>
          <w:tcPr>
            <w:tcW w:type="dxa" w:w="1984"/>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r>
      <w:tr>
        <w:trPr>
          <w:cantSplit/>
        </w:trPr>
        <w:tc>
          <w:tcPr>
            <w:tcW w:type="dxa" w:w="124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0</w:t>
            </w:r>
          </w:p>
        </w:tc>
        <w:tc>
          <w:tcPr>
            <w:tcW w:type="dxa" w:w="124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1</w:t>
            </w:r>
          </w:p>
        </w:tc>
        <w:tc>
          <w:tcPr>
            <w:tcW w:type="dxa" w:w="124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1</w:t>
            </w:r>
          </w:p>
        </w:tc>
        <w:tc>
          <w:tcPr>
            <w:tcW w:type="dxa" w:w="1984"/>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r>
      <w:tr>
        <w:trPr>
          <w:cantSplit/>
        </w:trPr>
        <w:tc>
          <w:tcPr>
            <w:tcW w:type="dxa" w:w="124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1</w:t>
            </w:r>
          </w:p>
        </w:tc>
        <w:tc>
          <w:tcPr>
            <w:tcW w:type="dxa" w:w="124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0</w:t>
            </w:r>
          </w:p>
        </w:tc>
        <w:tc>
          <w:tcPr>
            <w:tcW w:type="dxa" w:w="124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0</w:t>
            </w:r>
          </w:p>
        </w:tc>
        <w:tc>
          <w:tcPr>
            <w:tcW w:type="dxa" w:w="1984"/>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r>
      <w:tr>
        <w:trPr>
          <w:cantSplit/>
        </w:trPr>
        <w:tc>
          <w:tcPr>
            <w:tcW w:type="dxa" w:w="124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1</w:t>
            </w:r>
          </w:p>
        </w:tc>
        <w:tc>
          <w:tcPr>
            <w:tcW w:type="dxa" w:w="124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0</w:t>
            </w:r>
          </w:p>
        </w:tc>
        <w:tc>
          <w:tcPr>
            <w:tcW w:type="dxa" w:w="124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1</w:t>
            </w:r>
          </w:p>
        </w:tc>
        <w:tc>
          <w:tcPr>
            <w:tcW w:type="dxa" w:w="1984"/>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r>
      <w:tr>
        <w:trPr>
          <w:cantSplit/>
        </w:trPr>
        <w:tc>
          <w:tcPr>
            <w:tcW w:type="dxa" w:w="124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1</w:t>
            </w:r>
          </w:p>
        </w:tc>
        <w:tc>
          <w:tcPr>
            <w:tcW w:type="dxa" w:w="124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1</w:t>
            </w:r>
          </w:p>
        </w:tc>
        <w:tc>
          <w:tcPr>
            <w:tcW w:type="dxa" w:w="124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0</w:t>
            </w:r>
          </w:p>
        </w:tc>
        <w:tc>
          <w:tcPr>
            <w:tcW w:type="dxa" w:w="1984"/>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r>
      <w:tr>
        <w:trPr>
          <w:cantSplit/>
        </w:trPr>
        <w:tc>
          <w:tcPr>
            <w:tcW w:type="dxa" w:w="124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1</w:t>
            </w:r>
          </w:p>
        </w:tc>
        <w:tc>
          <w:tcPr>
            <w:tcW w:type="dxa" w:w="124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1</w:t>
            </w:r>
          </w:p>
        </w:tc>
        <w:tc>
          <w:tcPr>
            <w:tcW w:type="dxa" w:w="124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1</w:t>
            </w:r>
          </w:p>
        </w:tc>
        <w:tc>
          <w:tcPr>
            <w:tcW w:type="dxa" w:w="1984"/>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757"/>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r>
    </w:tbl>
    <w:p>
      <w:pPr>
        <w:keepNext w:val="0"/>
        <w:spacing w:before="80" w:after="100"/>
      </w:pPr>
      <w:r>
        <w:rPr>
          <w:b w:val="0"/>
          <w:sz w:val="20"/>
        </w:rPr>
        <w:t>Faire vérifier la table et expliquer pourquoi un défaut bloque la commande.</w:t>
      </w:r>
    </w:p>
    <w:p>
      <w:pPr>
        <w:pStyle w:val="Titre2"/>
        <w:keepNext/>
        <w:spacing w:before="100" w:after="100"/>
      </w:pPr>
      <w:r>
        <w:rPr>
          <w:b w:val="0"/>
        </w:rPr>
        <w:t>Exercice 2 Simplifications justifiées sur 5</w:t>
      </w:r>
    </w:p>
    <w:p>
      <w:pPr>
        <w:keepNext w:val="0"/>
        <w:spacing w:before="0" w:after="80"/>
      </w:pPr>
      <w:r>
        <w:rPr>
          <w:b w:val="0"/>
        </w:rPr>
        <w:t>Simplifier les trois expressions et citer les propriétés utilisées.</w:t>
      </w:r>
    </w:p>
    <w:p>
      <w:pPr>
        <w:keepNext w:val="0"/>
        <w:spacing w:before="0" w:after="100"/>
      </w:pPr>
      <w:r>
        <w:rPr>
          <w:b w:val="0"/>
        </w:rPr>
      </w:r>
      <m:oMath>
        <m:r>
          <m:t xml:space="preserve">P = A·B + A·¬B     sur 2</m:t>
        </m:r>
      </m:oMath>
    </w:p>
    <w:p>
      <w:pPr>
        <w:keepNext w:val="0"/>
        <w:spacing w:before="0" w:after="0" w:line="247" w:lineRule="auto"/>
      </w:pPr>
      <w:r>
        <w:rPr>
          <w:b w:val="0"/>
          <w:color w:val="777777"/>
          <w:sz w:val="22"/>
        </w:rPr>
        <w:t>...................................................................................................................</w:t>
      </w:r>
    </w:p>
    <w:p>
      <w:pPr>
        <w:keepNext w:val="0"/>
        <w:spacing w:before="0" w:after="0" w:line="247" w:lineRule="auto"/>
      </w:pPr>
      <w:r>
        <w:rPr>
          <w:b w:val="0"/>
          <w:color w:val="777777"/>
          <w:sz w:val="22"/>
        </w:rPr>
        <w:t>...................................................................................................................</w:t>
      </w:r>
    </w:p>
    <w:p>
      <w:pPr>
        <w:keepNext w:val="0"/>
        <w:spacing w:before="0" w:after="100"/>
      </w:pPr>
      <w:r>
        <w:rPr>
          <w:b w:val="0"/>
        </w:rPr>
      </w:r>
      <m:oMath>
        <m:r>
          <m:t xml:space="preserve">Q = (A+B)·(A+¬B)     sur 2</m:t>
        </m:r>
      </m:oMath>
    </w:p>
    <w:p>
      <w:pPr>
        <w:keepNext w:val="0"/>
        <w:spacing w:before="0" w:after="0" w:line="247" w:lineRule="auto"/>
      </w:pPr>
      <w:r>
        <w:rPr>
          <w:b w:val="0"/>
          <w:color w:val="777777"/>
          <w:sz w:val="22"/>
        </w:rPr>
        <w:t>...................................................................................................................</w:t>
      </w:r>
    </w:p>
    <w:p>
      <w:pPr>
        <w:keepNext w:val="0"/>
        <w:spacing w:before="0" w:after="0" w:line="247" w:lineRule="auto"/>
      </w:pPr>
      <w:r>
        <w:rPr>
          <w:b w:val="0"/>
          <w:color w:val="777777"/>
          <w:sz w:val="22"/>
        </w:rPr>
        <w:t>...................................................................................................................</w:t>
      </w:r>
    </w:p>
    <w:p>
      <w:pPr>
        <w:keepNext w:val="0"/>
        <w:spacing w:before="0" w:after="100"/>
      </w:pPr>
      <w:r>
        <w:rPr>
          <w:b w:val="0"/>
        </w:rPr>
      </w:r>
      <m:oMath>
        <m:r>
          <m:t xml:space="preserve">R = A + ¬A·B     sur 1</m:t>
        </m:r>
      </m:oMath>
    </w:p>
    <w:p>
      <w:pPr>
        <w:keepNext w:val="0"/>
        <w:spacing w:before="0" w:after="0" w:line="247" w:lineRule="auto"/>
      </w:pPr>
      <w:r>
        <w:rPr>
          <w:b w:val="0"/>
          <w:color w:val="777777"/>
          <w:sz w:val="22"/>
        </w:rPr>
        <w:t>...................................................................................................................</w:t>
      </w:r>
    </w:p>
    <w:p>
      <w:pPr>
        <w:keepNext w:val="0"/>
        <w:spacing w:before="0" w:after="0" w:line="247" w:lineRule="auto"/>
      </w:pPr>
      <w:r>
        <w:rPr>
          <w:b w:val="0"/>
          <w:color w:val="777777"/>
          <w:sz w:val="22"/>
        </w:rPr>
        <w:t>...................................................................................................................</w:t>
      </w:r>
    </w:p>
    <w:p>
      <w:pPr>
        <w:keepNext w:val="0"/>
        <w:spacing w:before="0" w:after="0" w:line="247" w:lineRule="auto"/>
      </w:pPr>
      <w:r>
        <w:rPr>
          <w:b w:val="0"/>
          <w:color w:val="777777"/>
          <w:sz w:val="22"/>
        </w:rPr>
        <w:t>...................................................................................................................</w:t>
      </w:r>
    </w:p>
    <w:p>
      <w:r>
        <w:br w:type="page"/>
      </w:r>
    </w:p>
    <w:p>
      <w:pPr>
        <w:pStyle w:val="Titre2"/>
        <w:keepNext/>
        <w:spacing w:before="100" w:after="100"/>
      </w:pPr>
      <w:r>
        <w:rPr>
          <w:b w:val="0"/>
        </w:rPr>
        <w:t>Exercice 3 Carte de Karnaugh sur 6</w:t>
      </w:r>
    </w:p>
    <w:p>
      <w:pPr>
        <w:keepNext w:val="0"/>
        <w:spacing w:before="0" w:after="100"/>
      </w:pPr>
      <w:r>
        <w:rPr>
          <w:b w:val="0"/>
        </w:rPr>
        <w:t>H(A,B,C,D) vaut 1 pour les mintermes 0, 2, 8, 10, 12, 13, 14 et 15, et 0 pour les autres. A est le bit de poids fort et D le bit de poids faible. Compléter la carte, former les groupes et simplifier.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1871"/>
        <w:gridCol w:w="1871"/>
        <w:gridCol w:w="1871"/>
        <w:gridCol w:w="1871"/>
      </w:tblGrid>
      <w:tr>
        <w:trPr>
          <w:cantSplit/>
          <w:tblHeader/>
        </w:trPr>
        <w:tc>
          <w:tcPr>
            <w:tcW w:type="dxa" w:w="2154"/>
            <w:vAlign w:val="center"/>
            <w:shd w:fill="193A55"/>
            <w:tcMar>
              <w:top w:w="55" w:type="dxa"/>
              <w:bottom w:w="55" w:type="dxa"/>
              <w:left w:w="85" w:type="dxa"/>
              <w:right w:w="85" w:type="dxa"/>
            </w:tcMar>
          </w:tcPr>
          <w:p>
            <w:pPr>
              <w:spacing w:before="0" w:after="0" w:line="247" w:lineRule="auto"/>
              <w:jc w:val="center"/>
            </w:pPr>
            <w:r>
              <w:rPr>
                <w:rFonts w:ascii="Arial" w:hAnsi="Arial"/>
                <w:b/>
                <w:color w:val="FFFFFF"/>
                <w:sz w:val="22"/>
              </w:rPr>
              <w:t>AB / CD</w:t>
            </w:r>
          </w:p>
        </w:tc>
        <w:tc>
          <w:tcPr>
            <w:tcW w:type="dxa" w:w="1871"/>
            <w:vAlign w:val="center"/>
            <w:shd w:fill="193A55"/>
            <w:tcMar>
              <w:top w:w="55" w:type="dxa"/>
              <w:bottom w:w="55" w:type="dxa"/>
              <w:left w:w="85" w:type="dxa"/>
              <w:right w:w="85" w:type="dxa"/>
            </w:tcMar>
          </w:tcPr>
          <w:p>
            <w:pPr>
              <w:spacing w:before="0" w:after="0" w:line="247" w:lineRule="auto"/>
              <w:jc w:val="center"/>
            </w:pPr>
            <w:r>
              <w:rPr>
                <w:rFonts w:ascii="Arial" w:hAnsi="Arial"/>
                <w:b/>
                <w:color w:val="FFFFFF"/>
                <w:sz w:val="22"/>
              </w:rPr>
              <w:t>00</w:t>
            </w:r>
          </w:p>
        </w:tc>
        <w:tc>
          <w:tcPr>
            <w:tcW w:type="dxa" w:w="1871"/>
            <w:vAlign w:val="center"/>
            <w:shd w:fill="193A55"/>
            <w:tcMar>
              <w:top w:w="55" w:type="dxa"/>
              <w:bottom w:w="55" w:type="dxa"/>
              <w:left w:w="85" w:type="dxa"/>
              <w:right w:w="85" w:type="dxa"/>
            </w:tcMar>
          </w:tcPr>
          <w:p>
            <w:pPr>
              <w:spacing w:before="0" w:after="0" w:line="247" w:lineRule="auto"/>
              <w:jc w:val="center"/>
            </w:pPr>
            <w:r>
              <w:rPr>
                <w:rFonts w:ascii="Arial" w:hAnsi="Arial"/>
                <w:b/>
                <w:color w:val="FFFFFF"/>
                <w:sz w:val="22"/>
              </w:rPr>
              <w:t>01</w:t>
            </w:r>
          </w:p>
        </w:tc>
        <w:tc>
          <w:tcPr>
            <w:tcW w:type="dxa" w:w="1871"/>
            <w:vAlign w:val="center"/>
            <w:shd w:fill="193A55"/>
            <w:tcMar>
              <w:top w:w="55" w:type="dxa"/>
              <w:bottom w:w="55" w:type="dxa"/>
              <w:left w:w="85" w:type="dxa"/>
              <w:right w:w="85" w:type="dxa"/>
            </w:tcMar>
          </w:tcPr>
          <w:p>
            <w:pPr>
              <w:spacing w:before="0" w:after="0" w:line="247" w:lineRule="auto"/>
              <w:jc w:val="center"/>
            </w:pPr>
            <w:r>
              <w:rPr>
                <w:rFonts w:ascii="Arial" w:hAnsi="Arial"/>
                <w:b/>
                <w:color w:val="FFFFFF"/>
                <w:sz w:val="22"/>
              </w:rPr>
              <w:t>11</w:t>
            </w:r>
          </w:p>
        </w:tc>
        <w:tc>
          <w:tcPr>
            <w:tcW w:type="dxa" w:w="1871"/>
            <w:vAlign w:val="center"/>
            <w:shd w:fill="193A55"/>
            <w:tcMar>
              <w:top w:w="55" w:type="dxa"/>
              <w:bottom w:w="55" w:type="dxa"/>
              <w:left w:w="85" w:type="dxa"/>
              <w:right w:w="85" w:type="dxa"/>
            </w:tcMar>
          </w:tcPr>
          <w:p>
            <w:pPr>
              <w:spacing w:before="0" w:after="0" w:line="247" w:lineRule="auto"/>
              <w:jc w:val="center"/>
            </w:pPr>
            <w:r>
              <w:rPr>
                <w:rFonts w:ascii="Arial" w:hAnsi="Arial"/>
                <w:b/>
                <w:color w:val="FFFFFF"/>
                <w:sz w:val="22"/>
              </w:rPr>
              <w:t>10</w:t>
            </w:r>
          </w:p>
        </w:tc>
      </w:tr>
      <w:tr>
        <w:trPr>
          <w:cantSplit/>
        </w:trPr>
        <w:tc>
          <w:tcPr>
            <w:tcW w:type="dxa" w:w="2154"/>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00</w:t>
            </w:r>
          </w:p>
        </w:tc>
        <w:tc>
          <w:tcPr>
            <w:tcW w:type="dxa" w:w="1871"/>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871"/>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871"/>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871"/>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r>
      <w:tr>
        <w:trPr>
          <w:cantSplit/>
        </w:trPr>
        <w:tc>
          <w:tcPr>
            <w:tcW w:type="dxa" w:w="2154"/>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01</w:t>
            </w:r>
          </w:p>
        </w:tc>
        <w:tc>
          <w:tcPr>
            <w:tcW w:type="dxa" w:w="1871"/>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871"/>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871"/>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871"/>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r>
      <w:tr>
        <w:trPr>
          <w:cantSplit/>
        </w:trPr>
        <w:tc>
          <w:tcPr>
            <w:tcW w:type="dxa" w:w="2154"/>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t>11</w:t>
            </w:r>
          </w:p>
        </w:tc>
        <w:tc>
          <w:tcPr>
            <w:tcW w:type="dxa" w:w="1871"/>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871"/>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871"/>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871"/>
            <w:vAlign w:val="center"/>
            <w:shd w:fill="FFFFFF"/>
            <w:tcMar>
              <w:top w:w="55" w:type="dxa"/>
              <w:bottom w:w="55" w:type="dxa"/>
              <w:left w:w="85" w:type="dxa"/>
              <w:right w:w="85" w:type="dxa"/>
            </w:tcMar>
          </w:tcPr>
          <w:p>
            <w:pPr>
              <w:spacing w:before="0" w:after="0" w:line="247" w:lineRule="auto"/>
              <w:jc w:val="center"/>
            </w:pPr>
            <w:r>
              <w:rPr>
                <w:rFonts w:ascii="Arial" w:hAnsi="Arial"/>
                <w:b w:val="0"/>
                <w:color w:val="000000"/>
                <w:sz w:val="22"/>
              </w:rPr>
            </w:r>
          </w:p>
        </w:tc>
      </w:tr>
      <w:tr>
        <w:trPr>
          <w:cantSplit/>
        </w:trPr>
        <w:tc>
          <w:tcPr>
            <w:tcW w:type="dxa" w:w="2154"/>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t>10</w:t>
            </w:r>
          </w:p>
        </w:tc>
        <w:tc>
          <w:tcPr>
            <w:tcW w:type="dxa" w:w="1871"/>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871"/>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871"/>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c>
          <w:tcPr>
            <w:tcW w:type="dxa" w:w="1871"/>
            <w:vAlign w:val="center"/>
            <w:shd w:fill="F3F7FA"/>
            <w:tcMar>
              <w:top w:w="55" w:type="dxa"/>
              <w:bottom w:w="55" w:type="dxa"/>
              <w:left w:w="85" w:type="dxa"/>
              <w:right w:w="85" w:type="dxa"/>
            </w:tcMar>
          </w:tcPr>
          <w:p>
            <w:pPr>
              <w:spacing w:before="0" w:after="0" w:line="247" w:lineRule="auto"/>
              <w:jc w:val="center"/>
            </w:pPr>
            <w:r>
              <w:rPr>
                <w:rFonts w:ascii="Arial" w:hAnsi="Arial"/>
                <w:b w:val="0"/>
                <w:color w:val="000000"/>
                <w:sz w:val="22"/>
              </w:rPr>
            </w:r>
          </w:p>
        </w:tc>
      </w:tr>
    </w:tbl>
    <w:p>
      <w:pPr>
        <w:keepNext w:val="0"/>
        <w:spacing w:before="100" w:after="40"/>
      </w:pPr>
      <w:r>
        <w:rPr>
          <w:b/>
        </w:rPr>
        <w:t>Expression minimale et justification des groupes</w:t>
      </w:r>
    </w:p>
    <w:p>
      <w:pPr>
        <w:keepNext w:val="0"/>
        <w:spacing w:before="0" w:after="0" w:line="247" w:lineRule="auto"/>
      </w:pPr>
      <w:r>
        <w:rPr>
          <w:b w:val="0"/>
          <w:color w:val="777777"/>
          <w:sz w:val="22"/>
        </w:rPr>
        <w:t>...................................................................................................................</w:t>
      </w:r>
    </w:p>
    <w:p>
      <w:pPr>
        <w:keepNext w:val="0"/>
        <w:spacing w:before="0" w:after="0" w:line="247" w:lineRule="auto"/>
      </w:pPr>
      <w:r>
        <w:rPr>
          <w:b w:val="0"/>
          <w:color w:val="777777"/>
          <w:sz w:val="22"/>
        </w:rPr>
        <w:t>...................................................................................................................</w:t>
      </w:r>
    </w:p>
    <w:p>
      <w:pPr>
        <w:pStyle w:val="Titre2"/>
        <w:keepNext/>
        <w:spacing w:before="100" w:after="100"/>
      </w:pPr>
      <w:r>
        <w:rPr>
          <w:b w:val="0"/>
        </w:rPr>
        <w:t>Exercice 4 Circuit et portes NAND sur 5</w:t>
      </w:r>
    </w:p>
    <w:p>
      <w:pPr>
        <w:keepNext w:val="0"/>
        <w:spacing w:before="0" w:after="100"/>
      </w:pPr>
      <w:r>
        <w:rPr>
          <w:b w:val="0"/>
        </w:rPr>
        <w:t>Pour H = ¬B·¬D + A·B, dessiner un circuit avec NON, ET et OU dans la convention de votre choix, puis proposer une réalisation uniquement avec des NAND. Vérifier H pour A = 1, B = 0 et D = 1.</w:t>
      </w:r>
    </w:p>
    <w:p>
      <w:pPr>
        <w:keepNext w:val="0"/>
        <w:spacing w:before="0" w:after="20"/>
      </w:pPr>
      <w:r>
        <w:rPr>
          <w:b/>
        </w:rPr>
        <w:t>Circuit avec NON ET et OU</w:t>
      </w:r>
    </w:p>
    <w:p>
      <w:pPr>
        <w:keepNext w:val="0"/>
        <w:spacing w:before="0" w:after="0" w:line="1400" w:lineRule="exact"/>
      </w:pPr>
      <w:r>
        <w:rPr>
          <w:b w:val="0"/>
        </w:rPr>
        <w:t xml:space="preserve"> </w:t>
      </w:r>
    </w:p>
    <w:p>
      <w:pPr>
        <w:keepNext w:val="0"/>
        <w:spacing w:before="0" w:after="20"/>
      </w:pPr>
      <w:r>
        <w:rPr>
          <w:b/>
        </w:rPr>
        <w:t>Réalisation uniquement avec des NAND</w:t>
      </w:r>
    </w:p>
    <w:p>
      <w:pPr>
        <w:keepNext w:val="0"/>
        <w:spacing w:before="0" w:after="0" w:line="1240" w:lineRule="exact"/>
      </w:pPr>
      <w:r>
        <w:rPr>
          <w:b w:val="0"/>
        </w:rPr>
        <w:t xml:space="preserve"> </w:t>
      </w:r>
    </w:p>
    <w:p>
      <w:pPr>
        <w:keepNext w:val="0"/>
        <w:spacing w:before="0" w:after="20"/>
      </w:pPr>
      <w:r>
        <w:rPr>
          <w:b/>
        </w:rPr>
        <w:t>Vérification de H</w:t>
      </w:r>
    </w:p>
    <w:p>
      <w:pPr>
        <w:keepNext w:val="0"/>
        <w:spacing w:before="0" w:after="0" w:line="247" w:lineRule="auto"/>
      </w:pPr>
      <w:r>
        <w:rPr>
          <w:b w:val="0"/>
          <w:color w:val="777777"/>
          <w:sz w:val="22"/>
        </w:rPr>
        <w:t>...................................................................................................................</w:t>
      </w:r>
    </w:p>
    <w:p>
      <w:r>
        <w:br w:type="page"/>
      </w:r>
    </w:p>
    <w:p>
      <w:pPr>
        <w:pStyle w:val="Titre1"/>
        <w:keepNext/>
        <w:spacing w:before="100" w:after="100"/>
      </w:pPr>
      <w:r>
        <w:rPr>
          <w:b w:val="0"/>
        </w:rPr>
        <w:t>À retenir</w:t>
      </w:r>
    </w:p>
    <w:p>
      <w:pPr>
        <w:pStyle w:val="Listepuces"/>
        <w:keepNext w:val="0"/>
        <w:spacing w:before="0" w:after="60"/>
      </w:pPr>
      <w:r>
        <w:rPr>
          <w:b w:val="0"/>
        </w:rPr>
        <w:t>Une variable booléenne représente une condition vraie ou fausse. Une table à n entrées possède 2</w:t>
      </w:r>
      <w:r>
        <w:rPr>
          <w:b w:val="0"/>
          <w:vertAlign w:val="superscript"/>
        </w:rPr>
        <w:t>n</w:t>
      </w:r>
      <w:r>
        <w:rPr>
          <w:b w:val="0"/>
        </w:rPr>
        <w:t xml:space="preserve"> lignes.</w:t>
      </w:r>
    </w:p>
    <w:p>
      <w:pPr>
        <w:pStyle w:val="Listepuces"/>
        <w:keepNext w:val="0"/>
        <w:spacing w:before="0" w:after="60"/>
      </w:pPr>
      <w:r>
        <w:rPr>
          <w:b w:val="0"/>
        </w:rPr>
        <w:t>ET exige toutes les conditions ; OU inclusif exige au moins une condition ; XOR à deux entrées exige des valeurs différentes.</w:t>
      </w:r>
    </w:p>
    <w:p>
      <w:pPr>
        <w:pStyle w:val="Listepuces"/>
        <w:keepNext w:val="0"/>
        <w:spacing w:before="0" w:after="60"/>
      </w:pPr>
      <w:r>
        <w:rPr>
          <w:b w:val="0"/>
        </w:rPr>
        <w:t>Les symboles IEC sont rectangulaires ; les formes distinctives ANSI IEEE représentent les mêmes opérations. Une bulle inverse la sortie.</w:t>
      </w:r>
    </w:p>
    <w:p>
      <w:pPr>
        <w:pStyle w:val="Listepuces"/>
        <w:keepNext w:val="0"/>
        <w:spacing w:before="0" w:after="60"/>
      </w:pPr>
      <w:r>
        <w:rPr>
          <w:b w:val="0"/>
        </w:rPr>
        <w:t>Les lois de Boole et De Morgan simplifient une fonction en conservant toutes ses valeurs de sortie.</w:t>
      </w:r>
    </w:p>
    <w:p>
      <w:pPr>
        <w:pStyle w:val="Listepuces"/>
        <w:keepNext w:val="0"/>
        <w:spacing w:before="0" w:after="60"/>
      </w:pPr>
      <w:r>
        <w:rPr>
          <w:b w:val="0"/>
        </w:rPr>
        <w:t>Karnaugh emploie l’ordre Gray, des groupes de puissances de 2 et l’adjacence des bords.</w:t>
      </w:r>
    </w:p>
    <w:p>
      <w:pPr>
        <w:pStyle w:val="Listepuces"/>
        <w:keepNext w:val="0"/>
        <w:spacing w:before="0" w:after="60"/>
      </w:pPr>
      <w:r>
        <w:rPr>
          <w:b w:val="0"/>
        </w:rPr>
        <w:t>En EE, définir les états des capteurs et des commandes avant d’écrire l’expression et de dessiner le circuit.</w:t>
      </w:r>
    </w:p>
    <w:p>
      <w:pPr>
        <w:pStyle w:val="Titre2"/>
        <w:keepNext/>
        <w:spacing w:before="100" w:after="100"/>
      </w:pPr>
      <w:r>
        <w:rPr>
          <w:b w:val="0"/>
        </w:rPr>
        <w:t>Références des symboles</w:t>
      </w:r>
    </w:p>
    <w:p>
      <w:pPr>
        <w:keepNext w:val="0"/>
        <w:spacing w:before="0" w:after="60"/>
      </w:pPr>
      <w:r>
        <w:rPr>
          <w:b w:val="0"/>
          <w:sz w:val="18"/>
        </w:rPr>
        <w:t>Nexperia, fiches techniques officielles, section Functional diagram page 2. Références consultées le 10 octobre 2026.</w:t>
      </w:r>
    </w:p>
    <w:p>
      <w:pPr>
        <w:keepNext w:val="0"/>
        <w:spacing w:before="0" w:after="40"/>
      </w:pPr>
      <w:r>
        <w:rPr>
          <w:b w:val="0"/>
          <w:sz w:val="18"/>
        </w:rPr>
      </w:r>
      <w:hyperlink r:id="rId25">
        <w:r>
          <w:rPr>
            <w:sz w:val="18"/>
            <w:color w:val="22536C"/>
          </w:rPr>
          <w:t>NON  —  Nexperia 74HC04 / 74HCT04  —  16 février 2024  —  page 2</w:t>
        </w:r>
      </w:hyperlink>
    </w:p>
    <w:p>
      <w:pPr>
        <w:keepNext w:val="0"/>
        <w:spacing w:before="0" w:after="40"/>
      </w:pPr>
      <w:r>
        <w:rPr>
          <w:b w:val="0"/>
          <w:sz w:val="18"/>
        </w:rPr>
      </w:r>
      <w:hyperlink r:id="rId26">
        <w:r>
          <w:rPr>
            <w:sz w:val="18"/>
            <w:color w:val="22536C"/>
          </w:rPr>
          <w:t>ET  —  Nexperia 74HC08 / 74HCT08  —  16 février 2024  —  page 2</w:t>
        </w:r>
      </w:hyperlink>
    </w:p>
    <w:p>
      <w:pPr>
        <w:keepNext w:val="0"/>
        <w:spacing w:before="0" w:after="40"/>
      </w:pPr>
      <w:r>
        <w:rPr>
          <w:b w:val="0"/>
          <w:sz w:val="18"/>
        </w:rPr>
      </w:r>
      <w:hyperlink r:id="rId27">
        <w:r>
          <w:rPr>
            <w:sz w:val="18"/>
            <w:color w:val="22536C"/>
          </w:rPr>
          <w:t>OU  —  Nexperia 74HC32 / 74HCT32  —  30 avril 2025  —  page 2</w:t>
        </w:r>
      </w:hyperlink>
    </w:p>
    <w:p>
      <w:pPr>
        <w:keepNext w:val="0"/>
        <w:spacing w:before="0" w:after="40"/>
      </w:pPr>
      <w:r>
        <w:rPr>
          <w:b w:val="0"/>
          <w:sz w:val="18"/>
        </w:rPr>
      </w:r>
      <w:hyperlink r:id="rId28">
        <w:r>
          <w:rPr>
            <w:sz w:val="18"/>
            <w:color w:val="22536C"/>
          </w:rPr>
          <w:t>NAND  —  Nexperia 74HC00 / 74HCT00  —  29 avril 2025  —  page 2</w:t>
        </w:r>
      </w:hyperlink>
    </w:p>
    <w:p>
      <w:pPr>
        <w:keepNext w:val="0"/>
        <w:spacing w:before="0" w:after="40"/>
      </w:pPr>
      <w:r>
        <w:rPr>
          <w:b w:val="0"/>
          <w:sz w:val="18"/>
        </w:rPr>
      </w:r>
      <w:hyperlink r:id="rId29">
        <w:r>
          <w:rPr>
            <w:sz w:val="18"/>
            <w:color w:val="22536C"/>
          </w:rPr>
          <w:t>NOR  —  Nexperia 74HC02 / 74HCT02  —  15 février 2024  —  page 2</w:t>
        </w:r>
      </w:hyperlink>
    </w:p>
    <w:p>
      <w:pPr>
        <w:keepNext w:val="0"/>
        <w:spacing w:before="0" w:after="40"/>
      </w:pPr>
      <w:r>
        <w:rPr>
          <w:b w:val="0"/>
          <w:sz w:val="18"/>
        </w:rPr>
      </w:r>
      <w:hyperlink r:id="rId30">
        <w:r>
          <w:rPr>
            <w:sz w:val="18"/>
            <w:color w:val="22536C"/>
          </w:rPr>
          <w:t>XOR  —  Nexperia 74HC86 / 74HCT86  —  2 avril 2024  —  page 2</w:t>
        </w:r>
      </w:hyperlink>
    </w:p>
    <w:p>
      <w:pPr>
        <w:keepNext w:val="0"/>
        <w:spacing w:before="60" w:after="0"/>
      </w:pPr>
      <w:r>
        <w:rPr>
          <w:b w:val="0"/>
          <w:sz w:val="18"/>
        </w:rPr>
        <w:t>Support pédagogique de départ : Révision des opérations booléennes, document fourni par l’enseignant.</w:t>
      </w:r>
    </w:p>
    <w:sectPr w:rsidR="00774352" w:rsidSect="00034616">
      <w:headerReference w:type="default" r:id="rId8"/>
      <w:footerReference w:type="default" r:id="rId9"/>
      <w:pgSz w:w="11906" w:h="16838"/>
      <w:pgMar w:top="1077" w:right="964" w:bottom="907" w:left="964" w:header="312"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507C" w:rsidRDefault="00B1507C">
      <w:pPr>
        <w:spacing w:after="0" w:line="240" w:lineRule="auto"/>
      </w:pPr>
      <w:r>
        <w:separator/>
      </w:r>
    </w:p>
  </w:endnote>
  <w:endnote w:type="continuationSeparator" w:id="0">
    <w:p w:rsidR="00B1507C" w:rsidRDefault="00B15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4352" w:rsidRDefault="00B1507C">
    <w:pPr>
      <w:pStyle w:val="Pieddepage"/>
      <w:jc w:val="center"/>
    </w:pPr>
    <w:r>
      <w:rPr>
        <w:color w:val="000000"/>
        <w:sz w:val="18"/>
      </w:rPr>
      <w:t xml:space="preserve">Lycée Marie Rivier  •  Terminale STI2D EE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507C" w:rsidRDefault="00B1507C">
      <w:pPr>
        <w:spacing w:after="0" w:line="240" w:lineRule="auto"/>
      </w:pPr>
      <w:r>
        <w:separator/>
      </w:r>
    </w:p>
  </w:footnote>
  <w:footnote w:type="continuationSeparator" w:id="0">
    <w:p w:rsidR="00B1507C" w:rsidRDefault="00B15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4352" w:rsidRDefault="00774352">
    <w:pPr>
      <w:pStyle w:val="En-tte"/>
    </w:pPr>
  </w:p>
  <w:tbl>
    <w:tblPr>
      <w:tblW w:w="0" w:type="auto"/>
      <w:jc w:val="center"/>
      <w:tblLayout w:type="fixed"/>
      <w:tblLook w:val="04A0" w:firstRow="1" w:lastRow="0" w:firstColumn="1" w:lastColumn="0" w:noHBand="0" w:noVBand="1"/>
    </w:tblPr>
    <w:tblGrid>
      <w:gridCol w:w="5004"/>
      <w:gridCol w:w="5004"/>
    </w:tblGrid>
    <w:tr w:rsidR="00774352">
      <w:trPr>
        <w:jc w:val="center"/>
      </w:trPr>
      <w:tc>
        <w:tcPr>
          <w:tcW w:w="5004" w:type="dxa"/>
          <w:tcBorders>
            <w:top w:val="single" w:sz="0" w:space="0" w:color="FFFFFF"/>
            <w:left w:val="single" w:sz="0" w:space="0" w:color="FFFFFF"/>
            <w:bottom w:val="single" w:sz="0" w:space="0" w:color="FFFFFF"/>
            <w:right w:val="single" w:sz="0" w:space="0" w:color="FFFFFF"/>
          </w:tcBorders>
        </w:tcPr>
        <w:p w:rsidR="00774352" w:rsidRDefault="00B1507C">
          <w:pPr>
            <w:spacing w:after="0"/>
          </w:pPr>
          <w:r>
            <w:rPr>
              <w:noProof/>
              <w:color w:val="000000"/>
              <w:sz w:val="18"/>
            </w:rPr>
            <w:drawing>
              <wp:inline distT="0" distB="0" distL="0" distR="0">
                <wp:extent cx="1965960" cy="4358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e_rivier_logo_candidate.png"/>
                        <pic:cNvPicPr/>
                      </pic:nvPicPr>
                      <pic:blipFill>
                        <a:blip r:embed="rId1"/>
                        <a:stretch>
                          <a:fillRect/>
                        </a:stretch>
                      </pic:blipFill>
                      <pic:spPr>
                        <a:xfrm>
                          <a:off x="0" y="0"/>
                          <a:ext cx="1965960" cy="435813"/>
                        </a:xfrm>
                        <a:prstGeom prst="rect">
                          <a:avLst/>
                        </a:prstGeom>
                      </pic:spPr>
                    </pic:pic>
                  </a:graphicData>
                </a:graphic>
              </wp:inline>
            </w:drawing>
          </w:r>
        </w:p>
      </w:tc>
      <w:tc>
        <w:tcPr>
          <w:tcW w:w="5004" w:type="dxa"/>
          <w:tcBorders>
            <w:top w:val="single" w:sz="0" w:space="0" w:color="FFFFFF"/>
            <w:left w:val="single" w:sz="0" w:space="0" w:color="FFFFFF"/>
            <w:bottom w:val="single" w:sz="0" w:space="0" w:color="FFFFFF"/>
            <w:right w:val="single" w:sz="0" w:space="0" w:color="FFFFFF"/>
          </w:tcBorders>
        </w:tcPr>
        <w:p w:rsidR="00774352" w:rsidRDefault="00B1507C">
          <w:pPr>
            <w:spacing w:after="0"/>
            <w:jc w:val="right"/>
          </w:pPr>
          <w:r>
            <w:rPr>
              <w:b/>
              <w:color w:val="000000"/>
              <w:sz w:val="18"/>
            </w:rPr>
            <w:t>TERMINALE STI2D EE  |  ÉNERGIES ET ENVIRONNEMENT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4352"/>
    <w:rsid w:val="00A64501"/>
    <w:rsid w:val="00AA1D8D"/>
    <w:rsid w:val="00B1507C"/>
    <w:rsid w:val="00B47730"/>
    <w:rsid w:val="00CB0664"/>
    <w:rsid w:val="00DB35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114FB"/>
  <w14:defaultImageDpi w14:val="300"/>
  <w15:docId w15:val="{1F86396D-0044-4CE7-9803-8D785DF26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pPr>
    <w:rPr>
      <w:rFonts w:ascii="Arial" w:hAnsi="Arial"/>
      <w:color w:val="000000"/>
      <w:sz w:val="22"/>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rPr>
      <w:rFonts w:ascii="Arial" w:hAnsi="Arial"/>
      <w:color w:val="000000"/>
    </w:r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rPr>
      <w:rFonts w:ascii="Arial" w:hAnsi="Arial"/>
      <w:color w:val="000000"/>
    </w:r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rPr>
      <w:rFonts w:ascii="Arial" w:hAnsi="Arial"/>
      <w:color w:val="000000"/>
    </w:r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rPr>
      <w:rFonts w:ascii="Arial" w:hAnsi="Arial"/>
      <w:color w:val="000000"/>
    </w:rPr>
  </w:style>
  <w:style w:type="paragraph" w:styleId="Corpsdetexte">
    <w:name w:val="Body Text"/>
    <w:basedOn w:val="Normal"/>
    <w:link w:val="CorpsdetexteCar"/>
    <w:uiPriority w:val="99"/>
    <w:unhideWhenUsed/>
    <w:rsid w:val="00AA1D8D"/>
    <w:pPr>
      <w:spacing w:after="120"/>
    </w:pPr>
    <w:rPr>
      <w:rFonts w:ascii="Arial" w:hAnsi="Arial"/>
      <w:color w:val="000000"/>
    </w:r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rPr>
      <w:rFonts w:ascii="Arial" w:hAnsi="Arial"/>
      <w:color w:val="000000"/>
    </w:r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rFonts w:ascii="Arial" w:hAnsi="Arial"/>
      <w:color w:val="000000"/>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rPr>
      <w:rFonts w:ascii="Arial" w:hAnsi="Arial"/>
      <w:color w:val="000000"/>
    </w:rPr>
  </w:style>
  <w:style w:type="paragraph" w:styleId="Liste2">
    <w:name w:val="List 2"/>
    <w:basedOn w:val="Normal"/>
    <w:uiPriority w:val="99"/>
    <w:unhideWhenUsed/>
    <w:rsid w:val="00326F90"/>
    <w:pPr>
      <w:ind w:left="720" w:hanging="360"/>
      <w:contextualSpacing/>
    </w:pPr>
    <w:rPr>
      <w:rFonts w:ascii="Arial" w:hAnsi="Arial"/>
      <w:color w:val="000000"/>
    </w:rPr>
  </w:style>
  <w:style w:type="paragraph" w:styleId="Liste3">
    <w:name w:val="List 3"/>
    <w:basedOn w:val="Normal"/>
    <w:uiPriority w:val="99"/>
    <w:unhideWhenUsed/>
    <w:rsid w:val="00326F90"/>
    <w:pPr>
      <w:ind w:left="1080" w:hanging="360"/>
      <w:contextualSpacing/>
    </w:pPr>
    <w:rPr>
      <w:rFonts w:ascii="Arial" w:hAnsi="Arial"/>
      <w:color w:val="000000"/>
    </w:rPr>
  </w:style>
  <w:style w:type="paragraph" w:styleId="Listepuces">
    <w:name w:val="List Bullet"/>
    <w:basedOn w:val="Normal"/>
    <w:uiPriority w:val="99"/>
    <w:unhideWhenUsed/>
    <w:rsid w:val="00326F90"/>
    <w:pPr>
      <w:numPr>
        <w:numId w:val="1"/>
      </w:numPr>
      <w:contextualSpacing/>
    </w:pPr>
    <w:rPr>
      <w:rFonts w:ascii="Arial" w:hAnsi="Arial"/>
      <w:color w:val="000000"/>
    </w:rPr>
  </w:style>
  <w:style w:type="paragraph" w:styleId="Listepuces2">
    <w:name w:val="List Bullet 2"/>
    <w:basedOn w:val="Normal"/>
    <w:uiPriority w:val="99"/>
    <w:unhideWhenUsed/>
    <w:rsid w:val="00326F90"/>
    <w:pPr>
      <w:numPr>
        <w:numId w:val="2"/>
      </w:numPr>
      <w:contextualSpacing/>
    </w:pPr>
    <w:rPr>
      <w:rFonts w:ascii="Arial" w:hAnsi="Arial"/>
      <w:color w:val="000000"/>
    </w:rPr>
  </w:style>
  <w:style w:type="paragraph" w:styleId="Listepuces3">
    <w:name w:val="List Bullet 3"/>
    <w:basedOn w:val="Normal"/>
    <w:uiPriority w:val="99"/>
    <w:unhideWhenUsed/>
    <w:rsid w:val="00326F90"/>
    <w:pPr>
      <w:numPr>
        <w:numId w:val="3"/>
      </w:numPr>
      <w:contextualSpacing/>
    </w:pPr>
    <w:rPr>
      <w:rFonts w:ascii="Arial" w:hAnsi="Arial"/>
      <w:color w:val="000000"/>
    </w:rPr>
  </w:style>
  <w:style w:type="paragraph" w:styleId="Listenumros">
    <w:name w:val="List Number"/>
    <w:basedOn w:val="Normal"/>
    <w:uiPriority w:val="99"/>
    <w:unhideWhenUsed/>
    <w:rsid w:val="00326F90"/>
    <w:pPr>
      <w:numPr>
        <w:numId w:val="5"/>
      </w:numPr>
      <w:contextualSpacing/>
    </w:pPr>
    <w:rPr>
      <w:rFonts w:ascii="Arial" w:hAnsi="Arial"/>
      <w:color w:val="000000"/>
    </w:rPr>
  </w:style>
  <w:style w:type="paragraph" w:styleId="Listenumros2">
    <w:name w:val="List Number 2"/>
    <w:basedOn w:val="Normal"/>
    <w:uiPriority w:val="99"/>
    <w:unhideWhenUsed/>
    <w:rsid w:val="0029639D"/>
    <w:pPr>
      <w:numPr>
        <w:numId w:val="6"/>
      </w:numPr>
      <w:contextualSpacing/>
    </w:pPr>
    <w:rPr>
      <w:rFonts w:ascii="Arial" w:hAnsi="Arial"/>
      <w:color w:val="000000"/>
    </w:rPr>
  </w:style>
  <w:style w:type="paragraph" w:styleId="Listenumros3">
    <w:name w:val="List Number 3"/>
    <w:basedOn w:val="Normal"/>
    <w:uiPriority w:val="99"/>
    <w:unhideWhenUsed/>
    <w:rsid w:val="0029639D"/>
    <w:pPr>
      <w:numPr>
        <w:numId w:val="7"/>
      </w:numPr>
      <w:contextualSpacing/>
    </w:pPr>
    <w:rPr>
      <w:rFonts w:ascii="Arial" w:hAnsi="Arial"/>
      <w:color w:val="000000"/>
    </w:rPr>
  </w:style>
  <w:style w:type="paragraph" w:styleId="Listecontinue">
    <w:name w:val="List Continue"/>
    <w:basedOn w:val="Normal"/>
    <w:uiPriority w:val="99"/>
    <w:unhideWhenUsed/>
    <w:rsid w:val="0029639D"/>
    <w:pPr>
      <w:spacing w:after="120"/>
      <w:ind w:left="360"/>
      <w:contextualSpacing/>
    </w:pPr>
    <w:rPr>
      <w:rFonts w:ascii="Arial" w:hAnsi="Arial"/>
      <w:color w:val="000000"/>
    </w:rPr>
  </w:style>
  <w:style w:type="paragraph" w:styleId="Listecontinue2">
    <w:name w:val="List Continue 2"/>
    <w:basedOn w:val="Normal"/>
    <w:uiPriority w:val="99"/>
    <w:unhideWhenUsed/>
    <w:rsid w:val="0029639D"/>
    <w:pPr>
      <w:spacing w:after="120"/>
      <w:ind w:left="720"/>
      <w:contextualSpacing/>
    </w:pPr>
    <w:rPr>
      <w:rFonts w:ascii="Arial" w:hAnsi="Arial"/>
      <w:color w:val="000000"/>
    </w:rPr>
  </w:style>
  <w:style w:type="paragraph" w:styleId="Listecontinue3">
    <w:name w:val="List Continue 3"/>
    <w:basedOn w:val="Normal"/>
    <w:uiPriority w:val="99"/>
    <w:unhideWhenUsed/>
    <w:rsid w:val="0029639D"/>
    <w:pPr>
      <w:spacing w:after="120"/>
      <w:ind w:left="1080"/>
      <w:contextualSpacing/>
    </w:pPr>
    <w:rPr>
      <w:rFonts w:ascii="Arial" w:hAnsi="Arial"/>
      <w:color w:val="000000"/>
    </w:r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rFonts w:ascii="Arial" w:hAnsi="Arial"/>
      <w:i/>
      <w:iCs/>
      <w:color w:val="000000"/>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rFonts w:ascii="Arial" w:hAnsi="Arial"/>
      <w:b/>
      <w:bCs/>
      <w:i/>
      <w:iCs/>
      <w:color w:val="000000"/>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rPr>
      <w:rFonts w:ascii="Arial" w:hAnsi="Arial"/>
      <w:color w:val="000000"/>
    </w:r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assets.nexperia.com/documents/data-sheet/74HC_HCT04.pdf" TargetMode="External"/><Relationship Id="rId26" Type="http://schemas.openxmlformats.org/officeDocument/2006/relationships/hyperlink" Target="https://assets.nexperia.com/documents/data-sheet/74HC_HCT08.pdf" TargetMode="External"/><Relationship Id="rId27" Type="http://schemas.openxmlformats.org/officeDocument/2006/relationships/hyperlink" Target="https://assets.nexperia.com/documents/data-sheet/74HC_HCT32.pdf" TargetMode="External"/><Relationship Id="rId28" Type="http://schemas.openxmlformats.org/officeDocument/2006/relationships/hyperlink" Target="https://assets.nexperia.com/documents/data-sheet/74HC_HCT00.pdf" TargetMode="External"/><Relationship Id="rId29" Type="http://schemas.openxmlformats.org/officeDocument/2006/relationships/hyperlink" Target="https://assets.nexperia.com/documents/data-sheet/74HC_HCT02.pdf" TargetMode="External"/><Relationship Id="rId30" Type="http://schemas.openxmlformats.org/officeDocument/2006/relationships/hyperlink" Target="https://assets.nexperia.com/documents/data-sheet/74HC_HCT86.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7959CD-2DD1-47C6-B0E1-E737AE577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998</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Révision des opérations booléennes Terminale STI2D EE</dc:title>
  <dc:subject>Révision EE avec symboles européens IEC et américains ANSI IEEE</dc:subject>
  <dc:creator>Christophe Delcourt</dc:creator>
  <cp:keywords/>
  <dc:description>generated by python-docx</dc:description>
  <cp:lastModifiedBy>Kristof</cp:lastModifiedBy>
  <cp:revision>4</cp:revision>
  <dcterms:created xsi:type="dcterms:W3CDTF">2013-12-23T23:15:00Z</dcterms:created>
  <dcterms:modified xsi:type="dcterms:W3CDTF">2026-09-30T16:25:00Z</dcterms:modified>
  <cp:category/>
</cp:coreProperties>
</file>