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spacing w:before="200" w:after="80"/>
      </w:pPr>
      <w:r>
        <w:rPr>
          <w:b/>
          <w:sz w:val="24"/>
        </w:rPr>
        <w:t>Purpose / Scope:</w:t>
      </w:r>
    </w:p>
    <w:p>
      <w:pPr>
        <w:spacing w:before="0" w:after="80"/>
      </w:pPr>
      <w:r>
        <w:rPr>
          <w:b w:val="0"/>
          <w:sz w:val="22"/>
        </w:rPr>
        <w:t>Timing and action plan to run every product, process, tool and gauge change at KTX Toccoa in PLM2, including changes controlled by KTX Weissenburg. Standards: IATF 16949 8.5.6, 8.5.6.1, 8.3.6, 7.5.3; VDA 6.3 P2; VDA 2.</w:t>
      </w:r>
    </w:p>
    <w:p>
      <w:pPr>
        <w:keepNext/>
        <w:spacing w:before="200" w:after="80"/>
      </w:pPr>
      <w:r>
        <w:rPr>
          <w:b/>
          <w:sz w:val="24"/>
        </w:rPr>
        <w:t>Owner / involved:</w:t>
      </w:r>
    </w:p>
    <w:p>
      <w:pPr>
        <w:pStyle w:val="ListParagraph"/>
        <w:numPr>
          <w:ilvl w:val="0"/>
          <w:numId w:val="52"/>
        </w:numPr>
        <w:spacing w:before="0" w:after="40"/>
      </w:pPr>
      <w:r>
        <w:rPr>
          <w:b w:val="0"/>
          <w:sz w:val="22"/>
        </w:rPr>
        <w:t>C. Demmler, Process Development: owner of PLM2 and of every action in this plan, author, keeps it current</w:t>
      </w:r>
    </w:p>
    <w:p>
      <w:pPr>
        <w:pStyle w:val="ListParagraph"/>
        <w:numPr>
          <w:ilvl w:val="0"/>
          <w:numId w:val="52"/>
        </w:numPr>
        <w:spacing w:before="0" w:after="40"/>
      </w:pPr>
      <w:r>
        <w:rPr>
          <w:b w:val="0"/>
          <w:sz w:val="22"/>
        </w:rPr>
        <w:t>Program Management and APQP: support (specification, tests, pilots on the running projects, evidence)</w:t>
      </w:r>
    </w:p>
    <w:p>
      <w:pPr>
        <w:pStyle w:val="ListParagraph"/>
        <w:numPr>
          <w:ilvl w:val="0"/>
          <w:numId w:val="52"/>
        </w:numPr>
        <w:spacing w:before="0" w:after="40"/>
      </w:pPr>
      <w:r>
        <w:rPr>
          <w:b w:val="0"/>
          <w:sz w:val="22"/>
        </w:rPr>
        <w:t>Departments named per action (IT, Quality, Development, Tooling, HR, department heads): support where their part is needed</w:t>
      </w:r>
    </w:p>
    <w:p>
      <w:pPr>
        <w:pStyle w:val="ListParagraph"/>
        <w:numPr>
          <w:ilvl w:val="0"/>
          <w:numId w:val="52"/>
        </w:numPr>
        <w:spacing w:before="0" w:after="40"/>
      </w:pPr>
      <w:r>
        <w:rPr>
          <w:b w:val="0"/>
          <w:sz w:val="22"/>
        </w:rPr>
        <w:t>Plant Management: monthly status review</w:t>
      </w:r>
    </w:p>
    <w:p>
      <w:pPr>
        <w:keepNext/>
        <w:spacing w:before="200" w:after="80"/>
      </w:pPr>
      <w:r>
        <w:rPr>
          <w:b/>
          <w:sz w:val="24"/>
        </w:rPr>
        <w:t>1. Summary</w:t>
      </w:r>
    </w:p>
    <w:p>
      <w:pPr>
        <w:spacing w:before="0" w:after="120"/>
      </w:pPr>
      <w:r>
        <w:rPr>
          <w:b w:val="0"/>
          <w:sz w:val="22"/>
        </w:rPr>
        <w:t xml:space="preserve">The change process is </w:t>
      </w:r>
      <w:r>
        <w:rPr>
          <w:b/>
          <w:sz w:val="22"/>
        </w:rPr>
        <w:t>built and running in PLM2</w:t>
      </w:r>
      <w:r>
        <w:rPr>
          <w:b w:val="0"/>
          <w:sz w:val="22"/>
        </w:rPr>
        <w:t xml:space="preserve">. What remains is </w:t>
      </w:r>
      <w:r>
        <w:rPr>
          <w:b/>
          <w:sz w:val="22"/>
        </w:rPr>
        <w:t>testing with the departments and tightening the role model</w:t>
      </w:r>
      <w:r>
        <w:rPr>
          <w:b w:val="0"/>
          <w:sz w:val="22"/>
        </w:rPr>
        <w:t xml:space="preserve">, so that every step is done by the right function only. Go-live, meaning every new change at TOC runs in PLM2 only, is </w:t>
      </w:r>
      <w:r>
        <w:rPr>
          <w:b/>
          <w:sz w:val="22"/>
        </w:rPr>
        <w:t>12/21/2026</w:t>
      </w:r>
      <w:r>
        <w:rPr>
          <w:b w:val="0"/>
          <w:sz w:val="22"/>
        </w:rPr>
        <w:t>.</w:t>
      </w:r>
    </w:p>
    <w:p>
      <w:pPr>
        <w:keepNext/>
        <w:spacing w:before="200" w:after="80"/>
      </w:pPr>
      <w:r>
        <w:rPr>
          <w:b/>
          <w:sz w:val="24"/>
        </w:rPr>
        <w:t>2. Requirements and how they are met</w:t>
      </w:r>
    </w:p>
    <w:tbl>
      <w:tblPr>
        <w:tblStyle w:val="TableGrid"/>
        <w:tblW w:type="auto" w:w="0"/>
        <w:jc w:val="center"/>
        <w:tblLayout w:type="fixed"/>
        <w:tblLook w:firstColumn="1" w:firstRow="1" w:lastColumn="0" w:lastRow="0" w:noHBand="0" w:noVBand="1" w:val="04A0"/>
      </w:tblPr>
      <w:tblGrid>
        <w:gridCol w:w="2304"/>
        <w:gridCol w:w="3960"/>
        <w:gridCol w:w="3240"/>
      </w:tblGrid>
      <w:tr>
        <w:trPr>
          <w:cantSplit/>
          <w:tblHeader/>
        </w:trPr>
        <w:tc>
          <w:tcPr>
            <w:tcW w:type="dxa" w:w="2304"/>
            <w:shd w:val="clear" w:color="auto" w:fill="D9D9D9"/>
          </w:tcPr>
          <w:p>
            <w:pPr>
              <w:spacing w:before="20" w:after="20"/>
            </w:pPr>
            <w:r>
              <w:rPr>
                <w:b/>
                <w:sz w:val="18"/>
              </w:rPr>
              <w:t>Requirement</w:t>
            </w:r>
          </w:p>
        </w:tc>
        <w:tc>
          <w:tcPr>
            <w:tcW w:type="dxa" w:w="3960"/>
            <w:shd w:val="clear" w:color="auto" w:fill="D9D9D9"/>
          </w:tcPr>
          <w:p>
            <w:pPr>
              <w:spacing w:before="20" w:after="20"/>
            </w:pPr>
            <w:r>
              <w:rPr>
                <w:b/>
                <w:sz w:val="18"/>
              </w:rPr>
              <w:t>How it is met</w:t>
            </w:r>
          </w:p>
        </w:tc>
        <w:tc>
          <w:tcPr>
            <w:tcW w:type="dxa" w:w="3240"/>
            <w:shd w:val="clear" w:color="auto" w:fill="D9D9D9"/>
          </w:tcPr>
          <w:p>
            <w:pPr>
              <w:spacing w:before="20" w:after="20"/>
            </w:pPr>
            <w:r>
              <w:rPr>
                <w:b/>
                <w:sz w:val="18"/>
              </w:rPr>
              <w:t>What we show</w:t>
            </w:r>
          </w:p>
        </w:tc>
      </w:tr>
      <w:tr>
        <w:trPr>
          <w:cantSplit/>
        </w:trPr>
        <w:tc>
          <w:tcPr>
            <w:tcW w:type="dxa" w:w="2304"/>
          </w:tcPr>
          <w:p>
            <w:pPr>
              <w:spacing w:before="20" w:after="20"/>
            </w:pPr>
            <w:r>
              <w:rPr>
                <w:b w:val="0"/>
                <w:sz w:val="18"/>
              </w:rPr>
              <w:t>Documented change process, risk analysis before implementation (8.5.6, 8.5.6.1)</w:t>
            </w:r>
          </w:p>
        </w:tc>
        <w:tc>
          <w:tcPr>
            <w:tcW w:type="dxa" w:w="3960"/>
          </w:tcPr>
          <w:p>
            <w:pPr>
              <w:spacing w:before="20" w:after="20"/>
            </w:pPr>
            <w:r>
              <w:rPr>
                <w:b w:val="0"/>
                <w:sz w:val="18"/>
              </w:rPr>
              <w:t>Fixed stages; routed departments assess with an impact checklist and typed risks; not feasible stops the change</w:t>
            </w:r>
          </w:p>
        </w:tc>
        <w:tc>
          <w:tcPr>
            <w:tcW w:type="dxa" w:w="3240"/>
          </w:tcPr>
          <w:p>
            <w:pPr>
              <w:spacing w:before="20" w:after="20"/>
            </w:pPr>
            <w:r>
              <w:rPr>
                <w:b w:val="0"/>
                <w:sz w:val="18"/>
              </w:rPr>
              <w:t>Assessment tab of any change</w:t>
            </w:r>
          </w:p>
        </w:tc>
      </w:tr>
      <w:tr>
        <w:trPr>
          <w:cantSplit/>
        </w:trPr>
        <w:tc>
          <w:tcPr>
            <w:tcW w:type="dxa" w:w="2304"/>
          </w:tcPr>
          <w:p>
            <w:pPr>
              <w:spacing w:before="20" w:after="20"/>
            </w:pPr>
            <w:r>
              <w:rPr>
                <w:b w:val="0"/>
                <w:sz w:val="18"/>
              </w:rPr>
              <w:t>Customer approval before implementation (8.3.6.1, 8.5.6.1)</w:t>
            </w:r>
          </w:p>
        </w:tc>
        <w:tc>
          <w:tcPr>
            <w:tcW w:type="dxa" w:w="3960"/>
          </w:tcPr>
          <w:p>
            <w:pPr>
              <w:spacing w:before="20" w:after="20"/>
            </w:pPr>
            <w:r>
              <w:rPr>
                <w:b w:val="0"/>
                <w:sz w:val="18"/>
              </w:rPr>
              <w:t>Hard gate for customer changes: valid offer accepted plus PM and Quality sign-off before approved; internal changes need PM cost approval</w:t>
            </w:r>
          </w:p>
        </w:tc>
        <w:tc>
          <w:tcPr>
            <w:tcW w:type="dxa" w:w="3240"/>
          </w:tcPr>
          <w:p>
            <w:pPr>
              <w:spacing w:before="20" w:after="20"/>
            </w:pPr>
            <w:r>
              <w:rPr>
                <w:b w:val="0"/>
                <w:sz w:val="18"/>
              </w:rPr>
              <w:t>Offer tab, sign-off record</w:t>
            </w:r>
          </w:p>
        </w:tc>
      </w:tr>
      <w:tr>
        <w:trPr>
          <w:cantSplit/>
        </w:trPr>
        <w:tc>
          <w:tcPr>
            <w:tcW w:type="dxa" w:w="2304"/>
          </w:tcPr>
          <w:p>
            <w:pPr>
              <w:spacing w:before="20" w:after="20"/>
            </w:pPr>
            <w:r>
              <w:rPr>
                <w:b w:val="0"/>
                <w:sz w:val="18"/>
              </w:rPr>
              <w:t>Verification / validation of the change (8.5.6)</w:t>
            </w:r>
          </w:p>
        </w:tc>
        <w:tc>
          <w:tcPr>
            <w:tcW w:type="dxa" w:w="3960"/>
          </w:tcPr>
          <w:p>
            <w:pPr>
              <w:spacing w:before="20" w:after="20"/>
            </w:pPr>
            <w:r>
              <w:rPr>
                <w:b w:val="0"/>
                <w:sz w:val="18"/>
              </w:rPr>
              <w:t>Validation stage with department checks, a 16-item release checklist and validation issues (8D, escalation L1-L3)</w:t>
            </w:r>
          </w:p>
        </w:tc>
        <w:tc>
          <w:tcPr>
            <w:tcW w:type="dxa" w:w="3240"/>
          </w:tcPr>
          <w:p>
            <w:pPr>
              <w:spacing w:before="20" w:after="20"/>
            </w:pPr>
            <w:r>
              <w:rPr>
                <w:b w:val="0"/>
                <w:sz w:val="18"/>
              </w:rPr>
              <w:t>Release tab</w:t>
            </w:r>
          </w:p>
        </w:tc>
      </w:tr>
      <w:tr>
        <w:trPr>
          <w:cantSplit/>
        </w:trPr>
        <w:tc>
          <w:tcPr>
            <w:tcW w:type="dxa" w:w="2304"/>
          </w:tcPr>
          <w:p>
            <w:pPr>
              <w:spacing w:before="20" w:after="20"/>
            </w:pPr>
            <w:r>
              <w:rPr>
                <w:b w:val="0"/>
                <w:sz w:val="18"/>
              </w:rPr>
              <w:t>Records and traceability (7.5.3)</w:t>
            </w:r>
          </w:p>
        </w:tc>
        <w:tc>
          <w:tcPr>
            <w:tcW w:type="dxa" w:w="3960"/>
          </w:tcPr>
          <w:p>
            <w:pPr>
              <w:spacing w:before="20" w:after="20"/>
            </w:pPr>
            <w:r>
              <w:rPr>
                <w:b w:val="0"/>
                <w:sz w:val="18"/>
              </w:rPr>
              <w:t>Every action in a hash-chained audit trail; documents filed per stage</w:t>
            </w:r>
          </w:p>
        </w:tc>
        <w:tc>
          <w:tcPr>
            <w:tcW w:type="dxa" w:w="3240"/>
          </w:tcPr>
          <w:p>
            <w:pPr>
              <w:spacing w:before="20" w:after="20"/>
            </w:pPr>
            <w:r>
              <w:rPr>
                <w:b w:val="0"/>
                <w:sz w:val="18"/>
              </w:rPr>
              <w:t>Changelog of the change</w:t>
            </w:r>
          </w:p>
        </w:tc>
      </w:tr>
      <w:tr>
        <w:trPr>
          <w:cantSplit/>
        </w:trPr>
        <w:tc>
          <w:tcPr>
            <w:tcW w:type="dxa" w:w="2304"/>
          </w:tcPr>
          <w:p>
            <w:pPr>
              <w:spacing w:before="20" w:after="20"/>
            </w:pPr>
            <w:r>
              <w:rPr>
                <w:b w:val="0"/>
                <w:sz w:val="18"/>
              </w:rPr>
              <w:t>Changes from the mother plant</w:t>
            </w:r>
          </w:p>
        </w:tc>
        <w:tc>
          <w:tcPr>
            <w:tcW w:type="dxa" w:w="3960"/>
          </w:tcPr>
          <w:p>
            <w:pPr>
              <w:spacing w:before="20" w:after="20"/>
            </w:pPr>
            <w:r>
              <w:rPr>
                <w:b w:val="0"/>
                <w:sz w:val="18"/>
              </w:rPr>
              <w:t>Weissenburg side track: impact lock by Development and read-and-understood receipts before approval</w:t>
            </w:r>
          </w:p>
        </w:tc>
        <w:tc>
          <w:tcPr>
            <w:tcW w:type="dxa" w:w="3240"/>
          </w:tcPr>
          <w:p>
            <w:pPr>
              <w:spacing w:before="20" w:after="20"/>
            </w:pPr>
            <w:r>
              <w:rPr>
                <w:b w:val="0"/>
                <w:sz w:val="18"/>
              </w:rPr>
              <w:t>CR-2026-0001..0003 (G6X)</w:t>
            </w:r>
          </w:p>
        </w:tc>
      </w:tr>
    </w:tbl>
    <w:p/>
    <w:p>
      <w:pPr>
        <w:keepNext/>
        <w:spacing w:before="200" w:after="80"/>
      </w:pPr>
      <w:r>
        <w:rPr>
          <w:b/>
          <w:sz w:val="24"/>
        </w:rPr>
        <w:t>3. Process flow</w:t>
      </w:r>
    </w:p>
    <w:p>
      <w:pPr>
        <w:spacing w:before="40" w:after="120"/>
        <w:jc w:val="center"/>
      </w:pPr>
      <w:r>
        <w:drawing>
          <wp:inline xmlns:a="http://schemas.openxmlformats.org/drawingml/2006/main" xmlns:pic="http://schemas.openxmlformats.org/drawingml/2006/picture">
            <wp:extent cx="5486400" cy="2707218"/>
            <wp:docPr id="1" name="Picture 1"/>
            <wp:cNvGraphicFramePr>
              <a:graphicFrameLocks noChangeAspect="1"/>
            </wp:cNvGraphicFramePr>
            <a:graphic>
              <a:graphicData uri="http://schemas.openxmlformats.org/drawingml/2006/picture">
                <pic:pic>
                  <pic:nvPicPr>
                    <pic:cNvPr id="0" name="flow_ecr.png"/>
                    <pic:cNvPicPr/>
                  </pic:nvPicPr>
                  <pic:blipFill>
                    <a:blip r:embed="rId28"/>
                    <a:stretch>
                      <a:fillRect/>
                    </a:stretch>
                  </pic:blipFill>
                  <pic:spPr>
                    <a:xfrm>
                      <a:off x="0" y="0"/>
                      <a:ext cx="5486400" cy="2707218"/>
                    </a:xfrm>
                    <a:prstGeom prst="rect"/>
                  </pic:spPr>
                </pic:pic>
              </a:graphicData>
            </a:graphic>
          </wp:inline>
        </w:drawing>
      </w:r>
    </w:p>
    <w:p>
      <w:pPr>
        <w:pStyle w:val="ListParagraph"/>
        <w:numPr>
          <w:ilvl w:val="0"/>
          <w:numId w:val="52"/>
        </w:numPr>
        <w:spacing w:before="0" w:after="40"/>
      </w:pPr>
      <w:r>
        <w:rPr>
          <w:b/>
          <w:sz w:val="22"/>
        </w:rPr>
        <w:t>Hard gates</w:t>
      </w:r>
      <w:r>
        <w:rPr>
          <w:b w:val="0"/>
          <w:sz w:val="22"/>
        </w:rPr>
        <w:t xml:space="preserve"> cannot be overridden by anyone: impact lock before assessment, customer acceptance with PM and Quality sign-off before approval, and for Weissenburg changes impact lock plus team informed.</w:t>
      </w:r>
    </w:p>
    <w:p>
      <w:pPr>
        <w:pStyle w:val="ListParagraph"/>
        <w:numPr>
          <w:ilvl w:val="0"/>
          <w:numId w:val="52"/>
        </w:numPr>
        <w:spacing w:before="0" w:after="40"/>
      </w:pPr>
      <w:r>
        <w:rPr>
          <w:b/>
          <w:sz w:val="22"/>
        </w:rPr>
        <w:t>Soft guards</w:t>
      </w:r>
      <w:r>
        <w:rPr>
          <w:b w:val="0"/>
          <w:sz w:val="22"/>
        </w:rPr>
        <w:t xml:space="preserve"> (kickoff, timing validated, release checklist) can only be passed with a documented, approved deviation.</w:t>
      </w:r>
    </w:p>
    <w:p>
      <w:pPr>
        <w:pStyle w:val="ListParagraph"/>
        <w:numPr>
          <w:ilvl w:val="0"/>
          <w:numId w:val="52"/>
        </w:numPr>
        <w:spacing w:before="0" w:after="40"/>
      </w:pPr>
      <w:r>
        <w:rPr>
          <w:b/>
          <w:sz w:val="22"/>
        </w:rPr>
        <w:t>Routing</w:t>
      </w:r>
      <w:r>
        <w:rPr>
          <w:b w:val="0"/>
          <w:sz w:val="22"/>
        </w:rPr>
        <w:t xml:space="preserve"> (R/A/S/C per department) is set at scoping; a department added later needs a reason and a second approver.</w:t>
      </w:r>
    </w:p>
    <w:p>
      <w:pPr>
        <w:keepNext/>
        <w:spacing w:before="200" w:after="80"/>
      </w:pPr>
      <w:r>
        <w:rPr>
          <w:b/>
          <w:sz w:val="24"/>
        </w:rPr>
        <w:t>4. Timing planner and tasks</w:t>
      </w:r>
    </w:p>
    <w:p>
      <w:pPr>
        <w:spacing w:before="40" w:after="120"/>
        <w:jc w:val="center"/>
      </w:pPr>
      <w:r>
        <w:drawing>
          <wp:inline xmlns:a="http://schemas.openxmlformats.org/drawingml/2006/main" xmlns:pic="http://schemas.openxmlformats.org/drawingml/2006/picture">
            <wp:extent cx="5943600" cy="3074276"/>
            <wp:docPr id="2" name="Picture 2"/>
            <wp:cNvGraphicFramePr>
              <a:graphicFrameLocks noChangeAspect="1"/>
            </wp:cNvGraphicFramePr>
            <a:graphic>
              <a:graphicData uri="http://schemas.openxmlformats.org/drawingml/2006/picture">
                <pic:pic>
                  <pic:nvPicPr>
                    <pic:cNvPr id="0" name="timing_tasks.png"/>
                    <pic:cNvPicPr/>
                  </pic:nvPicPr>
                  <pic:blipFill>
                    <a:blip r:embed="rId29"/>
                    <a:stretch>
                      <a:fillRect/>
                    </a:stretch>
                  </pic:blipFill>
                  <pic:spPr>
                    <a:xfrm>
                      <a:off x="0" y="0"/>
                      <a:ext cx="5943600" cy="3074276"/>
                    </a:xfrm>
                    <a:prstGeom prst="rect"/>
                  </pic:spPr>
                </pic:pic>
              </a:graphicData>
            </a:graphic>
          </wp:inline>
        </w:drawing>
      </w:r>
    </w:p>
    <w:p>
      <w:pPr>
        <w:pStyle w:val="ListParagraph"/>
        <w:numPr>
          <w:ilvl w:val="0"/>
          <w:numId w:val="52"/>
        </w:numPr>
        <w:spacing w:before="0" w:after="40"/>
      </w:pPr>
      <w:r>
        <w:rPr>
          <w:b/>
          <w:sz w:val="22"/>
        </w:rPr>
        <w:t>Timing planner:</w:t>
      </w:r>
      <w:r>
        <w:rPr>
          <w:b w:val="0"/>
          <w:sz w:val="22"/>
        </w:rPr>
        <w:t xml:space="preserve"> every approved change gets a detailed plan with blocks per department and vendor. Each responsible team confirms the plan revision; 'timing validated' sets the baseline. Export to MS Project for the customer.</w:t>
      </w:r>
    </w:p>
    <w:p>
      <w:pPr>
        <w:pStyle w:val="ListParagraph"/>
        <w:numPr>
          <w:ilvl w:val="0"/>
          <w:numId w:val="52"/>
        </w:numPr>
        <w:spacing w:before="0" w:after="40"/>
      </w:pPr>
      <w:r>
        <w:rPr>
          <w:b/>
          <w:sz w:val="22"/>
        </w:rPr>
        <w:t>Tracking:</w:t>
      </w:r>
      <w:r>
        <w:rPr>
          <w:b w:val="0"/>
          <w:sz w:val="22"/>
        </w:rPr>
        <w:t xml:space="preserve"> progress and actual dates per block, regular progress reports. After the baseline every date move is a deviation with a reason, accepted internally or escalated to the customer through Sales.</w:t>
      </w:r>
    </w:p>
    <w:p>
      <w:pPr>
        <w:pStyle w:val="ListParagraph"/>
        <w:numPr>
          <w:ilvl w:val="0"/>
          <w:numId w:val="52"/>
        </w:numPr>
        <w:spacing w:before="0" w:after="40"/>
      </w:pPr>
      <w:r>
        <w:rPr>
          <w:b/>
          <w:sz w:val="22"/>
        </w:rPr>
        <w:t>Tasks:</w:t>
      </w:r>
      <w:r>
        <w:rPr>
          <w:b w:val="0"/>
          <w:sz w:val="22"/>
        </w:rPr>
        <w:t xml:space="preserve"> every person sees their own open tasks (confirm plan, answer assessment, report progress, release check, decide deviation, read and understood) with due dates in 'My tasks' and a next-step checklist on the change.</w:t>
      </w:r>
    </w:p>
    <w:p>
      <w:pPr>
        <w:pStyle w:val="ListParagraph"/>
        <w:numPr>
          <w:ilvl w:val="0"/>
          <w:numId w:val="52"/>
        </w:numPr>
        <w:spacing w:before="0" w:after="40"/>
      </w:pPr>
      <w:r>
        <w:rPr>
          <w:b/>
          <w:sz w:val="22"/>
        </w:rPr>
        <w:t>Reminders:</w:t>
      </w:r>
      <w:r>
        <w:rPr>
          <w:b w:val="0"/>
          <w:sz w:val="22"/>
        </w:rPr>
        <w:t xml:space="preserve"> due-soon and overdue tasks and deadlines at risk are notified automatically; the project team has one responsible per role and a backup.</w:t>
      </w:r>
    </w:p>
    <w:p>
      <w:pPr>
        <w:keepNext/>
        <w:spacing w:before="200" w:after="80"/>
      </w:pPr>
      <w:r>
        <w:rPr>
          <w:b/>
          <w:sz w:val="24"/>
        </w:rPr>
        <w:t>5. Where we stand today</w:t>
      </w:r>
    </w:p>
    <w:tbl>
      <w:tblPr>
        <w:tblStyle w:val="TableGrid"/>
        <w:tblW w:type="auto" w:w="0"/>
        <w:jc w:val="center"/>
        <w:tblLayout w:type="fixed"/>
        <w:tblLook w:firstColumn="1" w:firstRow="1" w:lastColumn="0" w:lastRow="0" w:noHBand="0" w:noVBand="1" w:val="04A0"/>
      </w:tblPr>
      <w:tblGrid>
        <w:gridCol w:w="3311"/>
        <w:gridCol w:w="1584"/>
        <w:gridCol w:w="4608"/>
      </w:tblGrid>
      <w:tr>
        <w:trPr>
          <w:cantSplit/>
          <w:tblHeader/>
        </w:trPr>
        <w:tc>
          <w:tcPr>
            <w:tcW w:type="dxa" w:w="3312"/>
            <w:shd w:val="clear" w:color="auto" w:fill="D9D9D9"/>
          </w:tcPr>
          <w:p>
            <w:pPr>
              <w:spacing w:before="20" w:after="20"/>
            </w:pPr>
            <w:r>
              <w:rPr>
                <w:b/>
                <w:sz w:val="18"/>
              </w:rPr>
              <w:t>Element</w:t>
            </w:r>
          </w:p>
        </w:tc>
        <w:tc>
          <w:tcPr>
            <w:tcW w:type="dxa" w:w="1584"/>
            <w:shd w:val="clear" w:color="auto" w:fill="D9D9D9"/>
          </w:tcPr>
          <w:p>
            <w:pPr>
              <w:spacing w:before="20" w:after="20"/>
            </w:pPr>
            <w:r>
              <w:rPr>
                <w:b/>
                <w:sz w:val="18"/>
              </w:rPr>
              <w:t>Status</w:t>
            </w:r>
          </w:p>
        </w:tc>
        <w:tc>
          <w:tcPr>
            <w:tcW w:type="dxa" w:w="4608"/>
            <w:shd w:val="clear" w:color="auto" w:fill="D9D9D9"/>
          </w:tcPr>
          <w:p>
            <w:pPr>
              <w:spacing w:before="20" w:after="20"/>
            </w:pPr>
            <w:r>
              <w:rPr>
                <w:b/>
                <w:sz w:val="18"/>
              </w:rPr>
              <w:t>Evidence in PLM2</w:t>
            </w:r>
          </w:p>
        </w:tc>
      </w:tr>
      <w:tr>
        <w:trPr>
          <w:cantSplit/>
        </w:trPr>
        <w:tc>
          <w:tcPr>
            <w:tcW w:type="dxa" w:w="3312"/>
          </w:tcPr>
          <w:p>
            <w:pPr>
              <w:spacing w:before="20" w:after="20"/>
            </w:pPr>
            <w:r>
              <w:rPr>
                <w:b w:val="0"/>
                <w:sz w:val="18"/>
              </w:rPr>
              <w:t>Stages captured to closed, internal branch</w:t>
            </w:r>
          </w:p>
        </w:tc>
        <w:tc>
          <w:tcPr>
            <w:tcW w:type="dxa" w:w="1584"/>
          </w:tcPr>
          <w:p>
            <w:pPr>
              <w:spacing w:before="20" w:after="20"/>
            </w:pPr>
            <w:r>
              <w:rPr>
                <w:b w:val="0"/>
                <w:sz w:val="18"/>
              </w:rPr>
              <w:t>Built</w:t>
            </w:r>
          </w:p>
        </w:tc>
        <w:tc>
          <w:tcPr>
            <w:tcW w:type="dxa" w:w="4608"/>
          </w:tcPr>
          <w:p>
            <w:pPr>
              <w:spacing w:before="20" w:after="20"/>
            </w:pPr>
            <w:r>
              <w:rPr>
                <w:b w:val="0"/>
                <w:sz w:val="18"/>
              </w:rPr>
              <w:t>Lifecycle and gates in every change record</w:t>
            </w:r>
          </w:p>
        </w:tc>
      </w:tr>
      <w:tr>
        <w:trPr>
          <w:cantSplit/>
        </w:trPr>
        <w:tc>
          <w:tcPr>
            <w:tcW w:type="dxa" w:w="3312"/>
          </w:tcPr>
          <w:p>
            <w:pPr>
              <w:spacing w:before="20" w:after="20"/>
            </w:pPr>
            <w:r>
              <w:rPr>
                <w:b w:val="0"/>
                <w:sz w:val="18"/>
              </w:rPr>
              <w:t>Assessment, costing, offer, negotiation</w:t>
            </w:r>
          </w:p>
        </w:tc>
        <w:tc>
          <w:tcPr>
            <w:tcW w:type="dxa" w:w="1584"/>
          </w:tcPr>
          <w:p>
            <w:pPr>
              <w:spacing w:before="20" w:after="20"/>
            </w:pPr>
            <w:r>
              <w:rPr>
                <w:b w:val="0"/>
                <w:sz w:val="18"/>
              </w:rPr>
              <w:t>Built</w:t>
            </w:r>
          </w:p>
        </w:tc>
        <w:tc>
          <w:tcPr>
            <w:tcW w:type="dxa" w:w="4608"/>
          </w:tcPr>
          <w:p>
            <w:pPr>
              <w:spacing w:before="20" w:after="20"/>
            </w:pPr>
            <w:r>
              <w:rPr>
                <w:b w:val="0"/>
                <w:sz w:val="18"/>
              </w:rPr>
              <w:t>Assessment, Costing and Offer tabs</w:t>
            </w:r>
          </w:p>
        </w:tc>
      </w:tr>
      <w:tr>
        <w:trPr>
          <w:cantSplit/>
        </w:trPr>
        <w:tc>
          <w:tcPr>
            <w:tcW w:type="dxa" w:w="3312"/>
          </w:tcPr>
          <w:p>
            <w:pPr>
              <w:spacing w:before="20" w:after="20"/>
            </w:pPr>
            <w:r>
              <w:rPr>
                <w:b w:val="0"/>
                <w:sz w:val="18"/>
              </w:rPr>
              <w:t>Timing planner, baseline, deviations, tasks</w:t>
            </w:r>
          </w:p>
        </w:tc>
        <w:tc>
          <w:tcPr>
            <w:tcW w:type="dxa" w:w="1584"/>
          </w:tcPr>
          <w:p>
            <w:pPr>
              <w:spacing w:before="20" w:after="20"/>
            </w:pPr>
            <w:r>
              <w:rPr>
                <w:b w:val="0"/>
                <w:sz w:val="18"/>
              </w:rPr>
              <w:t>Built</w:t>
            </w:r>
          </w:p>
        </w:tc>
        <w:tc>
          <w:tcPr>
            <w:tcW w:type="dxa" w:w="4608"/>
          </w:tcPr>
          <w:p>
            <w:pPr>
              <w:spacing w:before="20" w:after="20"/>
            </w:pPr>
            <w:r>
              <w:rPr>
                <w:b w:val="0"/>
                <w:sz w:val="18"/>
              </w:rPr>
              <w:t>Timing tab, My tasks</w:t>
            </w:r>
          </w:p>
        </w:tc>
      </w:tr>
      <w:tr>
        <w:trPr>
          <w:cantSplit/>
        </w:trPr>
        <w:tc>
          <w:tcPr>
            <w:tcW w:type="dxa" w:w="3312"/>
          </w:tcPr>
          <w:p>
            <w:pPr>
              <w:spacing w:before="20" w:after="20"/>
            </w:pPr>
            <w:r>
              <w:rPr>
                <w:b w:val="0"/>
                <w:sz w:val="18"/>
              </w:rPr>
              <w:t>Release checklist, lessons step, validation issues</w:t>
            </w:r>
          </w:p>
        </w:tc>
        <w:tc>
          <w:tcPr>
            <w:tcW w:type="dxa" w:w="1584"/>
          </w:tcPr>
          <w:p>
            <w:pPr>
              <w:spacing w:before="20" w:after="20"/>
            </w:pPr>
            <w:r>
              <w:rPr>
                <w:b w:val="0"/>
                <w:sz w:val="18"/>
              </w:rPr>
              <w:t>Built</w:t>
            </w:r>
          </w:p>
        </w:tc>
        <w:tc>
          <w:tcPr>
            <w:tcW w:type="dxa" w:w="4608"/>
          </w:tcPr>
          <w:p>
            <w:pPr>
              <w:spacing w:before="20" w:after="20"/>
            </w:pPr>
            <w:r>
              <w:rPr>
                <w:b w:val="0"/>
                <w:sz w:val="18"/>
              </w:rPr>
              <w:t>Release tab</w:t>
            </w:r>
          </w:p>
        </w:tc>
      </w:tr>
      <w:tr>
        <w:trPr>
          <w:cantSplit/>
        </w:trPr>
        <w:tc>
          <w:tcPr>
            <w:tcW w:type="dxa" w:w="3312"/>
          </w:tcPr>
          <w:p>
            <w:pPr>
              <w:spacing w:before="20" w:after="20"/>
            </w:pPr>
            <w:r>
              <w:rPr>
                <w:b w:val="0"/>
                <w:sz w:val="18"/>
              </w:rPr>
              <w:t>Weissenburg side track</w:t>
            </w:r>
          </w:p>
        </w:tc>
        <w:tc>
          <w:tcPr>
            <w:tcW w:type="dxa" w:w="1584"/>
          </w:tcPr>
          <w:p>
            <w:pPr>
              <w:spacing w:before="20" w:after="20"/>
            </w:pPr>
            <w:r>
              <w:rPr>
                <w:b w:val="0"/>
                <w:sz w:val="18"/>
              </w:rPr>
              <w:t>Built, in use</w:t>
            </w:r>
          </w:p>
        </w:tc>
        <w:tc>
          <w:tcPr>
            <w:tcW w:type="dxa" w:w="4608"/>
          </w:tcPr>
          <w:p>
            <w:pPr>
              <w:spacing w:before="20" w:after="20"/>
            </w:pPr>
            <w:r>
              <w:rPr>
                <w:b w:val="0"/>
                <w:sz w:val="18"/>
              </w:rPr>
              <w:t>G6X changes CR-2026-0001..0003 from the ECC list</w:t>
            </w:r>
          </w:p>
        </w:tc>
      </w:tr>
      <w:tr>
        <w:trPr>
          <w:cantSplit/>
        </w:trPr>
        <w:tc>
          <w:tcPr>
            <w:tcW w:type="dxa" w:w="3312"/>
          </w:tcPr>
          <w:p>
            <w:pPr>
              <w:spacing w:before="20" w:after="20"/>
            </w:pPr>
            <w:r>
              <w:rPr>
                <w:b w:val="0"/>
                <w:sz w:val="18"/>
              </w:rPr>
              <w:t>Department rights per function</w:t>
            </w:r>
          </w:p>
        </w:tc>
        <w:tc>
          <w:tcPr>
            <w:tcW w:type="dxa" w:w="1584"/>
          </w:tcPr>
          <w:p>
            <w:pPr>
              <w:spacing w:before="20" w:after="20"/>
            </w:pPr>
            <w:r>
              <w:rPr>
                <w:b/>
                <w:sz w:val="18"/>
              </w:rPr>
              <w:t>Tightening</w:t>
            </w:r>
          </w:p>
        </w:tc>
        <w:tc>
          <w:tcPr>
            <w:tcW w:type="dxa" w:w="4608"/>
          </w:tcPr>
          <w:p>
            <w:pPr>
              <w:spacing w:before="20" w:after="20"/>
            </w:pPr>
            <w:r>
              <w:rPr>
                <w:b w:val="0"/>
                <w:sz w:val="18"/>
              </w:rPr>
              <w:t>Actions E1-E3</w:t>
            </w:r>
          </w:p>
        </w:tc>
      </w:tr>
      <w:tr>
        <w:trPr>
          <w:cantSplit/>
        </w:trPr>
        <w:tc>
          <w:tcPr>
            <w:tcW w:type="dxa" w:w="3312"/>
          </w:tcPr>
          <w:p>
            <w:pPr>
              <w:spacing w:before="20" w:after="20"/>
            </w:pPr>
            <w:r>
              <w:rPr>
                <w:b w:val="0"/>
                <w:sz w:val="18"/>
              </w:rPr>
              <w:t>Acceptance test with all departments</w:t>
            </w:r>
          </w:p>
        </w:tc>
        <w:tc>
          <w:tcPr>
            <w:tcW w:type="dxa" w:w="1584"/>
          </w:tcPr>
          <w:p>
            <w:pPr>
              <w:spacing w:before="20" w:after="20"/>
            </w:pPr>
            <w:r>
              <w:rPr>
                <w:b/>
                <w:sz w:val="18"/>
              </w:rPr>
              <w:t>Testing</w:t>
            </w:r>
          </w:p>
        </w:tc>
        <w:tc>
          <w:tcPr>
            <w:tcW w:type="dxa" w:w="4608"/>
          </w:tcPr>
          <w:p>
            <w:pPr>
              <w:spacing w:before="20" w:after="20"/>
            </w:pPr>
            <w:r>
              <w:rPr>
                <w:b w:val="0"/>
                <w:sz w:val="18"/>
              </w:rPr>
              <w:t>Actions T1-T2</w:t>
            </w:r>
          </w:p>
        </w:tc>
      </w:tr>
    </w:tbl>
    <w:p/>
    <w:p>
      <w:pPr>
        <w:keepNext/>
        <w:spacing w:before="200" w:after="80"/>
      </w:pPr>
      <w:r>
        <w:rPr>
          <w:b/>
          <w:sz w:val="24"/>
        </w:rPr>
        <w:t>6. Tightening points</w:t>
      </w:r>
    </w:p>
    <w:tbl>
      <w:tblPr>
        <w:tblStyle w:val="TableGrid"/>
        <w:tblW w:type="auto" w:w="0"/>
        <w:jc w:val="center"/>
        <w:tblLayout w:type="fixed"/>
        <w:tblLook w:firstColumn="1" w:firstRow="1" w:lastColumn="0" w:lastRow="0" w:noHBand="0" w:noVBand="1" w:val="04A0"/>
      </w:tblPr>
      <w:tblGrid>
        <w:gridCol w:w="2736"/>
        <w:gridCol w:w="4392"/>
        <w:gridCol w:w="936"/>
        <w:gridCol w:w="1440"/>
      </w:tblGrid>
      <w:tr>
        <w:trPr>
          <w:cantSplit/>
          <w:tblHeader/>
        </w:trPr>
        <w:tc>
          <w:tcPr>
            <w:tcW w:type="dxa" w:w="2736"/>
            <w:shd w:val="clear" w:color="auto" w:fill="D9D9D9"/>
          </w:tcPr>
          <w:p>
            <w:pPr>
              <w:spacing w:before="20" w:after="20"/>
            </w:pPr>
            <w:r>
              <w:rPr>
                <w:b/>
                <w:sz w:val="18"/>
              </w:rPr>
              <w:t>Today</w:t>
            </w:r>
          </w:p>
        </w:tc>
        <w:tc>
          <w:tcPr>
            <w:tcW w:type="dxa" w:w="4392"/>
            <w:shd w:val="clear" w:color="auto" w:fill="D9D9D9"/>
          </w:tcPr>
          <w:p>
            <w:pPr>
              <w:spacing w:before="20" w:after="20"/>
            </w:pPr>
            <w:r>
              <w:rPr>
                <w:b/>
                <w:sz w:val="18"/>
              </w:rPr>
              <w:t>Tightening measure</w:t>
            </w:r>
          </w:p>
        </w:tc>
        <w:tc>
          <w:tcPr>
            <w:tcW w:type="dxa" w:w="936"/>
            <w:shd w:val="clear" w:color="auto" w:fill="D9D9D9"/>
          </w:tcPr>
          <w:p>
            <w:pPr>
              <w:spacing w:before="20" w:after="20"/>
            </w:pPr>
            <w:r>
              <w:rPr>
                <w:b/>
                <w:sz w:val="18"/>
              </w:rPr>
              <w:t>Action</w:t>
            </w:r>
          </w:p>
        </w:tc>
        <w:tc>
          <w:tcPr>
            <w:tcW w:type="dxa" w:w="1440"/>
            <w:shd w:val="clear" w:color="auto" w:fill="D9D9D9"/>
          </w:tcPr>
          <w:p>
            <w:pPr>
              <w:spacing w:before="20" w:after="20"/>
            </w:pPr>
            <w:r>
              <w:rPr>
                <w:b/>
                <w:sz w:val="18"/>
              </w:rPr>
              <w:t>Due</w:t>
            </w:r>
          </w:p>
        </w:tc>
      </w:tr>
      <w:tr>
        <w:trPr>
          <w:cantSplit/>
        </w:trPr>
        <w:tc>
          <w:tcPr>
            <w:tcW w:type="dxa" w:w="2736"/>
          </w:tcPr>
          <w:p>
            <w:pPr>
              <w:spacing w:before="20" w:after="20"/>
            </w:pPr>
            <w:r>
              <w:rPr>
                <w:b w:val="0"/>
                <w:sz w:val="18"/>
              </w:rPr>
              <w:t>Edit rights are broad: most editors hold the admin role</w:t>
            </w:r>
          </w:p>
        </w:tc>
        <w:tc>
          <w:tcPr>
            <w:tcW w:type="dxa" w:w="4392"/>
          </w:tcPr>
          <w:p>
            <w:pPr>
              <w:spacing w:before="20" w:after="20"/>
            </w:pPr>
            <w:r>
              <w:rPr>
                <w:b w:val="0"/>
                <w:sz w:val="18"/>
              </w:rPr>
              <w:t>Rights per department from the company directory groups; admin only for IT and the system owner</w:t>
            </w:r>
          </w:p>
        </w:tc>
        <w:tc>
          <w:tcPr>
            <w:tcW w:type="dxa" w:w="936"/>
          </w:tcPr>
          <w:p>
            <w:pPr>
              <w:spacing w:before="20" w:after="20"/>
            </w:pPr>
            <w:r>
              <w:rPr>
                <w:b w:val="0"/>
                <w:sz w:val="18"/>
              </w:rPr>
              <w:t>E1</w:t>
            </w:r>
          </w:p>
        </w:tc>
        <w:tc>
          <w:tcPr>
            <w:tcW w:type="dxa" w:w="1440"/>
          </w:tcPr>
          <w:p>
            <w:pPr>
              <w:spacing w:before="20" w:after="20"/>
            </w:pPr>
            <w:r>
              <w:rPr>
                <w:b w:val="0"/>
                <w:sz w:val="18"/>
              </w:rPr>
              <w:t>11/13/2026</w:t>
            </w:r>
          </w:p>
        </w:tc>
      </w:tr>
      <w:tr>
        <w:trPr>
          <w:cantSplit/>
        </w:trPr>
        <w:tc>
          <w:tcPr>
            <w:tcW w:type="dxa" w:w="2736"/>
          </w:tcPr>
          <w:p>
            <w:pPr>
              <w:spacing w:before="20" w:after="20"/>
            </w:pPr>
            <w:r>
              <w:rPr>
                <w:b w:val="0"/>
                <w:sz w:val="18"/>
              </w:rPr>
              <w:t>Internal cost approval allows the requester to approve</w:t>
            </w:r>
          </w:p>
        </w:tc>
        <w:tc>
          <w:tcPr>
            <w:tcW w:type="dxa" w:w="4392"/>
          </w:tcPr>
          <w:p>
            <w:pPr>
              <w:spacing w:before="20" w:after="20"/>
            </w:pPr>
            <w:r>
              <w:rPr>
                <w:b w:val="0"/>
                <w:sz w:val="18"/>
              </w:rPr>
              <w:t>Strict four-eyes on every approval and sign-off</w:t>
            </w:r>
          </w:p>
        </w:tc>
        <w:tc>
          <w:tcPr>
            <w:tcW w:type="dxa" w:w="936"/>
          </w:tcPr>
          <w:p>
            <w:pPr>
              <w:spacing w:before="20" w:after="20"/>
            </w:pPr>
            <w:r>
              <w:rPr>
                <w:b w:val="0"/>
                <w:sz w:val="18"/>
              </w:rPr>
              <w:t>E2</w:t>
            </w:r>
          </w:p>
        </w:tc>
        <w:tc>
          <w:tcPr>
            <w:tcW w:type="dxa" w:w="1440"/>
          </w:tcPr>
          <w:p>
            <w:pPr>
              <w:spacing w:before="20" w:after="20"/>
            </w:pPr>
            <w:r>
              <w:rPr>
                <w:b w:val="0"/>
                <w:sz w:val="18"/>
              </w:rPr>
              <w:t>11/06/2026</w:t>
            </w:r>
          </w:p>
        </w:tc>
      </w:tr>
      <w:tr>
        <w:trPr>
          <w:cantSplit/>
        </w:trPr>
        <w:tc>
          <w:tcPr>
            <w:tcW w:type="dxa" w:w="2736"/>
          </w:tcPr>
          <w:p>
            <w:pPr>
              <w:spacing w:before="20" w:after="20"/>
            </w:pPr>
            <w:r>
              <w:rPr>
                <w:b w:val="0"/>
                <w:sz w:val="18"/>
              </w:rPr>
              <w:t>Training is recorded but not required</w:t>
            </w:r>
          </w:p>
        </w:tc>
        <w:tc>
          <w:tcPr>
            <w:tcW w:type="dxa" w:w="4392"/>
          </w:tcPr>
          <w:p>
            <w:pPr>
              <w:spacing w:before="20" w:after="20"/>
            </w:pPr>
            <w:r>
              <w:rPr>
                <w:b w:val="0"/>
                <w:sz w:val="18"/>
              </w:rPr>
              <w:t>Only trained users can act on a stage (training gate on)</w:t>
            </w:r>
          </w:p>
        </w:tc>
        <w:tc>
          <w:tcPr>
            <w:tcW w:type="dxa" w:w="936"/>
          </w:tcPr>
          <w:p>
            <w:pPr>
              <w:spacing w:before="20" w:after="20"/>
            </w:pPr>
            <w:r>
              <w:rPr>
                <w:b w:val="0"/>
                <w:sz w:val="18"/>
              </w:rPr>
              <w:t>E3</w:t>
            </w:r>
          </w:p>
        </w:tc>
        <w:tc>
          <w:tcPr>
            <w:tcW w:type="dxa" w:w="1440"/>
          </w:tcPr>
          <w:p>
            <w:pPr>
              <w:spacing w:before="20" w:after="20"/>
            </w:pPr>
            <w:r>
              <w:rPr>
                <w:b w:val="0"/>
                <w:sz w:val="18"/>
              </w:rPr>
              <w:t>11/20/2026</w:t>
            </w:r>
          </w:p>
        </w:tc>
      </w:tr>
      <w:tr>
        <w:trPr>
          <w:cantSplit/>
        </w:trPr>
        <w:tc>
          <w:tcPr>
            <w:tcW w:type="dxa" w:w="2736"/>
          </w:tcPr>
          <w:p>
            <w:pPr>
              <w:spacing w:before="20" w:after="20"/>
            </w:pPr>
            <w:r>
              <w:rPr>
                <w:b w:val="0"/>
                <w:sz w:val="18"/>
              </w:rPr>
              <w:t>Changes also kept in SharePoint ECC list and Excel form</w:t>
            </w:r>
          </w:p>
        </w:tc>
        <w:tc>
          <w:tcPr>
            <w:tcW w:type="dxa" w:w="4392"/>
          </w:tcPr>
          <w:p>
            <w:pPr>
              <w:spacing w:before="20" w:after="20"/>
            </w:pPr>
            <w:r>
              <w:rPr>
                <w:b w:val="0"/>
                <w:sz w:val="18"/>
              </w:rPr>
              <w:t>PLM2 is the record from go-live; list frozen read-only</w:t>
            </w:r>
          </w:p>
        </w:tc>
        <w:tc>
          <w:tcPr>
            <w:tcW w:type="dxa" w:w="936"/>
          </w:tcPr>
          <w:p>
            <w:pPr>
              <w:spacing w:before="20" w:after="20"/>
            </w:pPr>
            <w:r>
              <w:rPr>
                <w:b w:val="0"/>
                <w:sz w:val="18"/>
              </w:rPr>
              <w:t>F3</w:t>
            </w:r>
          </w:p>
        </w:tc>
        <w:tc>
          <w:tcPr>
            <w:tcW w:type="dxa" w:w="1440"/>
          </w:tcPr>
          <w:p>
            <w:pPr>
              <w:spacing w:before="20" w:after="20"/>
            </w:pPr>
            <w:r>
              <w:rPr>
                <w:b w:val="0"/>
                <w:sz w:val="18"/>
              </w:rPr>
              <w:t>12/21/2026</w:t>
            </w:r>
          </w:p>
        </w:tc>
      </w:tr>
    </w:tbl>
    <w:p/>
    <w:p>
      <w:pPr>
        <w:keepNext/>
        <w:spacing w:before="200" w:after="80"/>
      </w:pPr>
      <w:r>
        <w:rPr>
          <w:b/>
          <w:sz w:val="24"/>
        </w:rPr>
        <w:t>7. Timing and action plan</w:t>
      </w:r>
    </w:p>
    <w:p>
      <w:pPr>
        <w:spacing w:before="40" w:after="120"/>
        <w:jc w:val="center"/>
      </w:pPr>
      <w:r>
        <w:drawing>
          <wp:inline xmlns:a="http://schemas.openxmlformats.org/drawingml/2006/main" xmlns:pic="http://schemas.openxmlformats.org/drawingml/2006/picture">
            <wp:extent cx="5943600" cy="3434818"/>
            <wp:docPr id="3" name="Picture 3"/>
            <wp:cNvGraphicFramePr>
              <a:graphicFrameLocks noChangeAspect="1"/>
            </wp:cNvGraphicFramePr>
            <a:graphic>
              <a:graphicData uri="http://schemas.openxmlformats.org/drawingml/2006/picture">
                <pic:pic>
                  <pic:nvPicPr>
                    <pic:cNvPr id="0" name="gantt_ecr.png"/>
                    <pic:cNvPicPr/>
                  </pic:nvPicPr>
                  <pic:blipFill>
                    <a:blip r:embed="rId30"/>
                    <a:stretch>
                      <a:fillRect/>
                    </a:stretch>
                  </pic:blipFill>
                  <pic:spPr>
                    <a:xfrm>
                      <a:off x="0" y="0"/>
                      <a:ext cx="5943600" cy="3434818"/>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576"/>
        <w:gridCol w:w="2448"/>
        <w:gridCol w:w="1368"/>
        <w:gridCol w:w="1224"/>
        <w:gridCol w:w="1296"/>
        <w:gridCol w:w="1152"/>
        <w:gridCol w:w="1440"/>
      </w:tblGrid>
      <w:tr>
        <w:trPr>
          <w:cantSplit/>
          <w:tblHeader/>
        </w:trPr>
        <w:tc>
          <w:tcPr>
            <w:tcW w:type="dxa" w:w="576"/>
            <w:shd w:val="clear" w:color="auto" w:fill="D9D9D9"/>
          </w:tcPr>
          <w:p>
            <w:pPr>
              <w:spacing w:before="20" w:after="20"/>
            </w:pPr>
            <w:r>
              <w:rPr>
                <w:b/>
                <w:sz w:val="18"/>
              </w:rPr>
              <w:t>No.</w:t>
            </w:r>
          </w:p>
        </w:tc>
        <w:tc>
          <w:tcPr>
            <w:tcW w:type="dxa" w:w="2448"/>
            <w:shd w:val="clear" w:color="auto" w:fill="D9D9D9"/>
          </w:tcPr>
          <w:p>
            <w:pPr>
              <w:spacing w:before="20" w:after="20"/>
            </w:pPr>
            <w:r>
              <w:rPr>
                <w:b/>
                <w:sz w:val="18"/>
              </w:rPr>
              <w:t>Action</w:t>
            </w:r>
          </w:p>
        </w:tc>
        <w:tc>
          <w:tcPr>
            <w:tcW w:type="dxa" w:w="1368"/>
            <w:shd w:val="clear" w:color="auto" w:fill="D9D9D9"/>
          </w:tcPr>
          <w:p>
            <w:pPr>
              <w:spacing w:before="20" w:after="20"/>
            </w:pPr>
            <w:r>
              <w:rPr>
                <w:b/>
                <w:sz w:val="18"/>
              </w:rPr>
              <w:t>Phase</w:t>
            </w:r>
          </w:p>
        </w:tc>
        <w:tc>
          <w:tcPr>
            <w:tcW w:type="dxa" w:w="1224"/>
            <w:shd w:val="clear" w:color="auto" w:fill="D9D9D9"/>
          </w:tcPr>
          <w:p>
            <w:pPr>
              <w:spacing w:before="20" w:after="20"/>
            </w:pPr>
            <w:r>
              <w:rPr>
                <w:b/>
                <w:sz w:val="18"/>
              </w:rPr>
              <w:t>Owner</w:t>
            </w:r>
          </w:p>
        </w:tc>
        <w:tc>
          <w:tcPr>
            <w:tcW w:type="dxa" w:w="1296"/>
            <w:shd w:val="clear" w:color="auto" w:fill="D9D9D9"/>
          </w:tcPr>
          <w:p>
            <w:pPr>
              <w:spacing w:before="20" w:after="20"/>
            </w:pPr>
            <w:r>
              <w:rPr>
                <w:b/>
                <w:sz w:val="18"/>
              </w:rPr>
              <w:t>Support</w:t>
            </w:r>
          </w:p>
        </w:tc>
        <w:tc>
          <w:tcPr>
            <w:tcW w:type="dxa" w:w="1152"/>
            <w:shd w:val="clear" w:color="auto" w:fill="D9D9D9"/>
          </w:tcPr>
          <w:p>
            <w:pPr>
              <w:spacing w:before="20" w:after="20"/>
            </w:pPr>
            <w:r>
              <w:rPr>
                <w:b/>
                <w:sz w:val="18"/>
              </w:rPr>
              <w:t>Due</w:t>
            </w:r>
          </w:p>
        </w:tc>
        <w:tc>
          <w:tcPr>
            <w:tcW w:type="dxa" w:w="1440"/>
            <w:shd w:val="clear" w:color="auto" w:fill="D9D9D9"/>
          </w:tcPr>
          <w:p>
            <w:pPr>
              <w:spacing w:before="20" w:after="20"/>
            </w:pPr>
            <w:r>
              <w:rPr>
                <w:b/>
                <w:sz w:val="18"/>
              </w:rPr>
              <w:t>Done when</w:t>
            </w:r>
          </w:p>
        </w:tc>
      </w:tr>
      <w:tr>
        <w:trPr>
          <w:cantSplit/>
        </w:trPr>
        <w:tc>
          <w:tcPr>
            <w:tcW w:type="dxa" w:w="576"/>
          </w:tcPr>
          <w:p>
            <w:pPr>
              <w:spacing w:before="20" w:after="20"/>
            </w:pPr>
            <w:r>
              <w:rPr>
                <w:b w:val="0"/>
                <w:sz w:val="18"/>
              </w:rPr>
              <w:t>E1</w:t>
            </w:r>
          </w:p>
        </w:tc>
        <w:tc>
          <w:tcPr>
            <w:tcW w:type="dxa" w:w="2448"/>
          </w:tcPr>
          <w:p>
            <w:pPr>
              <w:spacing w:before="20" w:after="20"/>
            </w:pPr>
            <w:r>
              <w:rPr>
                <w:b w:val="0"/>
                <w:sz w:val="18"/>
              </w:rPr>
              <w:t>Department rights from directory groups; admin role limited to IT and system owner</w:t>
            </w:r>
          </w:p>
        </w:tc>
        <w:tc>
          <w:tcPr>
            <w:tcW w:type="dxa" w:w="1368"/>
          </w:tcPr>
          <w:p>
            <w:pPr>
              <w:spacing w:before="20" w:after="20"/>
            </w:pPr>
            <w:r>
              <w:rPr>
                <w:b w:val="0"/>
                <w:sz w:val="18"/>
              </w:rPr>
              <w:t>Programming</w:t>
            </w:r>
          </w:p>
        </w:tc>
        <w:tc>
          <w:tcPr>
            <w:tcW w:type="dxa" w:w="1224"/>
          </w:tcPr>
          <w:p>
            <w:pPr>
              <w:spacing w:before="20" w:after="20"/>
            </w:pPr>
            <w:r>
              <w:rPr>
                <w:b w:val="0"/>
                <w:sz w:val="18"/>
              </w:rPr>
              <w:t>C. Demmler</w:t>
            </w:r>
          </w:p>
        </w:tc>
        <w:tc>
          <w:tcPr>
            <w:tcW w:type="dxa" w:w="1296"/>
          </w:tcPr>
          <w:p>
            <w:pPr>
              <w:spacing w:before="20" w:after="20"/>
            </w:pPr>
            <w:r>
              <w:rPr>
                <w:b w:val="0"/>
                <w:sz w:val="18"/>
              </w:rPr>
              <w:t>IT</w:t>
            </w:r>
          </w:p>
        </w:tc>
        <w:tc>
          <w:tcPr>
            <w:tcW w:type="dxa" w:w="1152"/>
          </w:tcPr>
          <w:p>
            <w:pPr>
              <w:spacing w:before="20" w:after="20"/>
            </w:pPr>
            <w:r>
              <w:rPr>
                <w:b w:val="0"/>
                <w:sz w:val="18"/>
              </w:rPr>
              <w:t>11/13/2026</w:t>
            </w:r>
          </w:p>
        </w:tc>
        <w:tc>
          <w:tcPr>
            <w:tcW w:type="dxa" w:w="1440"/>
          </w:tcPr>
          <w:p>
            <w:pPr>
              <w:spacing w:before="20" w:after="20"/>
            </w:pPr>
            <w:r>
              <w:rPr>
                <w:b w:val="0"/>
                <w:sz w:val="18"/>
              </w:rPr>
              <w:t>Rights matrix filed; test log per role</w:t>
            </w:r>
          </w:p>
        </w:tc>
      </w:tr>
      <w:tr>
        <w:trPr>
          <w:cantSplit/>
        </w:trPr>
        <w:tc>
          <w:tcPr>
            <w:tcW w:type="dxa" w:w="576"/>
          </w:tcPr>
          <w:p>
            <w:pPr>
              <w:spacing w:before="20" w:after="20"/>
            </w:pPr>
            <w:r>
              <w:rPr>
                <w:b w:val="0"/>
                <w:sz w:val="18"/>
              </w:rPr>
              <w:t>E2</w:t>
            </w:r>
          </w:p>
        </w:tc>
        <w:tc>
          <w:tcPr>
            <w:tcW w:type="dxa" w:w="2448"/>
          </w:tcPr>
          <w:p>
            <w:pPr>
              <w:spacing w:before="20" w:after="20"/>
            </w:pPr>
            <w:r>
              <w:rPr>
                <w:b w:val="0"/>
                <w:sz w:val="18"/>
              </w:rPr>
              <w:t>Strict four-eyes on internal cost approval and sign-offs</w:t>
            </w:r>
          </w:p>
        </w:tc>
        <w:tc>
          <w:tcPr>
            <w:tcW w:type="dxa" w:w="1368"/>
          </w:tcPr>
          <w:p>
            <w:pPr>
              <w:spacing w:before="20" w:after="20"/>
            </w:pPr>
            <w:r>
              <w:rPr>
                <w:b w:val="0"/>
                <w:sz w:val="18"/>
              </w:rPr>
              <w:t>Programming</w:t>
            </w:r>
          </w:p>
        </w:tc>
        <w:tc>
          <w:tcPr>
            <w:tcW w:type="dxa" w:w="1224"/>
          </w:tcPr>
          <w:p>
            <w:pPr>
              <w:spacing w:before="20" w:after="20"/>
            </w:pPr>
            <w:r>
              <w:rPr>
                <w:b w:val="0"/>
                <w:sz w:val="18"/>
              </w:rPr>
              <w:t>C. Demmler</w:t>
            </w:r>
          </w:p>
        </w:tc>
        <w:tc>
          <w:tcPr>
            <w:tcW w:type="dxa" w:w="1296"/>
          </w:tcPr>
          <w:p>
            <w:pPr>
              <w:spacing w:before="20" w:after="20"/>
            </w:pPr>
            <w:r>
              <w:rPr>
                <w:b w:val="0"/>
                <w:sz w:val="18"/>
              </w:rPr>
              <w:t>Program Mgmt., APQP</w:t>
            </w:r>
          </w:p>
        </w:tc>
        <w:tc>
          <w:tcPr>
            <w:tcW w:type="dxa" w:w="1152"/>
          </w:tcPr>
          <w:p>
            <w:pPr>
              <w:spacing w:before="20" w:after="20"/>
            </w:pPr>
            <w:r>
              <w:rPr>
                <w:b w:val="0"/>
                <w:sz w:val="18"/>
              </w:rPr>
              <w:t>11/06/2026</w:t>
            </w:r>
          </w:p>
        </w:tc>
        <w:tc>
          <w:tcPr>
            <w:tcW w:type="dxa" w:w="1440"/>
          </w:tcPr>
          <w:p>
            <w:pPr>
              <w:spacing w:before="20" w:after="20"/>
            </w:pPr>
            <w:r>
              <w:rPr>
                <w:b w:val="0"/>
                <w:sz w:val="18"/>
              </w:rPr>
              <w:t>Self-approval rejected in test</w:t>
            </w:r>
          </w:p>
        </w:tc>
      </w:tr>
      <w:tr>
        <w:trPr>
          <w:cantSplit/>
        </w:trPr>
        <w:tc>
          <w:tcPr>
            <w:tcW w:type="dxa" w:w="576"/>
          </w:tcPr>
          <w:p>
            <w:pPr>
              <w:spacing w:before="20" w:after="20"/>
            </w:pPr>
            <w:r>
              <w:rPr>
                <w:b w:val="0"/>
                <w:sz w:val="18"/>
              </w:rPr>
              <w:t>E3</w:t>
            </w:r>
          </w:p>
        </w:tc>
        <w:tc>
          <w:tcPr>
            <w:tcW w:type="dxa" w:w="2448"/>
          </w:tcPr>
          <w:p>
            <w:pPr>
              <w:spacing w:before="20" w:after="20"/>
            </w:pPr>
            <w:r>
              <w:rPr>
                <w:b w:val="0"/>
                <w:sz w:val="18"/>
              </w:rPr>
              <w:t>Training gate switched on per stage</w:t>
            </w:r>
          </w:p>
        </w:tc>
        <w:tc>
          <w:tcPr>
            <w:tcW w:type="dxa" w:w="1368"/>
          </w:tcPr>
          <w:p>
            <w:pPr>
              <w:spacing w:before="20" w:after="20"/>
            </w:pPr>
            <w:r>
              <w:rPr>
                <w:b w:val="0"/>
                <w:sz w:val="18"/>
              </w:rPr>
              <w:t>Programming</w:t>
            </w:r>
          </w:p>
        </w:tc>
        <w:tc>
          <w:tcPr>
            <w:tcW w:type="dxa" w:w="1224"/>
          </w:tcPr>
          <w:p>
            <w:pPr>
              <w:spacing w:before="20" w:after="20"/>
            </w:pPr>
            <w:r>
              <w:rPr>
                <w:b w:val="0"/>
                <w:sz w:val="18"/>
              </w:rPr>
              <w:t>C. Demmler</w:t>
            </w:r>
          </w:p>
        </w:tc>
        <w:tc>
          <w:tcPr>
            <w:tcW w:type="dxa" w:w="1296"/>
          </w:tcPr>
          <w:p>
            <w:pPr>
              <w:spacing w:before="20" w:after="20"/>
            </w:pPr>
            <w:r>
              <w:rPr>
                <w:b w:val="0"/>
                <w:sz w:val="18"/>
              </w:rPr>
              <w:t>HR</w:t>
            </w:r>
          </w:p>
        </w:tc>
        <w:tc>
          <w:tcPr>
            <w:tcW w:type="dxa" w:w="1152"/>
          </w:tcPr>
          <w:p>
            <w:pPr>
              <w:spacing w:before="20" w:after="20"/>
            </w:pPr>
            <w:r>
              <w:rPr>
                <w:b w:val="0"/>
                <w:sz w:val="18"/>
              </w:rPr>
              <w:t>11/20/2026</w:t>
            </w:r>
          </w:p>
        </w:tc>
        <w:tc>
          <w:tcPr>
            <w:tcW w:type="dxa" w:w="1440"/>
          </w:tcPr>
          <w:p>
            <w:pPr>
              <w:spacing w:before="20" w:after="20"/>
            </w:pPr>
            <w:r>
              <w:rPr>
                <w:b w:val="0"/>
                <w:sz w:val="18"/>
              </w:rPr>
              <w:t>Untrained user blocked in test</w:t>
            </w:r>
          </w:p>
        </w:tc>
      </w:tr>
      <w:tr>
        <w:trPr>
          <w:cantSplit/>
        </w:trPr>
        <w:tc>
          <w:tcPr>
            <w:tcW w:type="dxa" w:w="576"/>
          </w:tcPr>
          <w:p>
            <w:pPr>
              <w:spacing w:before="20" w:after="20"/>
            </w:pPr>
            <w:r>
              <w:rPr>
                <w:b w:val="0"/>
                <w:sz w:val="18"/>
              </w:rPr>
              <w:t>E4</w:t>
            </w:r>
          </w:p>
        </w:tc>
        <w:tc>
          <w:tcPr>
            <w:tcW w:type="dxa" w:w="2448"/>
          </w:tcPr>
          <w:p>
            <w:pPr>
              <w:spacing w:before="20" w:after="20"/>
            </w:pPr>
            <w:r>
              <w:rPr>
                <w:b w:val="0"/>
                <w:sz w:val="18"/>
              </w:rPr>
              <w:t>Close open flow points (cost carrier re-confirmation, impact edits after quote)</w:t>
            </w:r>
          </w:p>
        </w:tc>
        <w:tc>
          <w:tcPr>
            <w:tcW w:type="dxa" w:w="1368"/>
          </w:tcPr>
          <w:p>
            <w:pPr>
              <w:spacing w:before="20" w:after="20"/>
            </w:pPr>
            <w:r>
              <w:rPr>
                <w:b w:val="0"/>
                <w:sz w:val="18"/>
              </w:rPr>
              <w:t>Programming</w:t>
            </w:r>
          </w:p>
        </w:tc>
        <w:tc>
          <w:tcPr>
            <w:tcW w:type="dxa" w:w="1224"/>
          </w:tcPr>
          <w:p>
            <w:pPr>
              <w:spacing w:before="20" w:after="20"/>
            </w:pPr>
            <w:r>
              <w:rPr>
                <w:b w:val="0"/>
                <w:sz w:val="18"/>
              </w:rPr>
              <w:t>C. Demmler</w:t>
            </w:r>
          </w:p>
        </w:tc>
        <w:tc>
          <w:tcPr>
            <w:tcW w:type="dxa" w:w="1296"/>
          </w:tcPr>
          <w:p>
            <w:pPr>
              <w:spacing w:before="20" w:after="20"/>
            </w:pPr>
            <w:r>
              <w:rPr>
                <w:b w:val="0"/>
                <w:sz w:val="18"/>
              </w:rPr>
              <w:t>Program Mgmt., APQP</w:t>
            </w:r>
          </w:p>
        </w:tc>
        <w:tc>
          <w:tcPr>
            <w:tcW w:type="dxa" w:w="1152"/>
          </w:tcPr>
          <w:p>
            <w:pPr>
              <w:spacing w:before="20" w:after="20"/>
            </w:pPr>
            <w:r>
              <w:rPr>
                <w:b w:val="0"/>
                <w:sz w:val="18"/>
              </w:rPr>
              <w:t>11/27/2026</w:t>
            </w:r>
          </w:p>
        </w:tc>
        <w:tc>
          <w:tcPr>
            <w:tcW w:type="dxa" w:w="1440"/>
          </w:tcPr>
          <w:p>
            <w:pPr>
              <w:spacing w:before="20" w:after="20"/>
            </w:pPr>
            <w:r>
              <w:rPr>
                <w:b w:val="0"/>
                <w:sz w:val="18"/>
              </w:rPr>
              <w:t>Regression suite green</w:t>
            </w:r>
          </w:p>
        </w:tc>
      </w:tr>
      <w:tr>
        <w:trPr>
          <w:cantSplit/>
        </w:trPr>
        <w:tc>
          <w:tcPr>
            <w:tcW w:type="dxa" w:w="576"/>
          </w:tcPr>
          <w:p>
            <w:pPr>
              <w:spacing w:before="20" w:after="20"/>
            </w:pPr>
            <w:r>
              <w:rPr>
                <w:b w:val="0"/>
                <w:sz w:val="18"/>
              </w:rPr>
              <w:t>T1</w:t>
            </w:r>
          </w:p>
        </w:tc>
        <w:tc>
          <w:tcPr>
            <w:tcW w:type="dxa" w:w="2448"/>
          </w:tcPr>
          <w:p>
            <w:pPr>
              <w:spacing w:before="20" w:after="20"/>
            </w:pPr>
            <w:r>
              <w:rPr>
                <w:b w:val="0"/>
                <w:sz w:val="18"/>
              </w:rPr>
              <w:t>Scripted acceptance test, one script per stage, signed by each department</w:t>
            </w:r>
          </w:p>
        </w:tc>
        <w:tc>
          <w:tcPr>
            <w:tcW w:type="dxa" w:w="1368"/>
          </w:tcPr>
          <w:p>
            <w:pPr>
              <w:spacing w:before="20" w:after="20"/>
            </w:pPr>
            <w:r>
              <w:rPr>
                <w:b w:val="0"/>
                <w:sz w:val="18"/>
              </w:rPr>
              <w:t>Testing</w:t>
            </w:r>
          </w:p>
        </w:tc>
        <w:tc>
          <w:tcPr>
            <w:tcW w:type="dxa" w:w="1224"/>
          </w:tcPr>
          <w:p>
            <w:pPr>
              <w:spacing w:before="20" w:after="20"/>
            </w:pPr>
            <w:r>
              <w:rPr>
                <w:b w:val="0"/>
                <w:sz w:val="18"/>
              </w:rPr>
              <w:t>C. Demmler</w:t>
            </w:r>
          </w:p>
        </w:tc>
        <w:tc>
          <w:tcPr>
            <w:tcW w:type="dxa" w:w="1296"/>
          </w:tcPr>
          <w:p>
            <w:pPr>
              <w:spacing w:before="20" w:after="20"/>
            </w:pPr>
            <w:r>
              <w:rPr>
                <w:b w:val="0"/>
                <w:sz w:val="18"/>
              </w:rPr>
              <w:t>Department heads</w:t>
            </w:r>
          </w:p>
        </w:tc>
        <w:tc>
          <w:tcPr>
            <w:tcW w:type="dxa" w:w="1152"/>
          </w:tcPr>
          <w:p>
            <w:pPr>
              <w:spacing w:before="20" w:after="20"/>
            </w:pPr>
            <w:r>
              <w:rPr>
                <w:b w:val="0"/>
                <w:sz w:val="18"/>
              </w:rPr>
              <w:t>11/27/2026</w:t>
            </w:r>
          </w:p>
        </w:tc>
        <w:tc>
          <w:tcPr>
            <w:tcW w:type="dxa" w:w="1440"/>
          </w:tcPr>
          <w:p>
            <w:pPr>
              <w:spacing w:before="20" w:after="20"/>
            </w:pPr>
            <w:r>
              <w:rPr>
                <w:b w:val="0"/>
                <w:sz w:val="18"/>
              </w:rPr>
              <w:t>Signed test protocols filed</w:t>
            </w:r>
          </w:p>
        </w:tc>
      </w:tr>
      <w:tr>
        <w:trPr>
          <w:cantSplit/>
        </w:trPr>
        <w:tc>
          <w:tcPr>
            <w:tcW w:type="dxa" w:w="576"/>
          </w:tcPr>
          <w:p>
            <w:pPr>
              <w:spacing w:before="20" w:after="20"/>
            </w:pPr>
            <w:r>
              <w:rPr>
                <w:b w:val="0"/>
                <w:sz w:val="18"/>
              </w:rPr>
              <w:t>T2</w:t>
            </w:r>
          </w:p>
        </w:tc>
        <w:tc>
          <w:tcPr>
            <w:tcW w:type="dxa" w:w="2448"/>
          </w:tcPr>
          <w:p>
            <w:pPr>
              <w:spacing w:before="20" w:after="20"/>
            </w:pPr>
            <w:r>
              <w:rPr>
                <w:b w:val="0"/>
                <w:sz w:val="18"/>
              </w:rPr>
              <w:t>Live pilot: G6X (1748) Weissenburg changes plus the next customer change</w:t>
            </w:r>
          </w:p>
        </w:tc>
        <w:tc>
          <w:tcPr>
            <w:tcW w:type="dxa" w:w="1368"/>
          </w:tcPr>
          <w:p>
            <w:pPr>
              <w:spacing w:before="20" w:after="20"/>
            </w:pPr>
            <w:r>
              <w:rPr>
                <w:b w:val="0"/>
                <w:sz w:val="18"/>
              </w:rPr>
              <w:t>Testing</w:t>
            </w:r>
          </w:p>
        </w:tc>
        <w:tc>
          <w:tcPr>
            <w:tcW w:type="dxa" w:w="1224"/>
          </w:tcPr>
          <w:p>
            <w:pPr>
              <w:spacing w:before="20" w:after="20"/>
            </w:pPr>
            <w:r>
              <w:rPr>
                <w:b w:val="0"/>
                <w:sz w:val="18"/>
              </w:rPr>
              <w:t>C. Demmler</w:t>
            </w:r>
          </w:p>
        </w:tc>
        <w:tc>
          <w:tcPr>
            <w:tcW w:type="dxa" w:w="1296"/>
          </w:tcPr>
          <w:p>
            <w:pPr>
              <w:spacing w:before="20" w:after="20"/>
            </w:pPr>
            <w:r>
              <w:rPr>
                <w:b w:val="0"/>
                <w:sz w:val="18"/>
              </w:rPr>
              <w:t>Program Mgmt., APQP</w:t>
            </w:r>
          </w:p>
        </w:tc>
        <w:tc>
          <w:tcPr>
            <w:tcW w:type="dxa" w:w="1152"/>
          </w:tcPr>
          <w:p>
            <w:pPr>
              <w:spacing w:before="20" w:after="20"/>
            </w:pPr>
            <w:r>
              <w:rPr>
                <w:b w:val="0"/>
                <w:sz w:val="18"/>
              </w:rPr>
              <w:t>12/11/2026</w:t>
            </w:r>
          </w:p>
        </w:tc>
        <w:tc>
          <w:tcPr>
            <w:tcW w:type="dxa" w:w="1440"/>
          </w:tcPr>
          <w:p>
            <w:pPr>
              <w:spacing w:before="20" w:after="20"/>
            </w:pPr>
            <w:r>
              <w:rPr>
                <w:b w:val="0"/>
                <w:sz w:val="18"/>
              </w:rPr>
              <w:t>Pilot changes complete in PLM2</w:t>
            </w:r>
          </w:p>
        </w:tc>
      </w:tr>
      <w:tr>
        <w:trPr>
          <w:cantSplit/>
        </w:trPr>
        <w:tc>
          <w:tcPr>
            <w:tcW w:type="dxa" w:w="576"/>
          </w:tcPr>
          <w:p>
            <w:pPr>
              <w:spacing w:before="20" w:after="20"/>
            </w:pPr>
            <w:r>
              <w:rPr>
                <w:b w:val="0"/>
                <w:sz w:val="18"/>
              </w:rPr>
              <w:t>KP</w:t>
            </w:r>
          </w:p>
        </w:tc>
        <w:tc>
          <w:tcPr>
            <w:tcW w:type="dxa" w:w="2448"/>
          </w:tcPr>
          <w:p>
            <w:pPr>
              <w:spacing w:before="20" w:after="20"/>
            </w:pPr>
            <w:r>
              <w:rPr>
                <w:b w:val="0"/>
                <w:sz w:val="18"/>
              </w:rPr>
              <w:t>KPIs (open, to be defined): set targets, sources and review cycle for the change process, starting with implementation on time</w:t>
            </w:r>
          </w:p>
        </w:tc>
        <w:tc>
          <w:tcPr>
            <w:tcW w:type="dxa" w:w="1368"/>
          </w:tcPr>
          <w:p>
            <w:pPr>
              <w:spacing w:before="20" w:after="20"/>
            </w:pPr>
            <w:r>
              <w:rPr>
                <w:b w:val="0"/>
                <w:sz w:val="18"/>
              </w:rPr>
              <w:t>Finalisation</w:t>
            </w:r>
          </w:p>
        </w:tc>
        <w:tc>
          <w:tcPr>
            <w:tcW w:type="dxa" w:w="1224"/>
          </w:tcPr>
          <w:p>
            <w:pPr>
              <w:spacing w:before="20" w:after="20"/>
            </w:pPr>
            <w:r>
              <w:rPr>
                <w:b w:val="0"/>
                <w:sz w:val="18"/>
              </w:rPr>
              <w:t>C. Demmler</w:t>
            </w:r>
          </w:p>
        </w:tc>
        <w:tc>
          <w:tcPr>
            <w:tcW w:type="dxa" w:w="1296"/>
          </w:tcPr>
          <w:p>
            <w:pPr>
              <w:spacing w:before="20" w:after="20"/>
            </w:pPr>
            <w:r>
              <w:rPr>
                <w:b w:val="0"/>
                <w:sz w:val="18"/>
              </w:rPr>
              <w:t>Quality, Program Mgmt.</w:t>
            </w:r>
          </w:p>
        </w:tc>
        <w:tc>
          <w:tcPr>
            <w:tcW w:type="dxa" w:w="1152"/>
          </w:tcPr>
          <w:p>
            <w:pPr>
              <w:spacing w:before="20" w:after="20"/>
            </w:pPr>
            <w:r>
              <w:rPr>
                <w:b w:val="0"/>
                <w:sz w:val="18"/>
              </w:rPr>
              <w:t>12/11/2026</w:t>
            </w:r>
          </w:p>
        </w:tc>
        <w:tc>
          <w:tcPr>
            <w:tcW w:type="dxa" w:w="1440"/>
          </w:tcPr>
          <w:p>
            <w:pPr>
              <w:spacing w:before="20" w:after="20"/>
            </w:pPr>
            <w:r>
              <w:rPr>
                <w:b w:val="0"/>
                <w:sz w:val="18"/>
              </w:rPr>
              <w:t>KPI set agreed, shown in the monthly review</w:t>
            </w:r>
          </w:p>
        </w:tc>
      </w:tr>
      <w:tr>
        <w:trPr>
          <w:cantSplit/>
        </w:trPr>
        <w:tc>
          <w:tcPr>
            <w:tcW w:type="dxa" w:w="576"/>
          </w:tcPr>
          <w:p>
            <w:pPr>
              <w:spacing w:before="20" w:after="20"/>
            </w:pPr>
            <w:r>
              <w:rPr>
                <w:b w:val="0"/>
                <w:sz w:val="18"/>
              </w:rPr>
              <w:t>F1</w:t>
            </w:r>
          </w:p>
        </w:tc>
        <w:tc>
          <w:tcPr>
            <w:tcW w:type="dxa" w:w="2448"/>
          </w:tcPr>
          <w:p>
            <w:pPr>
              <w:spacing w:before="20" w:after="20"/>
            </w:pPr>
            <w:r>
              <w:rPr>
                <w:b w:val="0"/>
                <w:sz w:val="18"/>
              </w:rPr>
              <w:t>Procedure 'Change management with PLM2' released</w:t>
            </w:r>
          </w:p>
        </w:tc>
        <w:tc>
          <w:tcPr>
            <w:tcW w:type="dxa" w:w="1368"/>
          </w:tcPr>
          <w:p>
            <w:pPr>
              <w:spacing w:before="20" w:after="20"/>
            </w:pPr>
            <w:r>
              <w:rPr>
                <w:b w:val="0"/>
                <w:sz w:val="18"/>
              </w:rPr>
              <w:t>Finalisation</w:t>
            </w:r>
          </w:p>
        </w:tc>
        <w:tc>
          <w:tcPr>
            <w:tcW w:type="dxa" w:w="1224"/>
          </w:tcPr>
          <w:p>
            <w:pPr>
              <w:spacing w:before="20" w:after="20"/>
            </w:pPr>
            <w:r>
              <w:rPr>
                <w:b w:val="0"/>
                <w:sz w:val="18"/>
              </w:rPr>
              <w:t>C. Demmler</w:t>
            </w:r>
          </w:p>
        </w:tc>
        <w:tc>
          <w:tcPr>
            <w:tcW w:type="dxa" w:w="1296"/>
          </w:tcPr>
          <w:p>
            <w:pPr>
              <w:spacing w:before="20" w:after="20"/>
            </w:pPr>
            <w:r>
              <w:rPr>
                <w:b w:val="0"/>
                <w:sz w:val="18"/>
              </w:rPr>
              <w:t>Quality</w:t>
            </w:r>
          </w:p>
        </w:tc>
        <w:tc>
          <w:tcPr>
            <w:tcW w:type="dxa" w:w="1152"/>
          </w:tcPr>
          <w:p>
            <w:pPr>
              <w:spacing w:before="20" w:after="20"/>
            </w:pPr>
            <w:r>
              <w:rPr>
                <w:b w:val="0"/>
                <w:sz w:val="18"/>
              </w:rPr>
              <w:t>12/11/2026</w:t>
            </w:r>
          </w:p>
        </w:tc>
        <w:tc>
          <w:tcPr>
            <w:tcW w:type="dxa" w:w="1440"/>
          </w:tcPr>
          <w:p>
            <w:pPr>
              <w:spacing w:before="20" w:after="20"/>
            </w:pPr>
            <w:r>
              <w:rPr>
                <w:b w:val="0"/>
                <w:sz w:val="18"/>
              </w:rPr>
              <w:t>Procedure in document control</w:t>
            </w:r>
          </w:p>
        </w:tc>
      </w:tr>
      <w:tr>
        <w:trPr>
          <w:cantSplit/>
        </w:trPr>
        <w:tc>
          <w:tcPr>
            <w:tcW w:type="dxa" w:w="576"/>
          </w:tcPr>
          <w:p>
            <w:pPr>
              <w:spacing w:before="20" w:after="20"/>
            </w:pPr>
            <w:r>
              <w:rPr>
                <w:b w:val="0"/>
                <w:sz w:val="18"/>
              </w:rPr>
              <w:t>TR</w:t>
            </w:r>
          </w:p>
        </w:tc>
        <w:tc>
          <w:tcPr>
            <w:tcW w:type="dxa" w:w="2448"/>
          </w:tcPr>
          <w:p>
            <w:pPr>
              <w:spacing w:before="20" w:after="20"/>
            </w:pPr>
            <w:r>
              <w:rPr>
                <w:b w:val="0"/>
                <w:sz w:val="18"/>
              </w:rPr>
              <w:t>Training concept (open, to be defined): which roles need which training per module (ECR, SEP, data, lessons), format, trainer, records</w:t>
            </w:r>
          </w:p>
        </w:tc>
        <w:tc>
          <w:tcPr>
            <w:tcW w:type="dxa" w:w="1368"/>
          </w:tcPr>
          <w:p>
            <w:pPr>
              <w:spacing w:before="20" w:after="20"/>
            </w:pPr>
            <w:r>
              <w:rPr>
                <w:b w:val="0"/>
                <w:sz w:val="18"/>
              </w:rPr>
              <w:t>Finalisation</w:t>
            </w:r>
          </w:p>
        </w:tc>
        <w:tc>
          <w:tcPr>
            <w:tcW w:type="dxa" w:w="1224"/>
          </w:tcPr>
          <w:p>
            <w:pPr>
              <w:spacing w:before="20" w:after="20"/>
            </w:pPr>
            <w:r>
              <w:rPr>
                <w:b w:val="0"/>
                <w:sz w:val="18"/>
              </w:rPr>
              <w:t>C. Demmler</w:t>
            </w:r>
          </w:p>
        </w:tc>
        <w:tc>
          <w:tcPr>
            <w:tcW w:type="dxa" w:w="1296"/>
          </w:tcPr>
          <w:p>
            <w:pPr>
              <w:spacing w:before="20" w:after="20"/>
            </w:pPr>
            <w:r>
              <w:rPr>
                <w:b w:val="0"/>
                <w:sz w:val="18"/>
              </w:rPr>
              <w:t>Program Mgmt., APQP, HR</w:t>
            </w:r>
          </w:p>
        </w:tc>
        <w:tc>
          <w:tcPr>
            <w:tcW w:type="dxa" w:w="1152"/>
          </w:tcPr>
          <w:p>
            <w:pPr>
              <w:spacing w:before="20" w:after="20"/>
            </w:pPr>
            <w:r>
              <w:rPr>
                <w:b w:val="0"/>
                <w:sz w:val="18"/>
              </w:rPr>
              <w:t>11/20/2026</w:t>
            </w:r>
          </w:p>
        </w:tc>
        <w:tc>
          <w:tcPr>
            <w:tcW w:type="dxa" w:w="1440"/>
          </w:tcPr>
          <w:p>
            <w:pPr>
              <w:spacing w:before="20" w:after="20"/>
            </w:pPr>
            <w:r>
              <w:rPr>
                <w:b w:val="0"/>
                <w:sz w:val="18"/>
              </w:rPr>
              <w:t>Concept agreed with department heads</w:t>
            </w:r>
          </w:p>
        </w:tc>
      </w:tr>
      <w:tr>
        <w:trPr>
          <w:cantSplit/>
        </w:trPr>
        <w:tc>
          <w:tcPr>
            <w:tcW w:type="dxa" w:w="576"/>
          </w:tcPr>
          <w:p>
            <w:pPr>
              <w:spacing w:before="20" w:after="20"/>
            </w:pPr>
            <w:r>
              <w:rPr>
                <w:b w:val="0"/>
                <w:sz w:val="18"/>
              </w:rPr>
              <w:t>F2</w:t>
            </w:r>
          </w:p>
        </w:tc>
        <w:tc>
          <w:tcPr>
            <w:tcW w:type="dxa" w:w="2448"/>
          </w:tcPr>
          <w:p>
            <w:pPr>
              <w:spacing w:before="20" w:after="20"/>
            </w:pPr>
            <w:r>
              <w:rPr>
                <w:b w:val="0"/>
                <w:sz w:val="18"/>
              </w:rPr>
              <w:t>Training of all departments per training concept (TR)</w:t>
            </w:r>
          </w:p>
        </w:tc>
        <w:tc>
          <w:tcPr>
            <w:tcW w:type="dxa" w:w="1368"/>
          </w:tcPr>
          <w:p>
            <w:pPr>
              <w:spacing w:before="20" w:after="20"/>
            </w:pPr>
            <w:r>
              <w:rPr>
                <w:b w:val="0"/>
                <w:sz w:val="18"/>
              </w:rPr>
              <w:t>Finalisation</w:t>
            </w:r>
          </w:p>
        </w:tc>
        <w:tc>
          <w:tcPr>
            <w:tcW w:type="dxa" w:w="1224"/>
          </w:tcPr>
          <w:p>
            <w:pPr>
              <w:spacing w:before="20" w:after="20"/>
            </w:pPr>
            <w:r>
              <w:rPr>
                <w:b w:val="0"/>
                <w:sz w:val="18"/>
              </w:rPr>
              <w:t>C. Demmler</w:t>
            </w:r>
          </w:p>
        </w:tc>
        <w:tc>
          <w:tcPr>
            <w:tcW w:type="dxa" w:w="1296"/>
          </w:tcPr>
          <w:p>
            <w:pPr>
              <w:spacing w:before="20" w:after="20"/>
            </w:pPr>
            <w:r>
              <w:rPr>
                <w:b w:val="0"/>
                <w:sz w:val="18"/>
              </w:rPr>
              <w:t>Program Mgmt., APQP</w:t>
            </w:r>
          </w:p>
        </w:tc>
        <w:tc>
          <w:tcPr>
            <w:tcW w:type="dxa" w:w="1152"/>
          </w:tcPr>
          <w:p>
            <w:pPr>
              <w:spacing w:before="20" w:after="20"/>
            </w:pPr>
            <w:r>
              <w:rPr>
                <w:b w:val="0"/>
                <w:sz w:val="18"/>
              </w:rPr>
              <w:t>12/18/2026</w:t>
            </w:r>
          </w:p>
        </w:tc>
        <w:tc>
          <w:tcPr>
            <w:tcW w:type="dxa" w:w="1440"/>
          </w:tcPr>
          <w:p>
            <w:pPr>
              <w:spacing w:before="20" w:after="20"/>
            </w:pPr>
            <w:r>
              <w:rPr>
                <w:b w:val="0"/>
                <w:sz w:val="18"/>
              </w:rPr>
              <w:t>Training records in PLM2</w:t>
            </w:r>
          </w:p>
        </w:tc>
      </w:tr>
      <w:tr>
        <w:trPr>
          <w:cantSplit/>
        </w:trPr>
        <w:tc>
          <w:tcPr>
            <w:tcW w:type="dxa" w:w="576"/>
          </w:tcPr>
          <w:p>
            <w:pPr>
              <w:spacing w:before="20" w:after="20"/>
            </w:pPr>
            <w:r>
              <w:rPr>
                <w:b w:val="0"/>
                <w:sz w:val="18"/>
              </w:rPr>
              <w:t>F3</w:t>
            </w:r>
          </w:p>
        </w:tc>
        <w:tc>
          <w:tcPr>
            <w:tcW w:type="dxa" w:w="2448"/>
          </w:tcPr>
          <w:p>
            <w:pPr>
              <w:spacing w:before="20" w:after="20"/>
            </w:pPr>
            <w:r>
              <w:rPr>
                <w:b w:val="0"/>
                <w:sz w:val="18"/>
              </w:rPr>
              <w:t>Go-live: new changes in PLM2 only; ECC list read-only</w:t>
            </w:r>
          </w:p>
        </w:tc>
        <w:tc>
          <w:tcPr>
            <w:tcW w:type="dxa" w:w="1368"/>
          </w:tcPr>
          <w:p>
            <w:pPr>
              <w:spacing w:before="20" w:after="20"/>
            </w:pPr>
            <w:r>
              <w:rPr>
                <w:b w:val="0"/>
                <w:sz w:val="18"/>
              </w:rPr>
              <w:t>Finalisation</w:t>
            </w:r>
          </w:p>
        </w:tc>
        <w:tc>
          <w:tcPr>
            <w:tcW w:type="dxa" w:w="1224"/>
          </w:tcPr>
          <w:p>
            <w:pPr>
              <w:spacing w:before="20" w:after="20"/>
            </w:pPr>
            <w:r>
              <w:rPr>
                <w:b w:val="0"/>
                <w:sz w:val="18"/>
              </w:rPr>
              <w:t>C. Demmler</w:t>
            </w:r>
          </w:p>
        </w:tc>
        <w:tc>
          <w:tcPr>
            <w:tcW w:type="dxa" w:w="1296"/>
          </w:tcPr>
          <w:p>
            <w:pPr>
              <w:spacing w:before="20" w:after="20"/>
            </w:pPr>
            <w:r>
              <w:rPr>
                <w:b w:val="0"/>
                <w:sz w:val="18"/>
              </w:rPr>
              <w:t>Plant Mgmt.</w:t>
            </w:r>
          </w:p>
        </w:tc>
        <w:tc>
          <w:tcPr>
            <w:tcW w:type="dxa" w:w="1152"/>
          </w:tcPr>
          <w:p>
            <w:pPr>
              <w:spacing w:before="20" w:after="20"/>
            </w:pPr>
            <w:r>
              <w:rPr>
                <w:b w:val="0"/>
                <w:sz w:val="18"/>
              </w:rPr>
              <w:t>12/21/2026</w:t>
            </w:r>
          </w:p>
        </w:tc>
        <w:tc>
          <w:tcPr>
            <w:tcW w:type="dxa" w:w="1440"/>
          </w:tcPr>
          <w:p>
            <w:pPr>
              <w:spacing w:before="20" w:after="20"/>
            </w:pPr>
            <w:r>
              <w:rPr>
                <w:b w:val="0"/>
                <w:sz w:val="18"/>
              </w:rPr>
              <w:t>Announcement; list locked</w:t>
            </w:r>
          </w:p>
        </w:tc>
      </w:tr>
      <w:tr>
        <w:trPr>
          <w:cantSplit/>
        </w:trPr>
        <w:tc>
          <w:tcPr>
            <w:tcW w:type="dxa" w:w="576"/>
          </w:tcPr>
          <w:p>
            <w:pPr>
              <w:spacing w:before="20" w:after="20"/>
            </w:pPr>
            <w:r>
              <w:rPr>
                <w:b w:val="0"/>
                <w:sz w:val="18"/>
              </w:rPr>
              <w:t>F4</w:t>
            </w:r>
          </w:p>
        </w:tc>
        <w:tc>
          <w:tcPr>
            <w:tcW w:type="dxa" w:w="2448"/>
          </w:tcPr>
          <w:p>
            <w:pPr>
              <w:spacing w:before="20" w:after="20"/>
            </w:pPr>
            <w:r>
              <w:rPr>
                <w:b w:val="0"/>
                <w:sz w:val="18"/>
              </w:rPr>
              <w:t>Effectiveness review after three months</w:t>
            </w:r>
          </w:p>
        </w:tc>
        <w:tc>
          <w:tcPr>
            <w:tcW w:type="dxa" w:w="1368"/>
          </w:tcPr>
          <w:p>
            <w:pPr>
              <w:spacing w:before="20" w:after="20"/>
            </w:pPr>
            <w:r>
              <w:rPr>
                <w:b w:val="0"/>
                <w:sz w:val="18"/>
              </w:rPr>
              <w:t>Operation</w:t>
            </w:r>
          </w:p>
        </w:tc>
        <w:tc>
          <w:tcPr>
            <w:tcW w:type="dxa" w:w="1224"/>
          </w:tcPr>
          <w:p>
            <w:pPr>
              <w:spacing w:before="20" w:after="20"/>
            </w:pPr>
            <w:r>
              <w:rPr>
                <w:b w:val="0"/>
                <w:sz w:val="18"/>
              </w:rPr>
              <w:t>C. Demmler</w:t>
            </w:r>
          </w:p>
        </w:tc>
        <w:tc>
          <w:tcPr>
            <w:tcW w:type="dxa" w:w="1296"/>
          </w:tcPr>
          <w:p>
            <w:pPr>
              <w:spacing w:before="20" w:after="20"/>
            </w:pPr>
            <w:r>
              <w:rPr>
                <w:b w:val="0"/>
                <w:sz w:val="18"/>
              </w:rPr>
              <w:t>Quality</w:t>
            </w:r>
          </w:p>
        </w:tc>
        <w:tc>
          <w:tcPr>
            <w:tcW w:type="dxa" w:w="1152"/>
          </w:tcPr>
          <w:p>
            <w:pPr>
              <w:spacing w:before="20" w:after="20"/>
            </w:pPr>
            <w:r>
              <w:rPr>
                <w:b w:val="0"/>
                <w:sz w:val="18"/>
              </w:rPr>
              <w:t>03/26/2027</w:t>
            </w:r>
          </w:p>
        </w:tc>
        <w:tc>
          <w:tcPr>
            <w:tcW w:type="dxa" w:w="1440"/>
          </w:tcPr>
          <w:p>
            <w:pPr>
              <w:spacing w:before="20" w:after="20"/>
            </w:pPr>
            <w:r>
              <w:rPr>
                <w:b w:val="0"/>
                <w:sz w:val="18"/>
              </w:rPr>
              <w:t>Review in management review</w:t>
            </w:r>
          </w:p>
        </w:tc>
      </w:tr>
    </w:tbl>
    <w:p/>
    <w:p>
      <w:pPr>
        <w:spacing w:before="0" w:after="120"/>
      </w:pPr>
      <w:r>
        <w:rPr>
          <w:b w:val="0"/>
          <w:sz w:val="22"/>
        </w:rPr>
        <w:t xml:space="preserve">The table is the plan as of the status date above. Progress is tracked in the action plan </w:t>
      </w:r>
      <w:r>
        <w:rPr>
          <w:b/>
          <w:sz w:val="22"/>
        </w:rPr>
        <w:t>TOC-PLM-LOP (KTX LOP F-DVS-CORP-010)</w:t>
      </w:r>
      <w:r>
        <w:rPr>
          <w:b w:val="0"/>
          <w:sz w:val="22"/>
        </w:rPr>
        <w:t>; a date that moves is changed there with the reason, and this document is updated with it.</w:t>
      </w:r>
    </w:p>
    <w:p>
      <w:pPr>
        <w:keepNext/>
        <w:spacing w:before="200" w:after="80"/>
      </w:pPr>
      <w:r>
        <w:rPr>
          <w:b/>
          <w:sz w:val="24"/>
        </w:rPr>
        <w:t>8. Control until go-live</w:t>
      </w:r>
    </w:p>
    <w:p>
      <w:pPr>
        <w:spacing w:before="0" w:after="120"/>
      </w:pPr>
      <w:r>
        <w:rPr>
          <w:b w:val="0"/>
          <w:sz w:val="22"/>
        </w:rPr>
        <w:t>Until 12/21/2026 the Weissenburg form GB-CM-0001 and the SharePoint ECC list stay valid. Every change they hold for TOC is also opened in PLM2 with the form filed on it, so the PLM2 record is complete from the first day of the pilot.</w:t>
      </w:r>
    </w:p>
    <w:p>
      <w:pPr>
        <w:keepNext/>
        <w:spacing w:before="200" w:after="80"/>
      </w:pPr>
      <w:r>
        <w:rPr>
          <w:b/>
          <w:sz w:val="24"/>
        </w:rPr>
        <w:t>9. Effectiveness indicators</w:t>
      </w:r>
    </w:p>
    <w:tbl>
      <w:tblPr>
        <w:tblStyle w:val="TableGrid"/>
        <w:tblW w:type="auto" w:w="0"/>
        <w:jc w:val="center"/>
        <w:tblLayout w:type="fixed"/>
        <w:tblLook w:firstColumn="1" w:firstRow="1" w:lastColumn="0" w:lastRow="0" w:noHBand="0" w:noVBand="1" w:val="04A0"/>
      </w:tblPr>
      <w:tblGrid>
        <w:gridCol w:w="3600"/>
        <w:gridCol w:w="3024"/>
        <w:gridCol w:w="2880"/>
      </w:tblGrid>
      <w:tr>
        <w:trPr>
          <w:cantSplit/>
          <w:tblHeader/>
        </w:trPr>
        <w:tc>
          <w:tcPr>
            <w:tcW w:type="dxa" w:w="3600"/>
            <w:shd w:val="clear" w:color="auto" w:fill="D9D9D9"/>
          </w:tcPr>
          <w:p>
            <w:pPr>
              <w:spacing w:before="20" w:after="20"/>
            </w:pPr>
            <w:r>
              <w:rPr>
                <w:b/>
                <w:sz w:val="18"/>
              </w:rPr>
              <w:t>Indicator</w:t>
            </w:r>
          </w:p>
        </w:tc>
        <w:tc>
          <w:tcPr>
            <w:tcW w:type="dxa" w:w="3024"/>
            <w:shd w:val="clear" w:color="auto" w:fill="D9D9D9"/>
          </w:tcPr>
          <w:p>
            <w:pPr>
              <w:spacing w:before="20" w:after="20"/>
            </w:pPr>
            <w:r>
              <w:rPr>
                <w:b/>
                <w:sz w:val="18"/>
              </w:rPr>
              <w:t>Target</w:t>
            </w:r>
          </w:p>
        </w:tc>
        <w:tc>
          <w:tcPr>
            <w:tcW w:type="dxa" w:w="2880"/>
            <w:shd w:val="clear" w:color="auto" w:fill="D9D9D9"/>
          </w:tcPr>
          <w:p>
            <w:pPr>
              <w:spacing w:before="20" w:after="20"/>
            </w:pPr>
            <w:r>
              <w:rPr>
                <w:b/>
                <w:sz w:val="18"/>
              </w:rPr>
              <w:t>Source</w:t>
            </w:r>
          </w:p>
        </w:tc>
      </w:tr>
      <w:tr>
        <w:trPr>
          <w:cantSplit/>
        </w:trPr>
        <w:tc>
          <w:tcPr>
            <w:tcW w:type="dxa" w:w="3600"/>
          </w:tcPr>
          <w:p>
            <w:pPr>
              <w:spacing w:before="20" w:after="20"/>
            </w:pPr>
            <w:r>
              <w:rPr>
                <w:b w:val="0"/>
                <w:sz w:val="18"/>
              </w:rPr>
              <w:t>Changes run outside PLM2 after go-live</w:t>
            </w:r>
          </w:p>
        </w:tc>
        <w:tc>
          <w:tcPr>
            <w:tcW w:type="dxa" w:w="3024"/>
          </w:tcPr>
          <w:p>
            <w:pPr>
              <w:spacing w:before="20" w:after="20"/>
            </w:pPr>
            <w:r>
              <w:rPr>
                <w:b w:val="0"/>
                <w:sz w:val="18"/>
              </w:rPr>
              <w:t>0</w:t>
            </w:r>
          </w:p>
        </w:tc>
        <w:tc>
          <w:tcPr>
            <w:tcW w:type="dxa" w:w="2880"/>
          </w:tcPr>
          <w:p>
            <w:pPr>
              <w:spacing w:before="20" w:after="20"/>
            </w:pPr>
            <w:r>
              <w:rPr>
                <w:b w:val="0"/>
                <w:sz w:val="18"/>
              </w:rPr>
              <w:t>ECC list (read-only) vs PLM2</w:t>
            </w:r>
          </w:p>
        </w:tc>
      </w:tr>
      <w:tr>
        <w:trPr>
          <w:cantSplit/>
        </w:trPr>
        <w:tc>
          <w:tcPr>
            <w:tcW w:type="dxa" w:w="3600"/>
          </w:tcPr>
          <w:p>
            <w:pPr>
              <w:spacing w:before="20" w:after="20"/>
            </w:pPr>
            <w:r>
              <w:rPr>
                <w:b w:val="0"/>
                <w:sz w:val="18"/>
              </w:rPr>
              <w:t>Changes released with open validation issue</w:t>
            </w:r>
          </w:p>
        </w:tc>
        <w:tc>
          <w:tcPr>
            <w:tcW w:type="dxa" w:w="3024"/>
          </w:tcPr>
          <w:p>
            <w:pPr>
              <w:spacing w:before="20" w:after="20"/>
            </w:pPr>
            <w:r>
              <w:rPr>
                <w:b w:val="0"/>
                <w:sz w:val="18"/>
              </w:rPr>
              <w:t>0</w:t>
            </w:r>
          </w:p>
        </w:tc>
        <w:tc>
          <w:tcPr>
            <w:tcW w:type="dxa" w:w="2880"/>
          </w:tcPr>
          <w:p>
            <w:pPr>
              <w:spacing w:before="20" w:after="20"/>
            </w:pPr>
            <w:r>
              <w:rPr>
                <w:b w:val="0"/>
                <w:sz w:val="18"/>
              </w:rPr>
              <w:t>Release tab</w:t>
            </w:r>
          </w:p>
        </w:tc>
      </w:tr>
      <w:tr>
        <w:trPr>
          <w:cantSplit/>
        </w:trPr>
        <w:tc>
          <w:tcPr>
            <w:tcW w:type="dxa" w:w="3600"/>
          </w:tcPr>
          <w:p>
            <w:pPr>
              <w:spacing w:before="20" w:after="20"/>
            </w:pPr>
            <w:r>
              <w:rPr>
                <w:b w:val="0"/>
                <w:sz w:val="18"/>
              </w:rPr>
              <w:t>Changes past release deadline</w:t>
            </w:r>
          </w:p>
        </w:tc>
        <w:tc>
          <w:tcPr>
            <w:tcW w:type="dxa" w:w="3024"/>
          </w:tcPr>
          <w:p>
            <w:pPr>
              <w:spacing w:before="20" w:after="20"/>
            </w:pPr>
            <w:r>
              <w:rPr>
                <w:b w:val="0"/>
                <w:sz w:val="18"/>
              </w:rPr>
              <w:t>Trend down, reviewed monthly</w:t>
            </w:r>
          </w:p>
        </w:tc>
        <w:tc>
          <w:tcPr>
            <w:tcW w:type="dxa" w:w="2880"/>
          </w:tcPr>
          <w:p>
            <w:pPr>
              <w:spacing w:before="20" w:after="20"/>
            </w:pPr>
            <w:r>
              <w:rPr>
                <w:b w:val="0"/>
                <w:sz w:val="18"/>
              </w:rPr>
              <w:t>Change list, deadline state</w:t>
            </w:r>
          </w:p>
        </w:tc>
      </w:tr>
      <w:tr>
        <w:trPr>
          <w:cantSplit/>
        </w:trPr>
        <w:tc>
          <w:tcPr>
            <w:tcW w:type="dxa" w:w="3600"/>
          </w:tcPr>
          <w:p>
            <w:pPr>
              <w:spacing w:before="20" w:after="20"/>
            </w:pPr>
            <w:r>
              <w:rPr>
                <w:b w:val="0"/>
                <w:sz w:val="18"/>
              </w:rPr>
              <w:t>Overdue tasks at monthly review</w:t>
            </w:r>
          </w:p>
        </w:tc>
        <w:tc>
          <w:tcPr>
            <w:tcW w:type="dxa" w:w="3024"/>
          </w:tcPr>
          <w:p>
            <w:pPr>
              <w:spacing w:before="20" w:after="20"/>
            </w:pPr>
            <w:r>
              <w:rPr>
                <w:b w:val="0"/>
                <w:sz w:val="18"/>
              </w:rPr>
              <w:t>Trend down</w:t>
            </w:r>
          </w:p>
        </w:tc>
        <w:tc>
          <w:tcPr>
            <w:tcW w:type="dxa" w:w="2880"/>
          </w:tcPr>
          <w:p>
            <w:pPr>
              <w:spacing w:before="20" w:after="20"/>
            </w:pPr>
            <w:r>
              <w:rPr>
                <w:b w:val="0"/>
                <w:sz w:val="18"/>
              </w:rPr>
              <w:t>My tasks / notifications</w:t>
            </w:r>
          </w:p>
        </w:tc>
      </w:tr>
      <w:tr>
        <w:trPr>
          <w:cantSplit/>
        </w:trPr>
        <w:tc>
          <w:tcPr>
            <w:tcW w:type="dxa" w:w="3600"/>
          </w:tcPr>
          <w:p>
            <w:pPr>
              <w:spacing w:before="20" w:after="20"/>
            </w:pPr>
            <w:r>
              <w:rPr>
                <w:b w:val="0"/>
                <w:sz w:val="18"/>
              </w:rPr>
              <w:t>Changes implemented on time (implementation date met)</w:t>
            </w:r>
          </w:p>
        </w:tc>
        <w:tc>
          <w:tcPr>
            <w:tcW w:type="dxa" w:w="3024"/>
          </w:tcPr>
          <w:p>
            <w:pPr>
              <w:spacing w:before="20" w:after="20"/>
            </w:pPr>
            <w:r>
              <w:rPr>
                <w:b w:val="0"/>
                <w:sz w:val="18"/>
              </w:rPr>
              <w:t>To be defined (action KP)</w:t>
            </w:r>
          </w:p>
        </w:tc>
        <w:tc>
          <w:tcPr>
            <w:tcW w:type="dxa" w:w="2880"/>
          </w:tcPr>
          <w:p>
            <w:pPr>
              <w:spacing w:before="20" w:after="20"/>
            </w:pPr>
            <w:r>
              <w:rPr>
                <w:b w:val="0"/>
                <w:sz w:val="18"/>
              </w:rPr>
              <w:t>Change list, implementation deadline vs actual</w:t>
            </w:r>
          </w:p>
        </w:tc>
      </w:tr>
    </w:tbl>
    <w:p/>
    <w:p>
      <w:pPr>
        <w:spacing w:before="0" w:after="120"/>
      </w:pPr>
      <w:r>
        <w:rPr>
          <w:b w:val="0"/>
          <w:sz w:val="22"/>
        </w:rPr>
        <w:t>The KPI set beyond these indicators is to be defined (action KP): targets, data source in PLM2 and the review cycle are agreed with Quality and Program Management before go-live.</w:t>
      </w:r>
    </w:p>
    <w:sectPr w:rsidR="00660C57" w:rsidRPr="0072424B" w:rsidSect="00353403">
      <w:headerReference w:type="default" r:id="rId24"/>
      <w:footerReference w:type="default" r:id="rId25"/>
      <w:pgSz w:w="12240" w:h="15840" w:code="1"/>
      <w:pgMar w:top="1440" w:right="1296" w:bottom="1440" w:left="135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1DE8FE" w14:textId="77777777" w:rsidR="00DB2060" w:rsidRDefault="00DB2060">
      <w:r>
        <w:separator/>
      </w:r>
    </w:p>
  </w:endnote>
  <w:endnote w:type="continuationSeparator" w:id="0">
    <w:p w14:paraId="7C8E7C8E" w14:textId="77777777" w:rsidR="00DB2060" w:rsidRDefault="00DB20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tabs>
        <w:tab w:pos="9360" w:val="right"/>
      </w:tabs>
      <w:spacing w:before="0" w:after="0"/>
    </w:pPr>
    <w:r>
      <w:rPr>
        <w:b w:val="0"/>
        <w:color w:val="6B7280"/>
        <w:sz w:val="16"/>
      </w:rPr>
      <w:t>Internal working document – not part of document control</w:t>
      <w:tab/>
    </w:r>
    <w:r>
      <w:rPr>
        <w:b w:val="0"/>
        <w:color w:val="6B7280"/>
        <w:sz w:val="16"/>
      </w:rPr>
      <w:t xml:space="preserve">Page </w:t>
    </w:r>
    <w:r>
      <w:rPr>
        <w:sz w:val="16"/>
      </w:rPr>
      <w:fldChar w:fldCharType="begin"/>
    </w:r>
    <w:r>
      <w:rPr>
        <w:sz w:val="16"/>
      </w:rPr>
      <w:instrText xml:space="preserve"> PAGE </w:instrText>
    </w:r>
    <w:r>
      <w:rPr>
        <w:sz w:val="16"/>
      </w:rPr>
      <w:fldChar w:fldCharType="separate"/>
    </w:r>
    <w:r>
      <w:rPr>
        <w:sz w:val="16"/>
      </w:rPr>
      <w:t>1</w:t>
    </w:r>
    <w:r>
      <w:rPr>
        <w:sz w:val="16"/>
      </w:rPr>
      <w:fldChar w:fldCharType="end"/>
    </w:r>
    <w:r>
      <w:rPr>
        <w:b w:val="0"/>
        <w:color w:val="6B7280"/>
        <w:sz w:val="16"/>
      </w:rPr>
      <w:t xml:space="preserve"> of </w:t>
    </w:r>
    <w:r>
      <w:rPr>
        <w:sz w:val="16"/>
      </w:rPr>
      <w:fldChar w:fldCharType="begin"/>
    </w:r>
    <w:r>
      <w:rPr>
        <w:sz w:val="16"/>
      </w:rPr>
      <w:instrText xml:space="preserve"> NUMPAGES </w:instrText>
    </w:r>
    <w:r>
      <w:rPr>
        <w:sz w:val="16"/>
      </w:rPr>
      <w:fldChar w:fldCharType="separate"/>
    </w:r>
    <w:r>
      <w:rPr>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88F0B7" w14:textId="77777777" w:rsidR="00DB2060" w:rsidRDefault="00DB2060">
      <w:r>
        <w:separator/>
      </w:r>
    </w:p>
  </w:footnote>
  <w:footnote w:type="continuationSeparator" w:id="0">
    <w:p w14:paraId="369670AB" w14:textId="77777777" w:rsidR="00DB2060" w:rsidRDefault="00DB20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before="0" w:after="0"/>
    </w:pPr>
    <w:r>
      <w:rPr>
        <w:b w:val="0"/>
        <w:color w:val="6B7280"/>
        <w:sz w:val="16"/>
      </w:rPr>
      <w:t>KTX Toccoa · Process Development · Engineering / PLM2</w:t>
    </w:r>
  </w:p>
  <w:p>
    <w:pPr>
      <w:spacing w:before="0" w:after="0"/>
    </w:pPr>
    <w:r>
      <w:rPr>
        <w:b/>
        <w:sz w:val="20"/>
      </w:rPr>
      <w:t>Implementation Plan Change Management (ECR)</w:t>
    </w:r>
  </w:p>
  <w:p>
    <w:pPr>
      <w:spacing w:before="0" w:after="160"/>
      <w:pBdr>
        <w:bottom w:val="single" w:sz="4" w:space="4" w:color="9CA3AF"/>
      </w:pBdr>
    </w:pPr>
    <w:r>
      <w:rPr>
        <w:b w:val="0"/>
        <w:color w:val="6B7280"/>
        <w:sz w:val="16"/>
      </w:rPr>
      <w:t>TOC-PLM-01 · status 09/30/2026 · internal working document, not controlled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962EB2D"/>
    <w:multiLevelType w:val="hybridMultilevel"/>
    <w:tmpl w:val="B8BF3F60"/>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1E2A8A"/>
    <w:multiLevelType w:val="hybridMultilevel"/>
    <w:tmpl w:val="4AB09F10"/>
    <w:lvl w:ilvl="0" w:tplc="391439D8">
      <w:numFmt w:val="bullet"/>
      <w:lvlText w:val="-"/>
      <w:lvlJc w:val="left"/>
      <w:pPr>
        <w:tabs>
          <w:tab w:val="num" w:pos="1440"/>
        </w:tabs>
        <w:ind w:left="1440" w:hanging="504"/>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02A009F"/>
    <w:multiLevelType w:val="hybridMultilevel"/>
    <w:tmpl w:val="4C84E892"/>
    <w:lvl w:ilvl="0" w:tplc="FD02FF82">
      <w:start w:val="2"/>
      <w:numFmt w:val="upperLetter"/>
      <w:lvlText w:val="%1."/>
      <w:lvlJc w:val="left"/>
      <w:pPr>
        <w:tabs>
          <w:tab w:val="num" w:pos="1080"/>
        </w:tabs>
        <w:ind w:left="1080" w:hanging="720"/>
      </w:pPr>
      <w:rPr>
        <w:rFonts w:hint="default"/>
      </w:rPr>
    </w:lvl>
    <w:lvl w:ilvl="1" w:tplc="A7ACFC38">
      <w:start w:val="1"/>
      <w:numFmt w:val="decimal"/>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15C4921"/>
    <w:multiLevelType w:val="hybridMultilevel"/>
    <w:tmpl w:val="928818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1775450"/>
    <w:multiLevelType w:val="singleLevel"/>
    <w:tmpl w:val="9D925344"/>
    <w:lvl w:ilvl="0">
      <w:start w:val="1"/>
      <w:numFmt w:val="decimal"/>
      <w:lvlText w:val="%1."/>
      <w:lvlJc w:val="left"/>
      <w:pPr>
        <w:tabs>
          <w:tab w:val="num" w:pos="1440"/>
        </w:tabs>
        <w:ind w:left="1440" w:hanging="720"/>
      </w:pPr>
      <w:rPr>
        <w:rFonts w:hint="default"/>
      </w:rPr>
    </w:lvl>
  </w:abstractNum>
  <w:abstractNum w:abstractNumId="5" w15:restartNumberingAfterBreak="0">
    <w:nsid w:val="03226BB4"/>
    <w:multiLevelType w:val="singleLevel"/>
    <w:tmpl w:val="6490523C"/>
    <w:lvl w:ilvl="0">
      <w:start w:val="1"/>
      <w:numFmt w:val="decimal"/>
      <w:lvlText w:val="%1."/>
      <w:lvlJc w:val="left"/>
      <w:pPr>
        <w:tabs>
          <w:tab w:val="num" w:pos="1440"/>
        </w:tabs>
        <w:ind w:left="1440" w:hanging="720"/>
      </w:pPr>
      <w:rPr>
        <w:rFonts w:hint="default"/>
      </w:rPr>
    </w:lvl>
  </w:abstractNum>
  <w:abstractNum w:abstractNumId="6" w15:restartNumberingAfterBreak="0">
    <w:nsid w:val="03300557"/>
    <w:multiLevelType w:val="hybridMultilevel"/>
    <w:tmpl w:val="970E65B4"/>
    <w:lvl w:ilvl="0" w:tplc="CA48BE28">
      <w:start w:val="15"/>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76F708B"/>
    <w:multiLevelType w:val="hybridMultilevel"/>
    <w:tmpl w:val="69902E00"/>
    <w:lvl w:ilvl="0" w:tplc="2D741CEA">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83D4CB3"/>
    <w:multiLevelType w:val="hybridMultilevel"/>
    <w:tmpl w:val="76D68CEC"/>
    <w:lvl w:ilvl="0" w:tplc="4938558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8BA0222"/>
    <w:multiLevelType w:val="hybridMultilevel"/>
    <w:tmpl w:val="D1228E9A"/>
    <w:lvl w:ilvl="0" w:tplc="5B5AE3B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94012B5"/>
    <w:multiLevelType w:val="hybridMultilevel"/>
    <w:tmpl w:val="C674C2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1F46F2E"/>
    <w:multiLevelType w:val="hybridMultilevel"/>
    <w:tmpl w:val="38DCD572"/>
    <w:lvl w:ilvl="0" w:tplc="DFA6A19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29C291B"/>
    <w:multiLevelType w:val="multilevel"/>
    <w:tmpl w:val="49F22962"/>
    <w:lvl w:ilvl="0">
      <w:numFmt w:val="bullet"/>
      <w:lvlText w:val="-"/>
      <w:lvlJc w:val="left"/>
      <w:pPr>
        <w:tabs>
          <w:tab w:val="num" w:pos="1440"/>
        </w:tabs>
        <w:ind w:left="1440" w:hanging="504"/>
      </w:pPr>
      <w:rPr>
        <w:rFonts w:ascii="Times New Roman" w:eastAsia="Times New Roman"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31B20B3"/>
    <w:multiLevelType w:val="hybridMultilevel"/>
    <w:tmpl w:val="78F8536C"/>
    <w:lvl w:ilvl="0" w:tplc="E7C2A24A">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15:restartNumberingAfterBreak="0">
    <w:nsid w:val="14D6087E"/>
    <w:multiLevelType w:val="hybridMultilevel"/>
    <w:tmpl w:val="287A5F3E"/>
    <w:lvl w:ilvl="0" w:tplc="5F188776">
      <w:start w:val="2"/>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5" w15:restartNumberingAfterBreak="0">
    <w:nsid w:val="15436C5F"/>
    <w:multiLevelType w:val="multilevel"/>
    <w:tmpl w:val="0FAEE6D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6987162"/>
    <w:multiLevelType w:val="multilevel"/>
    <w:tmpl w:val="05C0E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195439"/>
    <w:multiLevelType w:val="multilevel"/>
    <w:tmpl w:val="A720E218"/>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8" w15:restartNumberingAfterBreak="0">
    <w:nsid w:val="1C0111E5"/>
    <w:multiLevelType w:val="hybridMultilevel"/>
    <w:tmpl w:val="88604C92"/>
    <w:lvl w:ilvl="0" w:tplc="04090001">
      <w:start w:val="1"/>
      <w:numFmt w:val="bullet"/>
      <w:lvlText w:val=""/>
      <w:lvlJc w:val="left"/>
      <w:pPr>
        <w:ind w:left="4320" w:hanging="360"/>
      </w:pPr>
      <w:rPr>
        <w:rFonts w:ascii="Symbol" w:hAnsi="Symbol" w:hint="default"/>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19" w15:restartNumberingAfterBreak="0">
    <w:nsid w:val="1CB61A72"/>
    <w:multiLevelType w:val="hybridMultilevel"/>
    <w:tmpl w:val="9E14E430"/>
    <w:lvl w:ilvl="0" w:tplc="391439D8">
      <w:numFmt w:val="bullet"/>
      <w:lvlText w:val="-"/>
      <w:lvlJc w:val="left"/>
      <w:pPr>
        <w:tabs>
          <w:tab w:val="num" w:pos="1440"/>
        </w:tabs>
        <w:ind w:left="1440" w:hanging="504"/>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1D97A336"/>
    <w:multiLevelType w:val="hybridMultilevel"/>
    <w:tmpl w:val="22832B09"/>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210E486E"/>
    <w:multiLevelType w:val="hybridMultilevel"/>
    <w:tmpl w:val="D1B232C6"/>
    <w:lvl w:ilvl="0" w:tplc="50C06DEA">
      <w:start w:val="1"/>
      <w:numFmt w:val="decimal"/>
      <w:lvlText w:val="%1."/>
      <w:lvlJc w:val="left"/>
      <w:pPr>
        <w:ind w:left="720" w:hanging="360"/>
      </w:pPr>
      <w:rPr>
        <w:rFonts w:hint="default"/>
        <w:b w:val="0"/>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259641D"/>
    <w:multiLevelType w:val="hybridMultilevel"/>
    <w:tmpl w:val="2B4EC920"/>
    <w:lvl w:ilvl="0" w:tplc="2CD8A0EC">
      <w:start w:val="1"/>
      <w:numFmt w:val="decimal"/>
      <w:lvlText w:val="%1."/>
      <w:lvlJc w:val="left"/>
      <w:pPr>
        <w:tabs>
          <w:tab w:val="num" w:pos="1440"/>
        </w:tabs>
        <w:ind w:left="1440" w:hanging="720"/>
      </w:pPr>
      <w:rPr>
        <w:rFonts w:hint="default"/>
      </w:rPr>
    </w:lvl>
    <w:lvl w:ilvl="1" w:tplc="0D52786E">
      <w:start w:val="1"/>
      <w:numFmt w:val="lowerLetter"/>
      <w:lvlText w:val="%2."/>
      <w:lvlJc w:val="left"/>
      <w:pPr>
        <w:tabs>
          <w:tab w:val="num" w:pos="1800"/>
        </w:tabs>
        <w:ind w:left="1800" w:hanging="360"/>
      </w:pPr>
      <w:rPr>
        <w:rFonts w:hint="default"/>
      </w:rPr>
    </w:lvl>
    <w:lvl w:ilvl="2" w:tplc="0409001B">
      <w:start w:val="1"/>
      <w:numFmt w:val="lowerRoman"/>
      <w:lvlText w:val="%3."/>
      <w:lvlJc w:val="right"/>
      <w:pPr>
        <w:tabs>
          <w:tab w:val="num" w:pos="2520"/>
        </w:tabs>
        <w:ind w:left="2520" w:hanging="180"/>
      </w:pPr>
    </w:lvl>
    <w:lvl w:ilvl="3" w:tplc="80AA9100">
      <w:start w:val="5"/>
      <w:numFmt w:val="upperLetter"/>
      <w:lvlText w:val="%4."/>
      <w:lvlJc w:val="left"/>
      <w:pPr>
        <w:tabs>
          <w:tab w:val="num" w:pos="3240"/>
        </w:tabs>
        <w:ind w:left="3240" w:hanging="360"/>
      </w:pPr>
      <w:rPr>
        <w:rFonts w:hint="default"/>
      </w:r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3" w15:restartNumberingAfterBreak="0">
    <w:nsid w:val="26DC08A7"/>
    <w:multiLevelType w:val="hybridMultilevel"/>
    <w:tmpl w:val="736EC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83526B4"/>
    <w:multiLevelType w:val="singleLevel"/>
    <w:tmpl w:val="FA624EEE"/>
    <w:lvl w:ilvl="0">
      <w:start w:val="1"/>
      <w:numFmt w:val="lowerLetter"/>
      <w:lvlText w:val="(%1)"/>
      <w:lvlJc w:val="left"/>
      <w:pPr>
        <w:tabs>
          <w:tab w:val="num" w:pos="3600"/>
        </w:tabs>
        <w:ind w:left="3600" w:hanging="720"/>
      </w:pPr>
      <w:rPr>
        <w:rFonts w:hint="default"/>
      </w:rPr>
    </w:lvl>
  </w:abstractNum>
  <w:abstractNum w:abstractNumId="25" w15:restartNumberingAfterBreak="0">
    <w:nsid w:val="29BA09B6"/>
    <w:multiLevelType w:val="hybridMultilevel"/>
    <w:tmpl w:val="8C74E6B4"/>
    <w:lvl w:ilvl="0" w:tplc="0B1C6ACA">
      <w:start w:val="1"/>
      <w:numFmt w:val="upperLetter"/>
      <w:lvlText w:val="%1."/>
      <w:lvlJc w:val="left"/>
      <w:pPr>
        <w:ind w:left="720" w:hanging="360"/>
      </w:pPr>
      <w:rPr>
        <w:rFonts w:hint="default"/>
        <w:b/>
      </w:rPr>
    </w:lvl>
    <w:lvl w:ilvl="1" w:tplc="2FBA4DEE">
      <w:start w:val="1"/>
      <w:numFmt w:val="decimal"/>
      <w:lvlText w:val="%2."/>
      <w:lvlJc w:val="left"/>
      <w:pPr>
        <w:ind w:left="1440" w:hanging="360"/>
      </w:pPr>
      <w:rPr>
        <w:rFonts w:ascii="Arial" w:hAnsi="Arial" w:cs="Aria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9FB2E31"/>
    <w:multiLevelType w:val="hybridMultilevel"/>
    <w:tmpl w:val="45287BC8"/>
    <w:lvl w:ilvl="0" w:tplc="04090001">
      <w:start w:val="1"/>
      <w:numFmt w:val="bullet"/>
      <w:lvlText w:val=""/>
      <w:lvlJc w:val="left"/>
      <w:pPr>
        <w:tabs>
          <w:tab w:val="num" w:pos="1296"/>
        </w:tabs>
        <w:ind w:left="1296" w:hanging="360"/>
      </w:pPr>
      <w:rPr>
        <w:rFonts w:ascii="Symbol" w:hAnsi="Symbol" w:hint="default"/>
      </w:rPr>
    </w:lvl>
    <w:lvl w:ilvl="1" w:tplc="EBCA585C">
      <w:start w:val="1"/>
      <w:numFmt w:val="bullet"/>
      <w:lvlText w:val=""/>
      <w:lvlJc w:val="left"/>
      <w:pPr>
        <w:tabs>
          <w:tab w:val="num" w:pos="1800"/>
        </w:tabs>
        <w:ind w:left="1800" w:hanging="72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2C240F64"/>
    <w:multiLevelType w:val="hybridMultilevel"/>
    <w:tmpl w:val="FC4A687C"/>
    <w:lvl w:ilvl="0" w:tplc="A75C0938">
      <w:start w:val="2"/>
      <w:numFmt w:val="decimal"/>
      <w:lvlText w:val="%1."/>
      <w:lvlJc w:val="left"/>
      <w:pPr>
        <w:tabs>
          <w:tab w:val="num" w:pos="1440"/>
        </w:tabs>
        <w:ind w:left="1440" w:hanging="720"/>
      </w:pPr>
      <w:rPr>
        <w:rFonts w:hint="default"/>
      </w:rPr>
    </w:lvl>
    <w:lvl w:ilvl="1" w:tplc="83DC1C5E">
      <w:start w:val="1"/>
      <w:numFmt w:val="lowerLetter"/>
      <w:lvlText w:val="%2."/>
      <w:lvlJc w:val="left"/>
      <w:pPr>
        <w:tabs>
          <w:tab w:val="num" w:pos="1800"/>
        </w:tabs>
        <w:ind w:left="1800" w:hanging="360"/>
      </w:pPr>
      <w:rPr>
        <w:rFonts w:hint="default"/>
      </w:rPr>
    </w:lvl>
    <w:lvl w:ilvl="2" w:tplc="0409001B">
      <w:start w:val="1"/>
      <w:numFmt w:val="lowerRoman"/>
      <w:lvlText w:val="%3."/>
      <w:lvlJc w:val="right"/>
      <w:pPr>
        <w:tabs>
          <w:tab w:val="num" w:pos="2520"/>
        </w:tabs>
        <w:ind w:left="2520" w:hanging="180"/>
      </w:pPr>
    </w:lvl>
    <w:lvl w:ilvl="3" w:tplc="F2B4837A">
      <w:start w:val="5"/>
      <w:numFmt w:val="upperLetter"/>
      <w:lvlText w:val="%4."/>
      <w:lvlJc w:val="left"/>
      <w:pPr>
        <w:tabs>
          <w:tab w:val="num" w:pos="3600"/>
        </w:tabs>
        <w:ind w:left="3600" w:hanging="720"/>
      </w:pPr>
      <w:rPr>
        <w:rFonts w:hint="default"/>
      </w:rPr>
    </w:lvl>
    <w:lvl w:ilvl="4" w:tplc="04090019">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8" w15:restartNumberingAfterBreak="0">
    <w:nsid w:val="2CE63050"/>
    <w:multiLevelType w:val="hybridMultilevel"/>
    <w:tmpl w:val="A9BABB8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F580F7E"/>
    <w:multiLevelType w:val="multilevel"/>
    <w:tmpl w:val="2F4E2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C4337C"/>
    <w:multiLevelType w:val="hybridMultilevel"/>
    <w:tmpl w:val="C5AE36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2FDB2B9F"/>
    <w:multiLevelType w:val="hybridMultilevel"/>
    <w:tmpl w:val="E9F4C590"/>
    <w:lvl w:ilvl="0" w:tplc="E56010A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2" w15:restartNumberingAfterBreak="0">
    <w:nsid w:val="302400FA"/>
    <w:multiLevelType w:val="singleLevel"/>
    <w:tmpl w:val="E5BC0448"/>
    <w:lvl w:ilvl="0">
      <w:start w:val="2"/>
      <w:numFmt w:val="upperLetter"/>
      <w:pStyle w:val="Heading1"/>
      <w:lvlText w:val="%1."/>
      <w:lvlJc w:val="left"/>
      <w:pPr>
        <w:tabs>
          <w:tab w:val="num" w:pos="720"/>
        </w:tabs>
        <w:ind w:left="720" w:hanging="720"/>
      </w:pPr>
      <w:rPr>
        <w:rFonts w:hint="default"/>
      </w:rPr>
    </w:lvl>
  </w:abstractNum>
  <w:abstractNum w:abstractNumId="33" w15:restartNumberingAfterBreak="0">
    <w:nsid w:val="32F52C15"/>
    <w:multiLevelType w:val="hybridMultilevel"/>
    <w:tmpl w:val="DDB871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33404A79"/>
    <w:multiLevelType w:val="hybridMultilevel"/>
    <w:tmpl w:val="7408C094"/>
    <w:lvl w:ilvl="0" w:tplc="391439D8">
      <w:numFmt w:val="bullet"/>
      <w:lvlText w:val="-"/>
      <w:lvlJc w:val="left"/>
      <w:pPr>
        <w:tabs>
          <w:tab w:val="num" w:pos="1440"/>
        </w:tabs>
        <w:ind w:left="1440" w:hanging="504"/>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39D85496"/>
    <w:multiLevelType w:val="hybridMultilevel"/>
    <w:tmpl w:val="90266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AEE7699"/>
    <w:multiLevelType w:val="hybridMultilevel"/>
    <w:tmpl w:val="49F22962"/>
    <w:lvl w:ilvl="0" w:tplc="391439D8">
      <w:numFmt w:val="bullet"/>
      <w:lvlText w:val="-"/>
      <w:lvlJc w:val="left"/>
      <w:pPr>
        <w:tabs>
          <w:tab w:val="num" w:pos="1440"/>
        </w:tabs>
        <w:ind w:left="1440" w:hanging="504"/>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3BF72956"/>
    <w:multiLevelType w:val="hybridMultilevel"/>
    <w:tmpl w:val="0D245C36"/>
    <w:lvl w:ilvl="0" w:tplc="04090001">
      <w:start w:val="1"/>
      <w:numFmt w:val="bullet"/>
      <w:lvlText w:val=""/>
      <w:lvlJc w:val="left"/>
      <w:pPr>
        <w:tabs>
          <w:tab w:val="num" w:pos="1296"/>
        </w:tabs>
        <w:ind w:left="1296"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3F8D3D84"/>
    <w:multiLevelType w:val="hybridMultilevel"/>
    <w:tmpl w:val="17347ED0"/>
    <w:lvl w:ilvl="0" w:tplc="7398E906">
      <w:start w:val="10"/>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9" w15:restartNumberingAfterBreak="0">
    <w:nsid w:val="400550C4"/>
    <w:multiLevelType w:val="hybridMultilevel"/>
    <w:tmpl w:val="6E66B3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7FD704B"/>
    <w:multiLevelType w:val="multilevel"/>
    <w:tmpl w:val="87DC9C4C"/>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87D22C1"/>
    <w:multiLevelType w:val="multilevel"/>
    <w:tmpl w:val="16F05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B20452B"/>
    <w:multiLevelType w:val="hybridMultilevel"/>
    <w:tmpl w:val="AC04A9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4CBA4C5B"/>
    <w:multiLevelType w:val="hybridMultilevel"/>
    <w:tmpl w:val="2CD67C10"/>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4" w15:restartNumberingAfterBreak="0">
    <w:nsid w:val="4CFE6CF4"/>
    <w:multiLevelType w:val="hybridMultilevel"/>
    <w:tmpl w:val="D4A68766"/>
    <w:lvl w:ilvl="0" w:tplc="CAC21594">
      <w:start w:val="1"/>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CAE07026">
      <w:start w:val="6"/>
      <w:numFmt w:val="upperLetter"/>
      <w:lvlText w:val="%3."/>
      <w:lvlJc w:val="left"/>
      <w:pPr>
        <w:tabs>
          <w:tab w:val="num" w:pos="2700"/>
        </w:tabs>
        <w:ind w:left="2700" w:hanging="360"/>
      </w:pPr>
      <w:rPr>
        <w:rFonts w:hint="default"/>
      </w:r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5" w15:restartNumberingAfterBreak="0">
    <w:nsid w:val="4E294E70"/>
    <w:multiLevelType w:val="hybridMultilevel"/>
    <w:tmpl w:val="1788237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14F0DC8"/>
    <w:multiLevelType w:val="hybridMultilevel"/>
    <w:tmpl w:val="BE7AEE14"/>
    <w:lvl w:ilvl="0" w:tplc="0E6A3A0C">
      <w:start w:val="1"/>
      <w:numFmt w:val="lowerLetter"/>
      <w:lvlText w:val="%1."/>
      <w:lvlJc w:val="left"/>
      <w:pPr>
        <w:ind w:left="1080" w:hanging="360"/>
      </w:pPr>
      <w:rPr>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51810ED7"/>
    <w:multiLevelType w:val="hybridMultilevel"/>
    <w:tmpl w:val="206E67E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244467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9" w15:restartNumberingAfterBreak="0">
    <w:nsid w:val="52695D98"/>
    <w:multiLevelType w:val="hybridMultilevel"/>
    <w:tmpl w:val="2D06CD2A"/>
    <w:lvl w:ilvl="0" w:tplc="460A7AB4">
      <w:start w:val="4"/>
      <w:numFmt w:val="upperLetter"/>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7676E762">
      <w:start w:val="1"/>
      <w:numFmt w:val="decimal"/>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0" w15:restartNumberingAfterBreak="0">
    <w:nsid w:val="57C67E2C"/>
    <w:multiLevelType w:val="multilevel"/>
    <w:tmpl w:val="4AB09F10"/>
    <w:lvl w:ilvl="0">
      <w:numFmt w:val="bullet"/>
      <w:lvlText w:val="-"/>
      <w:lvlJc w:val="left"/>
      <w:pPr>
        <w:tabs>
          <w:tab w:val="num" w:pos="1440"/>
        </w:tabs>
        <w:ind w:left="1440" w:hanging="504"/>
      </w:pPr>
      <w:rPr>
        <w:rFonts w:ascii="Times New Roman" w:eastAsia="Times New Roman"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57D30711"/>
    <w:multiLevelType w:val="hybridMultilevel"/>
    <w:tmpl w:val="C4B6F86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598A4FE6"/>
    <w:multiLevelType w:val="multilevel"/>
    <w:tmpl w:val="DC7E8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A4C501C"/>
    <w:multiLevelType w:val="hybridMultilevel"/>
    <w:tmpl w:val="EB60456C"/>
    <w:lvl w:ilvl="0" w:tplc="3A30C39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B2024E6"/>
    <w:multiLevelType w:val="multilevel"/>
    <w:tmpl w:val="76480EB6"/>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5" w15:restartNumberingAfterBreak="0">
    <w:nsid w:val="5DBB2950"/>
    <w:multiLevelType w:val="hybridMultilevel"/>
    <w:tmpl w:val="A75E6044"/>
    <w:lvl w:ilvl="0" w:tplc="79D693F8">
      <w:start w:val="1"/>
      <w:numFmt w:val="decimal"/>
      <w:lvlText w:val="%1."/>
      <w:lvlJc w:val="left"/>
      <w:pPr>
        <w:ind w:left="720" w:hanging="360"/>
      </w:pPr>
      <w:rPr>
        <w:rFonts w:ascii="Arial" w:hAnsi="Arial" w:cs="Aria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ECF4F73"/>
    <w:multiLevelType w:val="hybridMultilevel"/>
    <w:tmpl w:val="FACC0E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F0B3898"/>
    <w:multiLevelType w:val="multilevel"/>
    <w:tmpl w:val="D92E3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03E4E0E"/>
    <w:multiLevelType w:val="hybridMultilevel"/>
    <w:tmpl w:val="6E86A3D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9" w15:restartNumberingAfterBreak="0">
    <w:nsid w:val="71B15456"/>
    <w:multiLevelType w:val="hybridMultilevel"/>
    <w:tmpl w:val="689C80E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0" w15:restartNumberingAfterBreak="0">
    <w:nsid w:val="72CC4F88"/>
    <w:multiLevelType w:val="hybridMultilevel"/>
    <w:tmpl w:val="C4B6F86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5050723"/>
    <w:multiLevelType w:val="multilevel"/>
    <w:tmpl w:val="E31C6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80817F7"/>
    <w:multiLevelType w:val="multilevel"/>
    <w:tmpl w:val="21D8A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D353BA9"/>
    <w:multiLevelType w:val="hybridMultilevel"/>
    <w:tmpl w:val="0FAEE6D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4" w15:restartNumberingAfterBreak="0">
    <w:nsid w:val="7D9C13DA"/>
    <w:multiLevelType w:val="hybridMultilevel"/>
    <w:tmpl w:val="806295D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5" w15:restartNumberingAfterBreak="0">
    <w:nsid w:val="7E597EF3"/>
    <w:multiLevelType w:val="hybridMultilevel"/>
    <w:tmpl w:val="CF080646"/>
    <w:lvl w:ilvl="0" w:tplc="844CE196">
      <w:start w:val="4"/>
      <w:numFmt w:val="upp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6" w15:restartNumberingAfterBreak="0">
    <w:nsid w:val="7FD90EBA"/>
    <w:multiLevelType w:val="hybridMultilevel"/>
    <w:tmpl w:val="F110B686"/>
    <w:lvl w:ilvl="0" w:tplc="ABE61488">
      <w:start w:val="6"/>
      <w:numFmt w:val="upp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353143325">
    <w:abstractNumId w:val="48"/>
  </w:num>
  <w:num w:numId="2" w16cid:durableId="2141723158">
    <w:abstractNumId w:val="32"/>
  </w:num>
  <w:num w:numId="3" w16cid:durableId="992756059">
    <w:abstractNumId w:val="5"/>
  </w:num>
  <w:num w:numId="4" w16cid:durableId="2033844578">
    <w:abstractNumId w:val="24"/>
  </w:num>
  <w:num w:numId="5" w16cid:durableId="326907362">
    <w:abstractNumId w:val="4"/>
  </w:num>
  <w:num w:numId="6" w16cid:durableId="1794865726">
    <w:abstractNumId w:val="34"/>
  </w:num>
  <w:num w:numId="7" w16cid:durableId="97599740">
    <w:abstractNumId w:val="19"/>
  </w:num>
  <w:num w:numId="8" w16cid:durableId="700085806">
    <w:abstractNumId w:val="36"/>
  </w:num>
  <w:num w:numId="9" w16cid:durableId="402064300">
    <w:abstractNumId w:val="12"/>
  </w:num>
  <w:num w:numId="10" w16cid:durableId="108597909">
    <w:abstractNumId w:val="26"/>
  </w:num>
  <w:num w:numId="11" w16cid:durableId="1964072033">
    <w:abstractNumId w:val="58"/>
  </w:num>
  <w:num w:numId="12" w16cid:durableId="1526868204">
    <w:abstractNumId w:val="1"/>
  </w:num>
  <w:num w:numId="13" w16cid:durableId="1719888913">
    <w:abstractNumId w:val="50"/>
  </w:num>
  <w:num w:numId="14" w16cid:durableId="265427478">
    <w:abstractNumId w:val="37"/>
  </w:num>
  <w:num w:numId="15" w16cid:durableId="1014116202">
    <w:abstractNumId w:val="63"/>
  </w:num>
  <w:num w:numId="16" w16cid:durableId="619917254">
    <w:abstractNumId w:val="15"/>
  </w:num>
  <w:num w:numId="17" w16cid:durableId="156194220">
    <w:abstractNumId w:val="31"/>
  </w:num>
  <w:num w:numId="18" w16cid:durableId="548758888">
    <w:abstractNumId w:val="22"/>
  </w:num>
  <w:num w:numId="19" w16cid:durableId="1664313983">
    <w:abstractNumId w:val="44"/>
  </w:num>
  <w:num w:numId="20" w16cid:durableId="852449992">
    <w:abstractNumId w:val="66"/>
  </w:num>
  <w:num w:numId="21" w16cid:durableId="1526166402">
    <w:abstractNumId w:val="2"/>
  </w:num>
  <w:num w:numId="22" w16cid:durableId="416177202">
    <w:abstractNumId w:val="13"/>
  </w:num>
  <w:num w:numId="23" w16cid:durableId="1836217251">
    <w:abstractNumId w:val="38"/>
  </w:num>
  <w:num w:numId="24" w16cid:durableId="86007551">
    <w:abstractNumId w:val="65"/>
  </w:num>
  <w:num w:numId="25" w16cid:durableId="901987615">
    <w:abstractNumId w:val="27"/>
  </w:num>
  <w:num w:numId="26" w16cid:durableId="166528093">
    <w:abstractNumId w:val="49"/>
  </w:num>
  <w:num w:numId="27" w16cid:durableId="331106993">
    <w:abstractNumId w:val="14"/>
  </w:num>
  <w:num w:numId="28" w16cid:durableId="1196237231">
    <w:abstractNumId w:val="0"/>
  </w:num>
  <w:num w:numId="29" w16cid:durableId="2088336108">
    <w:abstractNumId w:val="20"/>
  </w:num>
  <w:num w:numId="30" w16cid:durableId="1502500820">
    <w:abstractNumId w:val="18"/>
  </w:num>
  <w:num w:numId="31" w16cid:durableId="2092462481">
    <w:abstractNumId w:val="43"/>
  </w:num>
  <w:num w:numId="32" w16cid:durableId="405542036">
    <w:abstractNumId w:val="25"/>
  </w:num>
  <w:num w:numId="33" w16cid:durableId="185101039">
    <w:abstractNumId w:val="21"/>
  </w:num>
  <w:num w:numId="34" w16cid:durableId="1915167170">
    <w:abstractNumId w:val="7"/>
  </w:num>
  <w:num w:numId="35" w16cid:durableId="1192455890">
    <w:abstractNumId w:val="47"/>
  </w:num>
  <w:num w:numId="36" w16cid:durableId="1544444404">
    <w:abstractNumId w:val="46"/>
  </w:num>
  <w:num w:numId="37" w16cid:durableId="1656374723">
    <w:abstractNumId w:val="6"/>
  </w:num>
  <w:num w:numId="38" w16cid:durableId="1739857579">
    <w:abstractNumId w:val="28"/>
  </w:num>
  <w:num w:numId="39" w16cid:durableId="1939832369">
    <w:abstractNumId w:val="55"/>
  </w:num>
  <w:num w:numId="40" w16cid:durableId="1660189684">
    <w:abstractNumId w:val="33"/>
  </w:num>
  <w:num w:numId="41" w16cid:durableId="321979555">
    <w:abstractNumId w:val="10"/>
  </w:num>
  <w:num w:numId="42" w16cid:durableId="1576893042">
    <w:abstractNumId w:val="30"/>
  </w:num>
  <w:num w:numId="43" w16cid:durableId="1529760611">
    <w:abstractNumId w:val="3"/>
  </w:num>
  <w:num w:numId="44" w16cid:durableId="1468400077">
    <w:abstractNumId w:val="42"/>
  </w:num>
  <w:num w:numId="45" w16cid:durableId="358509366">
    <w:abstractNumId w:val="35"/>
  </w:num>
  <w:num w:numId="46" w16cid:durableId="979118269">
    <w:abstractNumId w:val="45"/>
  </w:num>
  <w:num w:numId="47" w16cid:durableId="1693997147">
    <w:abstractNumId w:val="60"/>
  </w:num>
  <w:num w:numId="48" w16cid:durableId="535964583">
    <w:abstractNumId w:val="11"/>
  </w:num>
  <w:num w:numId="49" w16cid:durableId="452289653">
    <w:abstractNumId w:val="8"/>
  </w:num>
  <w:num w:numId="50" w16cid:durableId="1094783998">
    <w:abstractNumId w:val="9"/>
  </w:num>
  <w:num w:numId="51" w16cid:durableId="724790415">
    <w:abstractNumId w:val="64"/>
  </w:num>
  <w:num w:numId="52" w16cid:durableId="1667243253">
    <w:abstractNumId w:val="23"/>
  </w:num>
  <w:num w:numId="53" w16cid:durableId="1032925777">
    <w:abstractNumId w:val="51"/>
  </w:num>
  <w:num w:numId="54" w16cid:durableId="1284771427">
    <w:abstractNumId w:val="54"/>
  </w:num>
  <w:num w:numId="55" w16cid:durableId="407506769">
    <w:abstractNumId w:val="17"/>
  </w:num>
  <w:num w:numId="56" w16cid:durableId="510031082">
    <w:abstractNumId w:val="56"/>
  </w:num>
  <w:num w:numId="57" w16cid:durableId="603150885">
    <w:abstractNumId w:val="41"/>
  </w:num>
  <w:num w:numId="58" w16cid:durableId="2077506170">
    <w:abstractNumId w:val="53"/>
  </w:num>
  <w:num w:numId="59" w16cid:durableId="934745583">
    <w:abstractNumId w:val="59"/>
  </w:num>
  <w:num w:numId="60" w16cid:durableId="1569265954">
    <w:abstractNumId w:val="29"/>
  </w:num>
  <w:num w:numId="61" w16cid:durableId="1746297996">
    <w:abstractNumId w:val="52"/>
  </w:num>
  <w:num w:numId="62" w16cid:durableId="548496790">
    <w:abstractNumId w:val="16"/>
  </w:num>
  <w:num w:numId="63" w16cid:durableId="416443955">
    <w:abstractNumId w:val="62"/>
  </w:num>
  <w:num w:numId="64" w16cid:durableId="1908874521">
    <w:abstractNumId w:val="40"/>
  </w:num>
  <w:num w:numId="65" w16cid:durableId="491526275">
    <w:abstractNumId w:val="61"/>
  </w:num>
  <w:num w:numId="66" w16cid:durableId="2004506294">
    <w:abstractNumId w:val="57"/>
  </w:num>
  <w:num w:numId="67" w16cid:durableId="842472811">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3555"/>
    <w:rsid w:val="000006DD"/>
    <w:rsid w:val="00004A62"/>
    <w:rsid w:val="000244AF"/>
    <w:rsid w:val="000409AD"/>
    <w:rsid w:val="000437A8"/>
    <w:rsid w:val="00043F20"/>
    <w:rsid w:val="00043F71"/>
    <w:rsid w:val="00050D47"/>
    <w:rsid w:val="000530CE"/>
    <w:rsid w:val="00070C27"/>
    <w:rsid w:val="00070F81"/>
    <w:rsid w:val="000745F5"/>
    <w:rsid w:val="00076FEE"/>
    <w:rsid w:val="00077C43"/>
    <w:rsid w:val="000853A4"/>
    <w:rsid w:val="00087AC0"/>
    <w:rsid w:val="0009537E"/>
    <w:rsid w:val="000A28F1"/>
    <w:rsid w:val="000A639A"/>
    <w:rsid w:val="000B0280"/>
    <w:rsid w:val="000B180E"/>
    <w:rsid w:val="000C1213"/>
    <w:rsid w:val="000C2A57"/>
    <w:rsid w:val="000C453A"/>
    <w:rsid w:val="000C5574"/>
    <w:rsid w:val="000D151D"/>
    <w:rsid w:val="000D2FF8"/>
    <w:rsid w:val="000D39FD"/>
    <w:rsid w:val="000E6A65"/>
    <w:rsid w:val="001040FC"/>
    <w:rsid w:val="00117DDA"/>
    <w:rsid w:val="00125ACE"/>
    <w:rsid w:val="00127696"/>
    <w:rsid w:val="001347E8"/>
    <w:rsid w:val="00150D1E"/>
    <w:rsid w:val="00154AEC"/>
    <w:rsid w:val="00155128"/>
    <w:rsid w:val="00162EE3"/>
    <w:rsid w:val="00180125"/>
    <w:rsid w:val="00181B6A"/>
    <w:rsid w:val="001862F0"/>
    <w:rsid w:val="001A243D"/>
    <w:rsid w:val="001A4273"/>
    <w:rsid w:val="001A5668"/>
    <w:rsid w:val="001A7507"/>
    <w:rsid w:val="001B1143"/>
    <w:rsid w:val="001B42C7"/>
    <w:rsid w:val="001C5CDE"/>
    <w:rsid w:val="001D20AA"/>
    <w:rsid w:val="001E38CF"/>
    <w:rsid w:val="001E7FCC"/>
    <w:rsid w:val="001F19A3"/>
    <w:rsid w:val="001F2709"/>
    <w:rsid w:val="001F28D1"/>
    <w:rsid w:val="00203DAE"/>
    <w:rsid w:val="00205A2F"/>
    <w:rsid w:val="002147D1"/>
    <w:rsid w:val="00215D29"/>
    <w:rsid w:val="002270DD"/>
    <w:rsid w:val="002324E7"/>
    <w:rsid w:val="0023320F"/>
    <w:rsid w:val="00244D30"/>
    <w:rsid w:val="00254630"/>
    <w:rsid w:val="00257582"/>
    <w:rsid w:val="002763AF"/>
    <w:rsid w:val="00276784"/>
    <w:rsid w:val="00282DD9"/>
    <w:rsid w:val="00284156"/>
    <w:rsid w:val="002A34E8"/>
    <w:rsid w:val="002B23D5"/>
    <w:rsid w:val="002C01D1"/>
    <w:rsid w:val="002C47C9"/>
    <w:rsid w:val="002C6F39"/>
    <w:rsid w:val="002D3BB7"/>
    <w:rsid w:val="002D66CE"/>
    <w:rsid w:val="002D789D"/>
    <w:rsid w:val="002E05F7"/>
    <w:rsid w:val="002E1F61"/>
    <w:rsid w:val="002E5B17"/>
    <w:rsid w:val="0031050D"/>
    <w:rsid w:val="00314C1B"/>
    <w:rsid w:val="00317D5F"/>
    <w:rsid w:val="00321B07"/>
    <w:rsid w:val="003221A0"/>
    <w:rsid w:val="003248C4"/>
    <w:rsid w:val="00324A78"/>
    <w:rsid w:val="00326A8D"/>
    <w:rsid w:val="00343954"/>
    <w:rsid w:val="00343DE4"/>
    <w:rsid w:val="00346051"/>
    <w:rsid w:val="00353403"/>
    <w:rsid w:val="00356D49"/>
    <w:rsid w:val="00361B3C"/>
    <w:rsid w:val="00362C79"/>
    <w:rsid w:val="003637DF"/>
    <w:rsid w:val="00365D1F"/>
    <w:rsid w:val="00376AA1"/>
    <w:rsid w:val="003800FC"/>
    <w:rsid w:val="003A0836"/>
    <w:rsid w:val="003A0A37"/>
    <w:rsid w:val="003A1EC4"/>
    <w:rsid w:val="003A39D2"/>
    <w:rsid w:val="003B5AEC"/>
    <w:rsid w:val="003C249C"/>
    <w:rsid w:val="003D057D"/>
    <w:rsid w:val="003D16D1"/>
    <w:rsid w:val="003D2849"/>
    <w:rsid w:val="003D493A"/>
    <w:rsid w:val="003D550E"/>
    <w:rsid w:val="003D69C8"/>
    <w:rsid w:val="003E3A16"/>
    <w:rsid w:val="003E70AB"/>
    <w:rsid w:val="00405DF1"/>
    <w:rsid w:val="0041705D"/>
    <w:rsid w:val="00424534"/>
    <w:rsid w:val="00427E01"/>
    <w:rsid w:val="0043095B"/>
    <w:rsid w:val="004339F4"/>
    <w:rsid w:val="00441ED6"/>
    <w:rsid w:val="0044709D"/>
    <w:rsid w:val="004505AD"/>
    <w:rsid w:val="00451E8D"/>
    <w:rsid w:val="00457466"/>
    <w:rsid w:val="004577FC"/>
    <w:rsid w:val="004601CB"/>
    <w:rsid w:val="004655F1"/>
    <w:rsid w:val="00465A06"/>
    <w:rsid w:val="0047021C"/>
    <w:rsid w:val="00474009"/>
    <w:rsid w:val="00483437"/>
    <w:rsid w:val="00491DD4"/>
    <w:rsid w:val="0049231C"/>
    <w:rsid w:val="00497DF2"/>
    <w:rsid w:val="004A726A"/>
    <w:rsid w:val="004D0E80"/>
    <w:rsid w:val="004D4CFD"/>
    <w:rsid w:val="004E22F4"/>
    <w:rsid w:val="00500FFB"/>
    <w:rsid w:val="00503AC8"/>
    <w:rsid w:val="005043AB"/>
    <w:rsid w:val="00511459"/>
    <w:rsid w:val="00515432"/>
    <w:rsid w:val="00515984"/>
    <w:rsid w:val="00515CC2"/>
    <w:rsid w:val="00517C1F"/>
    <w:rsid w:val="00521B2E"/>
    <w:rsid w:val="00540BD8"/>
    <w:rsid w:val="005479C2"/>
    <w:rsid w:val="00550827"/>
    <w:rsid w:val="00563A4F"/>
    <w:rsid w:val="00571282"/>
    <w:rsid w:val="00585739"/>
    <w:rsid w:val="00593CDB"/>
    <w:rsid w:val="005A09CE"/>
    <w:rsid w:val="005A6883"/>
    <w:rsid w:val="005B129A"/>
    <w:rsid w:val="005C11BA"/>
    <w:rsid w:val="005C5D0D"/>
    <w:rsid w:val="005C5FE9"/>
    <w:rsid w:val="005D07C5"/>
    <w:rsid w:val="005D1422"/>
    <w:rsid w:val="005D2C08"/>
    <w:rsid w:val="005D367C"/>
    <w:rsid w:val="005E550D"/>
    <w:rsid w:val="005F083C"/>
    <w:rsid w:val="005F4031"/>
    <w:rsid w:val="005F5A96"/>
    <w:rsid w:val="00601E62"/>
    <w:rsid w:val="00602563"/>
    <w:rsid w:val="006044F2"/>
    <w:rsid w:val="00615B75"/>
    <w:rsid w:val="0062491B"/>
    <w:rsid w:val="00626808"/>
    <w:rsid w:val="006341E9"/>
    <w:rsid w:val="006354A7"/>
    <w:rsid w:val="006356CB"/>
    <w:rsid w:val="00636DBD"/>
    <w:rsid w:val="00637D41"/>
    <w:rsid w:val="00640AE0"/>
    <w:rsid w:val="00642FF9"/>
    <w:rsid w:val="00651B7E"/>
    <w:rsid w:val="006562F9"/>
    <w:rsid w:val="00660C57"/>
    <w:rsid w:val="006615E2"/>
    <w:rsid w:val="0068060F"/>
    <w:rsid w:val="006939EC"/>
    <w:rsid w:val="006C1466"/>
    <w:rsid w:val="006C1A2F"/>
    <w:rsid w:val="006C4355"/>
    <w:rsid w:val="006C6325"/>
    <w:rsid w:val="006D15DF"/>
    <w:rsid w:val="006E4804"/>
    <w:rsid w:val="006E7D1C"/>
    <w:rsid w:val="006F164A"/>
    <w:rsid w:val="006F402E"/>
    <w:rsid w:val="006F4D1E"/>
    <w:rsid w:val="0070195E"/>
    <w:rsid w:val="00702641"/>
    <w:rsid w:val="00706561"/>
    <w:rsid w:val="00713E53"/>
    <w:rsid w:val="0072105C"/>
    <w:rsid w:val="00721A55"/>
    <w:rsid w:val="00722CAB"/>
    <w:rsid w:val="0072424B"/>
    <w:rsid w:val="00726828"/>
    <w:rsid w:val="0073622A"/>
    <w:rsid w:val="007445DD"/>
    <w:rsid w:val="007516D5"/>
    <w:rsid w:val="00755DFA"/>
    <w:rsid w:val="007660E1"/>
    <w:rsid w:val="0077798A"/>
    <w:rsid w:val="00785C80"/>
    <w:rsid w:val="00787E1B"/>
    <w:rsid w:val="007A027F"/>
    <w:rsid w:val="007A308D"/>
    <w:rsid w:val="007B249A"/>
    <w:rsid w:val="007B6893"/>
    <w:rsid w:val="007C58F8"/>
    <w:rsid w:val="007D3186"/>
    <w:rsid w:val="007E4213"/>
    <w:rsid w:val="007F1375"/>
    <w:rsid w:val="007F155F"/>
    <w:rsid w:val="007F4F5F"/>
    <w:rsid w:val="00806E2D"/>
    <w:rsid w:val="0081752F"/>
    <w:rsid w:val="008241EE"/>
    <w:rsid w:val="00844382"/>
    <w:rsid w:val="00844B63"/>
    <w:rsid w:val="00855F26"/>
    <w:rsid w:val="0085760F"/>
    <w:rsid w:val="00862F0C"/>
    <w:rsid w:val="008948D8"/>
    <w:rsid w:val="00897C37"/>
    <w:rsid w:val="008A1F42"/>
    <w:rsid w:val="008A4EC8"/>
    <w:rsid w:val="008B0206"/>
    <w:rsid w:val="008B350C"/>
    <w:rsid w:val="008B399A"/>
    <w:rsid w:val="008B46FF"/>
    <w:rsid w:val="008B4EA6"/>
    <w:rsid w:val="008B4F45"/>
    <w:rsid w:val="008B6CB0"/>
    <w:rsid w:val="008C4662"/>
    <w:rsid w:val="008D2DD1"/>
    <w:rsid w:val="008E590E"/>
    <w:rsid w:val="008F4314"/>
    <w:rsid w:val="0091503B"/>
    <w:rsid w:val="00921ABE"/>
    <w:rsid w:val="00924322"/>
    <w:rsid w:val="00937A7C"/>
    <w:rsid w:val="00962A6E"/>
    <w:rsid w:val="009654DE"/>
    <w:rsid w:val="00975216"/>
    <w:rsid w:val="00992A01"/>
    <w:rsid w:val="00993D58"/>
    <w:rsid w:val="00996AB1"/>
    <w:rsid w:val="00996C46"/>
    <w:rsid w:val="0099710C"/>
    <w:rsid w:val="009A5F94"/>
    <w:rsid w:val="009B282C"/>
    <w:rsid w:val="009B3114"/>
    <w:rsid w:val="009C1E93"/>
    <w:rsid w:val="009C5C40"/>
    <w:rsid w:val="009F04FF"/>
    <w:rsid w:val="009F1B9F"/>
    <w:rsid w:val="009F2D71"/>
    <w:rsid w:val="009F375F"/>
    <w:rsid w:val="00A004E1"/>
    <w:rsid w:val="00A01491"/>
    <w:rsid w:val="00A06CFD"/>
    <w:rsid w:val="00A11571"/>
    <w:rsid w:val="00A17C72"/>
    <w:rsid w:val="00A3061A"/>
    <w:rsid w:val="00A45949"/>
    <w:rsid w:val="00A51E2C"/>
    <w:rsid w:val="00A547A3"/>
    <w:rsid w:val="00A55428"/>
    <w:rsid w:val="00A57078"/>
    <w:rsid w:val="00A575E9"/>
    <w:rsid w:val="00A7048A"/>
    <w:rsid w:val="00A81041"/>
    <w:rsid w:val="00A813CE"/>
    <w:rsid w:val="00A8262F"/>
    <w:rsid w:val="00A84033"/>
    <w:rsid w:val="00A848D5"/>
    <w:rsid w:val="00A90808"/>
    <w:rsid w:val="00A927CE"/>
    <w:rsid w:val="00A970ED"/>
    <w:rsid w:val="00AA034A"/>
    <w:rsid w:val="00AA7A28"/>
    <w:rsid w:val="00AD1EF5"/>
    <w:rsid w:val="00AE65D5"/>
    <w:rsid w:val="00AE7952"/>
    <w:rsid w:val="00AF05BF"/>
    <w:rsid w:val="00AF5672"/>
    <w:rsid w:val="00B054CC"/>
    <w:rsid w:val="00B065F1"/>
    <w:rsid w:val="00B13417"/>
    <w:rsid w:val="00B16144"/>
    <w:rsid w:val="00B21E66"/>
    <w:rsid w:val="00B36F4C"/>
    <w:rsid w:val="00B4233C"/>
    <w:rsid w:val="00B54026"/>
    <w:rsid w:val="00B8222E"/>
    <w:rsid w:val="00B83A7F"/>
    <w:rsid w:val="00BA6CB6"/>
    <w:rsid w:val="00BA7D67"/>
    <w:rsid w:val="00BB7050"/>
    <w:rsid w:val="00BC1839"/>
    <w:rsid w:val="00BC1AE7"/>
    <w:rsid w:val="00BC4BBD"/>
    <w:rsid w:val="00BD0553"/>
    <w:rsid w:val="00BD662A"/>
    <w:rsid w:val="00BD74C2"/>
    <w:rsid w:val="00BE2F9E"/>
    <w:rsid w:val="00BE462A"/>
    <w:rsid w:val="00BE52EB"/>
    <w:rsid w:val="00BE7F5F"/>
    <w:rsid w:val="00BF3299"/>
    <w:rsid w:val="00BF75F0"/>
    <w:rsid w:val="00C01E97"/>
    <w:rsid w:val="00C0780B"/>
    <w:rsid w:val="00C15439"/>
    <w:rsid w:val="00C256FB"/>
    <w:rsid w:val="00C304D6"/>
    <w:rsid w:val="00C342F6"/>
    <w:rsid w:val="00C3536F"/>
    <w:rsid w:val="00C35F8C"/>
    <w:rsid w:val="00C406E3"/>
    <w:rsid w:val="00C45AFE"/>
    <w:rsid w:val="00C5614C"/>
    <w:rsid w:val="00C64E3C"/>
    <w:rsid w:val="00C7038E"/>
    <w:rsid w:val="00C75E96"/>
    <w:rsid w:val="00C76C06"/>
    <w:rsid w:val="00C83C2A"/>
    <w:rsid w:val="00C92A0B"/>
    <w:rsid w:val="00C9537E"/>
    <w:rsid w:val="00CA09E4"/>
    <w:rsid w:val="00CB49F0"/>
    <w:rsid w:val="00CC4D60"/>
    <w:rsid w:val="00CC63AC"/>
    <w:rsid w:val="00CD5AEC"/>
    <w:rsid w:val="00CE33F3"/>
    <w:rsid w:val="00CE3568"/>
    <w:rsid w:val="00CE78D6"/>
    <w:rsid w:val="00CF0DCE"/>
    <w:rsid w:val="00CF20FF"/>
    <w:rsid w:val="00CF4625"/>
    <w:rsid w:val="00CF6108"/>
    <w:rsid w:val="00CF72E1"/>
    <w:rsid w:val="00D05BD0"/>
    <w:rsid w:val="00D20ECF"/>
    <w:rsid w:val="00D24221"/>
    <w:rsid w:val="00D360FE"/>
    <w:rsid w:val="00D51298"/>
    <w:rsid w:val="00D51753"/>
    <w:rsid w:val="00D52B4A"/>
    <w:rsid w:val="00D57F3C"/>
    <w:rsid w:val="00D60E01"/>
    <w:rsid w:val="00D6341C"/>
    <w:rsid w:val="00D65D57"/>
    <w:rsid w:val="00D67ECD"/>
    <w:rsid w:val="00D73B2A"/>
    <w:rsid w:val="00D81BCA"/>
    <w:rsid w:val="00DA41A6"/>
    <w:rsid w:val="00DA49DC"/>
    <w:rsid w:val="00DB1460"/>
    <w:rsid w:val="00DB2060"/>
    <w:rsid w:val="00DC5051"/>
    <w:rsid w:val="00DC5151"/>
    <w:rsid w:val="00DD0EB6"/>
    <w:rsid w:val="00DD1215"/>
    <w:rsid w:val="00DD4ACF"/>
    <w:rsid w:val="00DE06C6"/>
    <w:rsid w:val="00DE3555"/>
    <w:rsid w:val="00DF23A9"/>
    <w:rsid w:val="00DF765E"/>
    <w:rsid w:val="00E0705A"/>
    <w:rsid w:val="00E07B03"/>
    <w:rsid w:val="00E27A09"/>
    <w:rsid w:val="00E30DF9"/>
    <w:rsid w:val="00E3581D"/>
    <w:rsid w:val="00E44E05"/>
    <w:rsid w:val="00E46DB7"/>
    <w:rsid w:val="00E5149D"/>
    <w:rsid w:val="00E5251D"/>
    <w:rsid w:val="00E546F2"/>
    <w:rsid w:val="00E57F22"/>
    <w:rsid w:val="00E60B38"/>
    <w:rsid w:val="00E658F9"/>
    <w:rsid w:val="00E83612"/>
    <w:rsid w:val="00EB2A72"/>
    <w:rsid w:val="00EB4064"/>
    <w:rsid w:val="00EE00FB"/>
    <w:rsid w:val="00EE1D54"/>
    <w:rsid w:val="00EF2398"/>
    <w:rsid w:val="00EF4922"/>
    <w:rsid w:val="00EF4BE2"/>
    <w:rsid w:val="00EF550A"/>
    <w:rsid w:val="00EF6108"/>
    <w:rsid w:val="00F06BF7"/>
    <w:rsid w:val="00F21822"/>
    <w:rsid w:val="00F237B3"/>
    <w:rsid w:val="00F300D6"/>
    <w:rsid w:val="00F37A82"/>
    <w:rsid w:val="00F513B3"/>
    <w:rsid w:val="00F53C4D"/>
    <w:rsid w:val="00F54F3F"/>
    <w:rsid w:val="00F56423"/>
    <w:rsid w:val="00F57D0B"/>
    <w:rsid w:val="00F637CC"/>
    <w:rsid w:val="00F70559"/>
    <w:rsid w:val="00F70E5B"/>
    <w:rsid w:val="00F73705"/>
    <w:rsid w:val="00F75933"/>
    <w:rsid w:val="00F75FB1"/>
    <w:rsid w:val="00F77710"/>
    <w:rsid w:val="00F83AF1"/>
    <w:rsid w:val="00F927D1"/>
    <w:rsid w:val="00F94584"/>
    <w:rsid w:val="00FA2744"/>
    <w:rsid w:val="00FA54CD"/>
    <w:rsid w:val="00FC338E"/>
    <w:rsid w:val="00FD0365"/>
    <w:rsid w:val="00FD1B94"/>
    <w:rsid w:val="00FD3215"/>
    <w:rsid w:val="00FD52CC"/>
    <w:rsid w:val="00FE3FD1"/>
    <w:rsid w:val="00FF27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971D9C"/>
  <w15:chartTrackingRefBased/>
  <w15:docId w15:val="{8BA9DA1D-9C49-46E3-9E9C-365974AC7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qFormat/>
    <w:pPr>
      <w:keepNext/>
      <w:numPr>
        <w:numId w:val="2"/>
      </w:numPr>
      <w:jc w:val="both"/>
      <w:outlineLvl w:val="0"/>
    </w:pPr>
    <w:rPr>
      <w:color w:val="000000"/>
      <w:sz w:val="24"/>
    </w:rPr>
  </w:style>
  <w:style w:type="paragraph" w:styleId="Heading3">
    <w:name w:val="heading 3"/>
    <w:basedOn w:val="Normal"/>
    <w:next w:val="Normal"/>
    <w:link w:val="Heading3Char"/>
    <w:unhideWhenUsed/>
    <w:qFormat/>
    <w:rsid w:val="000C1213"/>
    <w:pPr>
      <w:keepNext/>
      <w:spacing w:before="240" w:after="60"/>
      <w:outlineLvl w:val="2"/>
    </w:pPr>
    <w:rPr>
      <w:rFonts w:ascii="Calibri Light" w:hAnsi="Calibri Light"/>
      <w:b/>
      <w:bCs/>
      <w:sz w:val="26"/>
      <w:szCs w:val="26"/>
    </w:rPr>
  </w:style>
  <w:style w:type="paragraph" w:styleId="Heading4">
    <w:name w:val="heading 4"/>
    <w:basedOn w:val="Normal"/>
    <w:next w:val="Normal"/>
    <w:link w:val="Heading4Char"/>
    <w:semiHidden/>
    <w:unhideWhenUsed/>
    <w:qFormat/>
    <w:rsid w:val="000C1213"/>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character" w:styleId="PageNumber">
    <w:name w:val="page number"/>
    <w:basedOn w:val="DefaultParagraphFont"/>
  </w:style>
  <w:style w:type="paragraph" w:styleId="Footer">
    <w:name w:val="footer"/>
    <w:basedOn w:val="Normal"/>
    <w:link w:val="FooterChar"/>
    <w:uiPriority w:val="99"/>
    <w:pPr>
      <w:pBdr>
        <w:top w:val="single" w:sz="4" w:space="1" w:color="auto"/>
      </w:pBdr>
      <w:tabs>
        <w:tab w:val="center" w:pos="4320"/>
        <w:tab w:val="right" w:pos="8640"/>
      </w:tabs>
      <w:jc w:val="center"/>
    </w:pPr>
    <w:rPr>
      <w:b/>
    </w:rPr>
  </w:style>
  <w:style w:type="paragraph" w:styleId="BodyText">
    <w:name w:val="Body Text"/>
    <w:basedOn w:val="Normal"/>
    <w:pPr>
      <w:spacing w:after="240"/>
      <w:jc w:val="both"/>
    </w:pPr>
    <w:rPr>
      <w:rFonts w:ascii="Garamond" w:hAnsi="Garamond"/>
      <w:spacing w:val="-5"/>
      <w:sz w:val="24"/>
    </w:rPr>
  </w:style>
  <w:style w:type="paragraph" w:styleId="BodyTextIndent2">
    <w:name w:val="Body Text Indent 2"/>
    <w:basedOn w:val="Normal"/>
    <w:pPr>
      <w:ind w:left="2880" w:hanging="720"/>
      <w:jc w:val="both"/>
    </w:pPr>
    <w:rPr>
      <w:rFonts w:ascii="Garamond" w:hAnsi="Garamond"/>
      <w:sz w:val="24"/>
    </w:rPr>
  </w:style>
  <w:style w:type="paragraph" w:styleId="BodyTextIndent3">
    <w:name w:val="Body Text Indent 3"/>
    <w:basedOn w:val="Normal"/>
    <w:pPr>
      <w:tabs>
        <w:tab w:val="left" w:pos="2160"/>
      </w:tabs>
      <w:spacing w:before="120" w:after="120"/>
      <w:ind w:left="2880" w:hanging="720"/>
      <w:jc w:val="both"/>
    </w:pPr>
    <w:rPr>
      <w:rFonts w:ascii="Garamond" w:hAnsi="Garamond"/>
      <w:sz w:val="24"/>
    </w:rPr>
  </w:style>
  <w:style w:type="paragraph" w:styleId="BodyTextIndent">
    <w:name w:val="Body Text Indent"/>
    <w:basedOn w:val="Normal"/>
    <w:pPr>
      <w:ind w:left="1440" w:hanging="720"/>
      <w:jc w:val="both"/>
    </w:pPr>
    <w:rPr>
      <w:sz w:val="24"/>
    </w:rPr>
  </w:style>
  <w:style w:type="character" w:styleId="Hyperlink">
    <w:name w:val="Hyperlink"/>
    <w:rPr>
      <w:rFonts w:ascii="Times New Roman" w:hAnsi="Times New Roman"/>
      <w:color w:val="0000FF"/>
      <w:sz w:val="24"/>
      <w:u w:val="single"/>
    </w:rPr>
  </w:style>
  <w:style w:type="character" w:styleId="FollowedHyperlink">
    <w:name w:val="FollowedHyperlink"/>
    <w:rPr>
      <w:color w:val="800080"/>
      <w:u w:val="single"/>
    </w:rPr>
  </w:style>
  <w:style w:type="paragraph" w:styleId="BodyText2">
    <w:name w:val="Body Text 2"/>
    <w:basedOn w:val="Normal"/>
    <w:rPr>
      <w:sz w:val="16"/>
    </w:rPr>
  </w:style>
  <w:style w:type="paragraph" w:styleId="BalloonText">
    <w:name w:val="Balloon Text"/>
    <w:basedOn w:val="Normal"/>
    <w:semiHidden/>
    <w:rsid w:val="00996AB1"/>
    <w:rPr>
      <w:rFonts w:ascii="Tahoma" w:hAnsi="Tahoma" w:cs="Tahoma"/>
      <w:sz w:val="16"/>
      <w:szCs w:val="16"/>
    </w:rPr>
  </w:style>
  <w:style w:type="paragraph" w:styleId="DocumentMap">
    <w:name w:val="Document Map"/>
    <w:basedOn w:val="Normal"/>
    <w:semiHidden/>
    <w:rsid w:val="00CF6108"/>
    <w:pPr>
      <w:shd w:val="clear" w:color="auto" w:fill="000080"/>
    </w:pPr>
    <w:rPr>
      <w:rFonts w:ascii="Tahoma" w:hAnsi="Tahoma" w:cs="Tahoma"/>
    </w:rPr>
  </w:style>
  <w:style w:type="paragraph" w:customStyle="1" w:styleId="Default">
    <w:name w:val="Default"/>
    <w:rsid w:val="005D1422"/>
    <w:pPr>
      <w:autoSpaceDE w:val="0"/>
      <w:autoSpaceDN w:val="0"/>
      <w:adjustRightInd w:val="0"/>
    </w:pPr>
    <w:rPr>
      <w:color w:val="000000"/>
      <w:sz w:val="24"/>
      <w:szCs w:val="24"/>
    </w:rPr>
  </w:style>
  <w:style w:type="paragraph" w:customStyle="1" w:styleId="1head">
    <w:name w:val="1head"/>
    <w:basedOn w:val="Default"/>
    <w:next w:val="Default"/>
    <w:rsid w:val="005D1422"/>
    <w:pPr>
      <w:spacing w:before="100" w:after="100"/>
    </w:pPr>
    <w:rPr>
      <w:color w:val="auto"/>
    </w:rPr>
  </w:style>
  <w:style w:type="paragraph" w:customStyle="1" w:styleId="Bullet">
    <w:name w:val="Bullet"/>
    <w:basedOn w:val="Default"/>
    <w:next w:val="Default"/>
    <w:rsid w:val="005D1422"/>
    <w:pPr>
      <w:spacing w:before="100" w:after="100"/>
    </w:pPr>
    <w:rPr>
      <w:color w:val="auto"/>
    </w:rPr>
  </w:style>
  <w:style w:type="paragraph" w:styleId="ListParagraph">
    <w:name w:val="List Paragraph"/>
    <w:basedOn w:val="Normal"/>
    <w:uiPriority w:val="34"/>
    <w:qFormat/>
    <w:rsid w:val="000006DD"/>
    <w:pPr>
      <w:ind w:left="720"/>
    </w:pPr>
  </w:style>
  <w:style w:type="character" w:customStyle="1" w:styleId="Heading3Char">
    <w:name w:val="Heading 3 Char"/>
    <w:link w:val="Heading3"/>
    <w:rsid w:val="000C1213"/>
    <w:rPr>
      <w:rFonts w:ascii="Calibri Light" w:eastAsia="Times New Roman" w:hAnsi="Calibri Light" w:cs="Times New Roman"/>
      <w:b/>
      <w:bCs/>
      <w:sz w:val="26"/>
      <w:szCs w:val="26"/>
    </w:rPr>
  </w:style>
  <w:style w:type="character" w:customStyle="1" w:styleId="Heading4Char">
    <w:name w:val="Heading 4 Char"/>
    <w:link w:val="Heading4"/>
    <w:semiHidden/>
    <w:rsid w:val="000C1213"/>
    <w:rPr>
      <w:rFonts w:ascii="Calibri" w:eastAsia="Times New Roman" w:hAnsi="Calibri" w:cs="Times New Roman"/>
      <w:b/>
      <w:bCs/>
      <w:sz w:val="28"/>
      <w:szCs w:val="28"/>
    </w:rPr>
  </w:style>
  <w:style w:type="character" w:styleId="Strong">
    <w:name w:val="Strong"/>
    <w:uiPriority w:val="22"/>
    <w:qFormat/>
    <w:rsid w:val="00E5149D"/>
    <w:rPr>
      <w:b/>
      <w:bCs/>
    </w:rPr>
  </w:style>
  <w:style w:type="table" w:styleId="TableGrid">
    <w:name w:val="Table Grid"/>
    <w:basedOn w:val="TableNormal"/>
    <w:uiPriority w:val="39"/>
    <w:rsid w:val="00117D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117DDA"/>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FooterChar">
    <w:name w:val="Footer Char"/>
    <w:basedOn w:val="DefaultParagraphFont"/>
    <w:link w:val="Footer"/>
    <w:uiPriority w:val="99"/>
    <w:rsid w:val="00F54F3F"/>
    <w:rPr>
      <w:b/>
    </w:rPr>
  </w:style>
  <w:style w:type="character" w:styleId="UnresolvedMention">
    <w:name w:val="Unresolved Mention"/>
    <w:basedOn w:val="DefaultParagraphFont"/>
    <w:uiPriority w:val="99"/>
    <w:semiHidden/>
    <w:unhideWhenUsed/>
    <w:rsid w:val="00500F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192667">
      <w:bodyDiv w:val="1"/>
      <w:marLeft w:val="0"/>
      <w:marRight w:val="0"/>
      <w:marTop w:val="0"/>
      <w:marBottom w:val="0"/>
      <w:divBdr>
        <w:top w:val="none" w:sz="0" w:space="0" w:color="auto"/>
        <w:left w:val="none" w:sz="0" w:space="0" w:color="auto"/>
        <w:bottom w:val="none" w:sz="0" w:space="0" w:color="auto"/>
        <w:right w:val="none" w:sz="0" w:space="0" w:color="auto"/>
      </w:divBdr>
    </w:div>
    <w:div w:id="482089332">
      <w:bodyDiv w:val="1"/>
      <w:marLeft w:val="0"/>
      <w:marRight w:val="0"/>
      <w:marTop w:val="0"/>
      <w:marBottom w:val="0"/>
      <w:divBdr>
        <w:top w:val="none" w:sz="0" w:space="0" w:color="auto"/>
        <w:left w:val="none" w:sz="0" w:space="0" w:color="auto"/>
        <w:bottom w:val="none" w:sz="0" w:space="0" w:color="auto"/>
        <w:right w:val="none" w:sz="0" w:space="0" w:color="auto"/>
      </w:divBdr>
    </w:div>
    <w:div w:id="559898461">
      <w:bodyDiv w:val="1"/>
      <w:marLeft w:val="0"/>
      <w:marRight w:val="0"/>
      <w:marTop w:val="0"/>
      <w:marBottom w:val="0"/>
      <w:divBdr>
        <w:top w:val="none" w:sz="0" w:space="0" w:color="auto"/>
        <w:left w:val="none" w:sz="0" w:space="0" w:color="auto"/>
        <w:bottom w:val="none" w:sz="0" w:space="0" w:color="auto"/>
        <w:right w:val="none" w:sz="0" w:space="0" w:color="auto"/>
      </w:divBdr>
    </w:div>
    <w:div w:id="615329881">
      <w:bodyDiv w:val="1"/>
      <w:marLeft w:val="0"/>
      <w:marRight w:val="0"/>
      <w:marTop w:val="0"/>
      <w:marBottom w:val="0"/>
      <w:divBdr>
        <w:top w:val="none" w:sz="0" w:space="0" w:color="auto"/>
        <w:left w:val="none" w:sz="0" w:space="0" w:color="auto"/>
        <w:bottom w:val="none" w:sz="0" w:space="0" w:color="auto"/>
        <w:right w:val="none" w:sz="0" w:space="0" w:color="auto"/>
      </w:divBdr>
    </w:div>
    <w:div w:id="894244610">
      <w:bodyDiv w:val="1"/>
      <w:marLeft w:val="0"/>
      <w:marRight w:val="0"/>
      <w:marTop w:val="0"/>
      <w:marBottom w:val="0"/>
      <w:divBdr>
        <w:top w:val="none" w:sz="0" w:space="0" w:color="auto"/>
        <w:left w:val="none" w:sz="0" w:space="0" w:color="auto"/>
        <w:bottom w:val="none" w:sz="0" w:space="0" w:color="auto"/>
        <w:right w:val="none" w:sz="0" w:space="0" w:color="auto"/>
      </w:divBdr>
    </w:div>
    <w:div w:id="916940413">
      <w:bodyDiv w:val="1"/>
      <w:marLeft w:val="0"/>
      <w:marRight w:val="0"/>
      <w:marTop w:val="0"/>
      <w:marBottom w:val="0"/>
      <w:divBdr>
        <w:top w:val="none" w:sz="0" w:space="0" w:color="auto"/>
        <w:left w:val="none" w:sz="0" w:space="0" w:color="auto"/>
        <w:bottom w:val="none" w:sz="0" w:space="0" w:color="auto"/>
        <w:right w:val="none" w:sz="0" w:space="0" w:color="auto"/>
      </w:divBdr>
    </w:div>
    <w:div w:id="996298762">
      <w:bodyDiv w:val="1"/>
      <w:marLeft w:val="0"/>
      <w:marRight w:val="0"/>
      <w:marTop w:val="0"/>
      <w:marBottom w:val="0"/>
      <w:divBdr>
        <w:top w:val="none" w:sz="0" w:space="0" w:color="auto"/>
        <w:left w:val="none" w:sz="0" w:space="0" w:color="auto"/>
        <w:bottom w:val="none" w:sz="0" w:space="0" w:color="auto"/>
        <w:right w:val="none" w:sz="0" w:space="0" w:color="auto"/>
      </w:divBdr>
    </w:div>
    <w:div w:id="1094589559">
      <w:bodyDiv w:val="1"/>
      <w:marLeft w:val="0"/>
      <w:marRight w:val="0"/>
      <w:marTop w:val="0"/>
      <w:marBottom w:val="0"/>
      <w:divBdr>
        <w:top w:val="none" w:sz="0" w:space="0" w:color="auto"/>
        <w:left w:val="none" w:sz="0" w:space="0" w:color="auto"/>
        <w:bottom w:val="none" w:sz="0" w:space="0" w:color="auto"/>
        <w:right w:val="none" w:sz="0" w:space="0" w:color="auto"/>
      </w:divBdr>
    </w:div>
    <w:div w:id="1213662475">
      <w:bodyDiv w:val="1"/>
      <w:marLeft w:val="0"/>
      <w:marRight w:val="0"/>
      <w:marTop w:val="0"/>
      <w:marBottom w:val="0"/>
      <w:divBdr>
        <w:top w:val="none" w:sz="0" w:space="0" w:color="auto"/>
        <w:left w:val="none" w:sz="0" w:space="0" w:color="auto"/>
        <w:bottom w:val="none" w:sz="0" w:space="0" w:color="auto"/>
        <w:right w:val="none" w:sz="0" w:space="0" w:color="auto"/>
      </w:divBdr>
    </w:div>
    <w:div w:id="1413702239">
      <w:bodyDiv w:val="1"/>
      <w:marLeft w:val="0"/>
      <w:marRight w:val="0"/>
      <w:marTop w:val="0"/>
      <w:marBottom w:val="0"/>
      <w:divBdr>
        <w:top w:val="none" w:sz="0" w:space="0" w:color="auto"/>
        <w:left w:val="none" w:sz="0" w:space="0" w:color="auto"/>
        <w:bottom w:val="none" w:sz="0" w:space="0" w:color="auto"/>
        <w:right w:val="none" w:sz="0" w:space="0" w:color="auto"/>
      </w:divBdr>
    </w:div>
    <w:div w:id="1518620707">
      <w:bodyDiv w:val="1"/>
      <w:marLeft w:val="0"/>
      <w:marRight w:val="0"/>
      <w:marTop w:val="0"/>
      <w:marBottom w:val="0"/>
      <w:divBdr>
        <w:top w:val="none" w:sz="0" w:space="0" w:color="auto"/>
        <w:left w:val="none" w:sz="0" w:space="0" w:color="auto"/>
        <w:bottom w:val="none" w:sz="0" w:space="0" w:color="auto"/>
        <w:right w:val="none" w:sz="0" w:space="0" w:color="auto"/>
      </w:divBdr>
    </w:div>
    <w:div w:id="1526747808">
      <w:bodyDiv w:val="1"/>
      <w:marLeft w:val="0"/>
      <w:marRight w:val="0"/>
      <w:marTop w:val="0"/>
      <w:marBottom w:val="0"/>
      <w:divBdr>
        <w:top w:val="none" w:sz="0" w:space="0" w:color="auto"/>
        <w:left w:val="none" w:sz="0" w:space="0" w:color="auto"/>
        <w:bottom w:val="none" w:sz="0" w:space="0" w:color="auto"/>
        <w:right w:val="none" w:sz="0" w:space="0" w:color="auto"/>
      </w:divBdr>
    </w:div>
    <w:div w:id="1583759785">
      <w:bodyDiv w:val="1"/>
      <w:marLeft w:val="0"/>
      <w:marRight w:val="0"/>
      <w:marTop w:val="0"/>
      <w:marBottom w:val="0"/>
      <w:divBdr>
        <w:top w:val="none" w:sz="0" w:space="0" w:color="auto"/>
        <w:left w:val="none" w:sz="0" w:space="0" w:color="auto"/>
        <w:bottom w:val="none" w:sz="0" w:space="0" w:color="auto"/>
        <w:right w:val="none" w:sz="0" w:space="0" w:color="auto"/>
      </w:divBdr>
    </w:div>
    <w:div w:id="1641301044">
      <w:bodyDiv w:val="1"/>
      <w:marLeft w:val="0"/>
      <w:marRight w:val="0"/>
      <w:marTop w:val="0"/>
      <w:marBottom w:val="0"/>
      <w:divBdr>
        <w:top w:val="none" w:sz="0" w:space="0" w:color="auto"/>
        <w:left w:val="none" w:sz="0" w:space="0" w:color="auto"/>
        <w:bottom w:val="none" w:sz="0" w:space="0" w:color="auto"/>
        <w:right w:val="none" w:sz="0" w:space="0" w:color="auto"/>
      </w:divBdr>
    </w:div>
    <w:div w:id="1742409468">
      <w:bodyDiv w:val="1"/>
      <w:marLeft w:val="0"/>
      <w:marRight w:val="0"/>
      <w:marTop w:val="0"/>
      <w:marBottom w:val="0"/>
      <w:divBdr>
        <w:top w:val="none" w:sz="0" w:space="0" w:color="auto"/>
        <w:left w:val="none" w:sz="0" w:space="0" w:color="auto"/>
        <w:bottom w:val="none" w:sz="0" w:space="0" w:color="auto"/>
        <w:right w:val="none" w:sz="0" w:space="0" w:color="auto"/>
      </w:divBdr>
    </w:div>
    <w:div w:id="1900481384">
      <w:bodyDiv w:val="1"/>
      <w:marLeft w:val="0"/>
      <w:marRight w:val="0"/>
      <w:marTop w:val="0"/>
      <w:marBottom w:val="0"/>
      <w:divBdr>
        <w:top w:val="none" w:sz="0" w:space="0" w:color="auto"/>
        <w:left w:val="none" w:sz="0" w:space="0" w:color="auto"/>
        <w:bottom w:val="none" w:sz="0" w:space="0" w:color="auto"/>
        <w:right w:val="none" w:sz="0" w:space="0" w:color="auto"/>
      </w:divBdr>
    </w:div>
    <w:div w:id="1955480333">
      <w:bodyDiv w:val="1"/>
      <w:marLeft w:val="0"/>
      <w:marRight w:val="0"/>
      <w:marTop w:val="0"/>
      <w:marBottom w:val="0"/>
      <w:divBdr>
        <w:top w:val="none" w:sz="0" w:space="0" w:color="auto"/>
        <w:left w:val="none" w:sz="0" w:space="0" w:color="auto"/>
        <w:bottom w:val="none" w:sz="0" w:space="0" w:color="auto"/>
        <w:right w:val="none" w:sz="0" w:space="0" w:color="auto"/>
      </w:divBdr>
    </w:div>
    <w:div w:id="1969821323">
      <w:bodyDiv w:val="1"/>
      <w:marLeft w:val="0"/>
      <w:marRight w:val="0"/>
      <w:marTop w:val="0"/>
      <w:marBottom w:val="0"/>
      <w:divBdr>
        <w:top w:val="none" w:sz="0" w:space="0" w:color="auto"/>
        <w:left w:val="none" w:sz="0" w:space="0" w:color="auto"/>
        <w:bottom w:val="none" w:sz="0" w:space="0" w:color="auto"/>
        <w:right w:val="none" w:sz="0" w:space="0" w:color="auto"/>
      </w:divBdr>
    </w:div>
    <w:div w:id="1982148614">
      <w:bodyDiv w:val="1"/>
      <w:marLeft w:val="0"/>
      <w:marRight w:val="0"/>
      <w:marTop w:val="0"/>
      <w:marBottom w:val="0"/>
      <w:divBdr>
        <w:top w:val="none" w:sz="0" w:space="0" w:color="auto"/>
        <w:left w:val="none" w:sz="0" w:space="0" w:color="auto"/>
        <w:bottom w:val="none" w:sz="0" w:space="0" w:color="auto"/>
        <w:right w:val="none" w:sz="0" w:space="0" w:color="auto"/>
      </w:divBdr>
    </w:div>
    <w:div w:id="2082366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ktxgroup.sharepoint.com/sites/USEngineering/" TargetMode="External"/><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6.png"/><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theme" Target="theme/theme1.xml"/><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10</Pages>
  <Words>557</Words>
  <Characters>3177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Use to format ATD Procedures</vt:lpstr>
    </vt:vector>
  </TitlesOfParts>
  <Company>VANCE AFB</Company>
  <LinksUpToDate>false</LinksUpToDate>
  <CharactersWithSpaces>3727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Implementation Plan Change Management (ECR)</dc:title>
  <dc:subject/>
  <dc:creator>KTX Toccoa, Process Development</dc:creator>
  <cp:keywords/>
  <cp:lastModifiedBy>Demmler, Christoph</cp:lastModifiedBy>
  <cp:revision>4</cp:revision>
  <cp:lastPrinted>2024-10-25T19:59:00Z</cp:lastPrinted>
  <dcterms:created xsi:type="dcterms:W3CDTF">2025-03-31T17:21:00Z</dcterms:created>
  <dcterms:modified xsi:type="dcterms:W3CDTF">2025-03-31T17:56:00Z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l_Department">
    <vt:lpwstr/>
  </property>
  <property fmtid="{D5CDD505-2E9C-101B-9397-08002B2CF9AE}" pid="3" name="POC email">
    <vt:lpwstr/>
  </property>
  <property fmtid="{D5CDD505-2E9C-101B-9397-08002B2CF9AE}" pid="4" name="_Status">
    <vt:lpwstr>Not Started</vt:lpwstr>
  </property>
  <property fmtid="{D5CDD505-2E9C-101B-9397-08002B2CF9AE}" pid="5" name="ContentType">
    <vt:lpwstr>Document</vt:lpwstr>
  </property>
  <property fmtid="{D5CDD505-2E9C-101B-9397-08002B2CF9AE}" pid="6" name="POC">
    <vt:lpwstr/>
  </property>
</Properties>
</file>