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00" w:after="80"/>
      </w:pPr>
      <w:r>
        <w:rPr>
          <w:b/>
          <w:sz w:val="24"/>
        </w:rPr>
        <w:t>Purpose / Scope:</w:t>
      </w:r>
    </w:p>
    <w:p>
      <w:pPr>
        <w:spacing w:before="0" w:after="80"/>
      </w:pPr>
      <w:r>
        <w:rPr>
          <w:b w:val="0"/>
          <w:sz w:val="22"/>
        </w:rPr>
        <w:t>Timing and action plan to run project planning with the SEP matrix (maturity gates RG1-RG7) in PLM2 for all customer projects from RFQ to series. Standards: IATF 16949 8.3.2, 8.3.2.1, 8.3.4, 8.3.4.4; VDA MLA; VDA 6.3 P2-P4.</w:t>
      </w:r>
    </w:p>
    <w:p>
      <w:pPr>
        <w:keepNext/>
        <w:spacing w:before="200" w:after="80"/>
      </w:pPr>
      <w:r>
        <w:rPr>
          <w:b/>
          <w:sz w:val="24"/>
        </w:rPr>
        <w:t>Owner / involved:</w:t>
      </w:r>
    </w:p>
    <w:p>
      <w:pPr>
        <w:pStyle w:val="ListParagraph"/>
        <w:numPr>
          <w:ilvl w:val="0"/>
          <w:numId w:val="52"/>
        </w:numPr>
        <w:spacing w:before="0" w:after="40"/>
      </w:pPr>
      <w:r>
        <w:rPr>
          <w:b w:val="0"/>
          <w:sz w:val="22"/>
        </w:rPr>
        <w:t>C. Demmler, Process Development: owner of PLM2 and of every action in this plan, author, keeps it current</w:t>
      </w:r>
    </w:p>
    <w:p>
      <w:pPr>
        <w:pStyle w:val="ListParagraph"/>
        <w:numPr>
          <w:ilvl w:val="0"/>
          <w:numId w:val="52"/>
        </w:numPr>
        <w:spacing w:before="0" w:after="40"/>
      </w:pPr>
      <w:r>
        <w:rPr>
          <w:b w:val="0"/>
          <w:sz w:val="22"/>
        </w:rPr>
        <w:t>Program Management and APQP: support (specification, tests, pilots on the running projects, evidence)</w:t>
      </w:r>
    </w:p>
    <w:p>
      <w:pPr>
        <w:pStyle w:val="ListParagraph"/>
        <w:numPr>
          <w:ilvl w:val="0"/>
          <w:numId w:val="52"/>
        </w:numPr>
        <w:spacing w:before="0" w:after="40"/>
      </w:pPr>
      <w:r>
        <w:rPr>
          <w:b w:val="0"/>
          <w:sz w:val="22"/>
        </w:rPr>
        <w:t>Departments named per action (IT, Quality, Development, Tooling, HR, department heads): support where their part is needed</w:t>
      </w:r>
    </w:p>
    <w:p>
      <w:pPr>
        <w:pStyle w:val="ListParagraph"/>
        <w:numPr>
          <w:ilvl w:val="0"/>
          <w:numId w:val="52"/>
        </w:numPr>
        <w:spacing w:before="0" w:after="40"/>
      </w:pPr>
      <w:r>
        <w:rPr>
          <w:b w:val="0"/>
          <w:sz w:val="22"/>
        </w:rPr>
        <w:t>Plant Management: monthly status review</w:t>
      </w:r>
    </w:p>
    <w:p>
      <w:pPr>
        <w:keepNext/>
        <w:spacing w:before="200" w:after="80"/>
      </w:pPr>
      <w:r>
        <w:rPr>
          <w:b/>
          <w:sz w:val="24"/>
        </w:rPr>
        <w:t>1. Summary</w:t>
      </w:r>
    </w:p>
    <w:p>
      <w:pPr>
        <w:spacing w:before="0" w:after="120"/>
      </w:pPr>
      <w:r>
        <w:rPr>
          <w:b w:val="0"/>
          <w:sz w:val="22"/>
        </w:rPr>
        <w:t xml:space="preserve">The SEP matrix is </w:t>
      </w:r>
      <w:r>
        <w:rPr>
          <w:b/>
          <w:sz w:val="22"/>
        </w:rPr>
        <w:t>fully in PLM2</w:t>
      </w:r>
      <w:r>
        <w:rPr>
          <w:b w:val="0"/>
          <w:sz w:val="22"/>
        </w:rPr>
        <w:t xml:space="preserve">: seven maturity gates with 232 items, the same content as the group template GB-DP-0001, created for every project. What remains is </w:t>
      </w:r>
      <w:r>
        <w:rPr>
          <w:b/>
          <w:sz w:val="22"/>
        </w:rPr>
        <w:t>uploading the evidence</w:t>
      </w:r>
      <w:r>
        <w:rPr>
          <w:b w:val="0"/>
          <w:sz w:val="22"/>
        </w:rPr>
        <w:t xml:space="preserve"> of the running projects. Project </w:t>
      </w:r>
      <w:r>
        <w:rPr>
          <w:b/>
          <w:sz w:val="22"/>
        </w:rPr>
        <w:t>1994 (Brose Seat Trim, nominated 09/21/2026)</w:t>
      </w:r>
      <w:r>
        <w:rPr>
          <w:b w:val="0"/>
          <w:sz w:val="22"/>
        </w:rPr>
        <w:t xml:space="preserve"> is the lead project: it runs every gate in PLM2 up to SOP, and the rules tighten with it. From </w:t>
      </w:r>
      <w:r>
        <w:rPr>
          <w:b/>
          <w:sz w:val="22"/>
        </w:rPr>
        <w:t>01/18/2027</w:t>
      </w:r>
      <w:r>
        <w:rPr>
          <w:b w:val="0"/>
          <w:sz w:val="22"/>
        </w:rPr>
        <w:t xml:space="preserve"> new projects start in PLM2 only.</w:t>
      </w:r>
    </w:p>
    <w:p>
      <w:pPr>
        <w:keepNext/>
        <w:spacing w:before="200" w:after="80"/>
      </w:pPr>
      <w:r>
        <w:rPr>
          <w:b/>
          <w:sz w:val="24"/>
        </w:rPr>
        <w:t>2. Requirements and how they are met</w:t>
      </w:r>
    </w:p>
    <w:tbl>
      <w:tblPr>
        <w:tblStyle w:val="TableGrid"/>
        <w:tblW w:type="auto" w:w="0"/>
        <w:jc w:val="center"/>
        <w:tblLayout w:type="fixed"/>
        <w:tblLook w:firstColumn="1" w:firstRow="1" w:lastColumn="0" w:lastRow="0" w:noHBand="0" w:noVBand="1" w:val="04A0"/>
      </w:tblPr>
      <w:tblGrid>
        <w:gridCol w:w="2304"/>
        <w:gridCol w:w="3960"/>
        <w:gridCol w:w="3240"/>
      </w:tblGrid>
      <w:tr>
        <w:trPr>
          <w:cantSplit/>
          <w:tblHeader/>
        </w:trPr>
        <w:tc>
          <w:tcPr>
            <w:tcW w:type="dxa" w:w="2304"/>
            <w:shd w:val="clear" w:color="auto" w:fill="D9D9D9"/>
          </w:tcPr>
          <w:p>
            <w:pPr>
              <w:spacing w:before="20" w:after="20"/>
            </w:pPr>
            <w:r>
              <w:rPr>
                <w:b/>
                <w:sz w:val="18"/>
              </w:rPr>
              <w:t>Requirement</w:t>
            </w:r>
          </w:p>
        </w:tc>
        <w:tc>
          <w:tcPr>
            <w:tcW w:type="dxa" w:w="3960"/>
            <w:shd w:val="clear" w:color="auto" w:fill="D9D9D9"/>
          </w:tcPr>
          <w:p>
            <w:pPr>
              <w:spacing w:before="20" w:after="20"/>
            </w:pPr>
            <w:r>
              <w:rPr>
                <w:b/>
                <w:sz w:val="18"/>
              </w:rPr>
              <w:t>How it is met</w:t>
            </w:r>
          </w:p>
        </w:tc>
        <w:tc>
          <w:tcPr>
            <w:tcW w:type="dxa" w:w="3240"/>
            <w:shd w:val="clear" w:color="auto" w:fill="D9D9D9"/>
          </w:tcPr>
          <w:p>
            <w:pPr>
              <w:spacing w:before="20" w:after="20"/>
            </w:pPr>
            <w:r>
              <w:rPr>
                <w:b/>
                <w:sz w:val="18"/>
              </w:rPr>
              <w:t>What we show</w:t>
            </w:r>
          </w:p>
        </w:tc>
      </w:tr>
      <w:tr>
        <w:trPr>
          <w:cantSplit/>
        </w:trPr>
        <w:tc>
          <w:tcPr>
            <w:tcW w:type="dxa" w:w="2304"/>
          </w:tcPr>
          <w:p>
            <w:pPr>
              <w:spacing w:before="20" w:after="20"/>
            </w:pPr>
            <w:r>
              <w:rPr>
                <w:b w:val="0"/>
                <w:sz w:val="18"/>
              </w:rPr>
              <w:t>Design and development planning, multidisciplinary (8.3.2, 8.3.2.1)</w:t>
            </w:r>
          </w:p>
        </w:tc>
        <w:tc>
          <w:tcPr>
            <w:tcW w:type="dxa" w:w="3960"/>
          </w:tcPr>
          <w:p>
            <w:pPr>
              <w:spacing w:before="20" w:after="20"/>
            </w:pPr>
            <w:r>
              <w:rPr>
                <w:b w:val="0"/>
                <w:sz w:val="18"/>
              </w:rPr>
              <w:t>SEP matrix per project; every item has a responsible function and a status (open, done, not applicable)</w:t>
            </w:r>
          </w:p>
        </w:tc>
        <w:tc>
          <w:tcPr>
            <w:tcW w:type="dxa" w:w="3240"/>
          </w:tcPr>
          <w:p>
            <w:pPr>
              <w:spacing w:before="20" w:after="20"/>
            </w:pPr>
            <w:r>
              <w:rPr>
                <w:b w:val="0"/>
                <w:sz w:val="18"/>
              </w:rPr>
              <w:t>SEP tab of project 1994</w:t>
            </w:r>
          </w:p>
        </w:tc>
      </w:tr>
      <w:tr>
        <w:trPr>
          <w:cantSplit/>
        </w:trPr>
        <w:tc>
          <w:tcPr>
            <w:tcW w:type="dxa" w:w="2304"/>
          </w:tcPr>
          <w:p>
            <w:pPr>
              <w:spacing w:before="20" w:after="20"/>
            </w:pPr>
            <w:r>
              <w:rPr>
                <w:b w:val="0"/>
                <w:sz w:val="18"/>
              </w:rPr>
              <w:t>Monitoring at defined stages (8.3.4)</w:t>
            </w:r>
          </w:p>
        </w:tc>
        <w:tc>
          <w:tcPr>
            <w:tcW w:type="dxa" w:w="3960"/>
          </w:tcPr>
          <w:p>
            <w:pPr>
              <w:spacing w:before="20" w:after="20"/>
            </w:pPr>
            <w:r>
              <w:rPr>
                <w:b w:val="0"/>
                <w:sz w:val="18"/>
              </w:rPr>
              <w:t>Gates close in order; closing needs PM and Quality sign-off and locks the items</w:t>
            </w:r>
          </w:p>
        </w:tc>
        <w:tc>
          <w:tcPr>
            <w:tcW w:type="dxa" w:w="3240"/>
          </w:tcPr>
          <w:p>
            <w:pPr>
              <w:spacing w:before="20" w:after="20"/>
            </w:pPr>
            <w:r>
              <w:rPr>
                <w:b w:val="0"/>
                <w:sz w:val="18"/>
              </w:rPr>
              <w:t>Gate status, sign-off record</w:t>
            </w:r>
          </w:p>
        </w:tc>
      </w:tr>
      <w:tr>
        <w:trPr>
          <w:cantSplit/>
        </w:trPr>
        <w:tc>
          <w:tcPr>
            <w:tcW w:type="dxa" w:w="2304"/>
          </w:tcPr>
          <w:p>
            <w:pPr>
              <w:spacing w:before="20" w:after="20"/>
            </w:pPr>
            <w:r>
              <w:rPr>
                <w:b w:val="0"/>
                <w:sz w:val="18"/>
              </w:rPr>
              <w:t>Product approval process (8.3.4.4)</w:t>
            </w:r>
          </w:p>
        </w:tc>
        <w:tc>
          <w:tcPr>
            <w:tcW w:type="dxa" w:w="3960"/>
          </w:tcPr>
          <w:p>
            <w:pPr>
              <w:spacing w:before="20" w:after="20"/>
            </w:pPr>
            <w:r>
              <w:rPr>
                <w:b w:val="0"/>
                <w:sz w:val="18"/>
              </w:rPr>
              <w:t>Pre-series gate B/RG6 and series gate A/RG7 carry the approval items</w:t>
            </w:r>
          </w:p>
        </w:tc>
        <w:tc>
          <w:tcPr>
            <w:tcW w:type="dxa" w:w="3240"/>
          </w:tcPr>
          <w:p>
            <w:pPr>
              <w:spacing w:before="20" w:after="20"/>
            </w:pPr>
            <w:r>
              <w:rPr>
                <w:b w:val="0"/>
                <w:sz w:val="18"/>
              </w:rPr>
              <w:t>Gates RG6 / RG7</w:t>
            </w:r>
          </w:p>
        </w:tc>
      </w:tr>
      <w:tr>
        <w:trPr>
          <w:cantSplit/>
        </w:trPr>
        <w:tc>
          <w:tcPr>
            <w:tcW w:type="dxa" w:w="2304"/>
          </w:tcPr>
          <w:p>
            <w:pPr>
              <w:spacing w:before="20" w:after="20"/>
            </w:pPr>
            <w:r>
              <w:rPr>
                <w:b w:val="0"/>
                <w:sz w:val="18"/>
              </w:rPr>
              <w:t>Documented evidence</w:t>
            </w:r>
          </w:p>
        </w:tc>
        <w:tc>
          <w:tcPr>
            <w:tcW w:type="dxa" w:w="3960"/>
          </w:tcPr>
          <w:p>
            <w:pPr>
              <w:spacing w:before="20" w:after="20"/>
            </w:pPr>
            <w:r>
              <w:rPr>
                <w:b w:val="0"/>
                <w:sz w:val="18"/>
              </w:rPr>
              <w:t>Files attached per SEP item; every item change audited field by field</w:t>
            </w:r>
          </w:p>
        </w:tc>
        <w:tc>
          <w:tcPr>
            <w:tcW w:type="dxa" w:w="3240"/>
          </w:tcPr>
          <w:p>
            <w:pPr>
              <w:spacing w:before="20" w:after="20"/>
            </w:pPr>
            <w:r>
              <w:rPr>
                <w:b w:val="0"/>
                <w:sz w:val="18"/>
              </w:rPr>
              <w:t>Documents tab, item history</w:t>
            </w:r>
          </w:p>
        </w:tc>
      </w:tr>
      <w:tr>
        <w:trPr>
          <w:cantSplit/>
        </w:trPr>
        <w:tc>
          <w:tcPr>
            <w:tcW w:type="dxa" w:w="2304"/>
          </w:tcPr>
          <w:p>
            <w:pPr>
              <w:spacing w:before="20" w:after="20"/>
            </w:pPr>
            <w:r>
              <w:rPr>
                <w:b w:val="0"/>
                <w:sz w:val="18"/>
              </w:rPr>
              <w:t>Maturity level logic (VDA MLA)</w:t>
            </w:r>
          </w:p>
        </w:tc>
        <w:tc>
          <w:tcPr>
            <w:tcW w:type="dxa" w:w="3960"/>
          </w:tcPr>
          <w:p>
            <w:pPr>
              <w:spacing w:before="20" w:after="20"/>
            </w:pPr>
            <w:r>
              <w:rPr>
                <w:b w:val="0"/>
                <w:sz w:val="18"/>
              </w:rPr>
              <w:t>Gates K0/RG1 to A/RG7 follow the maturity levels</w:t>
            </w:r>
          </w:p>
        </w:tc>
        <w:tc>
          <w:tcPr>
            <w:tcW w:type="dxa" w:w="3240"/>
          </w:tcPr>
          <w:p>
            <w:pPr>
              <w:spacing w:before="20" w:after="20"/>
            </w:pPr>
            <w:r>
              <w:rPr>
                <w:b w:val="0"/>
                <w:sz w:val="18"/>
              </w:rPr>
              <w:t>SEP matrix</w:t>
            </w:r>
          </w:p>
        </w:tc>
      </w:tr>
    </w:tbl>
    <w:p/>
    <w:p>
      <w:pPr>
        <w:keepNext/>
        <w:spacing w:before="200" w:after="80"/>
      </w:pPr>
      <w:r>
        <w:rPr>
          <w:b/>
          <w:sz w:val="24"/>
        </w:rPr>
        <w:t>3. Process flow</w:t>
      </w:r>
    </w:p>
    <w:p>
      <w:pPr>
        <w:spacing w:before="40" w:after="120"/>
        <w:jc w:val="center"/>
      </w:pPr>
      <w:r>
        <w:drawing>
          <wp:inline xmlns:a="http://schemas.openxmlformats.org/drawingml/2006/main" xmlns:pic="http://schemas.openxmlformats.org/drawingml/2006/picture">
            <wp:extent cx="5486400" cy="2435682"/>
            <wp:docPr id="1" name="Picture 1"/>
            <wp:cNvGraphicFramePr>
              <a:graphicFrameLocks noChangeAspect="1"/>
            </wp:cNvGraphicFramePr>
            <a:graphic>
              <a:graphicData uri="http://schemas.openxmlformats.org/drawingml/2006/picture">
                <pic:pic>
                  <pic:nvPicPr>
                    <pic:cNvPr id="0" name="flow_sep.png"/>
                    <pic:cNvPicPr/>
                  </pic:nvPicPr>
                  <pic:blipFill>
                    <a:blip r:embed="rId28"/>
                    <a:stretch>
                      <a:fillRect/>
                    </a:stretch>
                  </pic:blipFill>
                  <pic:spPr>
                    <a:xfrm>
                      <a:off x="0" y="0"/>
                      <a:ext cx="5486400" cy="2435682"/>
                    </a:xfrm>
                    <a:prstGeom prst="rect"/>
                  </pic:spPr>
                </pic:pic>
              </a:graphicData>
            </a:graphic>
          </wp:inline>
        </w:drawing>
      </w:r>
    </w:p>
    <w:p>
      <w:pPr>
        <w:pStyle w:val="ListParagraph"/>
        <w:numPr>
          <w:ilvl w:val="0"/>
          <w:numId w:val="52"/>
        </w:numPr>
        <w:spacing w:before="0" w:after="40"/>
      </w:pPr>
      <w:r>
        <w:rPr>
          <w:b w:val="0"/>
          <w:sz w:val="22"/>
        </w:rPr>
        <w:t>A gate opens only after the previous one is closed. Items are done or marked not applicable with a reason; nothing is skipped silently.</w:t>
      </w:r>
    </w:p>
    <w:p>
      <w:pPr>
        <w:pStyle w:val="ListParagraph"/>
        <w:numPr>
          <w:ilvl w:val="0"/>
          <w:numId w:val="52"/>
        </w:numPr>
        <w:spacing w:before="0" w:after="40"/>
      </w:pPr>
      <w:r>
        <w:rPr>
          <w:b w:val="0"/>
          <w:sz w:val="22"/>
        </w:rPr>
        <w:t>Lessons learned are checked at RG1 and RG2 (TOC-PLM-04); evidence is filed on the item it proves.</w:t>
      </w:r>
    </w:p>
    <w:p>
      <w:pPr>
        <w:pStyle w:val="ListParagraph"/>
        <w:numPr>
          <w:ilvl w:val="0"/>
          <w:numId w:val="52"/>
        </w:numPr>
        <w:spacing w:before="0" w:after="40"/>
      </w:pPr>
      <w:r>
        <w:rPr>
          <w:b w:val="0"/>
          <w:sz w:val="22"/>
        </w:rPr>
        <w:t>At SOP (A/RG7) the project hands over to series: from then on every change runs through TOC-PLM-01.</w:t>
      </w:r>
    </w:p>
    <w:p>
      <w:pPr>
        <w:keepNext/>
        <w:spacing w:before="200" w:after="80"/>
      </w:pPr>
      <w:r>
        <w:rPr>
          <w:b/>
          <w:sz w:val="24"/>
        </w:rPr>
        <w:t>4. Project overview</w:t>
      </w:r>
    </w:p>
    <w:p>
      <w:pPr>
        <w:spacing w:before="0" w:after="120"/>
      </w:pPr>
      <w:r>
        <w:rPr>
          <w:b w:val="0"/>
          <w:sz w:val="22"/>
        </w:rPr>
        <w:t xml:space="preserve">A </w:t>
      </w:r>
      <w:r>
        <w:rPr>
          <w:b/>
          <w:sz w:val="22"/>
        </w:rPr>
        <w:t>project overview page</w:t>
      </w:r>
      <w:r>
        <w:rPr>
          <w:b w:val="0"/>
          <w:sz w:val="22"/>
        </w:rPr>
        <w:t xml:space="preserve"> (action S1) shows every active project on one screen: current gate, gate target date, items open and overdue, open changes and open lessons. It is the page used in the monthly review and shown first in an audit. SEP items with an owner and due date appear in the owner's task list like change tasks (TOC-PLM-01, section 4).</w:t>
      </w:r>
    </w:p>
    <w:p>
      <w:pPr>
        <w:keepNext/>
        <w:spacing w:before="200" w:after="80"/>
      </w:pPr>
      <w:r>
        <w:rPr>
          <w:b/>
          <w:sz w:val="24"/>
        </w:rPr>
        <w:t>5. Where we stand today</w:t>
      </w:r>
    </w:p>
    <w:tbl>
      <w:tblPr>
        <w:tblStyle w:val="TableGrid"/>
        <w:tblW w:type="auto" w:w="0"/>
        <w:jc w:val="center"/>
        <w:tblLayout w:type="fixed"/>
        <w:tblLook w:firstColumn="1" w:firstRow="1" w:lastColumn="0" w:lastRow="0" w:noHBand="0" w:noVBand="1" w:val="04A0"/>
      </w:tblPr>
      <w:tblGrid>
        <w:gridCol w:w="3311"/>
        <w:gridCol w:w="1584"/>
        <w:gridCol w:w="4608"/>
      </w:tblGrid>
      <w:tr>
        <w:trPr>
          <w:cantSplit/>
          <w:tblHeader/>
        </w:trPr>
        <w:tc>
          <w:tcPr>
            <w:tcW w:type="dxa" w:w="3312"/>
            <w:shd w:val="clear" w:color="auto" w:fill="D9D9D9"/>
          </w:tcPr>
          <w:p>
            <w:pPr>
              <w:spacing w:before="20" w:after="20"/>
            </w:pPr>
            <w:r>
              <w:rPr>
                <w:b/>
                <w:sz w:val="18"/>
              </w:rPr>
              <w:t>Element</w:t>
            </w:r>
          </w:p>
        </w:tc>
        <w:tc>
          <w:tcPr>
            <w:tcW w:type="dxa" w:w="1584"/>
            <w:shd w:val="clear" w:color="auto" w:fill="D9D9D9"/>
          </w:tcPr>
          <w:p>
            <w:pPr>
              <w:spacing w:before="20" w:after="20"/>
            </w:pPr>
            <w:r>
              <w:rPr>
                <w:b/>
                <w:sz w:val="18"/>
              </w:rPr>
              <w:t>Status</w:t>
            </w:r>
          </w:p>
        </w:tc>
        <w:tc>
          <w:tcPr>
            <w:tcW w:type="dxa" w:w="4608"/>
            <w:shd w:val="clear" w:color="auto" w:fill="D9D9D9"/>
          </w:tcPr>
          <w:p>
            <w:pPr>
              <w:spacing w:before="20" w:after="20"/>
            </w:pPr>
            <w:r>
              <w:rPr>
                <w:b/>
                <w:sz w:val="18"/>
              </w:rPr>
              <w:t>Evidence in PLM2</w:t>
            </w:r>
          </w:p>
        </w:tc>
      </w:tr>
      <w:tr>
        <w:trPr>
          <w:cantSplit/>
        </w:trPr>
        <w:tc>
          <w:tcPr>
            <w:tcW w:type="dxa" w:w="3312"/>
          </w:tcPr>
          <w:p>
            <w:pPr>
              <w:spacing w:before="20" w:after="20"/>
            </w:pPr>
            <w:r>
              <w:rPr>
                <w:b w:val="0"/>
                <w:sz w:val="18"/>
              </w:rPr>
              <w:t>SEP matrix, 7 gates / 232 items per project</w:t>
            </w:r>
          </w:p>
        </w:tc>
        <w:tc>
          <w:tcPr>
            <w:tcW w:type="dxa" w:w="1584"/>
          </w:tcPr>
          <w:p>
            <w:pPr>
              <w:spacing w:before="20" w:after="20"/>
            </w:pPr>
            <w:r>
              <w:rPr>
                <w:b w:val="0"/>
                <w:sz w:val="18"/>
              </w:rPr>
              <w:t>Built</w:t>
            </w:r>
          </w:p>
        </w:tc>
        <w:tc>
          <w:tcPr>
            <w:tcW w:type="dxa" w:w="4608"/>
          </w:tcPr>
          <w:p>
            <w:pPr>
              <w:spacing w:before="20" w:after="20"/>
            </w:pPr>
            <w:r>
              <w:rPr>
                <w:b w:val="0"/>
                <w:sz w:val="18"/>
              </w:rPr>
              <w:t>Projects 1864, 1994, 2141, 2277</w:t>
            </w:r>
          </w:p>
        </w:tc>
      </w:tr>
      <w:tr>
        <w:trPr>
          <w:cantSplit/>
        </w:trPr>
        <w:tc>
          <w:tcPr>
            <w:tcW w:type="dxa" w:w="3312"/>
          </w:tcPr>
          <w:p>
            <w:pPr>
              <w:spacing w:before="20" w:after="20"/>
            </w:pPr>
            <w:r>
              <w:rPr>
                <w:b w:val="0"/>
                <w:sz w:val="18"/>
              </w:rPr>
              <w:t>Dual sign-off and item lock at gate close</w:t>
            </w:r>
          </w:p>
        </w:tc>
        <w:tc>
          <w:tcPr>
            <w:tcW w:type="dxa" w:w="1584"/>
          </w:tcPr>
          <w:p>
            <w:pPr>
              <w:spacing w:before="20" w:after="20"/>
            </w:pPr>
            <w:r>
              <w:rPr>
                <w:b w:val="0"/>
                <w:sz w:val="18"/>
              </w:rPr>
              <w:t>Built</w:t>
            </w:r>
          </w:p>
        </w:tc>
        <w:tc>
          <w:tcPr>
            <w:tcW w:type="dxa" w:w="4608"/>
          </w:tcPr>
          <w:p>
            <w:pPr>
              <w:spacing w:before="20" w:after="20"/>
            </w:pPr>
            <w:r>
              <w:rPr>
                <w:b w:val="0"/>
                <w:sz w:val="18"/>
              </w:rPr>
              <w:t>Gate close dialog</w:t>
            </w:r>
          </w:p>
        </w:tc>
      </w:tr>
      <w:tr>
        <w:trPr>
          <w:cantSplit/>
        </w:trPr>
        <w:tc>
          <w:tcPr>
            <w:tcW w:type="dxa" w:w="3312"/>
          </w:tcPr>
          <w:p>
            <w:pPr>
              <w:spacing w:before="20" w:after="20"/>
            </w:pPr>
            <w:r>
              <w:rPr>
                <w:b w:val="0"/>
                <w:sz w:val="18"/>
              </w:rPr>
              <w:t>File evidence per item, field audit</w:t>
            </w:r>
          </w:p>
        </w:tc>
        <w:tc>
          <w:tcPr>
            <w:tcW w:type="dxa" w:w="1584"/>
          </w:tcPr>
          <w:p>
            <w:pPr>
              <w:spacing w:before="20" w:after="20"/>
            </w:pPr>
            <w:r>
              <w:rPr>
                <w:b w:val="0"/>
                <w:sz w:val="18"/>
              </w:rPr>
              <w:t>Built</w:t>
            </w:r>
          </w:p>
        </w:tc>
        <w:tc>
          <w:tcPr>
            <w:tcW w:type="dxa" w:w="4608"/>
          </w:tcPr>
          <w:p>
            <w:pPr>
              <w:spacing w:before="20" w:after="20"/>
            </w:pPr>
            <w:r>
              <w:rPr>
                <w:b w:val="0"/>
                <w:sz w:val="18"/>
              </w:rPr>
              <w:t>Documents tab, item history</w:t>
            </w:r>
          </w:p>
        </w:tc>
      </w:tr>
      <w:tr>
        <w:trPr>
          <w:cantSplit/>
        </w:trPr>
        <w:tc>
          <w:tcPr>
            <w:tcW w:type="dxa" w:w="3312"/>
          </w:tcPr>
          <w:p>
            <w:pPr>
              <w:spacing w:before="20" w:after="20"/>
            </w:pPr>
            <w:r>
              <w:rPr>
                <w:b w:val="0"/>
                <w:sz w:val="18"/>
              </w:rPr>
              <w:t>Standard forms (risk assessment, handover, legitimisation, contact list, LOP, deviation agreement)</w:t>
            </w:r>
          </w:p>
        </w:tc>
        <w:tc>
          <w:tcPr>
            <w:tcW w:type="dxa" w:w="1584"/>
          </w:tcPr>
          <w:p>
            <w:pPr>
              <w:spacing w:before="20" w:after="20"/>
            </w:pPr>
            <w:r>
              <w:rPr>
                <w:b w:val="0"/>
                <w:sz w:val="18"/>
              </w:rPr>
              <w:t>Built</w:t>
            </w:r>
          </w:p>
        </w:tc>
        <w:tc>
          <w:tcPr>
            <w:tcW w:type="dxa" w:w="4608"/>
          </w:tcPr>
          <w:p>
            <w:pPr>
              <w:spacing w:before="20" w:after="20"/>
            </w:pPr>
            <w:r>
              <w:rPr>
                <w:b w:val="0"/>
                <w:sz w:val="18"/>
              </w:rPr>
              <w:t>Forms tab</w:t>
            </w:r>
          </w:p>
        </w:tc>
      </w:tr>
      <w:tr>
        <w:trPr>
          <w:cantSplit/>
        </w:trPr>
        <w:tc>
          <w:tcPr>
            <w:tcW w:type="dxa" w:w="3312"/>
          </w:tcPr>
          <w:p>
            <w:pPr>
              <w:spacing w:before="20" w:after="20"/>
            </w:pPr>
            <w:r>
              <w:rPr>
                <w:b w:val="0"/>
                <w:sz w:val="18"/>
              </w:rPr>
              <w:t>Evidence of running projects uploaded</w:t>
            </w:r>
          </w:p>
        </w:tc>
        <w:tc>
          <w:tcPr>
            <w:tcW w:type="dxa" w:w="1584"/>
          </w:tcPr>
          <w:p>
            <w:pPr>
              <w:spacing w:before="20" w:after="20"/>
            </w:pPr>
            <w:r>
              <w:rPr>
                <w:b/>
                <w:sz w:val="18"/>
              </w:rPr>
              <w:t>In progress</w:t>
            </w:r>
          </w:p>
        </w:tc>
        <w:tc>
          <w:tcPr>
            <w:tcW w:type="dxa" w:w="4608"/>
          </w:tcPr>
          <w:p>
            <w:pPr>
              <w:spacing w:before="20" w:after="20"/>
            </w:pPr>
            <w:r>
              <w:rPr>
                <w:b w:val="0"/>
                <w:sz w:val="18"/>
              </w:rPr>
              <w:t>Actions D1-D2</w:t>
            </w:r>
          </w:p>
        </w:tc>
      </w:tr>
      <w:tr>
        <w:trPr>
          <w:cantSplit/>
        </w:trPr>
        <w:tc>
          <w:tcPr>
            <w:tcW w:type="dxa" w:w="3312"/>
          </w:tcPr>
          <w:p>
            <w:pPr>
              <w:spacing w:before="20" w:after="20"/>
            </w:pPr>
            <w:r>
              <w:rPr>
                <w:b w:val="0"/>
                <w:sz w:val="18"/>
              </w:rPr>
              <w:t>Gate target dates, project overview, item enforcement</w:t>
            </w:r>
          </w:p>
        </w:tc>
        <w:tc>
          <w:tcPr>
            <w:tcW w:type="dxa" w:w="1584"/>
          </w:tcPr>
          <w:p>
            <w:pPr>
              <w:spacing w:before="20" w:after="20"/>
            </w:pPr>
            <w:r>
              <w:rPr>
                <w:b/>
                <w:sz w:val="18"/>
              </w:rPr>
              <w:t>Programming</w:t>
            </w:r>
          </w:p>
        </w:tc>
        <w:tc>
          <w:tcPr>
            <w:tcW w:type="dxa" w:w="4608"/>
          </w:tcPr>
          <w:p>
            <w:pPr>
              <w:spacing w:before="20" w:after="20"/>
            </w:pPr>
            <w:r>
              <w:rPr>
                <w:b w:val="0"/>
                <w:sz w:val="18"/>
              </w:rPr>
              <w:t>Actions S1-S3</w:t>
            </w:r>
          </w:p>
        </w:tc>
      </w:tr>
    </w:tbl>
    <w:p/>
    <w:p>
      <w:pPr>
        <w:keepNext/>
        <w:spacing w:before="200" w:after="80"/>
      </w:pPr>
      <w:r>
        <w:rPr>
          <w:b/>
          <w:sz w:val="24"/>
        </w:rPr>
        <w:t>6. Tightening points</w:t>
      </w:r>
    </w:p>
    <w:tbl>
      <w:tblPr>
        <w:tblStyle w:val="TableGrid"/>
        <w:tblW w:type="auto" w:w="0"/>
        <w:jc w:val="center"/>
        <w:tblLayout w:type="fixed"/>
        <w:tblLook w:firstColumn="1" w:firstRow="1" w:lastColumn="0" w:lastRow="0" w:noHBand="0" w:noVBand="1" w:val="04A0"/>
      </w:tblPr>
      <w:tblGrid>
        <w:gridCol w:w="2736"/>
        <w:gridCol w:w="4392"/>
        <w:gridCol w:w="936"/>
        <w:gridCol w:w="1440"/>
      </w:tblGrid>
      <w:tr>
        <w:trPr>
          <w:cantSplit/>
          <w:tblHeader/>
        </w:trPr>
        <w:tc>
          <w:tcPr>
            <w:tcW w:type="dxa" w:w="2736"/>
            <w:shd w:val="clear" w:color="auto" w:fill="D9D9D9"/>
          </w:tcPr>
          <w:p>
            <w:pPr>
              <w:spacing w:before="20" w:after="20"/>
            </w:pPr>
            <w:r>
              <w:rPr>
                <w:b/>
                <w:sz w:val="18"/>
              </w:rPr>
              <w:t>Today</w:t>
            </w:r>
          </w:p>
        </w:tc>
        <w:tc>
          <w:tcPr>
            <w:tcW w:type="dxa" w:w="4392"/>
            <w:shd w:val="clear" w:color="auto" w:fill="D9D9D9"/>
          </w:tcPr>
          <w:p>
            <w:pPr>
              <w:spacing w:before="20" w:after="20"/>
            </w:pPr>
            <w:r>
              <w:rPr>
                <w:b/>
                <w:sz w:val="18"/>
              </w:rPr>
              <w:t>Tightening measure</w:t>
            </w:r>
          </w:p>
        </w:tc>
        <w:tc>
          <w:tcPr>
            <w:tcW w:type="dxa" w:w="936"/>
            <w:shd w:val="clear" w:color="auto" w:fill="D9D9D9"/>
          </w:tcPr>
          <w:p>
            <w:pPr>
              <w:spacing w:before="20" w:after="20"/>
            </w:pPr>
            <w:r>
              <w:rPr>
                <w:b/>
                <w:sz w:val="18"/>
              </w:rPr>
              <w:t>Action</w:t>
            </w:r>
          </w:p>
        </w:tc>
        <w:tc>
          <w:tcPr>
            <w:tcW w:type="dxa" w:w="1440"/>
            <w:shd w:val="clear" w:color="auto" w:fill="D9D9D9"/>
          </w:tcPr>
          <w:p>
            <w:pPr>
              <w:spacing w:before="20" w:after="20"/>
            </w:pPr>
            <w:r>
              <w:rPr>
                <w:b/>
                <w:sz w:val="18"/>
              </w:rPr>
              <w:t>Due</w:t>
            </w:r>
          </w:p>
        </w:tc>
      </w:tr>
      <w:tr>
        <w:trPr>
          <w:cantSplit/>
        </w:trPr>
        <w:tc>
          <w:tcPr>
            <w:tcW w:type="dxa" w:w="2736"/>
          </w:tcPr>
          <w:p>
            <w:pPr>
              <w:spacing w:before="20" w:after="20"/>
            </w:pPr>
            <w:r>
              <w:rPr>
                <w:b w:val="0"/>
                <w:sz w:val="18"/>
              </w:rPr>
              <w:t>Evidence still on drives and in the Excel matrix</w:t>
            </w:r>
          </w:p>
        </w:tc>
        <w:tc>
          <w:tcPr>
            <w:tcW w:type="dxa" w:w="4392"/>
          </w:tcPr>
          <w:p>
            <w:pPr>
              <w:spacing w:before="20" w:after="20"/>
            </w:pPr>
            <w:r>
              <w:rPr>
                <w:b w:val="0"/>
                <w:sz w:val="18"/>
              </w:rPr>
              <w:t>Upload per item for running projects; Excel frozen for new projects</w:t>
            </w:r>
          </w:p>
        </w:tc>
        <w:tc>
          <w:tcPr>
            <w:tcW w:type="dxa" w:w="936"/>
          </w:tcPr>
          <w:p>
            <w:pPr>
              <w:spacing w:before="20" w:after="20"/>
            </w:pPr>
            <w:r>
              <w:rPr>
                <w:b w:val="0"/>
                <w:sz w:val="18"/>
              </w:rPr>
              <w:t>D1, F2</w:t>
            </w:r>
          </w:p>
        </w:tc>
        <w:tc>
          <w:tcPr>
            <w:tcW w:type="dxa" w:w="1440"/>
          </w:tcPr>
          <w:p>
            <w:pPr>
              <w:spacing w:before="20" w:after="20"/>
            </w:pPr>
            <w:r>
              <w:rPr>
                <w:b w:val="0"/>
                <w:sz w:val="18"/>
              </w:rPr>
              <w:t>01/18/2027</w:t>
            </w:r>
          </w:p>
        </w:tc>
      </w:tr>
      <w:tr>
        <w:trPr>
          <w:cantSplit/>
        </w:trPr>
        <w:tc>
          <w:tcPr>
            <w:tcW w:type="dxa" w:w="2736"/>
          </w:tcPr>
          <w:p>
            <w:pPr>
              <w:spacing w:before="20" w:after="20"/>
            </w:pPr>
            <w:r>
              <w:rPr>
                <w:b w:val="0"/>
                <w:sz w:val="18"/>
              </w:rPr>
              <w:t>Gate dates not yet in the system</w:t>
            </w:r>
          </w:p>
        </w:tc>
        <w:tc>
          <w:tcPr>
            <w:tcW w:type="dxa" w:w="4392"/>
          </w:tcPr>
          <w:p>
            <w:pPr>
              <w:spacing w:before="20" w:after="20"/>
            </w:pPr>
            <w:r>
              <w:rPr>
                <w:b w:val="0"/>
                <w:sz w:val="18"/>
              </w:rPr>
              <w:t>Target date per gate with overdue signal, linked to the project timing</w:t>
            </w:r>
          </w:p>
        </w:tc>
        <w:tc>
          <w:tcPr>
            <w:tcW w:type="dxa" w:w="936"/>
          </w:tcPr>
          <w:p>
            <w:pPr>
              <w:spacing w:before="20" w:after="20"/>
            </w:pPr>
            <w:r>
              <w:rPr>
                <w:b w:val="0"/>
                <w:sz w:val="18"/>
              </w:rPr>
              <w:t>S2</w:t>
            </w:r>
          </w:p>
        </w:tc>
        <w:tc>
          <w:tcPr>
            <w:tcW w:type="dxa" w:w="1440"/>
          </w:tcPr>
          <w:p>
            <w:pPr>
              <w:spacing w:before="20" w:after="20"/>
            </w:pPr>
            <w:r>
              <w:rPr>
                <w:b w:val="0"/>
                <w:sz w:val="18"/>
              </w:rPr>
              <w:t>11/13/2026</w:t>
            </w:r>
          </w:p>
        </w:tc>
      </w:tr>
      <w:tr>
        <w:trPr>
          <w:cantSplit/>
        </w:trPr>
        <w:tc>
          <w:tcPr>
            <w:tcW w:type="dxa" w:w="2736"/>
          </w:tcPr>
          <w:p>
            <w:pPr>
              <w:spacing w:before="20" w:after="20"/>
            </w:pPr>
            <w:r>
              <w:rPr>
                <w:b w:val="0"/>
                <w:sz w:val="18"/>
              </w:rPr>
              <w:t>Required items per gate not enforced</w:t>
            </w:r>
          </w:p>
        </w:tc>
        <w:tc>
          <w:tcPr>
            <w:tcW w:type="dxa" w:w="4392"/>
          </w:tcPr>
          <w:p>
            <w:pPr>
              <w:spacing w:before="20" w:after="20"/>
            </w:pPr>
            <w:r>
              <w:rPr>
                <w:b w:val="0"/>
                <w:sz w:val="18"/>
              </w:rPr>
              <w:t>Gate cannot close while a required item is open; defined signer per item</w:t>
            </w:r>
          </w:p>
        </w:tc>
        <w:tc>
          <w:tcPr>
            <w:tcW w:type="dxa" w:w="936"/>
          </w:tcPr>
          <w:p>
            <w:pPr>
              <w:spacing w:before="20" w:after="20"/>
            </w:pPr>
            <w:r>
              <w:rPr>
                <w:b w:val="0"/>
                <w:sz w:val="18"/>
              </w:rPr>
              <w:t>S3</w:t>
            </w:r>
          </w:p>
        </w:tc>
        <w:tc>
          <w:tcPr>
            <w:tcW w:type="dxa" w:w="1440"/>
          </w:tcPr>
          <w:p>
            <w:pPr>
              <w:spacing w:before="20" w:after="20"/>
            </w:pPr>
            <w:r>
              <w:rPr>
                <w:b w:val="0"/>
                <w:sz w:val="18"/>
              </w:rPr>
              <w:t>12/11/2026</w:t>
            </w:r>
          </w:p>
        </w:tc>
      </w:tr>
      <w:tr>
        <w:trPr>
          <w:cantSplit/>
        </w:trPr>
        <w:tc>
          <w:tcPr>
            <w:tcW w:type="dxa" w:w="2736"/>
          </w:tcPr>
          <w:p>
            <w:pPr>
              <w:spacing w:before="20" w:after="20"/>
            </w:pPr>
            <w:r>
              <w:rPr>
                <w:b w:val="0"/>
                <w:sz w:val="18"/>
              </w:rPr>
              <w:t>No single view across projects</w:t>
            </w:r>
          </w:p>
        </w:tc>
        <w:tc>
          <w:tcPr>
            <w:tcW w:type="dxa" w:w="4392"/>
          </w:tcPr>
          <w:p>
            <w:pPr>
              <w:spacing w:before="20" w:after="20"/>
            </w:pPr>
            <w:r>
              <w:rPr>
                <w:b w:val="0"/>
                <w:sz w:val="18"/>
              </w:rPr>
              <w:t>Project overview page</w:t>
            </w:r>
          </w:p>
        </w:tc>
        <w:tc>
          <w:tcPr>
            <w:tcW w:type="dxa" w:w="936"/>
          </w:tcPr>
          <w:p>
            <w:pPr>
              <w:spacing w:before="20" w:after="20"/>
            </w:pPr>
            <w:r>
              <w:rPr>
                <w:b w:val="0"/>
                <w:sz w:val="18"/>
              </w:rPr>
              <w:t>S1</w:t>
            </w:r>
          </w:p>
        </w:tc>
        <w:tc>
          <w:tcPr>
            <w:tcW w:type="dxa" w:w="1440"/>
          </w:tcPr>
          <w:p>
            <w:pPr>
              <w:spacing w:before="20" w:after="20"/>
            </w:pPr>
            <w:r>
              <w:rPr>
                <w:b w:val="0"/>
                <w:sz w:val="18"/>
              </w:rPr>
              <w:t>11/20/2026</w:t>
            </w:r>
          </w:p>
        </w:tc>
      </w:tr>
    </w:tbl>
    <w:p/>
    <w:p>
      <w:pPr>
        <w:keepNext/>
        <w:spacing w:before="200" w:after="80"/>
      </w:pPr>
      <w:r>
        <w:rPr>
          <w:b/>
          <w:sz w:val="24"/>
        </w:rPr>
        <w:t>7. Timing and action plan</w:t>
      </w:r>
    </w:p>
    <w:p>
      <w:pPr>
        <w:spacing w:before="40" w:after="120"/>
        <w:jc w:val="center"/>
      </w:pPr>
      <w:r>
        <w:drawing>
          <wp:inline xmlns:a="http://schemas.openxmlformats.org/drawingml/2006/main" xmlns:pic="http://schemas.openxmlformats.org/drawingml/2006/picture">
            <wp:extent cx="5943600" cy="2626733"/>
            <wp:docPr id="2" name="Picture 2"/>
            <wp:cNvGraphicFramePr>
              <a:graphicFrameLocks noChangeAspect="1"/>
            </wp:cNvGraphicFramePr>
            <a:graphic>
              <a:graphicData uri="http://schemas.openxmlformats.org/drawingml/2006/picture">
                <pic:pic>
                  <pic:nvPicPr>
                    <pic:cNvPr id="0" name="gantt_sep.png"/>
                    <pic:cNvPicPr/>
                  </pic:nvPicPr>
                  <pic:blipFill>
                    <a:blip r:embed="rId29"/>
                    <a:stretch>
                      <a:fillRect/>
                    </a:stretch>
                  </pic:blipFill>
                  <pic:spPr>
                    <a:xfrm>
                      <a:off x="0" y="0"/>
                      <a:ext cx="5943600" cy="262673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76"/>
        <w:gridCol w:w="2448"/>
        <w:gridCol w:w="1368"/>
        <w:gridCol w:w="1224"/>
        <w:gridCol w:w="1296"/>
        <w:gridCol w:w="1152"/>
        <w:gridCol w:w="1440"/>
      </w:tblGrid>
      <w:tr>
        <w:trPr>
          <w:cantSplit/>
          <w:tblHeader/>
        </w:trPr>
        <w:tc>
          <w:tcPr>
            <w:tcW w:type="dxa" w:w="576"/>
            <w:shd w:val="clear" w:color="auto" w:fill="D9D9D9"/>
          </w:tcPr>
          <w:p>
            <w:pPr>
              <w:spacing w:before="20" w:after="20"/>
            </w:pPr>
            <w:r>
              <w:rPr>
                <w:b/>
                <w:sz w:val="18"/>
              </w:rPr>
              <w:t>No.</w:t>
            </w:r>
          </w:p>
        </w:tc>
        <w:tc>
          <w:tcPr>
            <w:tcW w:type="dxa" w:w="2448"/>
            <w:shd w:val="clear" w:color="auto" w:fill="D9D9D9"/>
          </w:tcPr>
          <w:p>
            <w:pPr>
              <w:spacing w:before="20" w:after="20"/>
            </w:pPr>
            <w:r>
              <w:rPr>
                <w:b/>
                <w:sz w:val="18"/>
              </w:rPr>
              <w:t>Action</w:t>
            </w:r>
          </w:p>
        </w:tc>
        <w:tc>
          <w:tcPr>
            <w:tcW w:type="dxa" w:w="1368"/>
            <w:shd w:val="clear" w:color="auto" w:fill="D9D9D9"/>
          </w:tcPr>
          <w:p>
            <w:pPr>
              <w:spacing w:before="20" w:after="20"/>
            </w:pPr>
            <w:r>
              <w:rPr>
                <w:b/>
                <w:sz w:val="18"/>
              </w:rPr>
              <w:t>Phase</w:t>
            </w:r>
          </w:p>
        </w:tc>
        <w:tc>
          <w:tcPr>
            <w:tcW w:type="dxa" w:w="1224"/>
            <w:shd w:val="clear" w:color="auto" w:fill="D9D9D9"/>
          </w:tcPr>
          <w:p>
            <w:pPr>
              <w:spacing w:before="20" w:after="20"/>
            </w:pPr>
            <w:r>
              <w:rPr>
                <w:b/>
                <w:sz w:val="18"/>
              </w:rPr>
              <w:t>Owner</w:t>
            </w:r>
          </w:p>
        </w:tc>
        <w:tc>
          <w:tcPr>
            <w:tcW w:type="dxa" w:w="1296"/>
            <w:shd w:val="clear" w:color="auto" w:fill="D9D9D9"/>
          </w:tcPr>
          <w:p>
            <w:pPr>
              <w:spacing w:before="20" w:after="20"/>
            </w:pPr>
            <w:r>
              <w:rPr>
                <w:b/>
                <w:sz w:val="18"/>
              </w:rPr>
              <w:t>Support</w:t>
            </w:r>
          </w:p>
        </w:tc>
        <w:tc>
          <w:tcPr>
            <w:tcW w:type="dxa" w:w="1152"/>
            <w:shd w:val="clear" w:color="auto" w:fill="D9D9D9"/>
          </w:tcPr>
          <w:p>
            <w:pPr>
              <w:spacing w:before="20" w:after="20"/>
            </w:pPr>
            <w:r>
              <w:rPr>
                <w:b/>
                <w:sz w:val="18"/>
              </w:rPr>
              <w:t>Due</w:t>
            </w:r>
          </w:p>
        </w:tc>
        <w:tc>
          <w:tcPr>
            <w:tcW w:type="dxa" w:w="1440"/>
            <w:shd w:val="clear" w:color="auto" w:fill="D9D9D9"/>
          </w:tcPr>
          <w:p>
            <w:pPr>
              <w:spacing w:before="20" w:after="20"/>
            </w:pPr>
            <w:r>
              <w:rPr>
                <w:b/>
                <w:sz w:val="18"/>
              </w:rPr>
              <w:t>Done when</w:t>
            </w:r>
          </w:p>
        </w:tc>
      </w:tr>
      <w:tr>
        <w:trPr>
          <w:cantSplit/>
        </w:trPr>
        <w:tc>
          <w:tcPr>
            <w:tcW w:type="dxa" w:w="576"/>
          </w:tcPr>
          <w:p>
            <w:pPr>
              <w:spacing w:before="20" w:after="20"/>
            </w:pPr>
            <w:r>
              <w:rPr>
                <w:b w:val="0"/>
                <w:sz w:val="18"/>
              </w:rPr>
              <w:t>S1</w:t>
            </w:r>
          </w:p>
        </w:tc>
        <w:tc>
          <w:tcPr>
            <w:tcW w:type="dxa" w:w="2448"/>
          </w:tcPr>
          <w:p>
            <w:pPr>
              <w:spacing w:before="20" w:after="20"/>
            </w:pPr>
            <w:r>
              <w:rPr>
                <w:b w:val="0"/>
                <w:sz w:val="18"/>
              </w:rPr>
              <w:t>Project overview page (all projects, gates, overdue, open changes and lessons)</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11/20/2026</w:t>
            </w:r>
          </w:p>
        </w:tc>
        <w:tc>
          <w:tcPr>
            <w:tcW w:type="dxa" w:w="1440"/>
          </w:tcPr>
          <w:p>
            <w:pPr>
              <w:spacing w:before="20" w:after="20"/>
            </w:pPr>
            <w:r>
              <w:rPr>
                <w:b w:val="0"/>
                <w:sz w:val="18"/>
              </w:rPr>
              <w:t>Page live, used in monthly review</w:t>
            </w:r>
          </w:p>
        </w:tc>
      </w:tr>
      <w:tr>
        <w:trPr>
          <w:cantSplit/>
        </w:trPr>
        <w:tc>
          <w:tcPr>
            <w:tcW w:type="dxa" w:w="576"/>
          </w:tcPr>
          <w:p>
            <w:pPr>
              <w:spacing w:before="20" w:after="20"/>
            </w:pPr>
            <w:r>
              <w:rPr>
                <w:b w:val="0"/>
                <w:sz w:val="18"/>
              </w:rPr>
              <w:t>S2</w:t>
            </w:r>
          </w:p>
        </w:tc>
        <w:tc>
          <w:tcPr>
            <w:tcW w:type="dxa" w:w="2448"/>
          </w:tcPr>
          <w:p>
            <w:pPr>
              <w:spacing w:before="20" w:after="20"/>
            </w:pPr>
            <w:r>
              <w:rPr>
                <w:b w:val="0"/>
                <w:sz w:val="18"/>
              </w:rPr>
              <w:t>Gate target dates linked to project timing, overdue signal</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11/13/2026</w:t>
            </w:r>
          </w:p>
        </w:tc>
        <w:tc>
          <w:tcPr>
            <w:tcW w:type="dxa" w:w="1440"/>
          </w:tcPr>
          <w:p>
            <w:pPr>
              <w:spacing w:before="20" w:after="20"/>
            </w:pPr>
            <w:r>
              <w:rPr>
                <w:b w:val="0"/>
                <w:sz w:val="18"/>
              </w:rPr>
              <w:t>Dates set for all running projects</w:t>
            </w:r>
          </w:p>
        </w:tc>
      </w:tr>
      <w:tr>
        <w:trPr>
          <w:cantSplit/>
        </w:trPr>
        <w:tc>
          <w:tcPr>
            <w:tcW w:type="dxa" w:w="576"/>
          </w:tcPr>
          <w:p>
            <w:pPr>
              <w:spacing w:before="20" w:after="20"/>
            </w:pPr>
            <w:r>
              <w:rPr>
                <w:b w:val="0"/>
                <w:sz w:val="18"/>
              </w:rPr>
              <w:t>S3</w:t>
            </w:r>
          </w:p>
        </w:tc>
        <w:tc>
          <w:tcPr>
            <w:tcW w:type="dxa" w:w="2448"/>
          </w:tcPr>
          <w:p>
            <w:pPr>
              <w:spacing w:before="20" w:after="20"/>
            </w:pPr>
            <w:r>
              <w:rPr>
                <w:b w:val="0"/>
                <w:sz w:val="18"/>
              </w:rPr>
              <w:t>Required items per gate enforced; signer role per item</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Quality</w:t>
            </w:r>
          </w:p>
        </w:tc>
        <w:tc>
          <w:tcPr>
            <w:tcW w:type="dxa" w:w="1152"/>
          </w:tcPr>
          <w:p>
            <w:pPr>
              <w:spacing w:before="20" w:after="20"/>
            </w:pPr>
            <w:r>
              <w:rPr>
                <w:b w:val="0"/>
                <w:sz w:val="18"/>
              </w:rPr>
              <w:t>12/11/2026</w:t>
            </w:r>
          </w:p>
        </w:tc>
        <w:tc>
          <w:tcPr>
            <w:tcW w:type="dxa" w:w="1440"/>
          </w:tcPr>
          <w:p>
            <w:pPr>
              <w:spacing w:before="20" w:after="20"/>
            </w:pPr>
            <w:r>
              <w:rPr>
                <w:b w:val="0"/>
                <w:sz w:val="18"/>
              </w:rPr>
              <w:t>Gate close blocked in test</w:t>
            </w:r>
          </w:p>
        </w:tc>
      </w:tr>
      <w:tr>
        <w:trPr>
          <w:cantSplit/>
        </w:trPr>
        <w:tc>
          <w:tcPr>
            <w:tcW w:type="dxa" w:w="576"/>
          </w:tcPr>
          <w:p>
            <w:pPr>
              <w:spacing w:before="20" w:after="20"/>
            </w:pPr>
            <w:r>
              <w:rPr>
                <w:b w:val="0"/>
                <w:sz w:val="18"/>
              </w:rPr>
              <w:t>D1</w:t>
            </w:r>
          </w:p>
        </w:tc>
        <w:tc>
          <w:tcPr>
            <w:tcW w:type="dxa" w:w="2448"/>
          </w:tcPr>
          <w:p>
            <w:pPr>
              <w:spacing w:before="20" w:after="20"/>
            </w:pPr>
            <w:r>
              <w:rPr>
                <w:b w:val="0"/>
                <w:sz w:val="18"/>
              </w:rPr>
              <w:t>Upload SEP evidence for running projects (1864, 1994, 2141, 2277)</w:t>
            </w:r>
          </w:p>
        </w:tc>
        <w:tc>
          <w:tcPr>
            <w:tcW w:type="dxa" w:w="1368"/>
          </w:tcPr>
          <w:p>
            <w:pPr>
              <w:spacing w:before="20" w:after="20"/>
            </w:pPr>
            <w:r>
              <w:rPr>
                <w:b w:val="0"/>
                <w:sz w:val="18"/>
              </w:rPr>
              <w:t>Documentation</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01/04/2027</w:t>
            </w:r>
          </w:p>
        </w:tc>
        <w:tc>
          <w:tcPr>
            <w:tcW w:type="dxa" w:w="1440"/>
          </w:tcPr>
          <w:p>
            <w:pPr>
              <w:spacing w:before="20" w:after="20"/>
            </w:pPr>
            <w:r>
              <w:rPr>
                <w:b w:val="0"/>
                <w:sz w:val="18"/>
              </w:rPr>
              <w:t>Items done / n.a. with evidence</w:t>
            </w:r>
          </w:p>
        </w:tc>
      </w:tr>
      <w:tr>
        <w:trPr>
          <w:cantSplit/>
        </w:trPr>
        <w:tc>
          <w:tcPr>
            <w:tcW w:type="dxa" w:w="576"/>
          </w:tcPr>
          <w:p>
            <w:pPr>
              <w:spacing w:before="20" w:after="20"/>
            </w:pPr>
            <w:r>
              <w:rPr>
                <w:b w:val="0"/>
                <w:sz w:val="18"/>
              </w:rPr>
              <w:t>D2</w:t>
            </w:r>
          </w:p>
        </w:tc>
        <w:tc>
          <w:tcPr>
            <w:tcW w:type="dxa" w:w="2448"/>
          </w:tcPr>
          <w:p>
            <w:pPr>
              <w:spacing w:before="20" w:after="20"/>
            </w:pPr>
            <w:r>
              <w:rPr>
                <w:b w:val="0"/>
                <w:sz w:val="18"/>
              </w:rPr>
              <w:t>1994: RG1 evidence complete, gate review with dual sign-off</w:t>
            </w:r>
          </w:p>
        </w:tc>
        <w:tc>
          <w:tcPr>
            <w:tcW w:type="dxa" w:w="1368"/>
          </w:tcPr>
          <w:p>
            <w:pPr>
              <w:spacing w:before="20" w:after="20"/>
            </w:pPr>
            <w:r>
              <w:rPr>
                <w:b w:val="0"/>
                <w:sz w:val="18"/>
              </w:rPr>
              <w:t>Documentation</w:t>
            </w:r>
          </w:p>
        </w:tc>
        <w:tc>
          <w:tcPr>
            <w:tcW w:type="dxa" w:w="1224"/>
          </w:tcPr>
          <w:p>
            <w:pPr>
              <w:spacing w:before="20" w:after="20"/>
            </w:pPr>
            <w:r>
              <w:rPr>
                <w:b w:val="0"/>
                <w:sz w:val="18"/>
              </w:rPr>
              <w:t>C. Demmler</w:t>
            </w:r>
          </w:p>
        </w:tc>
        <w:tc>
          <w:tcPr>
            <w:tcW w:type="dxa" w:w="1296"/>
          </w:tcPr>
          <w:p>
            <w:pPr>
              <w:spacing w:before="20" w:after="20"/>
            </w:pPr>
            <w:r>
              <w:rPr>
                <w:b w:val="0"/>
                <w:sz w:val="18"/>
              </w:rPr>
              <w:t>Quality</w:t>
            </w:r>
          </w:p>
        </w:tc>
        <w:tc>
          <w:tcPr>
            <w:tcW w:type="dxa" w:w="1152"/>
          </w:tcPr>
          <w:p>
            <w:pPr>
              <w:spacing w:before="20" w:after="20"/>
            </w:pPr>
            <w:r>
              <w:rPr>
                <w:b w:val="0"/>
                <w:sz w:val="18"/>
              </w:rPr>
              <w:t>12/04/2026</w:t>
            </w:r>
          </w:p>
        </w:tc>
        <w:tc>
          <w:tcPr>
            <w:tcW w:type="dxa" w:w="1440"/>
          </w:tcPr>
          <w:p>
            <w:pPr>
              <w:spacing w:before="20" w:after="20"/>
            </w:pPr>
            <w:r>
              <w:rPr>
                <w:b w:val="0"/>
                <w:sz w:val="18"/>
              </w:rPr>
              <w:t>RG1 closed in PLM2</w:t>
            </w:r>
          </w:p>
        </w:tc>
      </w:tr>
      <w:tr>
        <w:trPr>
          <w:cantSplit/>
        </w:trPr>
        <w:tc>
          <w:tcPr>
            <w:tcW w:type="dxa" w:w="576"/>
          </w:tcPr>
          <w:p>
            <w:pPr>
              <w:spacing w:before="20" w:after="20"/>
            </w:pPr>
            <w:r>
              <w:rPr>
                <w:b w:val="0"/>
                <w:sz w:val="18"/>
              </w:rPr>
              <w:t>F1</w:t>
            </w:r>
          </w:p>
        </w:tc>
        <w:tc>
          <w:tcPr>
            <w:tcW w:type="dxa" w:w="2448"/>
          </w:tcPr>
          <w:p>
            <w:pPr>
              <w:spacing w:before="20" w:after="20"/>
            </w:pPr>
            <w:r>
              <w:rPr>
                <w:b w:val="0"/>
                <w:sz w:val="18"/>
              </w:rPr>
              <w:t>Procedure 'Project planning with the SEP matrix in PLM2' released</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Quality</w:t>
            </w:r>
          </w:p>
        </w:tc>
        <w:tc>
          <w:tcPr>
            <w:tcW w:type="dxa" w:w="1152"/>
          </w:tcPr>
          <w:p>
            <w:pPr>
              <w:spacing w:before="20" w:after="20"/>
            </w:pPr>
            <w:r>
              <w:rPr>
                <w:b w:val="0"/>
                <w:sz w:val="18"/>
              </w:rPr>
              <w:t>12/28/2026</w:t>
            </w:r>
          </w:p>
        </w:tc>
        <w:tc>
          <w:tcPr>
            <w:tcW w:type="dxa" w:w="1440"/>
          </w:tcPr>
          <w:p>
            <w:pPr>
              <w:spacing w:before="20" w:after="20"/>
            </w:pPr>
            <w:r>
              <w:rPr>
                <w:b w:val="0"/>
                <w:sz w:val="18"/>
              </w:rPr>
              <w:t>Procedure in document control</w:t>
            </w:r>
          </w:p>
        </w:tc>
      </w:tr>
      <w:tr>
        <w:trPr>
          <w:cantSplit/>
        </w:trPr>
        <w:tc>
          <w:tcPr>
            <w:tcW w:type="dxa" w:w="576"/>
          </w:tcPr>
          <w:p>
            <w:pPr>
              <w:spacing w:before="20" w:after="20"/>
            </w:pPr>
            <w:r>
              <w:rPr>
                <w:b w:val="0"/>
                <w:sz w:val="18"/>
              </w:rPr>
              <w:t>F2</w:t>
            </w:r>
          </w:p>
        </w:tc>
        <w:tc>
          <w:tcPr>
            <w:tcW w:type="dxa" w:w="2448"/>
          </w:tcPr>
          <w:p>
            <w:pPr>
              <w:spacing w:before="20" w:after="20"/>
            </w:pPr>
            <w:r>
              <w:rPr>
                <w:b w:val="0"/>
                <w:sz w:val="18"/>
              </w:rPr>
              <w:t>Excel SEP matrix retired for new projects</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Plant Mgmt.</w:t>
            </w:r>
          </w:p>
        </w:tc>
        <w:tc>
          <w:tcPr>
            <w:tcW w:type="dxa" w:w="1152"/>
          </w:tcPr>
          <w:p>
            <w:pPr>
              <w:spacing w:before="20" w:after="20"/>
            </w:pPr>
            <w:r>
              <w:rPr>
                <w:b w:val="0"/>
                <w:sz w:val="18"/>
              </w:rPr>
              <w:t>01/18/2027</w:t>
            </w:r>
          </w:p>
        </w:tc>
        <w:tc>
          <w:tcPr>
            <w:tcW w:type="dxa" w:w="1440"/>
          </w:tcPr>
          <w:p>
            <w:pPr>
              <w:spacing w:before="20" w:after="20"/>
            </w:pPr>
            <w:r>
              <w:rPr>
                <w:b w:val="0"/>
                <w:sz w:val="18"/>
              </w:rPr>
              <w:t>First new project started in PLM2</w:t>
            </w:r>
          </w:p>
        </w:tc>
      </w:tr>
      <w:tr>
        <w:trPr>
          <w:cantSplit/>
        </w:trPr>
        <w:tc>
          <w:tcPr>
            <w:tcW w:type="dxa" w:w="576"/>
          </w:tcPr>
          <w:p>
            <w:pPr>
              <w:spacing w:before="20" w:after="20"/>
            </w:pPr>
            <w:r>
              <w:rPr>
                <w:b w:val="0"/>
                <w:sz w:val="18"/>
              </w:rPr>
              <w:t>R1</w:t>
            </w:r>
          </w:p>
        </w:tc>
        <w:tc>
          <w:tcPr>
            <w:tcW w:type="dxa" w:w="2448"/>
          </w:tcPr>
          <w:p>
            <w:pPr>
              <w:spacing w:before="20" w:after="20"/>
            </w:pPr>
            <w:r>
              <w:rPr>
                <w:b w:val="0"/>
                <w:sz w:val="18"/>
              </w:rPr>
              <w:t>1994 runs RG2 to RG7 in PLM2; gate dates from the Brose customer timing</w:t>
            </w:r>
          </w:p>
        </w:tc>
        <w:tc>
          <w:tcPr>
            <w:tcW w:type="dxa" w:w="1368"/>
          </w:tcPr>
          <w:p>
            <w:pPr>
              <w:spacing w:before="20" w:after="20"/>
            </w:pPr>
            <w:r>
              <w:rPr>
                <w:b w:val="0"/>
                <w:sz w:val="18"/>
              </w:rPr>
              <w:t>Operation</w:t>
            </w:r>
          </w:p>
        </w:tc>
        <w:tc>
          <w:tcPr>
            <w:tcW w:type="dxa" w:w="1224"/>
          </w:tcPr>
          <w:p>
            <w:pPr>
              <w:spacing w:before="20" w:after="20"/>
            </w:pPr>
            <w:r>
              <w:rPr>
                <w:b w:val="0"/>
                <w:sz w:val="18"/>
              </w:rPr>
              <w:t>Program Mgmt.</w:t>
            </w:r>
          </w:p>
        </w:tc>
        <w:tc>
          <w:tcPr>
            <w:tcW w:type="dxa" w:w="1296"/>
          </w:tcPr>
          <w:p>
            <w:pPr>
              <w:spacing w:before="20" w:after="20"/>
            </w:pPr>
            <w:r>
              <w:rPr>
                <w:b w:val="0"/>
                <w:sz w:val="18"/>
              </w:rPr>
              <w:t>to SOP</w:t>
            </w:r>
          </w:p>
        </w:tc>
        <w:tc>
          <w:tcPr>
            <w:tcW w:type="dxa" w:w="1152"/>
          </w:tcPr>
          <w:p>
            <w:pPr>
              <w:spacing w:before="20" w:after="20"/>
            </w:pPr>
            <w:r>
              <w:rPr>
                <w:b w:val="0"/>
                <w:sz w:val="18"/>
              </w:rPr>
              <w:t>Each gate closed with sign-off</w:t>
            </w:r>
          </w:p>
        </w:tc>
        <w:tc>
          <w:tcPr>
            <w:tcW w:type="dxa" w:w="1371"/>
          </w:tcPr>
          <w:p/>
        </w:tc>
      </w:tr>
    </w:tbl>
    <w:p/>
    <w:p>
      <w:pPr>
        <w:spacing w:before="0" w:after="120"/>
      </w:pPr>
      <w:r>
        <w:rPr>
          <w:b w:val="0"/>
          <w:sz w:val="22"/>
        </w:rPr>
        <w:t xml:space="preserve">The table is the plan as of the status date above. Progress is tracked in the action plan </w:t>
      </w:r>
      <w:r>
        <w:rPr>
          <w:b/>
          <w:sz w:val="22"/>
        </w:rPr>
        <w:t>TOC-PLM-LOP (KTX LOP F-DVS-CORP-010)</w:t>
      </w:r>
      <w:r>
        <w:rPr>
          <w:b w:val="0"/>
          <w:sz w:val="22"/>
        </w:rPr>
        <w:t>; a date that moves is changed there with the reason, and this document is updated with it.</w:t>
      </w:r>
    </w:p>
    <w:p>
      <w:pPr>
        <w:keepNext/>
        <w:spacing w:before="200" w:after="80"/>
      </w:pPr>
      <w:r>
        <w:rPr>
          <w:b/>
          <w:sz w:val="24"/>
        </w:rPr>
        <w:t>8. Control until go-live</w:t>
      </w:r>
    </w:p>
    <w:p>
      <w:pPr>
        <w:spacing w:before="0" w:after="120"/>
      </w:pPr>
      <w:r>
        <w:rPr>
          <w:b w:val="0"/>
          <w:sz w:val="22"/>
        </w:rPr>
        <w:t>Running projects keep their current SEP evidence valid while it is uploaded; the upload is tracked item by item in PLM2, so the open amount is visible at any time. Project 1994 runs in PLM2 from now on.</w:t>
      </w:r>
    </w:p>
    <w:p>
      <w:pPr>
        <w:keepNext/>
        <w:spacing w:before="200" w:after="80"/>
      </w:pPr>
      <w:r>
        <w:rPr>
          <w:b/>
          <w:sz w:val="24"/>
        </w:rPr>
        <w:t>9. Effectiveness indicators</w:t>
      </w:r>
    </w:p>
    <w:tbl>
      <w:tblPr>
        <w:tblStyle w:val="TableGrid"/>
        <w:tblW w:type="auto" w:w="0"/>
        <w:jc w:val="center"/>
        <w:tblLayout w:type="fixed"/>
        <w:tblLook w:firstColumn="1" w:firstRow="1" w:lastColumn="0" w:lastRow="0" w:noHBand="0" w:noVBand="1" w:val="04A0"/>
      </w:tblPr>
      <w:tblGrid>
        <w:gridCol w:w="3600"/>
        <w:gridCol w:w="3024"/>
        <w:gridCol w:w="2880"/>
      </w:tblGrid>
      <w:tr>
        <w:trPr>
          <w:cantSplit/>
          <w:tblHeader/>
        </w:trPr>
        <w:tc>
          <w:tcPr>
            <w:tcW w:type="dxa" w:w="3600"/>
            <w:shd w:val="clear" w:color="auto" w:fill="D9D9D9"/>
          </w:tcPr>
          <w:p>
            <w:pPr>
              <w:spacing w:before="20" w:after="20"/>
            </w:pPr>
            <w:r>
              <w:rPr>
                <w:b/>
                <w:sz w:val="18"/>
              </w:rPr>
              <w:t>Indicator</w:t>
            </w:r>
          </w:p>
        </w:tc>
        <w:tc>
          <w:tcPr>
            <w:tcW w:type="dxa" w:w="3024"/>
            <w:shd w:val="clear" w:color="auto" w:fill="D9D9D9"/>
          </w:tcPr>
          <w:p>
            <w:pPr>
              <w:spacing w:before="20" w:after="20"/>
            </w:pPr>
            <w:r>
              <w:rPr>
                <w:b/>
                <w:sz w:val="18"/>
              </w:rPr>
              <w:t>Target</w:t>
            </w:r>
          </w:p>
        </w:tc>
        <w:tc>
          <w:tcPr>
            <w:tcW w:type="dxa" w:w="2880"/>
            <w:shd w:val="clear" w:color="auto" w:fill="D9D9D9"/>
          </w:tcPr>
          <w:p>
            <w:pPr>
              <w:spacing w:before="20" w:after="20"/>
            </w:pPr>
            <w:r>
              <w:rPr>
                <w:b/>
                <w:sz w:val="18"/>
              </w:rPr>
              <w:t>Source</w:t>
            </w:r>
          </w:p>
        </w:tc>
      </w:tr>
      <w:tr>
        <w:trPr>
          <w:cantSplit/>
        </w:trPr>
        <w:tc>
          <w:tcPr>
            <w:tcW w:type="dxa" w:w="3600"/>
          </w:tcPr>
          <w:p>
            <w:pPr>
              <w:spacing w:before="20" w:after="20"/>
            </w:pPr>
            <w:r>
              <w:rPr>
                <w:b w:val="0"/>
                <w:sz w:val="18"/>
              </w:rPr>
              <w:t>Gates closed on or before target date</w:t>
            </w:r>
          </w:p>
        </w:tc>
        <w:tc>
          <w:tcPr>
            <w:tcW w:type="dxa" w:w="3024"/>
          </w:tcPr>
          <w:p>
            <w:pPr>
              <w:spacing w:before="20" w:after="20"/>
            </w:pPr>
            <w:r>
              <w:rPr>
                <w:b w:val="0"/>
                <w:sz w:val="18"/>
              </w:rPr>
              <w:t>90 %</w:t>
            </w:r>
          </w:p>
        </w:tc>
        <w:tc>
          <w:tcPr>
            <w:tcW w:type="dxa" w:w="2880"/>
          </w:tcPr>
          <w:p>
            <w:pPr>
              <w:spacing w:before="20" w:after="20"/>
            </w:pPr>
            <w:r>
              <w:rPr>
                <w:b w:val="0"/>
                <w:sz w:val="18"/>
              </w:rPr>
              <w:t>Project overview</w:t>
            </w:r>
          </w:p>
        </w:tc>
      </w:tr>
      <w:tr>
        <w:trPr>
          <w:cantSplit/>
        </w:trPr>
        <w:tc>
          <w:tcPr>
            <w:tcW w:type="dxa" w:w="3600"/>
          </w:tcPr>
          <w:p>
            <w:pPr>
              <w:spacing w:before="20" w:after="20"/>
            </w:pPr>
            <w:r>
              <w:rPr>
                <w:b w:val="0"/>
                <w:sz w:val="18"/>
              </w:rPr>
              <w:t>Required items closed without evidence file</w:t>
            </w:r>
          </w:p>
        </w:tc>
        <w:tc>
          <w:tcPr>
            <w:tcW w:type="dxa" w:w="3024"/>
          </w:tcPr>
          <w:p>
            <w:pPr>
              <w:spacing w:before="20" w:after="20"/>
            </w:pPr>
            <w:r>
              <w:rPr>
                <w:b w:val="0"/>
                <w:sz w:val="18"/>
              </w:rPr>
              <w:t>0</w:t>
            </w:r>
          </w:p>
        </w:tc>
        <w:tc>
          <w:tcPr>
            <w:tcW w:type="dxa" w:w="2880"/>
          </w:tcPr>
          <w:p>
            <w:pPr>
              <w:spacing w:before="20" w:after="20"/>
            </w:pPr>
            <w:r>
              <w:rPr>
                <w:b w:val="0"/>
                <w:sz w:val="18"/>
              </w:rPr>
              <w:t>SEP matrix</w:t>
            </w:r>
          </w:p>
        </w:tc>
      </w:tr>
      <w:tr>
        <w:trPr>
          <w:cantSplit/>
        </w:trPr>
        <w:tc>
          <w:tcPr>
            <w:tcW w:type="dxa" w:w="3600"/>
          </w:tcPr>
          <w:p>
            <w:pPr>
              <w:spacing w:before="20" w:after="20"/>
            </w:pPr>
            <w:r>
              <w:rPr>
                <w:b w:val="0"/>
                <w:sz w:val="18"/>
              </w:rPr>
              <w:t>New projects started outside PLM2 after 01/18/2027</w:t>
            </w:r>
          </w:p>
        </w:tc>
        <w:tc>
          <w:tcPr>
            <w:tcW w:type="dxa" w:w="3024"/>
          </w:tcPr>
          <w:p>
            <w:pPr>
              <w:spacing w:before="20" w:after="20"/>
            </w:pPr>
            <w:r>
              <w:rPr>
                <w:b w:val="0"/>
                <w:sz w:val="18"/>
              </w:rPr>
              <w:t>0</w:t>
            </w:r>
          </w:p>
        </w:tc>
        <w:tc>
          <w:tcPr>
            <w:tcW w:type="dxa" w:w="2880"/>
          </w:tcPr>
          <w:p>
            <w:pPr>
              <w:spacing w:before="20" w:after="20"/>
            </w:pPr>
            <w:r>
              <w:rPr>
                <w:b w:val="0"/>
                <w:sz w:val="18"/>
              </w:rPr>
              <w:t>Project list</w:t>
            </w:r>
          </w:p>
        </w:tc>
      </w:tr>
    </w:tbl>
    <w:p/>
    <w:sectPr w:rsidR="00660C57" w:rsidRPr="0072424B" w:rsidSect="00353403">
      <w:headerReference w:type="default" r:id="rId24"/>
      <w:footerReference w:type="default" r:id="rId25"/>
      <w:pgSz w:w="12240" w:h="15840" w:code="1"/>
      <w:pgMar w:top="1440" w:right="1296"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8FE" w14:textId="77777777" w:rsidR="00DB2060" w:rsidRDefault="00DB2060">
      <w:r>
        <w:separator/>
      </w:r>
    </w:p>
  </w:endnote>
  <w:endnote w:type="continuationSeparator" w:id="0">
    <w:p w14:paraId="7C8E7C8E" w14:textId="77777777" w:rsidR="00DB2060" w:rsidRDefault="00DB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360" w:val="right"/>
      </w:tabs>
      <w:spacing w:before="0" w:after="0"/>
    </w:pPr>
    <w:r>
      <w:rPr>
        <w:b w:val="0"/>
        <w:color w:val="6B7280"/>
        <w:sz w:val="16"/>
      </w:rPr>
      <w:t>Internal working document – not part of document control</w:t>
      <w:tab/>
    </w:r>
    <w:r>
      <w:rPr>
        <w:b w:val="0"/>
        <w:color w:val="6B7280"/>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b w:val="0"/>
        <w:color w:val="6B7280"/>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F0B7" w14:textId="77777777" w:rsidR="00DB2060" w:rsidRDefault="00DB2060">
      <w:r>
        <w:separator/>
      </w:r>
    </w:p>
  </w:footnote>
  <w:footnote w:type="continuationSeparator" w:id="0">
    <w:p w14:paraId="369670AB" w14:textId="77777777" w:rsidR="00DB2060" w:rsidRDefault="00DB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r>
      <w:rPr>
        <w:b w:val="0"/>
        <w:color w:val="6B7280"/>
        <w:sz w:val="16"/>
      </w:rPr>
      <w:t>KTX Toccoa · Process Development · Engineering / PLM2</w:t>
    </w:r>
  </w:p>
  <w:p>
    <w:pPr>
      <w:spacing w:before="0" w:after="0"/>
    </w:pPr>
    <w:r>
      <w:rPr>
        <w:b/>
        <w:sz w:val="20"/>
      </w:rPr>
      <w:t>Implementation Plan SEP / Project Database</w:t>
    </w:r>
  </w:p>
  <w:p>
    <w:pPr>
      <w:spacing w:before="0" w:after="160"/>
      <w:pBdr>
        <w:bottom w:val="single" w:sz="4" w:space="4" w:color="9CA3AF"/>
      </w:pBdr>
    </w:pPr>
    <w:r>
      <w:rPr>
        <w:b w:val="0"/>
        <w:color w:val="6B7280"/>
        <w:sz w:val="16"/>
      </w:rPr>
      <w:t>TOC-PLM-02 · status 09/30/2026 · internal working document, not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2EB2D"/>
    <w:multiLevelType w:val="hybridMultilevel"/>
    <w:tmpl w:val="B8BF3F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E2A8A"/>
    <w:multiLevelType w:val="hybridMultilevel"/>
    <w:tmpl w:val="4AB09F1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2A009F"/>
    <w:multiLevelType w:val="hybridMultilevel"/>
    <w:tmpl w:val="4C84E892"/>
    <w:lvl w:ilvl="0" w:tplc="FD02FF82">
      <w:start w:val="2"/>
      <w:numFmt w:val="upperLetter"/>
      <w:lvlText w:val="%1."/>
      <w:lvlJc w:val="left"/>
      <w:pPr>
        <w:tabs>
          <w:tab w:val="num" w:pos="1080"/>
        </w:tabs>
        <w:ind w:left="1080" w:hanging="720"/>
      </w:pPr>
      <w:rPr>
        <w:rFonts w:hint="default"/>
      </w:rPr>
    </w:lvl>
    <w:lvl w:ilvl="1" w:tplc="A7ACFC3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5C4921"/>
    <w:multiLevelType w:val="hybridMultilevel"/>
    <w:tmpl w:val="9288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775450"/>
    <w:multiLevelType w:val="singleLevel"/>
    <w:tmpl w:val="9D925344"/>
    <w:lvl w:ilvl="0">
      <w:start w:val="1"/>
      <w:numFmt w:val="decimal"/>
      <w:lvlText w:val="%1."/>
      <w:lvlJc w:val="left"/>
      <w:pPr>
        <w:tabs>
          <w:tab w:val="num" w:pos="1440"/>
        </w:tabs>
        <w:ind w:left="1440" w:hanging="720"/>
      </w:pPr>
      <w:rPr>
        <w:rFonts w:hint="default"/>
      </w:rPr>
    </w:lvl>
  </w:abstractNum>
  <w:abstractNum w:abstractNumId="5" w15:restartNumberingAfterBreak="0">
    <w:nsid w:val="03226BB4"/>
    <w:multiLevelType w:val="singleLevel"/>
    <w:tmpl w:val="6490523C"/>
    <w:lvl w:ilvl="0">
      <w:start w:val="1"/>
      <w:numFmt w:val="decimal"/>
      <w:lvlText w:val="%1."/>
      <w:lvlJc w:val="left"/>
      <w:pPr>
        <w:tabs>
          <w:tab w:val="num" w:pos="1440"/>
        </w:tabs>
        <w:ind w:left="1440" w:hanging="720"/>
      </w:pPr>
      <w:rPr>
        <w:rFonts w:hint="default"/>
      </w:rPr>
    </w:lvl>
  </w:abstractNum>
  <w:abstractNum w:abstractNumId="6" w15:restartNumberingAfterBreak="0">
    <w:nsid w:val="03300557"/>
    <w:multiLevelType w:val="hybridMultilevel"/>
    <w:tmpl w:val="970E65B4"/>
    <w:lvl w:ilvl="0" w:tplc="CA48BE28">
      <w:start w:val="15"/>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F708B"/>
    <w:multiLevelType w:val="hybridMultilevel"/>
    <w:tmpl w:val="69902E00"/>
    <w:lvl w:ilvl="0" w:tplc="2D741C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D4CB3"/>
    <w:multiLevelType w:val="hybridMultilevel"/>
    <w:tmpl w:val="76D68CEC"/>
    <w:lvl w:ilvl="0" w:tplc="49385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A0222"/>
    <w:multiLevelType w:val="hybridMultilevel"/>
    <w:tmpl w:val="D1228E9A"/>
    <w:lvl w:ilvl="0" w:tplc="5B5AE3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012B5"/>
    <w:multiLevelType w:val="hybridMultilevel"/>
    <w:tmpl w:val="C674C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46F2E"/>
    <w:multiLevelType w:val="hybridMultilevel"/>
    <w:tmpl w:val="38DCD572"/>
    <w:lvl w:ilvl="0" w:tplc="DFA6A1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291B"/>
    <w:multiLevelType w:val="multilevel"/>
    <w:tmpl w:val="49F22962"/>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B20B3"/>
    <w:multiLevelType w:val="hybridMultilevel"/>
    <w:tmpl w:val="78F8536C"/>
    <w:lvl w:ilvl="0" w:tplc="E7C2A2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4D6087E"/>
    <w:multiLevelType w:val="hybridMultilevel"/>
    <w:tmpl w:val="287A5F3E"/>
    <w:lvl w:ilvl="0" w:tplc="5F18877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5436C5F"/>
    <w:multiLevelType w:val="multilevel"/>
    <w:tmpl w:val="0FAEE6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5439"/>
    <w:multiLevelType w:val="multilevel"/>
    <w:tmpl w:val="A720E2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C0111E5"/>
    <w:multiLevelType w:val="hybridMultilevel"/>
    <w:tmpl w:val="88604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 w15:restartNumberingAfterBreak="0">
    <w:nsid w:val="1CB61A72"/>
    <w:multiLevelType w:val="hybridMultilevel"/>
    <w:tmpl w:val="9E14E43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97A336"/>
    <w:multiLevelType w:val="hybridMultilevel"/>
    <w:tmpl w:val="22832B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10E486E"/>
    <w:multiLevelType w:val="hybridMultilevel"/>
    <w:tmpl w:val="D1B232C6"/>
    <w:lvl w:ilvl="0" w:tplc="50C06DE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59641D"/>
    <w:multiLevelType w:val="hybridMultilevel"/>
    <w:tmpl w:val="2B4EC920"/>
    <w:lvl w:ilvl="0" w:tplc="2CD8A0EC">
      <w:start w:val="1"/>
      <w:numFmt w:val="decimal"/>
      <w:lvlText w:val="%1."/>
      <w:lvlJc w:val="left"/>
      <w:pPr>
        <w:tabs>
          <w:tab w:val="num" w:pos="1440"/>
        </w:tabs>
        <w:ind w:left="1440" w:hanging="720"/>
      </w:pPr>
      <w:rPr>
        <w:rFonts w:hint="default"/>
      </w:rPr>
    </w:lvl>
    <w:lvl w:ilvl="1" w:tplc="0D52786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80AA9100">
      <w:start w:val="5"/>
      <w:numFmt w:val="upp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C08A7"/>
    <w:multiLevelType w:val="hybridMultilevel"/>
    <w:tmpl w:val="736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526B4"/>
    <w:multiLevelType w:val="singleLevel"/>
    <w:tmpl w:val="FA624EEE"/>
    <w:lvl w:ilvl="0">
      <w:start w:val="1"/>
      <w:numFmt w:val="lowerLetter"/>
      <w:lvlText w:val="(%1)"/>
      <w:lvlJc w:val="left"/>
      <w:pPr>
        <w:tabs>
          <w:tab w:val="num" w:pos="3600"/>
        </w:tabs>
        <w:ind w:left="3600" w:hanging="720"/>
      </w:pPr>
      <w:rPr>
        <w:rFonts w:hint="default"/>
      </w:rPr>
    </w:lvl>
  </w:abstractNum>
  <w:abstractNum w:abstractNumId="25" w15:restartNumberingAfterBreak="0">
    <w:nsid w:val="29BA09B6"/>
    <w:multiLevelType w:val="hybridMultilevel"/>
    <w:tmpl w:val="8C74E6B4"/>
    <w:lvl w:ilvl="0" w:tplc="0B1C6ACA">
      <w:start w:val="1"/>
      <w:numFmt w:val="upperLetter"/>
      <w:lvlText w:val="%1."/>
      <w:lvlJc w:val="left"/>
      <w:pPr>
        <w:ind w:left="720" w:hanging="360"/>
      </w:pPr>
      <w:rPr>
        <w:rFonts w:hint="default"/>
        <w:b/>
      </w:rPr>
    </w:lvl>
    <w:lvl w:ilvl="1" w:tplc="2FBA4DEE">
      <w:start w:val="1"/>
      <w:numFmt w:val="decimal"/>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2E31"/>
    <w:multiLevelType w:val="hybridMultilevel"/>
    <w:tmpl w:val="45287BC8"/>
    <w:lvl w:ilvl="0" w:tplc="04090001">
      <w:start w:val="1"/>
      <w:numFmt w:val="bullet"/>
      <w:lvlText w:val=""/>
      <w:lvlJc w:val="left"/>
      <w:pPr>
        <w:tabs>
          <w:tab w:val="num" w:pos="1296"/>
        </w:tabs>
        <w:ind w:left="1296" w:hanging="360"/>
      </w:pPr>
      <w:rPr>
        <w:rFonts w:ascii="Symbol" w:hAnsi="Symbol" w:hint="default"/>
      </w:rPr>
    </w:lvl>
    <w:lvl w:ilvl="1" w:tplc="EBCA585C">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240F64"/>
    <w:multiLevelType w:val="hybridMultilevel"/>
    <w:tmpl w:val="FC4A687C"/>
    <w:lvl w:ilvl="0" w:tplc="A75C0938">
      <w:start w:val="2"/>
      <w:numFmt w:val="decimal"/>
      <w:lvlText w:val="%1."/>
      <w:lvlJc w:val="left"/>
      <w:pPr>
        <w:tabs>
          <w:tab w:val="num" w:pos="1440"/>
        </w:tabs>
        <w:ind w:left="1440" w:hanging="720"/>
      </w:pPr>
      <w:rPr>
        <w:rFonts w:hint="default"/>
      </w:rPr>
    </w:lvl>
    <w:lvl w:ilvl="1" w:tplc="83DC1C5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F2B4837A">
      <w:start w:val="5"/>
      <w:numFmt w:val="upperLetter"/>
      <w:lvlText w:val="%4."/>
      <w:lvlJc w:val="left"/>
      <w:pPr>
        <w:tabs>
          <w:tab w:val="num" w:pos="3600"/>
        </w:tabs>
        <w:ind w:left="3600" w:hanging="72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CE63050"/>
    <w:multiLevelType w:val="hybridMultilevel"/>
    <w:tmpl w:val="A9BAB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80F7E"/>
    <w:multiLevelType w:val="multilevel"/>
    <w:tmpl w:val="2F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4337C"/>
    <w:multiLevelType w:val="hybridMultilevel"/>
    <w:tmpl w:val="C5AE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DB2B9F"/>
    <w:multiLevelType w:val="hybridMultilevel"/>
    <w:tmpl w:val="E9F4C590"/>
    <w:lvl w:ilvl="0" w:tplc="E5601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02400FA"/>
    <w:multiLevelType w:val="singleLevel"/>
    <w:tmpl w:val="E5BC0448"/>
    <w:lvl w:ilvl="0">
      <w:start w:val="2"/>
      <w:numFmt w:val="upperLetter"/>
      <w:pStyle w:val="Heading1"/>
      <w:lvlText w:val="%1."/>
      <w:lvlJc w:val="left"/>
      <w:pPr>
        <w:tabs>
          <w:tab w:val="num" w:pos="720"/>
        </w:tabs>
        <w:ind w:left="720" w:hanging="720"/>
      </w:pPr>
      <w:rPr>
        <w:rFonts w:hint="default"/>
      </w:rPr>
    </w:lvl>
  </w:abstractNum>
  <w:abstractNum w:abstractNumId="33" w15:restartNumberingAfterBreak="0">
    <w:nsid w:val="32F52C15"/>
    <w:multiLevelType w:val="hybridMultilevel"/>
    <w:tmpl w:val="DDB87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404A79"/>
    <w:multiLevelType w:val="hybridMultilevel"/>
    <w:tmpl w:val="7408C094"/>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D85496"/>
    <w:multiLevelType w:val="hybridMultilevel"/>
    <w:tmpl w:val="9026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EE7699"/>
    <w:multiLevelType w:val="hybridMultilevel"/>
    <w:tmpl w:val="49F22962"/>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F72956"/>
    <w:multiLevelType w:val="hybridMultilevel"/>
    <w:tmpl w:val="0D245C3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F8D3D84"/>
    <w:multiLevelType w:val="hybridMultilevel"/>
    <w:tmpl w:val="17347ED0"/>
    <w:lvl w:ilvl="0" w:tplc="7398E906">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400550C4"/>
    <w:multiLevelType w:val="hybridMultilevel"/>
    <w:tmpl w:val="6E66B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D704B"/>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D22C1"/>
    <w:multiLevelType w:val="multilevel"/>
    <w:tmpl w:val="16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0452B"/>
    <w:multiLevelType w:val="hybridMultilevel"/>
    <w:tmpl w:val="AC04A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CBA4C5B"/>
    <w:multiLevelType w:val="hybridMultilevel"/>
    <w:tmpl w:val="2CD67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4CFE6CF4"/>
    <w:multiLevelType w:val="hybridMultilevel"/>
    <w:tmpl w:val="D4A68766"/>
    <w:lvl w:ilvl="0" w:tplc="CAC2159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AE07026">
      <w:start w:val="6"/>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E294E70"/>
    <w:multiLevelType w:val="hybridMultilevel"/>
    <w:tmpl w:val="17882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F0DC8"/>
    <w:multiLevelType w:val="hybridMultilevel"/>
    <w:tmpl w:val="BE7AEE14"/>
    <w:lvl w:ilvl="0" w:tplc="0E6A3A0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810ED7"/>
    <w:multiLevelType w:val="hybridMultilevel"/>
    <w:tmpl w:val="206E67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44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695D98"/>
    <w:multiLevelType w:val="hybridMultilevel"/>
    <w:tmpl w:val="2D06CD2A"/>
    <w:lvl w:ilvl="0" w:tplc="460A7AB4">
      <w:start w:val="4"/>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676E76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7C67E2C"/>
    <w:multiLevelType w:val="multilevel"/>
    <w:tmpl w:val="4AB09F10"/>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7D30711"/>
    <w:multiLevelType w:val="hybridMultilevel"/>
    <w:tmpl w:val="C4B6F8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8A4FE6"/>
    <w:multiLevelType w:val="multilevel"/>
    <w:tmpl w:val="DC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01C"/>
    <w:multiLevelType w:val="hybridMultilevel"/>
    <w:tmpl w:val="EB60456C"/>
    <w:lvl w:ilvl="0" w:tplc="3A30C3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2024E6"/>
    <w:multiLevelType w:val="multilevel"/>
    <w:tmpl w:val="76480E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DBB2950"/>
    <w:multiLevelType w:val="hybridMultilevel"/>
    <w:tmpl w:val="A75E6044"/>
    <w:lvl w:ilvl="0" w:tplc="79D693F8">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CF4F73"/>
    <w:multiLevelType w:val="hybridMultilevel"/>
    <w:tmpl w:val="FACC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B3898"/>
    <w:multiLevelType w:val="multilevel"/>
    <w:tmpl w:val="D9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E4E0E"/>
    <w:multiLevelType w:val="hybridMultilevel"/>
    <w:tmpl w:val="6E86A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1B15456"/>
    <w:multiLevelType w:val="hybridMultilevel"/>
    <w:tmpl w:val="689C80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2CC4F88"/>
    <w:multiLevelType w:val="hybridMultilevel"/>
    <w:tmpl w:val="C4B6F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050723"/>
    <w:multiLevelType w:val="multilevel"/>
    <w:tmpl w:val="E31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7F7"/>
    <w:multiLevelType w:val="multilevel"/>
    <w:tmpl w:val="21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3BA9"/>
    <w:multiLevelType w:val="hybridMultilevel"/>
    <w:tmpl w:val="0FAEE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9C13DA"/>
    <w:multiLevelType w:val="hybridMultilevel"/>
    <w:tmpl w:val="806295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597EF3"/>
    <w:multiLevelType w:val="hybridMultilevel"/>
    <w:tmpl w:val="CF080646"/>
    <w:lvl w:ilvl="0" w:tplc="844CE196">
      <w:start w:val="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FD90EBA"/>
    <w:multiLevelType w:val="hybridMultilevel"/>
    <w:tmpl w:val="F110B686"/>
    <w:lvl w:ilvl="0" w:tplc="ABE61488">
      <w:start w:val="6"/>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3143325">
    <w:abstractNumId w:val="48"/>
  </w:num>
  <w:num w:numId="2" w16cid:durableId="2141723158">
    <w:abstractNumId w:val="32"/>
  </w:num>
  <w:num w:numId="3" w16cid:durableId="992756059">
    <w:abstractNumId w:val="5"/>
  </w:num>
  <w:num w:numId="4" w16cid:durableId="2033844578">
    <w:abstractNumId w:val="24"/>
  </w:num>
  <w:num w:numId="5" w16cid:durableId="326907362">
    <w:abstractNumId w:val="4"/>
  </w:num>
  <w:num w:numId="6" w16cid:durableId="1794865726">
    <w:abstractNumId w:val="34"/>
  </w:num>
  <w:num w:numId="7" w16cid:durableId="97599740">
    <w:abstractNumId w:val="19"/>
  </w:num>
  <w:num w:numId="8" w16cid:durableId="700085806">
    <w:abstractNumId w:val="36"/>
  </w:num>
  <w:num w:numId="9" w16cid:durableId="402064300">
    <w:abstractNumId w:val="12"/>
  </w:num>
  <w:num w:numId="10" w16cid:durableId="108597909">
    <w:abstractNumId w:val="26"/>
  </w:num>
  <w:num w:numId="11" w16cid:durableId="1964072033">
    <w:abstractNumId w:val="58"/>
  </w:num>
  <w:num w:numId="12" w16cid:durableId="1526868204">
    <w:abstractNumId w:val="1"/>
  </w:num>
  <w:num w:numId="13" w16cid:durableId="1719888913">
    <w:abstractNumId w:val="50"/>
  </w:num>
  <w:num w:numId="14" w16cid:durableId="265427478">
    <w:abstractNumId w:val="37"/>
  </w:num>
  <w:num w:numId="15" w16cid:durableId="1014116202">
    <w:abstractNumId w:val="63"/>
  </w:num>
  <w:num w:numId="16" w16cid:durableId="619917254">
    <w:abstractNumId w:val="15"/>
  </w:num>
  <w:num w:numId="17" w16cid:durableId="156194220">
    <w:abstractNumId w:val="31"/>
  </w:num>
  <w:num w:numId="18" w16cid:durableId="548758888">
    <w:abstractNumId w:val="22"/>
  </w:num>
  <w:num w:numId="19" w16cid:durableId="1664313983">
    <w:abstractNumId w:val="44"/>
  </w:num>
  <w:num w:numId="20" w16cid:durableId="852449992">
    <w:abstractNumId w:val="66"/>
  </w:num>
  <w:num w:numId="21" w16cid:durableId="1526166402">
    <w:abstractNumId w:val="2"/>
  </w:num>
  <w:num w:numId="22" w16cid:durableId="416177202">
    <w:abstractNumId w:val="13"/>
  </w:num>
  <w:num w:numId="23" w16cid:durableId="1836217251">
    <w:abstractNumId w:val="38"/>
  </w:num>
  <w:num w:numId="24" w16cid:durableId="86007551">
    <w:abstractNumId w:val="65"/>
  </w:num>
  <w:num w:numId="25" w16cid:durableId="901987615">
    <w:abstractNumId w:val="27"/>
  </w:num>
  <w:num w:numId="26" w16cid:durableId="166528093">
    <w:abstractNumId w:val="49"/>
  </w:num>
  <w:num w:numId="27" w16cid:durableId="331106993">
    <w:abstractNumId w:val="14"/>
  </w:num>
  <w:num w:numId="28" w16cid:durableId="1196237231">
    <w:abstractNumId w:val="0"/>
  </w:num>
  <w:num w:numId="29" w16cid:durableId="2088336108">
    <w:abstractNumId w:val="20"/>
  </w:num>
  <w:num w:numId="30" w16cid:durableId="1502500820">
    <w:abstractNumId w:val="18"/>
  </w:num>
  <w:num w:numId="31" w16cid:durableId="2092462481">
    <w:abstractNumId w:val="43"/>
  </w:num>
  <w:num w:numId="32" w16cid:durableId="405542036">
    <w:abstractNumId w:val="25"/>
  </w:num>
  <w:num w:numId="33" w16cid:durableId="185101039">
    <w:abstractNumId w:val="21"/>
  </w:num>
  <w:num w:numId="34" w16cid:durableId="1915167170">
    <w:abstractNumId w:val="7"/>
  </w:num>
  <w:num w:numId="35" w16cid:durableId="1192455890">
    <w:abstractNumId w:val="47"/>
  </w:num>
  <w:num w:numId="36" w16cid:durableId="1544444404">
    <w:abstractNumId w:val="46"/>
  </w:num>
  <w:num w:numId="37" w16cid:durableId="1656374723">
    <w:abstractNumId w:val="6"/>
  </w:num>
  <w:num w:numId="38" w16cid:durableId="1739857579">
    <w:abstractNumId w:val="28"/>
  </w:num>
  <w:num w:numId="39" w16cid:durableId="1939832369">
    <w:abstractNumId w:val="55"/>
  </w:num>
  <w:num w:numId="40" w16cid:durableId="1660189684">
    <w:abstractNumId w:val="33"/>
  </w:num>
  <w:num w:numId="41" w16cid:durableId="321979555">
    <w:abstractNumId w:val="10"/>
  </w:num>
  <w:num w:numId="42" w16cid:durableId="1576893042">
    <w:abstractNumId w:val="30"/>
  </w:num>
  <w:num w:numId="43" w16cid:durableId="1529760611">
    <w:abstractNumId w:val="3"/>
  </w:num>
  <w:num w:numId="44" w16cid:durableId="1468400077">
    <w:abstractNumId w:val="42"/>
  </w:num>
  <w:num w:numId="45" w16cid:durableId="358509366">
    <w:abstractNumId w:val="35"/>
  </w:num>
  <w:num w:numId="46" w16cid:durableId="979118269">
    <w:abstractNumId w:val="45"/>
  </w:num>
  <w:num w:numId="47" w16cid:durableId="1693997147">
    <w:abstractNumId w:val="60"/>
  </w:num>
  <w:num w:numId="48" w16cid:durableId="535964583">
    <w:abstractNumId w:val="11"/>
  </w:num>
  <w:num w:numId="49" w16cid:durableId="452289653">
    <w:abstractNumId w:val="8"/>
  </w:num>
  <w:num w:numId="50" w16cid:durableId="1094783998">
    <w:abstractNumId w:val="9"/>
  </w:num>
  <w:num w:numId="51" w16cid:durableId="724790415">
    <w:abstractNumId w:val="64"/>
  </w:num>
  <w:num w:numId="52" w16cid:durableId="1667243253">
    <w:abstractNumId w:val="23"/>
  </w:num>
  <w:num w:numId="53" w16cid:durableId="1032925777">
    <w:abstractNumId w:val="51"/>
  </w:num>
  <w:num w:numId="54" w16cid:durableId="1284771427">
    <w:abstractNumId w:val="54"/>
  </w:num>
  <w:num w:numId="55" w16cid:durableId="407506769">
    <w:abstractNumId w:val="17"/>
  </w:num>
  <w:num w:numId="56" w16cid:durableId="510031082">
    <w:abstractNumId w:val="56"/>
  </w:num>
  <w:num w:numId="57" w16cid:durableId="603150885">
    <w:abstractNumId w:val="41"/>
  </w:num>
  <w:num w:numId="58" w16cid:durableId="2077506170">
    <w:abstractNumId w:val="53"/>
  </w:num>
  <w:num w:numId="59" w16cid:durableId="934745583">
    <w:abstractNumId w:val="59"/>
  </w:num>
  <w:num w:numId="60" w16cid:durableId="1569265954">
    <w:abstractNumId w:val="29"/>
  </w:num>
  <w:num w:numId="61" w16cid:durableId="1746297996">
    <w:abstractNumId w:val="52"/>
  </w:num>
  <w:num w:numId="62" w16cid:durableId="548496790">
    <w:abstractNumId w:val="16"/>
  </w:num>
  <w:num w:numId="63" w16cid:durableId="416443955">
    <w:abstractNumId w:val="62"/>
  </w:num>
  <w:num w:numId="64" w16cid:durableId="1908874521">
    <w:abstractNumId w:val="40"/>
  </w:num>
  <w:num w:numId="65" w16cid:durableId="491526275">
    <w:abstractNumId w:val="61"/>
  </w:num>
  <w:num w:numId="66" w16cid:durableId="2004506294">
    <w:abstractNumId w:val="57"/>
  </w:num>
  <w:num w:numId="67" w16cid:durableId="8424728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55"/>
    <w:rsid w:val="000006DD"/>
    <w:rsid w:val="00004A62"/>
    <w:rsid w:val="000244AF"/>
    <w:rsid w:val="000409AD"/>
    <w:rsid w:val="000437A8"/>
    <w:rsid w:val="00043F20"/>
    <w:rsid w:val="00043F71"/>
    <w:rsid w:val="00050D47"/>
    <w:rsid w:val="000530CE"/>
    <w:rsid w:val="00070C27"/>
    <w:rsid w:val="00070F81"/>
    <w:rsid w:val="000745F5"/>
    <w:rsid w:val="00076FEE"/>
    <w:rsid w:val="00077C43"/>
    <w:rsid w:val="000853A4"/>
    <w:rsid w:val="00087AC0"/>
    <w:rsid w:val="0009537E"/>
    <w:rsid w:val="000A28F1"/>
    <w:rsid w:val="000A639A"/>
    <w:rsid w:val="000B0280"/>
    <w:rsid w:val="000B180E"/>
    <w:rsid w:val="000C1213"/>
    <w:rsid w:val="000C2A57"/>
    <w:rsid w:val="000C453A"/>
    <w:rsid w:val="000C5574"/>
    <w:rsid w:val="000D151D"/>
    <w:rsid w:val="000D2FF8"/>
    <w:rsid w:val="000D39FD"/>
    <w:rsid w:val="000E6A65"/>
    <w:rsid w:val="001040FC"/>
    <w:rsid w:val="00117DDA"/>
    <w:rsid w:val="00125ACE"/>
    <w:rsid w:val="00127696"/>
    <w:rsid w:val="001347E8"/>
    <w:rsid w:val="00150D1E"/>
    <w:rsid w:val="00154AEC"/>
    <w:rsid w:val="00155128"/>
    <w:rsid w:val="00162EE3"/>
    <w:rsid w:val="00180125"/>
    <w:rsid w:val="00181B6A"/>
    <w:rsid w:val="001862F0"/>
    <w:rsid w:val="001A243D"/>
    <w:rsid w:val="001A4273"/>
    <w:rsid w:val="001A5668"/>
    <w:rsid w:val="001A7507"/>
    <w:rsid w:val="001B1143"/>
    <w:rsid w:val="001B42C7"/>
    <w:rsid w:val="001C5CDE"/>
    <w:rsid w:val="001D20AA"/>
    <w:rsid w:val="001E38CF"/>
    <w:rsid w:val="001E7FCC"/>
    <w:rsid w:val="001F19A3"/>
    <w:rsid w:val="001F2709"/>
    <w:rsid w:val="001F28D1"/>
    <w:rsid w:val="00203DAE"/>
    <w:rsid w:val="00205A2F"/>
    <w:rsid w:val="002147D1"/>
    <w:rsid w:val="00215D29"/>
    <w:rsid w:val="002270DD"/>
    <w:rsid w:val="002324E7"/>
    <w:rsid w:val="0023320F"/>
    <w:rsid w:val="00244D30"/>
    <w:rsid w:val="00254630"/>
    <w:rsid w:val="00257582"/>
    <w:rsid w:val="002763AF"/>
    <w:rsid w:val="00276784"/>
    <w:rsid w:val="00282DD9"/>
    <w:rsid w:val="00284156"/>
    <w:rsid w:val="002A34E8"/>
    <w:rsid w:val="002B23D5"/>
    <w:rsid w:val="002C01D1"/>
    <w:rsid w:val="002C47C9"/>
    <w:rsid w:val="002C6F39"/>
    <w:rsid w:val="002D3BB7"/>
    <w:rsid w:val="002D66CE"/>
    <w:rsid w:val="002D789D"/>
    <w:rsid w:val="002E05F7"/>
    <w:rsid w:val="002E1F61"/>
    <w:rsid w:val="002E5B17"/>
    <w:rsid w:val="0031050D"/>
    <w:rsid w:val="00314C1B"/>
    <w:rsid w:val="00317D5F"/>
    <w:rsid w:val="00321B07"/>
    <w:rsid w:val="003221A0"/>
    <w:rsid w:val="003248C4"/>
    <w:rsid w:val="00324A78"/>
    <w:rsid w:val="00326A8D"/>
    <w:rsid w:val="00343954"/>
    <w:rsid w:val="00343DE4"/>
    <w:rsid w:val="00346051"/>
    <w:rsid w:val="00353403"/>
    <w:rsid w:val="00356D49"/>
    <w:rsid w:val="00361B3C"/>
    <w:rsid w:val="00362C79"/>
    <w:rsid w:val="003637DF"/>
    <w:rsid w:val="00365D1F"/>
    <w:rsid w:val="00376AA1"/>
    <w:rsid w:val="003800FC"/>
    <w:rsid w:val="003A0836"/>
    <w:rsid w:val="003A0A37"/>
    <w:rsid w:val="003A1EC4"/>
    <w:rsid w:val="003A39D2"/>
    <w:rsid w:val="003B5AEC"/>
    <w:rsid w:val="003C249C"/>
    <w:rsid w:val="003D057D"/>
    <w:rsid w:val="003D16D1"/>
    <w:rsid w:val="003D2849"/>
    <w:rsid w:val="003D493A"/>
    <w:rsid w:val="003D550E"/>
    <w:rsid w:val="003D69C8"/>
    <w:rsid w:val="003E3A16"/>
    <w:rsid w:val="003E70AB"/>
    <w:rsid w:val="00405DF1"/>
    <w:rsid w:val="0041705D"/>
    <w:rsid w:val="00424534"/>
    <w:rsid w:val="00427E01"/>
    <w:rsid w:val="0043095B"/>
    <w:rsid w:val="004339F4"/>
    <w:rsid w:val="00441ED6"/>
    <w:rsid w:val="0044709D"/>
    <w:rsid w:val="004505AD"/>
    <w:rsid w:val="00451E8D"/>
    <w:rsid w:val="00457466"/>
    <w:rsid w:val="004577FC"/>
    <w:rsid w:val="004601CB"/>
    <w:rsid w:val="004655F1"/>
    <w:rsid w:val="00465A06"/>
    <w:rsid w:val="0047021C"/>
    <w:rsid w:val="00474009"/>
    <w:rsid w:val="00483437"/>
    <w:rsid w:val="00491DD4"/>
    <w:rsid w:val="0049231C"/>
    <w:rsid w:val="00497DF2"/>
    <w:rsid w:val="004A726A"/>
    <w:rsid w:val="004D0E80"/>
    <w:rsid w:val="004D4CFD"/>
    <w:rsid w:val="004E22F4"/>
    <w:rsid w:val="00500FFB"/>
    <w:rsid w:val="00503AC8"/>
    <w:rsid w:val="005043AB"/>
    <w:rsid w:val="00511459"/>
    <w:rsid w:val="00515432"/>
    <w:rsid w:val="00515984"/>
    <w:rsid w:val="00515CC2"/>
    <w:rsid w:val="00517C1F"/>
    <w:rsid w:val="00521B2E"/>
    <w:rsid w:val="00540BD8"/>
    <w:rsid w:val="005479C2"/>
    <w:rsid w:val="00550827"/>
    <w:rsid w:val="00563A4F"/>
    <w:rsid w:val="00571282"/>
    <w:rsid w:val="00585739"/>
    <w:rsid w:val="00593CDB"/>
    <w:rsid w:val="005A09CE"/>
    <w:rsid w:val="005A6883"/>
    <w:rsid w:val="005B129A"/>
    <w:rsid w:val="005C11BA"/>
    <w:rsid w:val="005C5D0D"/>
    <w:rsid w:val="005C5FE9"/>
    <w:rsid w:val="005D07C5"/>
    <w:rsid w:val="005D1422"/>
    <w:rsid w:val="005D2C08"/>
    <w:rsid w:val="005D367C"/>
    <w:rsid w:val="005E550D"/>
    <w:rsid w:val="005F083C"/>
    <w:rsid w:val="005F4031"/>
    <w:rsid w:val="005F5A96"/>
    <w:rsid w:val="00601E62"/>
    <w:rsid w:val="00602563"/>
    <w:rsid w:val="006044F2"/>
    <w:rsid w:val="00615B75"/>
    <w:rsid w:val="0062491B"/>
    <w:rsid w:val="00626808"/>
    <w:rsid w:val="006341E9"/>
    <w:rsid w:val="006354A7"/>
    <w:rsid w:val="006356CB"/>
    <w:rsid w:val="00636DBD"/>
    <w:rsid w:val="00637D41"/>
    <w:rsid w:val="00640AE0"/>
    <w:rsid w:val="00642FF9"/>
    <w:rsid w:val="00651B7E"/>
    <w:rsid w:val="006562F9"/>
    <w:rsid w:val="00660C57"/>
    <w:rsid w:val="006615E2"/>
    <w:rsid w:val="0068060F"/>
    <w:rsid w:val="006939EC"/>
    <w:rsid w:val="006C1466"/>
    <w:rsid w:val="006C1A2F"/>
    <w:rsid w:val="006C4355"/>
    <w:rsid w:val="006C6325"/>
    <w:rsid w:val="006D15DF"/>
    <w:rsid w:val="006E4804"/>
    <w:rsid w:val="006E7D1C"/>
    <w:rsid w:val="006F164A"/>
    <w:rsid w:val="006F402E"/>
    <w:rsid w:val="006F4D1E"/>
    <w:rsid w:val="0070195E"/>
    <w:rsid w:val="00702641"/>
    <w:rsid w:val="00706561"/>
    <w:rsid w:val="00713E53"/>
    <w:rsid w:val="0072105C"/>
    <w:rsid w:val="00721A55"/>
    <w:rsid w:val="00722CAB"/>
    <w:rsid w:val="0072424B"/>
    <w:rsid w:val="00726828"/>
    <w:rsid w:val="0073622A"/>
    <w:rsid w:val="007445DD"/>
    <w:rsid w:val="007516D5"/>
    <w:rsid w:val="00755DFA"/>
    <w:rsid w:val="007660E1"/>
    <w:rsid w:val="0077798A"/>
    <w:rsid w:val="00785C80"/>
    <w:rsid w:val="00787E1B"/>
    <w:rsid w:val="007A027F"/>
    <w:rsid w:val="007A308D"/>
    <w:rsid w:val="007B249A"/>
    <w:rsid w:val="007B6893"/>
    <w:rsid w:val="007C58F8"/>
    <w:rsid w:val="007D3186"/>
    <w:rsid w:val="007E4213"/>
    <w:rsid w:val="007F1375"/>
    <w:rsid w:val="007F155F"/>
    <w:rsid w:val="007F4F5F"/>
    <w:rsid w:val="00806E2D"/>
    <w:rsid w:val="0081752F"/>
    <w:rsid w:val="008241EE"/>
    <w:rsid w:val="00844382"/>
    <w:rsid w:val="00844B63"/>
    <w:rsid w:val="00855F26"/>
    <w:rsid w:val="0085760F"/>
    <w:rsid w:val="00862F0C"/>
    <w:rsid w:val="008948D8"/>
    <w:rsid w:val="00897C37"/>
    <w:rsid w:val="008A1F42"/>
    <w:rsid w:val="008A4EC8"/>
    <w:rsid w:val="008B0206"/>
    <w:rsid w:val="008B350C"/>
    <w:rsid w:val="008B399A"/>
    <w:rsid w:val="008B46FF"/>
    <w:rsid w:val="008B4EA6"/>
    <w:rsid w:val="008B4F45"/>
    <w:rsid w:val="008B6CB0"/>
    <w:rsid w:val="008C4662"/>
    <w:rsid w:val="008D2DD1"/>
    <w:rsid w:val="008E590E"/>
    <w:rsid w:val="008F4314"/>
    <w:rsid w:val="0091503B"/>
    <w:rsid w:val="00921ABE"/>
    <w:rsid w:val="00924322"/>
    <w:rsid w:val="00937A7C"/>
    <w:rsid w:val="00962A6E"/>
    <w:rsid w:val="009654DE"/>
    <w:rsid w:val="00975216"/>
    <w:rsid w:val="00992A01"/>
    <w:rsid w:val="00993D58"/>
    <w:rsid w:val="00996AB1"/>
    <w:rsid w:val="00996C46"/>
    <w:rsid w:val="0099710C"/>
    <w:rsid w:val="009A5F94"/>
    <w:rsid w:val="009B282C"/>
    <w:rsid w:val="009B3114"/>
    <w:rsid w:val="009C1E93"/>
    <w:rsid w:val="009C5C40"/>
    <w:rsid w:val="009F04FF"/>
    <w:rsid w:val="009F1B9F"/>
    <w:rsid w:val="009F2D71"/>
    <w:rsid w:val="009F375F"/>
    <w:rsid w:val="00A004E1"/>
    <w:rsid w:val="00A01491"/>
    <w:rsid w:val="00A06CFD"/>
    <w:rsid w:val="00A11571"/>
    <w:rsid w:val="00A17C72"/>
    <w:rsid w:val="00A3061A"/>
    <w:rsid w:val="00A45949"/>
    <w:rsid w:val="00A51E2C"/>
    <w:rsid w:val="00A547A3"/>
    <w:rsid w:val="00A55428"/>
    <w:rsid w:val="00A57078"/>
    <w:rsid w:val="00A575E9"/>
    <w:rsid w:val="00A7048A"/>
    <w:rsid w:val="00A81041"/>
    <w:rsid w:val="00A813CE"/>
    <w:rsid w:val="00A8262F"/>
    <w:rsid w:val="00A84033"/>
    <w:rsid w:val="00A848D5"/>
    <w:rsid w:val="00A90808"/>
    <w:rsid w:val="00A927CE"/>
    <w:rsid w:val="00A970ED"/>
    <w:rsid w:val="00AA034A"/>
    <w:rsid w:val="00AA7A28"/>
    <w:rsid w:val="00AD1EF5"/>
    <w:rsid w:val="00AE65D5"/>
    <w:rsid w:val="00AE7952"/>
    <w:rsid w:val="00AF05BF"/>
    <w:rsid w:val="00AF5672"/>
    <w:rsid w:val="00B054CC"/>
    <w:rsid w:val="00B065F1"/>
    <w:rsid w:val="00B13417"/>
    <w:rsid w:val="00B16144"/>
    <w:rsid w:val="00B21E66"/>
    <w:rsid w:val="00B36F4C"/>
    <w:rsid w:val="00B4233C"/>
    <w:rsid w:val="00B54026"/>
    <w:rsid w:val="00B8222E"/>
    <w:rsid w:val="00B83A7F"/>
    <w:rsid w:val="00BA6CB6"/>
    <w:rsid w:val="00BA7D67"/>
    <w:rsid w:val="00BB7050"/>
    <w:rsid w:val="00BC1839"/>
    <w:rsid w:val="00BC1AE7"/>
    <w:rsid w:val="00BC4BBD"/>
    <w:rsid w:val="00BD0553"/>
    <w:rsid w:val="00BD662A"/>
    <w:rsid w:val="00BD74C2"/>
    <w:rsid w:val="00BE2F9E"/>
    <w:rsid w:val="00BE462A"/>
    <w:rsid w:val="00BE52EB"/>
    <w:rsid w:val="00BE7F5F"/>
    <w:rsid w:val="00BF3299"/>
    <w:rsid w:val="00BF75F0"/>
    <w:rsid w:val="00C01E97"/>
    <w:rsid w:val="00C0780B"/>
    <w:rsid w:val="00C15439"/>
    <w:rsid w:val="00C256FB"/>
    <w:rsid w:val="00C304D6"/>
    <w:rsid w:val="00C342F6"/>
    <w:rsid w:val="00C3536F"/>
    <w:rsid w:val="00C35F8C"/>
    <w:rsid w:val="00C406E3"/>
    <w:rsid w:val="00C45AFE"/>
    <w:rsid w:val="00C5614C"/>
    <w:rsid w:val="00C64E3C"/>
    <w:rsid w:val="00C7038E"/>
    <w:rsid w:val="00C75E96"/>
    <w:rsid w:val="00C76C06"/>
    <w:rsid w:val="00C83C2A"/>
    <w:rsid w:val="00C92A0B"/>
    <w:rsid w:val="00C9537E"/>
    <w:rsid w:val="00CA09E4"/>
    <w:rsid w:val="00CB49F0"/>
    <w:rsid w:val="00CC4D60"/>
    <w:rsid w:val="00CC63AC"/>
    <w:rsid w:val="00CD5AEC"/>
    <w:rsid w:val="00CE33F3"/>
    <w:rsid w:val="00CE3568"/>
    <w:rsid w:val="00CE78D6"/>
    <w:rsid w:val="00CF0DCE"/>
    <w:rsid w:val="00CF20FF"/>
    <w:rsid w:val="00CF4625"/>
    <w:rsid w:val="00CF6108"/>
    <w:rsid w:val="00CF72E1"/>
    <w:rsid w:val="00D05BD0"/>
    <w:rsid w:val="00D20ECF"/>
    <w:rsid w:val="00D24221"/>
    <w:rsid w:val="00D360FE"/>
    <w:rsid w:val="00D51298"/>
    <w:rsid w:val="00D51753"/>
    <w:rsid w:val="00D52B4A"/>
    <w:rsid w:val="00D57F3C"/>
    <w:rsid w:val="00D60E01"/>
    <w:rsid w:val="00D6341C"/>
    <w:rsid w:val="00D65D57"/>
    <w:rsid w:val="00D67ECD"/>
    <w:rsid w:val="00D73B2A"/>
    <w:rsid w:val="00D81BCA"/>
    <w:rsid w:val="00DA41A6"/>
    <w:rsid w:val="00DA49DC"/>
    <w:rsid w:val="00DB1460"/>
    <w:rsid w:val="00DB2060"/>
    <w:rsid w:val="00DC5051"/>
    <w:rsid w:val="00DC5151"/>
    <w:rsid w:val="00DD0EB6"/>
    <w:rsid w:val="00DD1215"/>
    <w:rsid w:val="00DD4ACF"/>
    <w:rsid w:val="00DE06C6"/>
    <w:rsid w:val="00DE3555"/>
    <w:rsid w:val="00DF23A9"/>
    <w:rsid w:val="00DF765E"/>
    <w:rsid w:val="00E0705A"/>
    <w:rsid w:val="00E07B03"/>
    <w:rsid w:val="00E27A09"/>
    <w:rsid w:val="00E30DF9"/>
    <w:rsid w:val="00E3581D"/>
    <w:rsid w:val="00E44E05"/>
    <w:rsid w:val="00E46DB7"/>
    <w:rsid w:val="00E5149D"/>
    <w:rsid w:val="00E5251D"/>
    <w:rsid w:val="00E546F2"/>
    <w:rsid w:val="00E57F22"/>
    <w:rsid w:val="00E60B38"/>
    <w:rsid w:val="00E658F9"/>
    <w:rsid w:val="00E83612"/>
    <w:rsid w:val="00EB2A72"/>
    <w:rsid w:val="00EB4064"/>
    <w:rsid w:val="00EE00FB"/>
    <w:rsid w:val="00EE1D54"/>
    <w:rsid w:val="00EF2398"/>
    <w:rsid w:val="00EF4922"/>
    <w:rsid w:val="00EF4BE2"/>
    <w:rsid w:val="00EF550A"/>
    <w:rsid w:val="00EF6108"/>
    <w:rsid w:val="00F06BF7"/>
    <w:rsid w:val="00F21822"/>
    <w:rsid w:val="00F237B3"/>
    <w:rsid w:val="00F300D6"/>
    <w:rsid w:val="00F37A82"/>
    <w:rsid w:val="00F513B3"/>
    <w:rsid w:val="00F53C4D"/>
    <w:rsid w:val="00F54F3F"/>
    <w:rsid w:val="00F56423"/>
    <w:rsid w:val="00F57D0B"/>
    <w:rsid w:val="00F637CC"/>
    <w:rsid w:val="00F70559"/>
    <w:rsid w:val="00F70E5B"/>
    <w:rsid w:val="00F73705"/>
    <w:rsid w:val="00F75933"/>
    <w:rsid w:val="00F75FB1"/>
    <w:rsid w:val="00F77710"/>
    <w:rsid w:val="00F83AF1"/>
    <w:rsid w:val="00F927D1"/>
    <w:rsid w:val="00F94584"/>
    <w:rsid w:val="00FA2744"/>
    <w:rsid w:val="00FA54CD"/>
    <w:rsid w:val="00FC338E"/>
    <w:rsid w:val="00FD0365"/>
    <w:rsid w:val="00FD1B94"/>
    <w:rsid w:val="00FD3215"/>
    <w:rsid w:val="00FD52CC"/>
    <w:rsid w:val="00FE3FD1"/>
    <w:rsid w:val="00FF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1D9C"/>
  <w15:chartTrackingRefBased/>
  <w15:docId w15:val="{8BA9DA1D-9C49-46E3-9E9C-365974AC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jc w:val="both"/>
      <w:outlineLvl w:val="0"/>
    </w:pPr>
    <w:rPr>
      <w:color w:val="000000"/>
      <w:sz w:val="24"/>
    </w:rPr>
  </w:style>
  <w:style w:type="paragraph" w:styleId="Heading3">
    <w:name w:val="heading 3"/>
    <w:basedOn w:val="Normal"/>
    <w:next w:val="Normal"/>
    <w:link w:val="Heading3Char"/>
    <w:unhideWhenUsed/>
    <w:qFormat/>
    <w:rsid w:val="000C121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0C121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pBdr>
        <w:top w:val="single" w:sz="4" w:space="1" w:color="auto"/>
      </w:pBdr>
      <w:tabs>
        <w:tab w:val="center" w:pos="4320"/>
        <w:tab w:val="right" w:pos="8640"/>
      </w:tabs>
      <w:jc w:val="center"/>
    </w:pPr>
    <w:rPr>
      <w:b/>
    </w:rPr>
  </w:style>
  <w:style w:type="paragraph" w:styleId="BodyText">
    <w:name w:val="Body Text"/>
    <w:basedOn w:val="Normal"/>
    <w:pPr>
      <w:spacing w:after="240"/>
      <w:jc w:val="both"/>
    </w:pPr>
    <w:rPr>
      <w:rFonts w:ascii="Garamond" w:hAnsi="Garamond"/>
      <w:spacing w:val="-5"/>
      <w:sz w:val="24"/>
    </w:rPr>
  </w:style>
  <w:style w:type="paragraph" w:styleId="BodyTextIndent2">
    <w:name w:val="Body Text Indent 2"/>
    <w:basedOn w:val="Normal"/>
    <w:pPr>
      <w:ind w:left="2880" w:hanging="720"/>
      <w:jc w:val="both"/>
    </w:pPr>
    <w:rPr>
      <w:rFonts w:ascii="Garamond" w:hAnsi="Garamond"/>
      <w:sz w:val="24"/>
    </w:rPr>
  </w:style>
  <w:style w:type="paragraph" w:styleId="BodyTextIndent3">
    <w:name w:val="Body Text Indent 3"/>
    <w:basedOn w:val="Normal"/>
    <w:pPr>
      <w:tabs>
        <w:tab w:val="left" w:pos="2160"/>
      </w:tabs>
      <w:spacing w:before="120" w:after="120"/>
      <w:ind w:left="2880" w:hanging="720"/>
      <w:jc w:val="both"/>
    </w:pPr>
    <w:rPr>
      <w:rFonts w:ascii="Garamond" w:hAnsi="Garamond"/>
      <w:sz w:val="24"/>
    </w:rPr>
  </w:style>
  <w:style w:type="paragraph" w:styleId="BodyTextIndent">
    <w:name w:val="Body Text Indent"/>
    <w:basedOn w:val="Normal"/>
    <w:pPr>
      <w:ind w:left="1440" w:hanging="720"/>
      <w:jc w:val="both"/>
    </w:pPr>
    <w:rPr>
      <w:sz w:val="24"/>
    </w:rPr>
  </w:style>
  <w:style w:type="character" w:styleId="Hyperlink">
    <w:name w:val="Hyperlink"/>
    <w:rPr>
      <w:rFonts w:ascii="Times New Roman" w:hAnsi="Times New Roman"/>
      <w:color w:val="0000FF"/>
      <w:sz w:val="24"/>
      <w:u w:val="single"/>
    </w:rPr>
  </w:style>
  <w:style w:type="character" w:styleId="FollowedHyperlink">
    <w:name w:val="FollowedHyperlink"/>
    <w:rPr>
      <w:color w:val="800080"/>
      <w:u w:val="single"/>
    </w:rPr>
  </w:style>
  <w:style w:type="paragraph" w:styleId="BodyText2">
    <w:name w:val="Body Text 2"/>
    <w:basedOn w:val="Normal"/>
    <w:rPr>
      <w:sz w:val="16"/>
    </w:rPr>
  </w:style>
  <w:style w:type="paragraph" w:styleId="BalloonText">
    <w:name w:val="Balloon Text"/>
    <w:basedOn w:val="Normal"/>
    <w:semiHidden/>
    <w:rsid w:val="00996AB1"/>
    <w:rPr>
      <w:rFonts w:ascii="Tahoma" w:hAnsi="Tahoma" w:cs="Tahoma"/>
      <w:sz w:val="16"/>
      <w:szCs w:val="16"/>
    </w:rPr>
  </w:style>
  <w:style w:type="paragraph" w:styleId="DocumentMap">
    <w:name w:val="Document Map"/>
    <w:basedOn w:val="Normal"/>
    <w:semiHidden/>
    <w:rsid w:val="00CF6108"/>
    <w:pPr>
      <w:shd w:val="clear" w:color="auto" w:fill="000080"/>
    </w:pPr>
    <w:rPr>
      <w:rFonts w:ascii="Tahoma" w:hAnsi="Tahoma" w:cs="Tahoma"/>
    </w:rPr>
  </w:style>
  <w:style w:type="paragraph" w:customStyle="1" w:styleId="Default">
    <w:name w:val="Default"/>
    <w:rsid w:val="005D1422"/>
    <w:pPr>
      <w:autoSpaceDE w:val="0"/>
      <w:autoSpaceDN w:val="0"/>
      <w:adjustRightInd w:val="0"/>
    </w:pPr>
    <w:rPr>
      <w:color w:val="000000"/>
      <w:sz w:val="24"/>
      <w:szCs w:val="24"/>
    </w:rPr>
  </w:style>
  <w:style w:type="paragraph" w:customStyle="1" w:styleId="1head">
    <w:name w:val="1head"/>
    <w:basedOn w:val="Default"/>
    <w:next w:val="Default"/>
    <w:rsid w:val="005D1422"/>
    <w:pPr>
      <w:spacing w:before="100" w:after="100"/>
    </w:pPr>
    <w:rPr>
      <w:color w:val="auto"/>
    </w:rPr>
  </w:style>
  <w:style w:type="paragraph" w:customStyle="1" w:styleId="Bullet">
    <w:name w:val="Bullet"/>
    <w:basedOn w:val="Default"/>
    <w:next w:val="Default"/>
    <w:rsid w:val="005D1422"/>
    <w:pPr>
      <w:spacing w:before="100" w:after="100"/>
    </w:pPr>
    <w:rPr>
      <w:color w:val="auto"/>
    </w:rPr>
  </w:style>
  <w:style w:type="paragraph" w:styleId="ListParagraph">
    <w:name w:val="List Paragraph"/>
    <w:basedOn w:val="Normal"/>
    <w:uiPriority w:val="34"/>
    <w:qFormat/>
    <w:rsid w:val="000006DD"/>
    <w:pPr>
      <w:ind w:left="720"/>
    </w:pPr>
  </w:style>
  <w:style w:type="character" w:customStyle="1" w:styleId="Heading3Char">
    <w:name w:val="Heading 3 Char"/>
    <w:link w:val="Heading3"/>
    <w:rsid w:val="000C1213"/>
    <w:rPr>
      <w:rFonts w:ascii="Calibri Light" w:eastAsia="Times New Roman" w:hAnsi="Calibri Light" w:cs="Times New Roman"/>
      <w:b/>
      <w:bCs/>
      <w:sz w:val="26"/>
      <w:szCs w:val="26"/>
    </w:rPr>
  </w:style>
  <w:style w:type="character" w:customStyle="1" w:styleId="Heading4Char">
    <w:name w:val="Heading 4 Char"/>
    <w:link w:val="Heading4"/>
    <w:semiHidden/>
    <w:rsid w:val="000C1213"/>
    <w:rPr>
      <w:rFonts w:ascii="Calibri" w:eastAsia="Times New Roman" w:hAnsi="Calibri" w:cs="Times New Roman"/>
      <w:b/>
      <w:bCs/>
      <w:sz w:val="28"/>
      <w:szCs w:val="28"/>
    </w:rPr>
  </w:style>
  <w:style w:type="character" w:styleId="Strong">
    <w:name w:val="Strong"/>
    <w:uiPriority w:val="22"/>
    <w:qFormat/>
    <w:rsid w:val="00E5149D"/>
    <w:rPr>
      <w:b/>
      <w:bCs/>
    </w:rPr>
  </w:style>
  <w:style w:type="table" w:styleId="TableGrid">
    <w:name w:val="Table Grid"/>
    <w:basedOn w:val="TableNormal"/>
    <w:uiPriority w:val="39"/>
    <w:rsid w:val="0011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7D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FooterChar">
    <w:name w:val="Footer Char"/>
    <w:basedOn w:val="DefaultParagraphFont"/>
    <w:link w:val="Footer"/>
    <w:uiPriority w:val="99"/>
    <w:rsid w:val="00F54F3F"/>
    <w:rPr>
      <w:b/>
    </w:rPr>
  </w:style>
  <w:style w:type="character" w:styleId="UnresolvedMention">
    <w:name w:val="Unresolved Mention"/>
    <w:basedOn w:val="DefaultParagraphFont"/>
    <w:uiPriority w:val="99"/>
    <w:semiHidden/>
    <w:unhideWhenUsed/>
    <w:rsid w:val="0050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2667">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9898461">
      <w:bodyDiv w:val="1"/>
      <w:marLeft w:val="0"/>
      <w:marRight w:val="0"/>
      <w:marTop w:val="0"/>
      <w:marBottom w:val="0"/>
      <w:divBdr>
        <w:top w:val="none" w:sz="0" w:space="0" w:color="auto"/>
        <w:left w:val="none" w:sz="0" w:space="0" w:color="auto"/>
        <w:bottom w:val="none" w:sz="0" w:space="0" w:color="auto"/>
        <w:right w:val="none" w:sz="0" w:space="0" w:color="auto"/>
      </w:divBdr>
    </w:div>
    <w:div w:id="615329881">
      <w:bodyDiv w:val="1"/>
      <w:marLeft w:val="0"/>
      <w:marRight w:val="0"/>
      <w:marTop w:val="0"/>
      <w:marBottom w:val="0"/>
      <w:divBdr>
        <w:top w:val="none" w:sz="0" w:space="0" w:color="auto"/>
        <w:left w:val="none" w:sz="0" w:space="0" w:color="auto"/>
        <w:bottom w:val="none" w:sz="0" w:space="0" w:color="auto"/>
        <w:right w:val="none" w:sz="0" w:space="0" w:color="auto"/>
      </w:divBdr>
    </w:div>
    <w:div w:id="894244610">
      <w:bodyDiv w:val="1"/>
      <w:marLeft w:val="0"/>
      <w:marRight w:val="0"/>
      <w:marTop w:val="0"/>
      <w:marBottom w:val="0"/>
      <w:divBdr>
        <w:top w:val="none" w:sz="0" w:space="0" w:color="auto"/>
        <w:left w:val="none" w:sz="0" w:space="0" w:color="auto"/>
        <w:bottom w:val="none" w:sz="0" w:space="0" w:color="auto"/>
        <w:right w:val="none" w:sz="0" w:space="0" w:color="auto"/>
      </w:divBdr>
    </w:div>
    <w:div w:id="916940413">
      <w:bodyDiv w:val="1"/>
      <w:marLeft w:val="0"/>
      <w:marRight w:val="0"/>
      <w:marTop w:val="0"/>
      <w:marBottom w:val="0"/>
      <w:divBdr>
        <w:top w:val="none" w:sz="0" w:space="0" w:color="auto"/>
        <w:left w:val="none" w:sz="0" w:space="0" w:color="auto"/>
        <w:bottom w:val="none" w:sz="0" w:space="0" w:color="auto"/>
        <w:right w:val="none" w:sz="0" w:space="0" w:color="auto"/>
      </w:divBdr>
    </w:div>
    <w:div w:id="996298762">
      <w:bodyDiv w:val="1"/>
      <w:marLeft w:val="0"/>
      <w:marRight w:val="0"/>
      <w:marTop w:val="0"/>
      <w:marBottom w:val="0"/>
      <w:divBdr>
        <w:top w:val="none" w:sz="0" w:space="0" w:color="auto"/>
        <w:left w:val="none" w:sz="0" w:space="0" w:color="auto"/>
        <w:bottom w:val="none" w:sz="0" w:space="0" w:color="auto"/>
        <w:right w:val="none" w:sz="0" w:space="0" w:color="auto"/>
      </w:divBdr>
    </w:div>
    <w:div w:id="1094589559">
      <w:bodyDiv w:val="1"/>
      <w:marLeft w:val="0"/>
      <w:marRight w:val="0"/>
      <w:marTop w:val="0"/>
      <w:marBottom w:val="0"/>
      <w:divBdr>
        <w:top w:val="none" w:sz="0" w:space="0" w:color="auto"/>
        <w:left w:val="none" w:sz="0" w:space="0" w:color="auto"/>
        <w:bottom w:val="none" w:sz="0" w:space="0" w:color="auto"/>
        <w:right w:val="none" w:sz="0" w:space="0" w:color="auto"/>
      </w:divBdr>
    </w:div>
    <w:div w:id="1213662475">
      <w:bodyDiv w:val="1"/>
      <w:marLeft w:val="0"/>
      <w:marRight w:val="0"/>
      <w:marTop w:val="0"/>
      <w:marBottom w:val="0"/>
      <w:divBdr>
        <w:top w:val="none" w:sz="0" w:space="0" w:color="auto"/>
        <w:left w:val="none" w:sz="0" w:space="0" w:color="auto"/>
        <w:bottom w:val="none" w:sz="0" w:space="0" w:color="auto"/>
        <w:right w:val="none" w:sz="0" w:space="0" w:color="auto"/>
      </w:divBdr>
    </w:div>
    <w:div w:id="1413702239">
      <w:bodyDiv w:val="1"/>
      <w:marLeft w:val="0"/>
      <w:marRight w:val="0"/>
      <w:marTop w:val="0"/>
      <w:marBottom w:val="0"/>
      <w:divBdr>
        <w:top w:val="none" w:sz="0" w:space="0" w:color="auto"/>
        <w:left w:val="none" w:sz="0" w:space="0" w:color="auto"/>
        <w:bottom w:val="none" w:sz="0" w:space="0" w:color="auto"/>
        <w:right w:val="none" w:sz="0" w:space="0" w:color="auto"/>
      </w:divBdr>
    </w:div>
    <w:div w:id="1518620707">
      <w:bodyDiv w:val="1"/>
      <w:marLeft w:val="0"/>
      <w:marRight w:val="0"/>
      <w:marTop w:val="0"/>
      <w:marBottom w:val="0"/>
      <w:divBdr>
        <w:top w:val="none" w:sz="0" w:space="0" w:color="auto"/>
        <w:left w:val="none" w:sz="0" w:space="0" w:color="auto"/>
        <w:bottom w:val="none" w:sz="0" w:space="0" w:color="auto"/>
        <w:right w:val="none" w:sz="0" w:space="0" w:color="auto"/>
      </w:divBdr>
    </w:div>
    <w:div w:id="1526747808">
      <w:bodyDiv w:val="1"/>
      <w:marLeft w:val="0"/>
      <w:marRight w:val="0"/>
      <w:marTop w:val="0"/>
      <w:marBottom w:val="0"/>
      <w:divBdr>
        <w:top w:val="none" w:sz="0" w:space="0" w:color="auto"/>
        <w:left w:val="none" w:sz="0" w:space="0" w:color="auto"/>
        <w:bottom w:val="none" w:sz="0" w:space="0" w:color="auto"/>
        <w:right w:val="none" w:sz="0" w:space="0" w:color="auto"/>
      </w:divBdr>
    </w:div>
    <w:div w:id="1583759785">
      <w:bodyDiv w:val="1"/>
      <w:marLeft w:val="0"/>
      <w:marRight w:val="0"/>
      <w:marTop w:val="0"/>
      <w:marBottom w:val="0"/>
      <w:divBdr>
        <w:top w:val="none" w:sz="0" w:space="0" w:color="auto"/>
        <w:left w:val="none" w:sz="0" w:space="0" w:color="auto"/>
        <w:bottom w:val="none" w:sz="0" w:space="0" w:color="auto"/>
        <w:right w:val="none" w:sz="0" w:space="0" w:color="auto"/>
      </w:divBdr>
    </w:div>
    <w:div w:id="1641301044">
      <w:bodyDiv w:val="1"/>
      <w:marLeft w:val="0"/>
      <w:marRight w:val="0"/>
      <w:marTop w:val="0"/>
      <w:marBottom w:val="0"/>
      <w:divBdr>
        <w:top w:val="none" w:sz="0" w:space="0" w:color="auto"/>
        <w:left w:val="none" w:sz="0" w:space="0" w:color="auto"/>
        <w:bottom w:val="none" w:sz="0" w:space="0" w:color="auto"/>
        <w:right w:val="none" w:sz="0" w:space="0" w:color="auto"/>
      </w:divBdr>
    </w:div>
    <w:div w:id="1742409468">
      <w:bodyDiv w:val="1"/>
      <w:marLeft w:val="0"/>
      <w:marRight w:val="0"/>
      <w:marTop w:val="0"/>
      <w:marBottom w:val="0"/>
      <w:divBdr>
        <w:top w:val="none" w:sz="0" w:space="0" w:color="auto"/>
        <w:left w:val="none" w:sz="0" w:space="0" w:color="auto"/>
        <w:bottom w:val="none" w:sz="0" w:space="0" w:color="auto"/>
        <w:right w:val="none" w:sz="0" w:space="0" w:color="auto"/>
      </w:divBdr>
    </w:div>
    <w:div w:id="1900481384">
      <w:bodyDiv w:val="1"/>
      <w:marLeft w:val="0"/>
      <w:marRight w:val="0"/>
      <w:marTop w:val="0"/>
      <w:marBottom w:val="0"/>
      <w:divBdr>
        <w:top w:val="none" w:sz="0" w:space="0" w:color="auto"/>
        <w:left w:val="none" w:sz="0" w:space="0" w:color="auto"/>
        <w:bottom w:val="none" w:sz="0" w:space="0" w:color="auto"/>
        <w:right w:val="none" w:sz="0" w:space="0" w:color="auto"/>
      </w:divBdr>
    </w:div>
    <w:div w:id="1955480333">
      <w:bodyDiv w:val="1"/>
      <w:marLeft w:val="0"/>
      <w:marRight w:val="0"/>
      <w:marTop w:val="0"/>
      <w:marBottom w:val="0"/>
      <w:divBdr>
        <w:top w:val="none" w:sz="0" w:space="0" w:color="auto"/>
        <w:left w:val="none" w:sz="0" w:space="0" w:color="auto"/>
        <w:bottom w:val="none" w:sz="0" w:space="0" w:color="auto"/>
        <w:right w:val="none" w:sz="0" w:space="0" w:color="auto"/>
      </w:divBdr>
    </w:div>
    <w:div w:id="1969821323">
      <w:bodyDiv w:val="1"/>
      <w:marLeft w:val="0"/>
      <w:marRight w:val="0"/>
      <w:marTop w:val="0"/>
      <w:marBottom w:val="0"/>
      <w:divBdr>
        <w:top w:val="none" w:sz="0" w:space="0" w:color="auto"/>
        <w:left w:val="none" w:sz="0" w:space="0" w:color="auto"/>
        <w:bottom w:val="none" w:sz="0" w:space="0" w:color="auto"/>
        <w:right w:val="none" w:sz="0" w:space="0" w:color="auto"/>
      </w:divBdr>
    </w:div>
    <w:div w:id="1982148614">
      <w:bodyDiv w:val="1"/>
      <w:marLeft w:val="0"/>
      <w:marRight w:val="0"/>
      <w:marTop w:val="0"/>
      <w:marBottom w:val="0"/>
      <w:divBdr>
        <w:top w:val="none" w:sz="0" w:space="0" w:color="auto"/>
        <w:left w:val="none" w:sz="0" w:space="0" w:color="auto"/>
        <w:bottom w:val="none" w:sz="0" w:space="0" w:color="auto"/>
        <w:right w:val="none" w:sz="0" w:space="0" w:color="auto"/>
      </w:divBdr>
    </w:div>
    <w:div w:id="2082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txgroup.sharepoint.com/sites/USEngineeri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Use to format ATD Procedures</vt:lpstr>
    </vt:vector>
  </TitlesOfParts>
  <Company>VANCE AFB</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SEP / Project Database</dc:title>
  <dc:subject/>
  <dc:creator>KTX Toccoa, Process Development</dc:creator>
  <cp:keywords/>
  <cp:lastModifiedBy>Demmler, Christoph</cp:lastModifiedBy>
  <cp:revision>4</cp:revision>
  <cp:lastPrinted>2024-10-25T19:59:00Z</cp:lastPrinted>
  <dcterms:created xsi:type="dcterms:W3CDTF">2025-03-31T17:21:00Z</dcterms:created>
  <dcterms:modified xsi:type="dcterms:W3CDTF">2025-03-31T17:56:00Z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l_Department">
    <vt:lpwstr/>
  </property>
  <property fmtid="{D5CDD505-2E9C-101B-9397-08002B2CF9AE}" pid="3" name="POC email">
    <vt:lpwstr/>
  </property>
  <property fmtid="{D5CDD505-2E9C-101B-9397-08002B2CF9AE}" pid="4" name="_Status">
    <vt:lpwstr>Not Started</vt:lpwstr>
  </property>
  <property fmtid="{D5CDD505-2E9C-101B-9397-08002B2CF9AE}" pid="5" name="ContentType">
    <vt:lpwstr>Document</vt:lpwstr>
  </property>
  <property fmtid="{D5CDD505-2E9C-101B-9397-08002B2CF9AE}" pid="6" name="POC">
    <vt:lpwstr/>
  </property>
</Properties>
</file>