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00" w:after="80"/>
      </w:pPr>
      <w:r>
        <w:rPr>
          <w:b/>
          <w:sz w:val="24"/>
        </w:rPr>
        <w:t>Purpose / Scope:</w:t>
      </w:r>
    </w:p>
    <w:p>
      <w:pPr>
        <w:spacing w:before="0" w:after="80"/>
      </w:pPr>
      <w:r>
        <w:rPr>
          <w:b w:val="0"/>
          <w:sz w:val="22"/>
        </w:rPr>
        <w:t>Timing and action plan to capture lessons from projects, changes, problem solving, complaints and audits, prove their effectiveness and feed them into new projects. Standards: IATF 16949 7.1.6, 10.2.3, 10.3; VDA 6.3 P2.</w:t>
      </w:r>
    </w:p>
    <w:p>
      <w:pPr>
        <w:keepNext/>
        <w:spacing w:before="200" w:after="80"/>
      </w:pPr>
      <w:r>
        <w:rPr>
          <w:b/>
          <w:sz w:val="24"/>
        </w:rPr>
        <w:t>Owner / involved: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C. Demmler, Process Development: owner of PLM2 and of every action in this plan, author, keeps it current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Program Management and APQP: support (specification, tests, pilots on the running projects, evidence)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Departments named per action (IT, Quality, Development, Tooling, HR, department heads): support where their part is needed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Plant Management: monthly status review</w:t>
      </w:r>
    </w:p>
    <w:p>
      <w:pPr>
        <w:keepNext/>
        <w:spacing w:before="200" w:after="80"/>
      </w:pPr>
      <w:r>
        <w:rPr>
          <w:b/>
          <w:sz w:val="24"/>
        </w:rPr>
        <w:t>1. Summary</w:t>
      </w:r>
    </w:p>
    <w:p>
      <w:pPr>
        <w:spacing w:before="0" w:after="120"/>
      </w:pPr>
      <w:r>
        <w:rPr>
          <w:b w:val="0"/>
          <w:sz w:val="22"/>
        </w:rPr>
        <w:t xml:space="preserve">Lessons learned are </w:t>
      </w:r>
      <w:r>
        <w:rPr>
          <w:b/>
          <w:sz w:val="22"/>
        </w:rPr>
        <w:t>built in PLM2</w:t>
      </w:r>
      <w:r>
        <w:rPr>
          <w:b w:val="0"/>
          <w:sz w:val="22"/>
        </w:rPr>
        <w:t xml:space="preserve"> with owner, actions and a required effectiveness proof before closing. The SharePoint lessons list (LL-0001 to LL-0019, including ten G6X lessons) is already mirrored. The remaining step is to </w:t>
      </w:r>
      <w:r>
        <w:rPr>
          <w:b/>
          <w:sz w:val="22"/>
        </w:rPr>
        <w:t>bind lessons into the processes</w:t>
      </w:r>
      <w:r>
        <w:rPr>
          <w:b w:val="0"/>
          <w:sz w:val="22"/>
        </w:rPr>
        <w:t xml:space="preserve">: checked at SEP RG1/RG2, required at every change release and used as input to risk assessment. Procedure release is </w:t>
      </w:r>
      <w:r>
        <w:rPr>
          <w:b/>
          <w:sz w:val="22"/>
        </w:rPr>
        <w:t>01/04/2027</w:t>
      </w:r>
      <w:r>
        <w:rPr>
          <w:b w:val="0"/>
          <w:sz w:val="22"/>
        </w:rPr>
        <w:t>.</w:t>
      </w:r>
    </w:p>
    <w:p>
      <w:pPr>
        <w:keepNext/>
        <w:spacing w:before="200" w:after="80"/>
      </w:pPr>
      <w:r>
        <w:rPr>
          <w:b/>
          <w:sz w:val="24"/>
        </w:rPr>
        <w:t>2. Requirements and how they are met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960"/>
        <w:gridCol w:w="3240"/>
      </w:tblGrid>
      <w:tr>
        <w:trPr>
          <w:cantSplit/>
          <w:tblHeader/>
        </w:trPr>
        <w:tc>
          <w:tcPr>
            <w:tcW w:type="dxa" w:w="230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96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How it is met</w:t>
            </w:r>
          </w:p>
        </w:tc>
        <w:tc>
          <w:tcPr>
            <w:tcW w:type="dxa" w:w="324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What we show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Organisational knowledge (7.1.6)</w:t>
            </w:r>
          </w:p>
        </w:tc>
        <w:tc>
          <w:tcPr>
            <w:tcW w:type="dxa" w:w="39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Central lessons database, filtered by project, category, department and tag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board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Problem solving uses lessons learned (10.2.3)</w:t>
            </w:r>
          </w:p>
        </w:tc>
        <w:tc>
          <w:tcPr>
            <w:tcW w:type="dxa" w:w="39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carry root cause and recommendation and are linked to the change or project they come from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 with change link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Continual improvement (10.3)</w:t>
            </w:r>
          </w:p>
        </w:tc>
        <w:tc>
          <w:tcPr>
            <w:tcW w:type="dxa" w:w="39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Status flow with actions; closing needs effectiveness note and verifier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Closed lesson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from previous projects used (VDA 6.3 P2)</w:t>
            </w:r>
          </w:p>
        </w:tc>
        <w:tc>
          <w:tcPr>
            <w:tcW w:type="dxa" w:w="396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check recorded per project and gate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 reference on project 1994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3. Process flow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8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l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Status: in review, in work, verification, closed (or rejected with category). A lesson cannot close while an action is open or without an effectiveness note.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Stale lessons are flagged: 14 days in review, 7 days in verification; actions appear in the owner's task list.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Closed lessons update standards (checklists, FMEA, templates) and are checked by the next projects at RG1 and RG2.</w:t>
      </w:r>
    </w:p>
    <w:p>
      <w:pPr>
        <w:keepNext/>
        <w:spacing w:before="200" w:after="80"/>
      </w:pPr>
      <w:r>
        <w:rPr>
          <w:b/>
          <w:sz w:val="24"/>
        </w:rPr>
        <w:t>4. Where we stand today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1"/>
        <w:gridCol w:w="1584"/>
        <w:gridCol w:w="4608"/>
      </w:tblGrid>
      <w:tr>
        <w:trPr>
          <w:cantSplit/>
          <w:tblHeader/>
        </w:trPr>
        <w:tc>
          <w:tcPr>
            <w:tcW w:type="dxa" w:w="331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158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08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Evidence in PLM2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with owner, actions, files, comments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board and KPI board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Effectiveness proof and verifier before closing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Close dialog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SharePoint list mirrored (LL-0001..0019)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Live system, G6X lessons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step at change release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Built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Release tab of a change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check at SEP gates, input to risk / FMEA</w:t>
            </w:r>
          </w:p>
        </w:tc>
        <w:tc>
          <w:tcPr>
            <w:tcW w:type="dxa" w:w="1584"/>
          </w:tcPr>
          <w:p>
            <w:pPr>
              <w:spacing w:before="20" w:after="20"/>
            </w:pPr>
            <w:r>
              <w:rPr>
                <w:b/>
                <w:sz w:val="18"/>
              </w:rPr>
              <w:t>Programming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Actions L2, L4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5. Tightening 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4392"/>
        <w:gridCol w:w="936"/>
        <w:gridCol w:w="1440"/>
      </w:tblGrid>
      <w:tr>
        <w:trPr>
          <w:cantSplit/>
          <w:tblHeader/>
        </w:trPr>
        <w:tc>
          <w:tcPr>
            <w:tcW w:type="dxa" w:w="273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Today</w:t>
            </w:r>
          </w:p>
        </w:tc>
        <w:tc>
          <w:tcPr>
            <w:tcW w:type="dxa" w:w="439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Tightening measure</w:t>
            </w:r>
          </w:p>
        </w:tc>
        <w:tc>
          <w:tcPr>
            <w:tcW w:type="dxa" w:w="93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Due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also kept in the SharePoint list</w:t>
            </w:r>
          </w:p>
        </w:tc>
        <w:tc>
          <w:tcPr>
            <w:tcW w:type="dxa" w:w="43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List frozen read-only; PLM2 only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10/30/2026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Reuse in new projects is voluntary</w:t>
            </w:r>
          </w:p>
        </w:tc>
        <w:tc>
          <w:tcPr>
            <w:tcW w:type="dxa" w:w="43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check is a required SEP item at RG1 and RG2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11/27/2026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Release lessons step can be skipped for small changes</w:t>
            </w:r>
          </w:p>
        </w:tc>
        <w:tc>
          <w:tcPr>
            <w:tcW w:type="dxa" w:w="43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step required for every change release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11/27/2026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not linked to risk assessment</w:t>
            </w:r>
          </w:p>
        </w:tc>
        <w:tc>
          <w:tcPr>
            <w:tcW w:type="dxa" w:w="43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Relevant lessons listed in the project risk assessment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12/11/2026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6. Timing and action plan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82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l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6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2448"/>
        <w:gridCol w:w="1368"/>
        <w:gridCol w:w="1224"/>
        <w:gridCol w:w="1296"/>
        <w:gridCol w:w="1152"/>
        <w:gridCol w:w="1440"/>
      </w:tblGrid>
      <w:tr>
        <w:trPr>
          <w:cantSplit/>
          <w:tblHeader/>
        </w:trPr>
        <w:tc>
          <w:tcPr>
            <w:tcW w:type="dxa" w:w="57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2448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1368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122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29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Support</w:t>
            </w:r>
          </w:p>
        </w:tc>
        <w:tc>
          <w:tcPr>
            <w:tcW w:type="dxa" w:w="115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Due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Done when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SharePoint lessons list frozen read-only; PLM2 only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 Mgmt., APQP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10/30/2026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List locked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L2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check as required SEP item at RG1 / RG2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 Mgmt., APQP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11/27/2026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Item enforced in SEP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step required at every change release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 Mgmt., APQP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11/27/2026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Release blocked in test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Relevant lessons shown in project risk assessment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Programming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12/11/2026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Risk form shows lessons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Run on 1994 RG2 and the G6X changes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Program Mgmt., APQP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12/18/2026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References recorded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KP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KPIs (open, to be defined): set targets, sources and review cycle for lessons learned, starting with lesson actions implemented on time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Finalisation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Quality, Program Mgmt.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12/18/2026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KPI set agreed, shown in the monthly review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Procedure 'Lessons learned in PLM2' released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Finalisation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01/04/2027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Procedure in document control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First quarterly lessons review in management review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Finalisation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C. Demmler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Plant Mgmt.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01/29/2027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Minutes filed</w:t>
            </w:r>
          </w:p>
        </w:tc>
      </w:tr>
    </w:tbl>
    <w:p/>
    <w:p>
      <w:pPr>
        <w:spacing w:before="0" w:after="120"/>
      </w:pPr>
      <w:r>
        <w:rPr>
          <w:b w:val="0"/>
          <w:sz w:val="22"/>
        </w:rPr>
        <w:t xml:space="preserve">The table is the plan as of the status date above. Progress is tracked in the action plan </w:t>
      </w:r>
      <w:r>
        <w:rPr>
          <w:b/>
          <w:sz w:val="22"/>
        </w:rPr>
        <w:t>TOC-PLM-LOP (KTX LOP F-DVS-CORP-010)</w:t>
      </w:r>
      <w:r>
        <w:rPr>
          <w:b w:val="0"/>
          <w:sz w:val="22"/>
        </w:rPr>
        <w:t>; a date that moves is changed there with the reason, and this document is updated with it.</w:t>
      </w:r>
    </w:p>
    <w:p>
      <w:pPr>
        <w:keepNext/>
        <w:spacing w:before="200" w:after="80"/>
      </w:pPr>
      <w:r>
        <w:rPr>
          <w:b/>
          <w:sz w:val="24"/>
        </w:rPr>
        <w:t>7. Control until go-live</w:t>
      </w:r>
    </w:p>
    <w:p>
      <w:pPr>
        <w:spacing w:before="0" w:after="120"/>
      </w:pPr>
      <w:r>
        <w:rPr>
          <w:b w:val="0"/>
          <w:sz w:val="22"/>
        </w:rPr>
        <w:t>Lessons are captured in PLM2 from now on. The SharePoint list stays readable as history until it is frozen (L1).</w:t>
      </w:r>
    </w:p>
    <w:p>
      <w:pPr>
        <w:keepNext/>
        <w:spacing w:before="200" w:after="80"/>
      </w:pPr>
      <w:r>
        <w:rPr>
          <w:b/>
          <w:sz w:val="24"/>
        </w:rPr>
        <w:t>8. Effectiveness indicators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024"/>
        <w:gridCol w:w="2880"/>
      </w:tblGrid>
      <w:tr>
        <w:trPr>
          <w:cantSplit/>
          <w:tblHeader/>
        </w:trPr>
        <w:tc>
          <w:tcPr>
            <w:tcW w:type="dxa" w:w="360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closed with effectiveness proof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KPI board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New projects with lessons check at RG1 / RG2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SEP matrix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stale beyond flag limits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 at monthly review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KPI board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 actions implemented on time (due date met)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 be defined (action KP)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KPI board, due vs closed date</w:t>
            </w:r>
          </w:p>
        </w:tc>
      </w:tr>
    </w:tbl>
    <w:p/>
    <w:p>
      <w:pPr>
        <w:spacing w:before="0" w:after="120"/>
      </w:pPr>
      <w:r>
        <w:rPr>
          <w:b w:val="0"/>
          <w:sz w:val="22"/>
        </w:rPr>
        <w:t>The KPI set beyond these indicators is to be defined (action KP): targets, data source in PLM2 and the review cycle are agreed with Quality and Program Management before the procedure is released.</w:t>
      </w:r>
    </w:p>
    <w:sectPr w:rsidR="00660C57" w:rsidRPr="0072424B" w:rsidSect="00353403">
      <w:headerReference w:type="default" r:id="rId24"/>
      <w:footerReference w:type="default" r:id="rId25"/>
      <w:pgSz w:w="12240" w:h="15840" w:code="1"/>
      <w:pgMar w:top="1440" w:right="1296" w:bottom="1440" w:left="13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E8FE" w14:textId="77777777" w:rsidR="00DB2060" w:rsidRDefault="00DB2060">
      <w:r>
        <w:separator/>
      </w:r>
    </w:p>
  </w:endnote>
  <w:endnote w:type="continuationSeparator" w:id="0">
    <w:p w14:paraId="7C8E7C8E" w14:textId="77777777" w:rsidR="00DB2060" w:rsidRDefault="00DB2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9360" w:val="right"/>
      </w:tabs>
      <w:spacing w:before="0" w:after="0"/>
    </w:pPr>
    <w:r>
      <w:rPr>
        <w:b w:val="0"/>
        <w:color w:val="6B7280"/>
        <w:sz w:val="16"/>
      </w:rPr>
      <w:t>Internal working document – not part of document control</w:t>
      <w:tab/>
    </w:r>
    <w:r>
      <w:rPr>
        <w:b w:val="0"/>
        <w:color w:val="6B7280"/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color w:val="6B7280"/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F0B7" w14:textId="77777777" w:rsidR="00DB2060" w:rsidRDefault="00DB2060">
      <w:r>
        <w:separator/>
      </w:r>
    </w:p>
  </w:footnote>
  <w:footnote w:type="continuationSeparator" w:id="0">
    <w:p w14:paraId="369670AB" w14:textId="77777777" w:rsidR="00DB2060" w:rsidRDefault="00DB2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</w:pPr>
    <w:r>
      <w:rPr>
        <w:b w:val="0"/>
        <w:color w:val="6B7280"/>
        <w:sz w:val="16"/>
      </w:rPr>
      <w:t>KTX Toccoa · Process Development · Engineering / PLM2</w:t>
    </w:r>
  </w:p>
  <w:p>
    <w:pPr>
      <w:spacing w:before="0" w:after="0"/>
    </w:pPr>
    <w:r>
      <w:rPr>
        <w:b/>
        <w:sz w:val="20"/>
      </w:rPr>
      <w:t>Implementation Plan Lessons Learned</w:t>
    </w:r>
  </w:p>
  <w:p>
    <w:pPr>
      <w:spacing w:before="0" w:after="160"/>
      <w:pBdr>
        <w:bottom w:val="single" w:sz="4" w:space="4" w:color="9CA3AF"/>
      </w:pBdr>
    </w:pPr>
    <w:r>
      <w:rPr>
        <w:b w:val="0"/>
        <w:color w:val="6B7280"/>
        <w:sz w:val="16"/>
      </w:rPr>
      <w:t>TOC-PLM-04 · status 09/30/2026 · internal working document, not controlled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62EB2D"/>
    <w:multiLevelType w:val="hybridMultilevel"/>
    <w:tmpl w:val="B8BF3F6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E2A8A"/>
    <w:multiLevelType w:val="hybridMultilevel"/>
    <w:tmpl w:val="4AB09F10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A009F"/>
    <w:multiLevelType w:val="hybridMultilevel"/>
    <w:tmpl w:val="4C84E892"/>
    <w:lvl w:ilvl="0" w:tplc="FD02FF82">
      <w:start w:val="2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A7ACFC38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5C4921"/>
    <w:multiLevelType w:val="hybridMultilevel"/>
    <w:tmpl w:val="92881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775450"/>
    <w:multiLevelType w:val="singleLevel"/>
    <w:tmpl w:val="9D9253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03226BB4"/>
    <w:multiLevelType w:val="singleLevel"/>
    <w:tmpl w:val="649052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03300557"/>
    <w:multiLevelType w:val="hybridMultilevel"/>
    <w:tmpl w:val="970E65B4"/>
    <w:lvl w:ilvl="0" w:tplc="CA48BE28">
      <w:start w:val="1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F708B"/>
    <w:multiLevelType w:val="hybridMultilevel"/>
    <w:tmpl w:val="69902E00"/>
    <w:lvl w:ilvl="0" w:tplc="2D741C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3D4CB3"/>
    <w:multiLevelType w:val="hybridMultilevel"/>
    <w:tmpl w:val="76D68CEC"/>
    <w:lvl w:ilvl="0" w:tplc="493855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BA0222"/>
    <w:multiLevelType w:val="hybridMultilevel"/>
    <w:tmpl w:val="D1228E9A"/>
    <w:lvl w:ilvl="0" w:tplc="5B5AE3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4012B5"/>
    <w:multiLevelType w:val="hybridMultilevel"/>
    <w:tmpl w:val="C674C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F46F2E"/>
    <w:multiLevelType w:val="hybridMultilevel"/>
    <w:tmpl w:val="38DCD572"/>
    <w:lvl w:ilvl="0" w:tplc="DFA6A1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C291B"/>
    <w:multiLevelType w:val="multilevel"/>
    <w:tmpl w:val="49F22962"/>
    <w:lvl w:ilvl="0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1B20B3"/>
    <w:multiLevelType w:val="hybridMultilevel"/>
    <w:tmpl w:val="78F8536C"/>
    <w:lvl w:ilvl="0" w:tplc="E7C2A24A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4D6087E"/>
    <w:multiLevelType w:val="hybridMultilevel"/>
    <w:tmpl w:val="287A5F3E"/>
    <w:lvl w:ilvl="0" w:tplc="5F18877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15436C5F"/>
    <w:multiLevelType w:val="multilevel"/>
    <w:tmpl w:val="0FA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987162"/>
    <w:multiLevelType w:val="multilevel"/>
    <w:tmpl w:val="05C0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95439"/>
    <w:multiLevelType w:val="multilevel"/>
    <w:tmpl w:val="A720E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1C0111E5"/>
    <w:multiLevelType w:val="hybridMultilevel"/>
    <w:tmpl w:val="88604C9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9" w15:restartNumberingAfterBreak="0">
    <w:nsid w:val="1CB61A72"/>
    <w:multiLevelType w:val="hybridMultilevel"/>
    <w:tmpl w:val="9E14E430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7A336"/>
    <w:multiLevelType w:val="hybridMultilevel"/>
    <w:tmpl w:val="22832B0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10E486E"/>
    <w:multiLevelType w:val="hybridMultilevel"/>
    <w:tmpl w:val="D1B232C6"/>
    <w:lvl w:ilvl="0" w:tplc="50C06D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59641D"/>
    <w:multiLevelType w:val="hybridMultilevel"/>
    <w:tmpl w:val="2B4EC920"/>
    <w:lvl w:ilvl="0" w:tplc="2CD8A0EC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D52786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80AA9100">
      <w:start w:val="5"/>
      <w:numFmt w:val="upp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26DC08A7"/>
    <w:multiLevelType w:val="hybridMultilevel"/>
    <w:tmpl w:val="736E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3526B4"/>
    <w:multiLevelType w:val="singleLevel"/>
    <w:tmpl w:val="FA624EEE"/>
    <w:lvl w:ilvl="0">
      <w:start w:val="1"/>
      <w:numFmt w:val="lowerLetter"/>
      <w:lvlText w:val="(%1)"/>
      <w:lvlJc w:val="left"/>
      <w:pPr>
        <w:tabs>
          <w:tab w:val="num" w:pos="3600"/>
        </w:tabs>
        <w:ind w:left="3600" w:hanging="720"/>
      </w:pPr>
      <w:rPr>
        <w:rFonts w:hint="default"/>
      </w:rPr>
    </w:lvl>
  </w:abstractNum>
  <w:abstractNum w:abstractNumId="25" w15:restartNumberingAfterBreak="0">
    <w:nsid w:val="29BA09B6"/>
    <w:multiLevelType w:val="hybridMultilevel"/>
    <w:tmpl w:val="8C74E6B4"/>
    <w:lvl w:ilvl="0" w:tplc="0B1C6AC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FBA4DEE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FB2E31"/>
    <w:multiLevelType w:val="hybridMultilevel"/>
    <w:tmpl w:val="45287BC8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EBCA585C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240F64"/>
    <w:multiLevelType w:val="hybridMultilevel"/>
    <w:tmpl w:val="FC4A687C"/>
    <w:lvl w:ilvl="0" w:tplc="A75C0938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83DC1C5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2B4837A">
      <w:start w:val="5"/>
      <w:numFmt w:val="upperLetter"/>
      <w:lvlText w:val="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2CE63050"/>
    <w:multiLevelType w:val="hybridMultilevel"/>
    <w:tmpl w:val="A9BAB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580F7E"/>
    <w:multiLevelType w:val="multilevel"/>
    <w:tmpl w:val="2F4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C4337C"/>
    <w:multiLevelType w:val="hybridMultilevel"/>
    <w:tmpl w:val="C5AE3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FDB2B9F"/>
    <w:multiLevelType w:val="hybridMultilevel"/>
    <w:tmpl w:val="E9F4C590"/>
    <w:lvl w:ilvl="0" w:tplc="E56010A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302400FA"/>
    <w:multiLevelType w:val="singleLevel"/>
    <w:tmpl w:val="E5BC0448"/>
    <w:lvl w:ilvl="0">
      <w:start w:val="2"/>
      <w:numFmt w:val="upperLetter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3" w15:restartNumberingAfterBreak="0">
    <w:nsid w:val="32F52C15"/>
    <w:multiLevelType w:val="hybridMultilevel"/>
    <w:tmpl w:val="DDB87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3404A79"/>
    <w:multiLevelType w:val="hybridMultilevel"/>
    <w:tmpl w:val="7408C094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D85496"/>
    <w:multiLevelType w:val="hybridMultilevel"/>
    <w:tmpl w:val="9026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E7699"/>
    <w:multiLevelType w:val="hybridMultilevel"/>
    <w:tmpl w:val="49F22962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F72956"/>
    <w:multiLevelType w:val="hybridMultilevel"/>
    <w:tmpl w:val="0D245C36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8D3D84"/>
    <w:multiLevelType w:val="hybridMultilevel"/>
    <w:tmpl w:val="17347ED0"/>
    <w:lvl w:ilvl="0" w:tplc="7398E906">
      <w:start w:val="10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400550C4"/>
    <w:multiLevelType w:val="hybridMultilevel"/>
    <w:tmpl w:val="6E66B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D704B"/>
    <w:multiLevelType w:val="multilevel"/>
    <w:tmpl w:val="87D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D22C1"/>
    <w:multiLevelType w:val="multilevel"/>
    <w:tmpl w:val="16F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0452B"/>
    <w:multiLevelType w:val="hybridMultilevel"/>
    <w:tmpl w:val="AC04A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CBA4C5B"/>
    <w:multiLevelType w:val="hybridMultilevel"/>
    <w:tmpl w:val="2CD67C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4CFE6CF4"/>
    <w:multiLevelType w:val="hybridMultilevel"/>
    <w:tmpl w:val="D4A68766"/>
    <w:lvl w:ilvl="0" w:tplc="CAC2159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CAE07026">
      <w:start w:val="6"/>
      <w:numFmt w:val="upperLetter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4E294E70"/>
    <w:multiLevelType w:val="hybridMultilevel"/>
    <w:tmpl w:val="17882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4F0DC8"/>
    <w:multiLevelType w:val="hybridMultilevel"/>
    <w:tmpl w:val="BE7AEE14"/>
    <w:lvl w:ilvl="0" w:tplc="0E6A3A0C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1810ED7"/>
    <w:multiLevelType w:val="hybridMultilevel"/>
    <w:tmpl w:val="206E6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4446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52695D98"/>
    <w:multiLevelType w:val="hybridMultilevel"/>
    <w:tmpl w:val="2D06CD2A"/>
    <w:lvl w:ilvl="0" w:tplc="460A7AB4">
      <w:start w:val="4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76E76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57C67E2C"/>
    <w:multiLevelType w:val="multilevel"/>
    <w:tmpl w:val="4AB09F10"/>
    <w:lvl w:ilvl="0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D30711"/>
    <w:multiLevelType w:val="hybridMultilevel"/>
    <w:tmpl w:val="C4B6F8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8A4FE6"/>
    <w:multiLevelType w:val="multilevel"/>
    <w:tmpl w:val="DC7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C501C"/>
    <w:multiLevelType w:val="hybridMultilevel"/>
    <w:tmpl w:val="EB60456C"/>
    <w:lvl w:ilvl="0" w:tplc="3A30C3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2024E6"/>
    <w:multiLevelType w:val="multilevel"/>
    <w:tmpl w:val="76480E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5" w15:restartNumberingAfterBreak="0">
    <w:nsid w:val="5DBB2950"/>
    <w:multiLevelType w:val="hybridMultilevel"/>
    <w:tmpl w:val="A75E6044"/>
    <w:lvl w:ilvl="0" w:tplc="79D693F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CF4F73"/>
    <w:multiLevelType w:val="hybridMultilevel"/>
    <w:tmpl w:val="FACC0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0B3898"/>
    <w:multiLevelType w:val="multilevel"/>
    <w:tmpl w:val="D92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3E4E0E"/>
    <w:multiLevelType w:val="hybridMultilevel"/>
    <w:tmpl w:val="6E86A3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71B15456"/>
    <w:multiLevelType w:val="hybridMultilevel"/>
    <w:tmpl w:val="689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CC4F88"/>
    <w:multiLevelType w:val="hybridMultilevel"/>
    <w:tmpl w:val="C4B6F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050723"/>
    <w:multiLevelType w:val="multilevel"/>
    <w:tmpl w:val="E31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0817F7"/>
    <w:multiLevelType w:val="multilevel"/>
    <w:tmpl w:val="21D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53BA9"/>
    <w:multiLevelType w:val="hybridMultilevel"/>
    <w:tmpl w:val="0FAEE6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9C13DA"/>
    <w:multiLevelType w:val="hybridMultilevel"/>
    <w:tmpl w:val="806295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E597EF3"/>
    <w:multiLevelType w:val="hybridMultilevel"/>
    <w:tmpl w:val="CF080646"/>
    <w:lvl w:ilvl="0" w:tplc="844CE196">
      <w:start w:val="4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FD90EBA"/>
    <w:multiLevelType w:val="hybridMultilevel"/>
    <w:tmpl w:val="F110B686"/>
    <w:lvl w:ilvl="0" w:tplc="ABE61488">
      <w:start w:val="6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3143325">
    <w:abstractNumId w:val="48"/>
  </w:num>
  <w:num w:numId="2" w16cid:durableId="2141723158">
    <w:abstractNumId w:val="32"/>
  </w:num>
  <w:num w:numId="3" w16cid:durableId="992756059">
    <w:abstractNumId w:val="5"/>
  </w:num>
  <w:num w:numId="4" w16cid:durableId="2033844578">
    <w:abstractNumId w:val="24"/>
  </w:num>
  <w:num w:numId="5" w16cid:durableId="326907362">
    <w:abstractNumId w:val="4"/>
  </w:num>
  <w:num w:numId="6" w16cid:durableId="1794865726">
    <w:abstractNumId w:val="34"/>
  </w:num>
  <w:num w:numId="7" w16cid:durableId="97599740">
    <w:abstractNumId w:val="19"/>
  </w:num>
  <w:num w:numId="8" w16cid:durableId="700085806">
    <w:abstractNumId w:val="36"/>
  </w:num>
  <w:num w:numId="9" w16cid:durableId="402064300">
    <w:abstractNumId w:val="12"/>
  </w:num>
  <w:num w:numId="10" w16cid:durableId="108597909">
    <w:abstractNumId w:val="26"/>
  </w:num>
  <w:num w:numId="11" w16cid:durableId="1964072033">
    <w:abstractNumId w:val="58"/>
  </w:num>
  <w:num w:numId="12" w16cid:durableId="1526868204">
    <w:abstractNumId w:val="1"/>
  </w:num>
  <w:num w:numId="13" w16cid:durableId="1719888913">
    <w:abstractNumId w:val="50"/>
  </w:num>
  <w:num w:numId="14" w16cid:durableId="265427478">
    <w:abstractNumId w:val="37"/>
  </w:num>
  <w:num w:numId="15" w16cid:durableId="1014116202">
    <w:abstractNumId w:val="63"/>
  </w:num>
  <w:num w:numId="16" w16cid:durableId="619917254">
    <w:abstractNumId w:val="15"/>
  </w:num>
  <w:num w:numId="17" w16cid:durableId="156194220">
    <w:abstractNumId w:val="31"/>
  </w:num>
  <w:num w:numId="18" w16cid:durableId="548758888">
    <w:abstractNumId w:val="22"/>
  </w:num>
  <w:num w:numId="19" w16cid:durableId="1664313983">
    <w:abstractNumId w:val="44"/>
  </w:num>
  <w:num w:numId="20" w16cid:durableId="852449992">
    <w:abstractNumId w:val="66"/>
  </w:num>
  <w:num w:numId="21" w16cid:durableId="1526166402">
    <w:abstractNumId w:val="2"/>
  </w:num>
  <w:num w:numId="22" w16cid:durableId="416177202">
    <w:abstractNumId w:val="13"/>
  </w:num>
  <w:num w:numId="23" w16cid:durableId="1836217251">
    <w:abstractNumId w:val="38"/>
  </w:num>
  <w:num w:numId="24" w16cid:durableId="86007551">
    <w:abstractNumId w:val="65"/>
  </w:num>
  <w:num w:numId="25" w16cid:durableId="901987615">
    <w:abstractNumId w:val="27"/>
  </w:num>
  <w:num w:numId="26" w16cid:durableId="166528093">
    <w:abstractNumId w:val="49"/>
  </w:num>
  <w:num w:numId="27" w16cid:durableId="331106993">
    <w:abstractNumId w:val="14"/>
  </w:num>
  <w:num w:numId="28" w16cid:durableId="1196237231">
    <w:abstractNumId w:val="0"/>
  </w:num>
  <w:num w:numId="29" w16cid:durableId="2088336108">
    <w:abstractNumId w:val="20"/>
  </w:num>
  <w:num w:numId="30" w16cid:durableId="1502500820">
    <w:abstractNumId w:val="18"/>
  </w:num>
  <w:num w:numId="31" w16cid:durableId="2092462481">
    <w:abstractNumId w:val="43"/>
  </w:num>
  <w:num w:numId="32" w16cid:durableId="405542036">
    <w:abstractNumId w:val="25"/>
  </w:num>
  <w:num w:numId="33" w16cid:durableId="185101039">
    <w:abstractNumId w:val="21"/>
  </w:num>
  <w:num w:numId="34" w16cid:durableId="1915167170">
    <w:abstractNumId w:val="7"/>
  </w:num>
  <w:num w:numId="35" w16cid:durableId="1192455890">
    <w:abstractNumId w:val="47"/>
  </w:num>
  <w:num w:numId="36" w16cid:durableId="1544444404">
    <w:abstractNumId w:val="46"/>
  </w:num>
  <w:num w:numId="37" w16cid:durableId="1656374723">
    <w:abstractNumId w:val="6"/>
  </w:num>
  <w:num w:numId="38" w16cid:durableId="1739857579">
    <w:abstractNumId w:val="28"/>
  </w:num>
  <w:num w:numId="39" w16cid:durableId="1939832369">
    <w:abstractNumId w:val="55"/>
  </w:num>
  <w:num w:numId="40" w16cid:durableId="1660189684">
    <w:abstractNumId w:val="33"/>
  </w:num>
  <w:num w:numId="41" w16cid:durableId="321979555">
    <w:abstractNumId w:val="10"/>
  </w:num>
  <w:num w:numId="42" w16cid:durableId="1576893042">
    <w:abstractNumId w:val="30"/>
  </w:num>
  <w:num w:numId="43" w16cid:durableId="1529760611">
    <w:abstractNumId w:val="3"/>
  </w:num>
  <w:num w:numId="44" w16cid:durableId="1468400077">
    <w:abstractNumId w:val="42"/>
  </w:num>
  <w:num w:numId="45" w16cid:durableId="358509366">
    <w:abstractNumId w:val="35"/>
  </w:num>
  <w:num w:numId="46" w16cid:durableId="979118269">
    <w:abstractNumId w:val="45"/>
  </w:num>
  <w:num w:numId="47" w16cid:durableId="1693997147">
    <w:abstractNumId w:val="60"/>
  </w:num>
  <w:num w:numId="48" w16cid:durableId="535964583">
    <w:abstractNumId w:val="11"/>
  </w:num>
  <w:num w:numId="49" w16cid:durableId="452289653">
    <w:abstractNumId w:val="8"/>
  </w:num>
  <w:num w:numId="50" w16cid:durableId="1094783998">
    <w:abstractNumId w:val="9"/>
  </w:num>
  <w:num w:numId="51" w16cid:durableId="724790415">
    <w:abstractNumId w:val="64"/>
  </w:num>
  <w:num w:numId="52" w16cid:durableId="1667243253">
    <w:abstractNumId w:val="23"/>
  </w:num>
  <w:num w:numId="53" w16cid:durableId="1032925777">
    <w:abstractNumId w:val="51"/>
  </w:num>
  <w:num w:numId="54" w16cid:durableId="1284771427">
    <w:abstractNumId w:val="54"/>
  </w:num>
  <w:num w:numId="55" w16cid:durableId="407506769">
    <w:abstractNumId w:val="17"/>
  </w:num>
  <w:num w:numId="56" w16cid:durableId="510031082">
    <w:abstractNumId w:val="56"/>
  </w:num>
  <w:num w:numId="57" w16cid:durableId="603150885">
    <w:abstractNumId w:val="41"/>
  </w:num>
  <w:num w:numId="58" w16cid:durableId="2077506170">
    <w:abstractNumId w:val="53"/>
  </w:num>
  <w:num w:numId="59" w16cid:durableId="934745583">
    <w:abstractNumId w:val="59"/>
  </w:num>
  <w:num w:numId="60" w16cid:durableId="1569265954">
    <w:abstractNumId w:val="29"/>
  </w:num>
  <w:num w:numId="61" w16cid:durableId="1746297996">
    <w:abstractNumId w:val="52"/>
  </w:num>
  <w:num w:numId="62" w16cid:durableId="548496790">
    <w:abstractNumId w:val="16"/>
  </w:num>
  <w:num w:numId="63" w16cid:durableId="416443955">
    <w:abstractNumId w:val="62"/>
  </w:num>
  <w:num w:numId="64" w16cid:durableId="1908874521">
    <w:abstractNumId w:val="40"/>
  </w:num>
  <w:num w:numId="65" w16cid:durableId="491526275">
    <w:abstractNumId w:val="61"/>
  </w:num>
  <w:num w:numId="66" w16cid:durableId="2004506294">
    <w:abstractNumId w:val="57"/>
  </w:num>
  <w:num w:numId="67" w16cid:durableId="84247281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55"/>
    <w:rsid w:val="000006DD"/>
    <w:rsid w:val="00004A62"/>
    <w:rsid w:val="000244AF"/>
    <w:rsid w:val="000409AD"/>
    <w:rsid w:val="000437A8"/>
    <w:rsid w:val="00043F20"/>
    <w:rsid w:val="00043F71"/>
    <w:rsid w:val="00050D47"/>
    <w:rsid w:val="000530CE"/>
    <w:rsid w:val="00070C27"/>
    <w:rsid w:val="00070F81"/>
    <w:rsid w:val="000745F5"/>
    <w:rsid w:val="00076FEE"/>
    <w:rsid w:val="00077C43"/>
    <w:rsid w:val="000853A4"/>
    <w:rsid w:val="00087AC0"/>
    <w:rsid w:val="0009537E"/>
    <w:rsid w:val="000A28F1"/>
    <w:rsid w:val="000A639A"/>
    <w:rsid w:val="000B0280"/>
    <w:rsid w:val="000B180E"/>
    <w:rsid w:val="000C1213"/>
    <w:rsid w:val="000C2A57"/>
    <w:rsid w:val="000C453A"/>
    <w:rsid w:val="000C5574"/>
    <w:rsid w:val="000D151D"/>
    <w:rsid w:val="000D2FF8"/>
    <w:rsid w:val="000D39FD"/>
    <w:rsid w:val="000E6A65"/>
    <w:rsid w:val="001040FC"/>
    <w:rsid w:val="00117DDA"/>
    <w:rsid w:val="00125ACE"/>
    <w:rsid w:val="00127696"/>
    <w:rsid w:val="001347E8"/>
    <w:rsid w:val="00150D1E"/>
    <w:rsid w:val="00154AEC"/>
    <w:rsid w:val="00155128"/>
    <w:rsid w:val="00162EE3"/>
    <w:rsid w:val="00180125"/>
    <w:rsid w:val="00181B6A"/>
    <w:rsid w:val="001862F0"/>
    <w:rsid w:val="001A243D"/>
    <w:rsid w:val="001A4273"/>
    <w:rsid w:val="001A5668"/>
    <w:rsid w:val="001A7507"/>
    <w:rsid w:val="001B1143"/>
    <w:rsid w:val="001B42C7"/>
    <w:rsid w:val="001C5CDE"/>
    <w:rsid w:val="001D20AA"/>
    <w:rsid w:val="001E38CF"/>
    <w:rsid w:val="001E7FCC"/>
    <w:rsid w:val="001F19A3"/>
    <w:rsid w:val="001F2709"/>
    <w:rsid w:val="001F28D1"/>
    <w:rsid w:val="00203DAE"/>
    <w:rsid w:val="00205A2F"/>
    <w:rsid w:val="002147D1"/>
    <w:rsid w:val="00215D29"/>
    <w:rsid w:val="002270DD"/>
    <w:rsid w:val="002324E7"/>
    <w:rsid w:val="0023320F"/>
    <w:rsid w:val="00244D30"/>
    <w:rsid w:val="00254630"/>
    <w:rsid w:val="00257582"/>
    <w:rsid w:val="002763AF"/>
    <w:rsid w:val="00276784"/>
    <w:rsid w:val="00282DD9"/>
    <w:rsid w:val="00284156"/>
    <w:rsid w:val="002A34E8"/>
    <w:rsid w:val="002B23D5"/>
    <w:rsid w:val="002C01D1"/>
    <w:rsid w:val="002C47C9"/>
    <w:rsid w:val="002C6F39"/>
    <w:rsid w:val="002D3BB7"/>
    <w:rsid w:val="002D66CE"/>
    <w:rsid w:val="002D789D"/>
    <w:rsid w:val="002E05F7"/>
    <w:rsid w:val="002E1F61"/>
    <w:rsid w:val="002E5B17"/>
    <w:rsid w:val="0031050D"/>
    <w:rsid w:val="00314C1B"/>
    <w:rsid w:val="00317D5F"/>
    <w:rsid w:val="00321B07"/>
    <w:rsid w:val="003221A0"/>
    <w:rsid w:val="003248C4"/>
    <w:rsid w:val="00324A78"/>
    <w:rsid w:val="00326A8D"/>
    <w:rsid w:val="00343954"/>
    <w:rsid w:val="00343DE4"/>
    <w:rsid w:val="00346051"/>
    <w:rsid w:val="00353403"/>
    <w:rsid w:val="00356D49"/>
    <w:rsid w:val="00361B3C"/>
    <w:rsid w:val="00362C79"/>
    <w:rsid w:val="003637DF"/>
    <w:rsid w:val="00365D1F"/>
    <w:rsid w:val="00376AA1"/>
    <w:rsid w:val="003800FC"/>
    <w:rsid w:val="003A0836"/>
    <w:rsid w:val="003A0A37"/>
    <w:rsid w:val="003A1EC4"/>
    <w:rsid w:val="003A39D2"/>
    <w:rsid w:val="003B5AEC"/>
    <w:rsid w:val="003C249C"/>
    <w:rsid w:val="003D057D"/>
    <w:rsid w:val="003D16D1"/>
    <w:rsid w:val="003D2849"/>
    <w:rsid w:val="003D493A"/>
    <w:rsid w:val="003D550E"/>
    <w:rsid w:val="003D69C8"/>
    <w:rsid w:val="003E3A16"/>
    <w:rsid w:val="003E70AB"/>
    <w:rsid w:val="00405DF1"/>
    <w:rsid w:val="0041705D"/>
    <w:rsid w:val="00424534"/>
    <w:rsid w:val="00427E01"/>
    <w:rsid w:val="0043095B"/>
    <w:rsid w:val="004339F4"/>
    <w:rsid w:val="00441ED6"/>
    <w:rsid w:val="0044709D"/>
    <w:rsid w:val="004505AD"/>
    <w:rsid w:val="00451E8D"/>
    <w:rsid w:val="00457466"/>
    <w:rsid w:val="004577FC"/>
    <w:rsid w:val="004601CB"/>
    <w:rsid w:val="004655F1"/>
    <w:rsid w:val="00465A06"/>
    <w:rsid w:val="0047021C"/>
    <w:rsid w:val="00474009"/>
    <w:rsid w:val="00483437"/>
    <w:rsid w:val="00491DD4"/>
    <w:rsid w:val="0049231C"/>
    <w:rsid w:val="00497DF2"/>
    <w:rsid w:val="004A726A"/>
    <w:rsid w:val="004D0E80"/>
    <w:rsid w:val="004D4CFD"/>
    <w:rsid w:val="004E22F4"/>
    <w:rsid w:val="00500FFB"/>
    <w:rsid w:val="00503AC8"/>
    <w:rsid w:val="005043AB"/>
    <w:rsid w:val="00511459"/>
    <w:rsid w:val="00515432"/>
    <w:rsid w:val="00515984"/>
    <w:rsid w:val="00515CC2"/>
    <w:rsid w:val="00517C1F"/>
    <w:rsid w:val="00521B2E"/>
    <w:rsid w:val="00540BD8"/>
    <w:rsid w:val="005479C2"/>
    <w:rsid w:val="00550827"/>
    <w:rsid w:val="00563A4F"/>
    <w:rsid w:val="00571282"/>
    <w:rsid w:val="00585739"/>
    <w:rsid w:val="00593CDB"/>
    <w:rsid w:val="005A09CE"/>
    <w:rsid w:val="005A6883"/>
    <w:rsid w:val="005B129A"/>
    <w:rsid w:val="005C11BA"/>
    <w:rsid w:val="005C5D0D"/>
    <w:rsid w:val="005C5FE9"/>
    <w:rsid w:val="005D07C5"/>
    <w:rsid w:val="005D1422"/>
    <w:rsid w:val="005D2C08"/>
    <w:rsid w:val="005D367C"/>
    <w:rsid w:val="005E550D"/>
    <w:rsid w:val="005F083C"/>
    <w:rsid w:val="005F4031"/>
    <w:rsid w:val="005F5A96"/>
    <w:rsid w:val="00601E62"/>
    <w:rsid w:val="00602563"/>
    <w:rsid w:val="006044F2"/>
    <w:rsid w:val="00615B75"/>
    <w:rsid w:val="0062491B"/>
    <w:rsid w:val="00626808"/>
    <w:rsid w:val="006341E9"/>
    <w:rsid w:val="006354A7"/>
    <w:rsid w:val="006356CB"/>
    <w:rsid w:val="00636DBD"/>
    <w:rsid w:val="00637D41"/>
    <w:rsid w:val="00640AE0"/>
    <w:rsid w:val="00642FF9"/>
    <w:rsid w:val="00651B7E"/>
    <w:rsid w:val="006562F9"/>
    <w:rsid w:val="00660C57"/>
    <w:rsid w:val="006615E2"/>
    <w:rsid w:val="0068060F"/>
    <w:rsid w:val="006939EC"/>
    <w:rsid w:val="006C1466"/>
    <w:rsid w:val="006C1A2F"/>
    <w:rsid w:val="006C4355"/>
    <w:rsid w:val="006C6325"/>
    <w:rsid w:val="006D15DF"/>
    <w:rsid w:val="006E4804"/>
    <w:rsid w:val="006E7D1C"/>
    <w:rsid w:val="006F164A"/>
    <w:rsid w:val="006F402E"/>
    <w:rsid w:val="006F4D1E"/>
    <w:rsid w:val="0070195E"/>
    <w:rsid w:val="00702641"/>
    <w:rsid w:val="00706561"/>
    <w:rsid w:val="00713E53"/>
    <w:rsid w:val="0072105C"/>
    <w:rsid w:val="00721A55"/>
    <w:rsid w:val="00722CAB"/>
    <w:rsid w:val="0072424B"/>
    <w:rsid w:val="00726828"/>
    <w:rsid w:val="0073622A"/>
    <w:rsid w:val="007445DD"/>
    <w:rsid w:val="007516D5"/>
    <w:rsid w:val="00755DFA"/>
    <w:rsid w:val="007660E1"/>
    <w:rsid w:val="0077798A"/>
    <w:rsid w:val="00785C80"/>
    <w:rsid w:val="00787E1B"/>
    <w:rsid w:val="007A027F"/>
    <w:rsid w:val="007A308D"/>
    <w:rsid w:val="007B249A"/>
    <w:rsid w:val="007B6893"/>
    <w:rsid w:val="007C58F8"/>
    <w:rsid w:val="007D3186"/>
    <w:rsid w:val="007E4213"/>
    <w:rsid w:val="007F1375"/>
    <w:rsid w:val="007F155F"/>
    <w:rsid w:val="007F4F5F"/>
    <w:rsid w:val="00806E2D"/>
    <w:rsid w:val="0081752F"/>
    <w:rsid w:val="008241EE"/>
    <w:rsid w:val="00844382"/>
    <w:rsid w:val="00844B63"/>
    <w:rsid w:val="00855F26"/>
    <w:rsid w:val="0085760F"/>
    <w:rsid w:val="00862F0C"/>
    <w:rsid w:val="008948D8"/>
    <w:rsid w:val="00897C37"/>
    <w:rsid w:val="008A1F42"/>
    <w:rsid w:val="008A4EC8"/>
    <w:rsid w:val="008B0206"/>
    <w:rsid w:val="008B350C"/>
    <w:rsid w:val="008B399A"/>
    <w:rsid w:val="008B46FF"/>
    <w:rsid w:val="008B4EA6"/>
    <w:rsid w:val="008B4F45"/>
    <w:rsid w:val="008B6CB0"/>
    <w:rsid w:val="008C4662"/>
    <w:rsid w:val="008D2DD1"/>
    <w:rsid w:val="008E590E"/>
    <w:rsid w:val="008F4314"/>
    <w:rsid w:val="0091503B"/>
    <w:rsid w:val="00921ABE"/>
    <w:rsid w:val="00924322"/>
    <w:rsid w:val="00937A7C"/>
    <w:rsid w:val="00962A6E"/>
    <w:rsid w:val="009654DE"/>
    <w:rsid w:val="00975216"/>
    <w:rsid w:val="00992A01"/>
    <w:rsid w:val="00993D58"/>
    <w:rsid w:val="00996AB1"/>
    <w:rsid w:val="00996C46"/>
    <w:rsid w:val="0099710C"/>
    <w:rsid w:val="009A5F94"/>
    <w:rsid w:val="009B282C"/>
    <w:rsid w:val="009B3114"/>
    <w:rsid w:val="009C1E93"/>
    <w:rsid w:val="009C5C40"/>
    <w:rsid w:val="009F04FF"/>
    <w:rsid w:val="009F1B9F"/>
    <w:rsid w:val="009F2D71"/>
    <w:rsid w:val="009F375F"/>
    <w:rsid w:val="00A004E1"/>
    <w:rsid w:val="00A01491"/>
    <w:rsid w:val="00A06CFD"/>
    <w:rsid w:val="00A11571"/>
    <w:rsid w:val="00A17C72"/>
    <w:rsid w:val="00A3061A"/>
    <w:rsid w:val="00A45949"/>
    <w:rsid w:val="00A51E2C"/>
    <w:rsid w:val="00A547A3"/>
    <w:rsid w:val="00A55428"/>
    <w:rsid w:val="00A57078"/>
    <w:rsid w:val="00A575E9"/>
    <w:rsid w:val="00A7048A"/>
    <w:rsid w:val="00A81041"/>
    <w:rsid w:val="00A813CE"/>
    <w:rsid w:val="00A8262F"/>
    <w:rsid w:val="00A84033"/>
    <w:rsid w:val="00A848D5"/>
    <w:rsid w:val="00A90808"/>
    <w:rsid w:val="00A927CE"/>
    <w:rsid w:val="00A970ED"/>
    <w:rsid w:val="00AA034A"/>
    <w:rsid w:val="00AA7A28"/>
    <w:rsid w:val="00AD1EF5"/>
    <w:rsid w:val="00AE65D5"/>
    <w:rsid w:val="00AE7952"/>
    <w:rsid w:val="00AF05BF"/>
    <w:rsid w:val="00AF5672"/>
    <w:rsid w:val="00B054CC"/>
    <w:rsid w:val="00B065F1"/>
    <w:rsid w:val="00B13417"/>
    <w:rsid w:val="00B16144"/>
    <w:rsid w:val="00B21E66"/>
    <w:rsid w:val="00B36F4C"/>
    <w:rsid w:val="00B4233C"/>
    <w:rsid w:val="00B54026"/>
    <w:rsid w:val="00B8222E"/>
    <w:rsid w:val="00B83A7F"/>
    <w:rsid w:val="00BA6CB6"/>
    <w:rsid w:val="00BA7D67"/>
    <w:rsid w:val="00BB7050"/>
    <w:rsid w:val="00BC1839"/>
    <w:rsid w:val="00BC1AE7"/>
    <w:rsid w:val="00BC4BBD"/>
    <w:rsid w:val="00BD0553"/>
    <w:rsid w:val="00BD662A"/>
    <w:rsid w:val="00BD74C2"/>
    <w:rsid w:val="00BE2F9E"/>
    <w:rsid w:val="00BE462A"/>
    <w:rsid w:val="00BE52EB"/>
    <w:rsid w:val="00BE7F5F"/>
    <w:rsid w:val="00BF3299"/>
    <w:rsid w:val="00BF75F0"/>
    <w:rsid w:val="00C01E97"/>
    <w:rsid w:val="00C0780B"/>
    <w:rsid w:val="00C15439"/>
    <w:rsid w:val="00C256FB"/>
    <w:rsid w:val="00C304D6"/>
    <w:rsid w:val="00C342F6"/>
    <w:rsid w:val="00C3536F"/>
    <w:rsid w:val="00C35F8C"/>
    <w:rsid w:val="00C406E3"/>
    <w:rsid w:val="00C45AFE"/>
    <w:rsid w:val="00C5614C"/>
    <w:rsid w:val="00C64E3C"/>
    <w:rsid w:val="00C7038E"/>
    <w:rsid w:val="00C75E96"/>
    <w:rsid w:val="00C76C06"/>
    <w:rsid w:val="00C83C2A"/>
    <w:rsid w:val="00C92A0B"/>
    <w:rsid w:val="00C9537E"/>
    <w:rsid w:val="00CA09E4"/>
    <w:rsid w:val="00CB49F0"/>
    <w:rsid w:val="00CC4D60"/>
    <w:rsid w:val="00CC63AC"/>
    <w:rsid w:val="00CD5AEC"/>
    <w:rsid w:val="00CE33F3"/>
    <w:rsid w:val="00CE3568"/>
    <w:rsid w:val="00CE78D6"/>
    <w:rsid w:val="00CF0DCE"/>
    <w:rsid w:val="00CF20FF"/>
    <w:rsid w:val="00CF4625"/>
    <w:rsid w:val="00CF6108"/>
    <w:rsid w:val="00CF72E1"/>
    <w:rsid w:val="00D05BD0"/>
    <w:rsid w:val="00D20ECF"/>
    <w:rsid w:val="00D24221"/>
    <w:rsid w:val="00D360FE"/>
    <w:rsid w:val="00D51298"/>
    <w:rsid w:val="00D51753"/>
    <w:rsid w:val="00D52B4A"/>
    <w:rsid w:val="00D57F3C"/>
    <w:rsid w:val="00D60E01"/>
    <w:rsid w:val="00D6341C"/>
    <w:rsid w:val="00D65D57"/>
    <w:rsid w:val="00D67ECD"/>
    <w:rsid w:val="00D73B2A"/>
    <w:rsid w:val="00D81BCA"/>
    <w:rsid w:val="00DA41A6"/>
    <w:rsid w:val="00DA49DC"/>
    <w:rsid w:val="00DB1460"/>
    <w:rsid w:val="00DB2060"/>
    <w:rsid w:val="00DC5051"/>
    <w:rsid w:val="00DC5151"/>
    <w:rsid w:val="00DD0EB6"/>
    <w:rsid w:val="00DD1215"/>
    <w:rsid w:val="00DD4ACF"/>
    <w:rsid w:val="00DE06C6"/>
    <w:rsid w:val="00DE3555"/>
    <w:rsid w:val="00DF23A9"/>
    <w:rsid w:val="00DF765E"/>
    <w:rsid w:val="00E0705A"/>
    <w:rsid w:val="00E07B03"/>
    <w:rsid w:val="00E27A09"/>
    <w:rsid w:val="00E30DF9"/>
    <w:rsid w:val="00E3581D"/>
    <w:rsid w:val="00E44E05"/>
    <w:rsid w:val="00E46DB7"/>
    <w:rsid w:val="00E5149D"/>
    <w:rsid w:val="00E5251D"/>
    <w:rsid w:val="00E546F2"/>
    <w:rsid w:val="00E57F22"/>
    <w:rsid w:val="00E60B38"/>
    <w:rsid w:val="00E658F9"/>
    <w:rsid w:val="00E83612"/>
    <w:rsid w:val="00EB2A72"/>
    <w:rsid w:val="00EB4064"/>
    <w:rsid w:val="00EE00FB"/>
    <w:rsid w:val="00EE1D54"/>
    <w:rsid w:val="00EF2398"/>
    <w:rsid w:val="00EF4922"/>
    <w:rsid w:val="00EF4BE2"/>
    <w:rsid w:val="00EF550A"/>
    <w:rsid w:val="00EF6108"/>
    <w:rsid w:val="00F06BF7"/>
    <w:rsid w:val="00F21822"/>
    <w:rsid w:val="00F237B3"/>
    <w:rsid w:val="00F300D6"/>
    <w:rsid w:val="00F37A82"/>
    <w:rsid w:val="00F513B3"/>
    <w:rsid w:val="00F53C4D"/>
    <w:rsid w:val="00F54F3F"/>
    <w:rsid w:val="00F56423"/>
    <w:rsid w:val="00F57D0B"/>
    <w:rsid w:val="00F637CC"/>
    <w:rsid w:val="00F70559"/>
    <w:rsid w:val="00F70E5B"/>
    <w:rsid w:val="00F73705"/>
    <w:rsid w:val="00F75933"/>
    <w:rsid w:val="00F75FB1"/>
    <w:rsid w:val="00F77710"/>
    <w:rsid w:val="00F83AF1"/>
    <w:rsid w:val="00F927D1"/>
    <w:rsid w:val="00F94584"/>
    <w:rsid w:val="00FA2744"/>
    <w:rsid w:val="00FA54CD"/>
    <w:rsid w:val="00FC338E"/>
    <w:rsid w:val="00FD0365"/>
    <w:rsid w:val="00FD1B94"/>
    <w:rsid w:val="00FD3215"/>
    <w:rsid w:val="00FD52CC"/>
    <w:rsid w:val="00FE3FD1"/>
    <w:rsid w:val="00FF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71D9C"/>
  <w15:chartTrackingRefBased/>
  <w15:docId w15:val="{8BA9DA1D-9C49-46E3-9E9C-365974AC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jc w:val="both"/>
      <w:outlineLvl w:val="0"/>
    </w:pPr>
    <w:rPr>
      <w:color w:val="000000"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C1213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C121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pBdr>
        <w:top w:val="single" w:sz="4" w:space="1" w:color="auto"/>
      </w:pBdr>
      <w:tabs>
        <w:tab w:val="center" w:pos="4320"/>
        <w:tab w:val="right" w:pos="8640"/>
      </w:tabs>
      <w:jc w:val="center"/>
    </w:pPr>
    <w:rPr>
      <w:b/>
    </w:rPr>
  </w:style>
  <w:style w:type="paragraph" w:styleId="BodyText">
    <w:name w:val="Body Text"/>
    <w:basedOn w:val="Normal"/>
    <w:pPr>
      <w:spacing w:after="240"/>
      <w:jc w:val="both"/>
    </w:pPr>
    <w:rPr>
      <w:rFonts w:ascii="Garamond" w:hAnsi="Garamond"/>
      <w:spacing w:val="-5"/>
      <w:sz w:val="24"/>
    </w:rPr>
  </w:style>
  <w:style w:type="paragraph" w:styleId="BodyTextIndent2">
    <w:name w:val="Body Text Indent 2"/>
    <w:basedOn w:val="Normal"/>
    <w:pPr>
      <w:ind w:left="2880" w:hanging="720"/>
      <w:jc w:val="both"/>
    </w:pPr>
    <w:rPr>
      <w:rFonts w:ascii="Garamond" w:hAnsi="Garamond"/>
      <w:sz w:val="24"/>
    </w:rPr>
  </w:style>
  <w:style w:type="paragraph" w:styleId="BodyTextIndent3">
    <w:name w:val="Body Text Indent 3"/>
    <w:basedOn w:val="Normal"/>
    <w:pPr>
      <w:tabs>
        <w:tab w:val="left" w:pos="2160"/>
      </w:tabs>
      <w:spacing w:before="120" w:after="120"/>
      <w:ind w:left="2880" w:hanging="720"/>
      <w:jc w:val="both"/>
    </w:pPr>
    <w:rPr>
      <w:rFonts w:ascii="Garamond" w:hAnsi="Garamond"/>
      <w:sz w:val="24"/>
    </w:rPr>
  </w:style>
  <w:style w:type="paragraph" w:styleId="BodyTextIndent">
    <w:name w:val="Body Text Indent"/>
    <w:basedOn w:val="Normal"/>
    <w:pPr>
      <w:ind w:left="1440" w:hanging="720"/>
      <w:jc w:val="both"/>
    </w:pPr>
    <w:rPr>
      <w:sz w:val="24"/>
    </w:rPr>
  </w:style>
  <w:style w:type="character" w:styleId="Hyperlink">
    <w:name w:val="Hyperlink"/>
    <w:rPr>
      <w:rFonts w:ascii="Times New Roman" w:hAnsi="Times New Roman"/>
      <w:color w:val="0000FF"/>
      <w:sz w:val="24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rPr>
      <w:sz w:val="16"/>
    </w:rPr>
  </w:style>
  <w:style w:type="paragraph" w:styleId="BalloonText">
    <w:name w:val="Balloon Text"/>
    <w:basedOn w:val="Normal"/>
    <w:semiHidden/>
    <w:rsid w:val="00996AB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F6108"/>
    <w:pPr>
      <w:shd w:val="clear" w:color="auto" w:fill="000080"/>
    </w:pPr>
    <w:rPr>
      <w:rFonts w:ascii="Tahoma" w:hAnsi="Tahoma" w:cs="Tahoma"/>
    </w:rPr>
  </w:style>
  <w:style w:type="paragraph" w:customStyle="1" w:styleId="Default">
    <w:name w:val="Default"/>
    <w:rsid w:val="005D1422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head">
    <w:name w:val="1head"/>
    <w:basedOn w:val="Default"/>
    <w:next w:val="Default"/>
    <w:rsid w:val="005D1422"/>
    <w:pPr>
      <w:spacing w:before="100" w:after="100"/>
    </w:pPr>
    <w:rPr>
      <w:color w:val="auto"/>
    </w:rPr>
  </w:style>
  <w:style w:type="paragraph" w:customStyle="1" w:styleId="Bullet">
    <w:name w:val="Bullet"/>
    <w:basedOn w:val="Default"/>
    <w:next w:val="Default"/>
    <w:rsid w:val="005D1422"/>
    <w:pPr>
      <w:spacing w:before="100" w:after="100"/>
    </w:pPr>
    <w:rPr>
      <w:color w:val="auto"/>
    </w:rPr>
  </w:style>
  <w:style w:type="paragraph" w:styleId="ListParagraph">
    <w:name w:val="List Paragraph"/>
    <w:basedOn w:val="Normal"/>
    <w:uiPriority w:val="34"/>
    <w:qFormat/>
    <w:rsid w:val="000006DD"/>
    <w:pPr>
      <w:ind w:left="720"/>
    </w:pPr>
  </w:style>
  <w:style w:type="character" w:customStyle="1" w:styleId="Heading3Char">
    <w:name w:val="Heading 3 Char"/>
    <w:link w:val="Heading3"/>
    <w:rsid w:val="000C121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0C1213"/>
    <w:rPr>
      <w:rFonts w:ascii="Calibri" w:eastAsia="Times New Roman" w:hAnsi="Calibri" w:cs="Times New Roman"/>
      <w:b/>
      <w:bCs/>
      <w:sz w:val="28"/>
      <w:szCs w:val="28"/>
    </w:rPr>
  </w:style>
  <w:style w:type="character" w:styleId="Strong">
    <w:name w:val="Strong"/>
    <w:uiPriority w:val="22"/>
    <w:qFormat/>
    <w:rsid w:val="00E5149D"/>
    <w:rPr>
      <w:b/>
      <w:bCs/>
    </w:rPr>
  </w:style>
  <w:style w:type="table" w:styleId="TableGrid">
    <w:name w:val="Table Grid"/>
    <w:basedOn w:val="TableNormal"/>
    <w:uiPriority w:val="39"/>
    <w:rsid w:val="00117D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17DDA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F54F3F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500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ktxgroup.sharepoint.com/sites/USEngineering/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to format ATD Procedures</vt:lpstr>
    </vt:vector>
  </TitlesOfParts>
  <Company>VANCE AFB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Lessons Learned</dc:title>
  <dc:subject/>
  <dc:creator>KTX Toccoa, Process Development</dc:creator>
  <cp:keywords/>
  <cp:lastModifiedBy>Demmler, Christoph</cp:lastModifiedBy>
  <cp:revision>4</cp:revision>
  <cp:lastPrinted>2024-10-25T19:59:00Z</cp:lastPrinted>
  <dcterms:created xsi:type="dcterms:W3CDTF">2025-03-31T17:21:00Z</dcterms:created>
  <dcterms:modified xsi:type="dcterms:W3CDTF">2025-03-31T17:56:00Z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l_Department">
    <vt:lpwstr/>
  </property>
  <property fmtid="{D5CDD505-2E9C-101B-9397-08002B2CF9AE}" pid="3" name="POC email">
    <vt:lpwstr/>
  </property>
  <property fmtid="{D5CDD505-2E9C-101B-9397-08002B2CF9AE}" pid="4" name="_Status">
    <vt:lpwstr>Not Started</vt:lpwstr>
  </property>
  <property fmtid="{D5CDD505-2E9C-101B-9397-08002B2CF9AE}" pid="5" name="ContentType">
    <vt:lpwstr>Document</vt:lpwstr>
  </property>
  <property fmtid="{D5CDD505-2E9C-101B-9397-08002B2CF9AE}" pid="6" name="POC">
    <vt:lpwstr/>
  </property>
</Properties>
</file>