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00" w:after="80"/>
      </w:pPr>
      <w:r>
        <w:rPr>
          <w:b/>
          <w:sz w:val="24"/>
        </w:rPr>
        <w:t>Purpose / Scope:</w:t>
      </w:r>
    </w:p>
    <w:p>
      <w:pPr>
        <w:spacing w:before="0" w:after="80"/>
      </w:pPr>
      <w:r>
        <w:rPr>
          <w:b w:val="0"/>
          <w:sz w:val="22"/>
        </w:rPr>
        <w:t>How PLM2 protects customer and prototype data in line with the VDA ISA catalogue used for TISAX, and what is still tightened. KTX Toccoa has no TISAX label and no information security officer yet; IT supports the security actions. This page records PLM2 so it is ready when a TISAX assessment is scoped.</w:t>
      </w:r>
    </w:p>
    <w:p>
      <w:pPr>
        <w:keepNext/>
        <w:spacing w:before="200" w:after="80"/>
      </w:pPr>
      <w:r>
        <w:rPr>
          <w:b/>
          <w:sz w:val="24"/>
        </w:rPr>
        <w:t>Owner / involved:</w:t>
      </w:r>
    </w:p>
    <w:p>
      <w:pPr>
        <w:pStyle w:val="ListParagraph"/>
        <w:numPr>
          <w:ilvl w:val="0"/>
          <w:numId w:val="52"/>
        </w:numPr>
        <w:spacing w:before="0" w:after="40"/>
      </w:pPr>
      <w:r>
        <w:rPr>
          <w:b w:val="0"/>
          <w:sz w:val="22"/>
        </w:rPr>
        <w:t>C. Demmler, Process Development: owner of PLM2 and of every action in this plan, author, keeps it current</w:t>
      </w:r>
    </w:p>
    <w:p>
      <w:pPr>
        <w:pStyle w:val="ListParagraph"/>
        <w:numPr>
          <w:ilvl w:val="0"/>
          <w:numId w:val="52"/>
        </w:numPr>
        <w:spacing w:before="0" w:after="40"/>
      </w:pPr>
      <w:r>
        <w:rPr>
          <w:b w:val="0"/>
          <w:sz w:val="22"/>
        </w:rPr>
        <w:t>Program Management and APQP: support (specification, tests, pilots on the running projects, evidence)</w:t>
      </w:r>
    </w:p>
    <w:p>
      <w:pPr>
        <w:pStyle w:val="ListParagraph"/>
        <w:numPr>
          <w:ilvl w:val="0"/>
          <w:numId w:val="52"/>
        </w:numPr>
        <w:spacing w:before="0" w:after="40"/>
      </w:pPr>
      <w:r>
        <w:rPr>
          <w:b w:val="0"/>
          <w:sz w:val="22"/>
        </w:rPr>
        <w:t>Departments named per action (IT, Quality, Development, Tooling, HR, department heads): support where their part is needed</w:t>
      </w:r>
    </w:p>
    <w:p>
      <w:pPr>
        <w:pStyle w:val="ListParagraph"/>
        <w:numPr>
          <w:ilvl w:val="0"/>
          <w:numId w:val="52"/>
        </w:numPr>
        <w:spacing w:before="0" w:after="40"/>
      </w:pPr>
      <w:r>
        <w:rPr>
          <w:b w:val="0"/>
          <w:sz w:val="22"/>
        </w:rPr>
        <w:t>Plant Management: monthly status review</w:t>
      </w:r>
    </w:p>
    <w:p>
      <w:pPr>
        <w:keepNext/>
        <w:spacing w:before="200" w:after="80"/>
      </w:pPr>
      <w:r>
        <w:rPr>
          <w:b/>
          <w:sz w:val="24"/>
        </w:rPr>
        <w:t>1. Controls in place</w:t>
      </w:r>
    </w:p>
    <w:tbl>
      <w:tblPr>
        <w:tblStyle w:val="TableGrid"/>
        <w:tblW w:type="auto" w:w="0"/>
        <w:jc w:val="center"/>
        <w:tblLayout w:type="fixed"/>
        <w:tblLook w:firstColumn="1" w:firstRow="1" w:lastColumn="0" w:lastRow="0" w:noHBand="0" w:noVBand="1" w:val="04A0"/>
      </w:tblPr>
      <w:tblGrid>
        <w:gridCol w:w="2232"/>
        <w:gridCol w:w="4824"/>
        <w:gridCol w:w="1152"/>
        <w:gridCol w:w="1296"/>
      </w:tblGrid>
      <w:tr>
        <w:trPr>
          <w:cantSplit/>
          <w:tblHeader/>
        </w:trPr>
        <w:tc>
          <w:tcPr>
            <w:tcW w:type="dxa" w:w="2232"/>
            <w:shd w:val="clear" w:color="auto" w:fill="D9D9D9"/>
          </w:tcPr>
          <w:p>
            <w:pPr>
              <w:spacing w:before="20" w:after="20"/>
            </w:pPr>
            <w:r>
              <w:rPr>
                <w:b/>
                <w:sz w:val="18"/>
              </w:rPr>
              <w:t>VDA ISA topic</w:t>
            </w:r>
          </w:p>
        </w:tc>
        <w:tc>
          <w:tcPr>
            <w:tcW w:type="dxa" w:w="4824"/>
            <w:shd w:val="clear" w:color="auto" w:fill="D9D9D9"/>
          </w:tcPr>
          <w:p>
            <w:pPr>
              <w:spacing w:before="20" w:after="20"/>
            </w:pPr>
            <w:r>
              <w:rPr>
                <w:b/>
                <w:sz w:val="18"/>
              </w:rPr>
              <w:t>How PLM2 meets it</w:t>
            </w:r>
          </w:p>
        </w:tc>
        <w:tc>
          <w:tcPr>
            <w:tcW w:type="dxa" w:w="1152"/>
            <w:shd w:val="clear" w:color="auto" w:fill="D9D9D9"/>
          </w:tcPr>
          <w:p>
            <w:pPr>
              <w:spacing w:before="20" w:after="20"/>
            </w:pPr>
            <w:r>
              <w:rPr>
                <w:b/>
                <w:sz w:val="18"/>
              </w:rPr>
              <w:t>Status</w:t>
            </w:r>
          </w:p>
        </w:tc>
        <w:tc>
          <w:tcPr>
            <w:tcW w:type="dxa" w:w="1296"/>
            <w:shd w:val="clear" w:color="auto" w:fill="D9D9D9"/>
          </w:tcPr>
          <w:p>
            <w:pPr>
              <w:spacing w:before="20" w:after="20"/>
            </w:pPr>
            <w:r>
              <w:rPr>
                <w:b/>
                <w:sz w:val="18"/>
              </w:rPr>
              <w:t>Action</w:t>
            </w:r>
          </w:p>
        </w:tc>
      </w:tr>
      <w:tr>
        <w:trPr>
          <w:cantSplit/>
        </w:trPr>
        <w:tc>
          <w:tcPr>
            <w:tcW w:type="dxa" w:w="2232"/>
          </w:tcPr>
          <w:p>
            <w:pPr>
              <w:spacing w:before="20" w:after="20"/>
            </w:pPr>
            <w:r>
              <w:rPr>
                <w:b w:val="0"/>
                <w:sz w:val="18"/>
              </w:rPr>
              <w:t>Asset management, classification (1.3)</w:t>
            </w:r>
          </w:p>
        </w:tc>
        <w:tc>
          <w:tcPr>
            <w:tcW w:type="dxa" w:w="4824"/>
          </w:tcPr>
          <w:p>
            <w:pPr>
              <w:spacing w:before="20" w:after="20"/>
            </w:pPr>
            <w:r>
              <w:rPr>
                <w:b w:val="0"/>
                <w:sz w:val="18"/>
              </w:rPr>
              <w:t>Every project, part and change carries a data classification, default 'confidential'</w:t>
            </w:r>
          </w:p>
        </w:tc>
        <w:tc>
          <w:tcPr>
            <w:tcW w:type="dxa" w:w="1152"/>
          </w:tcPr>
          <w:p>
            <w:pPr>
              <w:spacing w:before="20" w:after="20"/>
            </w:pPr>
            <w:r>
              <w:rPr>
                <w:b w:val="0"/>
                <w:sz w:val="18"/>
              </w:rPr>
              <w:t>Built</w:t>
            </w:r>
          </w:p>
        </w:tc>
        <w:tc>
          <w:tcPr>
            <w:tcW w:type="dxa" w:w="1296"/>
          </w:tcPr>
          <w:p>
            <w:pPr>
              <w:spacing w:before="20" w:after="20"/>
            </w:pPr>
            <w:r>
              <w:rPr>
                <w:b w:val="0"/>
                <w:sz w:val="18"/>
              </w:rPr>
              <w:t>I2</w:t>
            </w:r>
          </w:p>
        </w:tc>
      </w:tr>
      <w:tr>
        <w:trPr>
          <w:cantSplit/>
        </w:trPr>
        <w:tc>
          <w:tcPr>
            <w:tcW w:type="dxa" w:w="2232"/>
          </w:tcPr>
          <w:p>
            <w:pPr>
              <w:spacing w:before="20" w:after="20"/>
            </w:pPr>
            <w:r>
              <w:rPr>
                <w:b w:val="0"/>
                <w:sz w:val="18"/>
              </w:rPr>
              <w:t>Identity management (4.1)</w:t>
            </w:r>
          </w:p>
        </w:tc>
        <w:tc>
          <w:tcPr>
            <w:tcW w:type="dxa" w:w="4824"/>
          </w:tcPr>
          <w:p>
            <w:pPr>
              <w:spacing w:before="20" w:after="20"/>
            </w:pPr>
            <w:r>
              <w:rPr>
                <w:b w:val="0"/>
                <w:sz w:val="18"/>
              </w:rPr>
              <w:t>Sign-in only with the company Microsoft account (Entra ID) through the KTX app hub; leavers lose access with their account</w:t>
            </w:r>
          </w:p>
        </w:tc>
        <w:tc>
          <w:tcPr>
            <w:tcW w:type="dxa" w:w="1152"/>
          </w:tcPr>
          <w:p>
            <w:pPr>
              <w:spacing w:before="20" w:after="20"/>
            </w:pPr>
            <w:r>
              <w:rPr>
                <w:b w:val="0"/>
                <w:sz w:val="18"/>
              </w:rPr>
              <w:t>Built</w:t>
            </w:r>
          </w:p>
        </w:tc>
        <w:tc>
          <w:tcPr>
            <w:tcW w:type="dxa" w:w="1296"/>
          </w:tcPr>
          <w:p>
            <w:pPr>
              <w:spacing w:before="20" w:after="20"/>
            </w:pPr>
            <w:r>
              <w:rPr>
                <w:b w:val="0"/>
                <w:sz w:val="18"/>
              </w:rPr>
              <w:t>-</w:t>
            </w:r>
          </w:p>
        </w:tc>
      </w:tr>
      <w:tr>
        <w:trPr>
          <w:cantSplit/>
        </w:trPr>
        <w:tc>
          <w:tcPr>
            <w:tcW w:type="dxa" w:w="2232"/>
          </w:tcPr>
          <w:p>
            <w:pPr>
              <w:spacing w:before="20" w:after="20"/>
            </w:pPr>
            <w:r>
              <w:rPr>
                <w:b w:val="0"/>
                <w:sz w:val="18"/>
              </w:rPr>
              <w:t>Access management (4.2)</w:t>
            </w:r>
          </w:p>
        </w:tc>
        <w:tc>
          <w:tcPr>
            <w:tcW w:type="dxa" w:w="4824"/>
          </w:tcPr>
          <w:p>
            <w:pPr>
              <w:spacing w:before="20" w:after="20"/>
            </w:pPr>
            <w:r>
              <w:rPr>
                <w:b w:val="0"/>
                <w:sz w:val="18"/>
              </w:rPr>
              <w:t>Role-based rights from directory groups; lists limited to the user's organisation</w:t>
            </w:r>
          </w:p>
        </w:tc>
        <w:tc>
          <w:tcPr>
            <w:tcW w:type="dxa" w:w="1152"/>
          </w:tcPr>
          <w:p>
            <w:pPr>
              <w:spacing w:before="20" w:after="20"/>
            </w:pPr>
            <w:r>
              <w:rPr>
                <w:b/>
                <w:sz w:val="18"/>
              </w:rPr>
              <w:t>Tightening</w:t>
            </w:r>
          </w:p>
        </w:tc>
        <w:tc>
          <w:tcPr>
            <w:tcW w:type="dxa" w:w="1296"/>
          </w:tcPr>
          <w:p>
            <w:pPr>
              <w:spacing w:before="20" w:after="20"/>
            </w:pPr>
            <w:r>
              <w:rPr>
                <w:b w:val="0"/>
                <w:sz w:val="18"/>
              </w:rPr>
              <w:t>E1, M1</w:t>
            </w:r>
          </w:p>
        </w:tc>
      </w:tr>
      <w:tr>
        <w:trPr>
          <w:cantSplit/>
        </w:trPr>
        <w:tc>
          <w:tcPr>
            <w:tcW w:type="dxa" w:w="2232"/>
          </w:tcPr>
          <w:p>
            <w:pPr>
              <w:spacing w:before="20" w:after="20"/>
            </w:pPr>
            <w:r>
              <w:rPr>
                <w:b w:val="0"/>
                <w:sz w:val="18"/>
              </w:rPr>
              <w:t>Cryptography (5.1)</w:t>
            </w:r>
          </w:p>
        </w:tc>
        <w:tc>
          <w:tcPr>
            <w:tcW w:type="dxa" w:w="4824"/>
          </w:tcPr>
          <w:p>
            <w:pPr>
              <w:spacing w:before="20" w:after="20"/>
            </w:pPr>
            <w:r>
              <w:rPr>
                <w:b w:val="0"/>
                <w:sz w:val="18"/>
              </w:rPr>
              <w:t>All traffic over HTTPS; server certificate currently self-signed; files not yet encrypted at rest</w:t>
            </w:r>
          </w:p>
        </w:tc>
        <w:tc>
          <w:tcPr>
            <w:tcW w:type="dxa" w:w="1152"/>
          </w:tcPr>
          <w:p>
            <w:pPr>
              <w:spacing w:before="20" w:after="20"/>
            </w:pPr>
            <w:r>
              <w:rPr>
                <w:b/>
                <w:sz w:val="18"/>
              </w:rPr>
              <w:t>Tightening</w:t>
            </w:r>
          </w:p>
        </w:tc>
        <w:tc>
          <w:tcPr>
            <w:tcW w:type="dxa" w:w="1296"/>
          </w:tcPr>
          <w:p>
            <w:pPr>
              <w:spacing w:before="20" w:after="20"/>
            </w:pPr>
            <w:r>
              <w:rPr>
                <w:b w:val="0"/>
                <w:sz w:val="18"/>
              </w:rPr>
              <w:t>I1, I5</w:t>
            </w:r>
          </w:p>
        </w:tc>
      </w:tr>
      <w:tr>
        <w:trPr>
          <w:cantSplit/>
        </w:trPr>
        <w:tc>
          <w:tcPr>
            <w:tcW w:type="dxa" w:w="2232"/>
          </w:tcPr>
          <w:p>
            <w:pPr>
              <w:spacing w:before="20" w:after="20"/>
            </w:pPr>
            <w:r>
              <w:rPr>
                <w:b w:val="0"/>
                <w:sz w:val="18"/>
              </w:rPr>
              <w:t>Logging, change tracking (5.2)</w:t>
            </w:r>
          </w:p>
        </w:tc>
        <w:tc>
          <w:tcPr>
            <w:tcW w:type="dxa" w:w="4824"/>
          </w:tcPr>
          <w:p>
            <w:pPr>
              <w:spacing w:before="20" w:after="20"/>
            </w:pPr>
            <w:r>
              <w:rPr>
                <w:b w:val="0"/>
                <w:sz w:val="18"/>
              </w:rPr>
              <w:t>Hash-chained audit trail on changes and parts: who, what, when, old and new value</w:t>
            </w:r>
          </w:p>
        </w:tc>
        <w:tc>
          <w:tcPr>
            <w:tcW w:type="dxa" w:w="1152"/>
          </w:tcPr>
          <w:p>
            <w:pPr>
              <w:spacing w:before="20" w:after="20"/>
            </w:pPr>
            <w:r>
              <w:rPr>
                <w:b w:val="0"/>
                <w:sz w:val="18"/>
              </w:rPr>
              <w:t>Built</w:t>
            </w:r>
          </w:p>
        </w:tc>
        <w:tc>
          <w:tcPr>
            <w:tcW w:type="dxa" w:w="1296"/>
          </w:tcPr>
          <w:p>
            <w:pPr>
              <w:spacing w:before="20" w:after="20"/>
            </w:pPr>
            <w:r>
              <w:rPr>
                <w:b w:val="0"/>
                <w:sz w:val="18"/>
              </w:rPr>
              <w:t>-</w:t>
            </w:r>
          </w:p>
        </w:tc>
      </w:tr>
      <w:tr>
        <w:trPr>
          <w:cantSplit/>
        </w:trPr>
        <w:tc>
          <w:tcPr>
            <w:tcW w:type="dxa" w:w="2232"/>
          </w:tcPr>
          <w:p>
            <w:pPr>
              <w:spacing w:before="20" w:after="20"/>
            </w:pPr>
            <w:r>
              <w:rPr>
                <w:b w:val="0"/>
                <w:sz w:val="18"/>
              </w:rPr>
              <w:t>Operations, backup (5.2)</w:t>
            </w:r>
          </w:p>
        </w:tc>
        <w:tc>
          <w:tcPr>
            <w:tcW w:type="dxa" w:w="4824"/>
          </w:tcPr>
          <w:p>
            <w:pPr>
              <w:spacing w:before="20" w:after="20"/>
            </w:pPr>
            <w:r>
              <w:rPr>
                <w:b w:val="0"/>
                <w:sz w:val="18"/>
              </w:rPr>
              <w:t>On-premises company server in the KTX network; database backed up before every data operation; server login by key, repeated failures blocked</w:t>
            </w:r>
          </w:p>
        </w:tc>
        <w:tc>
          <w:tcPr>
            <w:tcW w:type="dxa" w:w="1152"/>
          </w:tcPr>
          <w:p>
            <w:pPr>
              <w:spacing w:before="20" w:after="20"/>
            </w:pPr>
            <w:r>
              <w:rPr>
                <w:b/>
                <w:sz w:val="18"/>
              </w:rPr>
              <w:t>Tightening</w:t>
            </w:r>
          </w:p>
        </w:tc>
        <w:tc>
          <w:tcPr>
            <w:tcW w:type="dxa" w:w="1296"/>
          </w:tcPr>
          <w:p>
            <w:pPr>
              <w:spacing w:before="20" w:after="20"/>
            </w:pPr>
            <w:r>
              <w:rPr>
                <w:b w:val="0"/>
                <w:sz w:val="18"/>
              </w:rPr>
              <w:t>M5</w:t>
            </w:r>
          </w:p>
        </w:tc>
      </w:tr>
      <w:tr>
        <w:trPr>
          <w:cantSplit/>
        </w:trPr>
        <w:tc>
          <w:tcPr>
            <w:tcW w:type="dxa" w:w="2232"/>
          </w:tcPr>
          <w:p>
            <w:pPr>
              <w:spacing w:before="20" w:after="20"/>
            </w:pPr>
            <w:r>
              <w:rPr>
                <w:b w:val="0"/>
                <w:sz w:val="18"/>
              </w:rPr>
              <w:t>Prototype protection (8)</w:t>
            </w:r>
          </w:p>
        </w:tc>
        <w:tc>
          <w:tcPr>
            <w:tcW w:type="dxa" w:w="4824"/>
          </w:tcPr>
          <w:p>
            <w:pPr>
              <w:spacing w:before="20" w:after="20"/>
            </w:pPr>
            <w:r>
              <w:rPr>
                <w:b w:val="0"/>
                <w:sz w:val="18"/>
              </w:rPr>
              <w:t>Customer CAD and prototype data stored in PLM2 only, viewed in the browser</w:t>
            </w:r>
          </w:p>
        </w:tc>
        <w:tc>
          <w:tcPr>
            <w:tcW w:type="dxa" w:w="1152"/>
          </w:tcPr>
          <w:p>
            <w:pPr>
              <w:spacing w:before="20" w:after="20"/>
            </w:pPr>
            <w:r>
              <w:rPr>
                <w:b/>
                <w:sz w:val="18"/>
              </w:rPr>
              <w:t>Tightening</w:t>
            </w:r>
          </w:p>
        </w:tc>
        <w:tc>
          <w:tcPr>
            <w:tcW w:type="dxa" w:w="1296"/>
          </w:tcPr>
          <w:p>
            <w:pPr>
              <w:spacing w:before="20" w:after="20"/>
            </w:pPr>
            <w:r>
              <w:rPr>
                <w:b w:val="0"/>
                <w:sz w:val="18"/>
              </w:rPr>
              <w:t>I2, I5</w:t>
            </w:r>
          </w:p>
        </w:tc>
      </w:tr>
    </w:tbl>
    <w:p/>
    <w:p>
      <w:pPr>
        <w:keepNext/>
        <w:spacing w:before="200" w:after="80"/>
      </w:pPr>
      <w:r>
        <w:rPr>
          <w:b/>
          <w:sz w:val="24"/>
        </w:rPr>
        <w:t>2. Tightening actions</w:t>
      </w:r>
    </w:p>
    <w:tbl>
      <w:tblPr>
        <w:tblStyle w:val="TableGrid"/>
        <w:tblW w:type="auto" w:w="0"/>
        <w:jc w:val="center"/>
        <w:tblLayout w:type="fixed"/>
        <w:tblLook w:firstColumn="1" w:firstRow="1" w:lastColumn="0" w:lastRow="0" w:noHBand="0" w:noVBand="1" w:val="04A0"/>
      </w:tblPr>
      <w:tblGrid>
        <w:gridCol w:w="576"/>
        <w:gridCol w:w="2448"/>
        <w:gridCol w:w="1368"/>
        <w:gridCol w:w="1224"/>
        <w:gridCol w:w="1296"/>
        <w:gridCol w:w="1152"/>
        <w:gridCol w:w="1440"/>
      </w:tblGrid>
      <w:tr>
        <w:trPr>
          <w:cantSplit/>
          <w:tblHeader/>
        </w:trPr>
        <w:tc>
          <w:tcPr>
            <w:tcW w:type="dxa" w:w="576"/>
            <w:shd w:val="clear" w:color="auto" w:fill="D9D9D9"/>
          </w:tcPr>
          <w:p>
            <w:pPr>
              <w:spacing w:before="20" w:after="20"/>
            </w:pPr>
            <w:r>
              <w:rPr>
                <w:b/>
                <w:sz w:val="18"/>
              </w:rPr>
              <w:t>No.</w:t>
            </w:r>
          </w:p>
        </w:tc>
        <w:tc>
          <w:tcPr>
            <w:tcW w:type="dxa" w:w="2448"/>
            <w:shd w:val="clear" w:color="auto" w:fill="D9D9D9"/>
          </w:tcPr>
          <w:p>
            <w:pPr>
              <w:spacing w:before="20" w:after="20"/>
            </w:pPr>
            <w:r>
              <w:rPr>
                <w:b/>
                <w:sz w:val="18"/>
              </w:rPr>
              <w:t>Action</w:t>
            </w:r>
          </w:p>
        </w:tc>
        <w:tc>
          <w:tcPr>
            <w:tcW w:type="dxa" w:w="1368"/>
            <w:shd w:val="clear" w:color="auto" w:fill="D9D9D9"/>
          </w:tcPr>
          <w:p>
            <w:pPr>
              <w:spacing w:before="20" w:after="20"/>
            </w:pPr>
            <w:r>
              <w:rPr>
                <w:b/>
                <w:sz w:val="18"/>
              </w:rPr>
              <w:t>Phase</w:t>
            </w:r>
          </w:p>
        </w:tc>
        <w:tc>
          <w:tcPr>
            <w:tcW w:type="dxa" w:w="1224"/>
            <w:shd w:val="clear" w:color="auto" w:fill="D9D9D9"/>
          </w:tcPr>
          <w:p>
            <w:pPr>
              <w:spacing w:before="20" w:after="20"/>
            </w:pPr>
            <w:r>
              <w:rPr>
                <w:b/>
                <w:sz w:val="18"/>
              </w:rPr>
              <w:t>Owner</w:t>
            </w:r>
          </w:p>
        </w:tc>
        <w:tc>
          <w:tcPr>
            <w:tcW w:type="dxa" w:w="1296"/>
            <w:shd w:val="clear" w:color="auto" w:fill="D9D9D9"/>
          </w:tcPr>
          <w:p>
            <w:pPr>
              <w:spacing w:before="20" w:after="20"/>
            </w:pPr>
            <w:r>
              <w:rPr>
                <w:b/>
                <w:sz w:val="18"/>
              </w:rPr>
              <w:t>Support</w:t>
            </w:r>
          </w:p>
        </w:tc>
        <w:tc>
          <w:tcPr>
            <w:tcW w:type="dxa" w:w="1152"/>
            <w:shd w:val="clear" w:color="auto" w:fill="D9D9D9"/>
          </w:tcPr>
          <w:p>
            <w:pPr>
              <w:spacing w:before="20" w:after="20"/>
            </w:pPr>
            <w:r>
              <w:rPr>
                <w:b/>
                <w:sz w:val="18"/>
              </w:rPr>
              <w:t>Due</w:t>
            </w:r>
          </w:p>
        </w:tc>
        <w:tc>
          <w:tcPr>
            <w:tcW w:type="dxa" w:w="1440"/>
            <w:shd w:val="clear" w:color="auto" w:fill="D9D9D9"/>
          </w:tcPr>
          <w:p>
            <w:pPr>
              <w:spacing w:before="20" w:after="20"/>
            </w:pPr>
            <w:r>
              <w:rPr>
                <w:b/>
                <w:sz w:val="18"/>
              </w:rPr>
              <w:t>Done when</w:t>
            </w:r>
          </w:p>
        </w:tc>
      </w:tr>
      <w:tr>
        <w:trPr>
          <w:cantSplit/>
        </w:trPr>
        <w:tc>
          <w:tcPr>
            <w:tcW w:type="dxa" w:w="576"/>
          </w:tcPr>
          <w:p>
            <w:pPr>
              <w:spacing w:before="20" w:after="20"/>
            </w:pPr>
            <w:r>
              <w:rPr>
                <w:b w:val="0"/>
                <w:sz w:val="18"/>
              </w:rPr>
              <w:t>I1</w:t>
            </w:r>
          </w:p>
        </w:tc>
        <w:tc>
          <w:tcPr>
            <w:tcW w:type="dxa" w:w="2448"/>
          </w:tcPr>
          <w:p>
            <w:pPr>
              <w:spacing w:before="20" w:after="20"/>
            </w:pPr>
            <w:r>
              <w:rPr>
                <w:b w:val="0"/>
                <w:sz w:val="18"/>
              </w:rPr>
              <w:t>Trusted company certificate on the PLM2 server (replaces self-signed)</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IT</w:t>
            </w:r>
          </w:p>
        </w:tc>
        <w:tc>
          <w:tcPr>
            <w:tcW w:type="dxa" w:w="1152"/>
          </w:tcPr>
          <w:p>
            <w:pPr>
              <w:spacing w:before="20" w:after="20"/>
            </w:pPr>
            <w:r>
              <w:rPr>
                <w:b w:val="0"/>
                <w:sz w:val="18"/>
              </w:rPr>
              <w:t>11/13/2026</w:t>
            </w:r>
          </w:p>
        </w:tc>
        <w:tc>
          <w:tcPr>
            <w:tcW w:type="dxa" w:w="1440"/>
          </w:tcPr>
          <w:p>
            <w:pPr>
              <w:spacing w:before="20" w:after="20"/>
            </w:pPr>
            <w:r>
              <w:rPr>
                <w:b w:val="0"/>
                <w:sz w:val="18"/>
              </w:rPr>
              <w:t>Browser shows trusted certificate</w:t>
            </w:r>
          </w:p>
        </w:tc>
      </w:tr>
      <w:tr>
        <w:trPr>
          <w:cantSplit/>
        </w:trPr>
        <w:tc>
          <w:tcPr>
            <w:tcW w:type="dxa" w:w="576"/>
          </w:tcPr>
          <w:p>
            <w:pPr>
              <w:spacing w:before="20" w:after="20"/>
            </w:pPr>
            <w:r>
              <w:rPr>
                <w:b w:val="0"/>
                <w:sz w:val="18"/>
              </w:rPr>
              <w:t>I2</w:t>
            </w:r>
          </w:p>
        </w:tc>
        <w:tc>
          <w:tcPr>
            <w:tcW w:type="dxa" w:w="2448"/>
          </w:tcPr>
          <w:p>
            <w:pPr>
              <w:spacing w:before="20" w:after="20"/>
            </w:pPr>
            <w:r>
              <w:rPr>
                <w:b w:val="0"/>
                <w:sz w:val="18"/>
              </w:rPr>
              <w:t>Classification drives access: prototype / strictly confidential projects visible to the named project team only; downloads logged</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IT</w:t>
            </w:r>
          </w:p>
        </w:tc>
        <w:tc>
          <w:tcPr>
            <w:tcW w:type="dxa" w:w="1152"/>
          </w:tcPr>
          <w:p>
            <w:pPr>
              <w:spacing w:before="20" w:after="20"/>
            </w:pPr>
            <w:r>
              <w:rPr>
                <w:b w:val="0"/>
                <w:sz w:val="18"/>
              </w:rPr>
              <w:t>12/11/2026</w:t>
            </w:r>
          </w:p>
        </w:tc>
        <w:tc>
          <w:tcPr>
            <w:tcW w:type="dxa" w:w="1440"/>
          </w:tcPr>
          <w:p>
            <w:pPr>
              <w:spacing w:before="20" w:after="20"/>
            </w:pPr>
            <w:r>
              <w:rPr>
                <w:b w:val="0"/>
                <w:sz w:val="18"/>
              </w:rPr>
              <w:t>Access test per classification</w:t>
            </w:r>
          </w:p>
        </w:tc>
      </w:tr>
      <w:tr>
        <w:trPr>
          <w:cantSplit/>
        </w:trPr>
        <w:tc>
          <w:tcPr>
            <w:tcW w:type="dxa" w:w="576"/>
          </w:tcPr>
          <w:p>
            <w:pPr>
              <w:spacing w:before="20" w:after="20"/>
            </w:pPr>
            <w:r>
              <w:rPr>
                <w:b w:val="0"/>
                <w:sz w:val="18"/>
              </w:rPr>
              <w:t>I3</w:t>
            </w:r>
          </w:p>
        </w:tc>
        <w:tc>
          <w:tcPr>
            <w:tcW w:type="dxa" w:w="2448"/>
          </w:tcPr>
          <w:p>
            <w:pPr>
              <w:spacing w:before="20" w:after="20"/>
            </w:pPr>
            <w:r>
              <w:rPr>
                <w:b w:val="0"/>
                <w:sz w:val="18"/>
              </w:rPr>
              <w:t>Start an asset list with IT and record PLM2 in it as the system holding customer and prototype data (basis for a future TISAX scope)</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IT</w:t>
            </w:r>
          </w:p>
        </w:tc>
        <w:tc>
          <w:tcPr>
            <w:tcW w:type="dxa" w:w="1152"/>
          </w:tcPr>
          <w:p>
            <w:pPr>
              <w:spacing w:before="20" w:after="20"/>
            </w:pPr>
            <w:r>
              <w:rPr>
                <w:b w:val="0"/>
                <w:sz w:val="18"/>
              </w:rPr>
              <w:t>10/30/2026</w:t>
            </w:r>
          </w:p>
        </w:tc>
        <w:tc>
          <w:tcPr>
            <w:tcW w:type="dxa" w:w="1440"/>
          </w:tcPr>
          <w:p>
            <w:pPr>
              <w:spacing w:before="20" w:after="20"/>
            </w:pPr>
            <w:r>
              <w:rPr>
                <w:b w:val="0"/>
                <w:sz w:val="18"/>
              </w:rPr>
              <w:t>Asset list entry</w:t>
            </w:r>
          </w:p>
        </w:tc>
      </w:tr>
      <w:tr>
        <w:trPr>
          <w:cantSplit/>
        </w:trPr>
        <w:tc>
          <w:tcPr>
            <w:tcW w:type="dxa" w:w="576"/>
          </w:tcPr>
          <w:p>
            <w:pPr>
              <w:spacing w:before="20" w:after="20"/>
            </w:pPr>
            <w:r>
              <w:rPr>
                <w:b w:val="0"/>
                <w:sz w:val="18"/>
              </w:rPr>
              <w:t>I4</w:t>
            </w:r>
          </w:p>
        </w:tc>
        <w:tc>
          <w:tcPr>
            <w:tcW w:type="dxa" w:w="2448"/>
          </w:tcPr>
          <w:p>
            <w:pPr>
              <w:spacing w:before="20" w:after="20"/>
            </w:pPr>
            <w:r>
              <w:rPr>
                <w:b w:val="0"/>
                <w:sz w:val="18"/>
              </w:rPr>
              <w:t>Quarterly access review per department</w:t>
            </w:r>
          </w:p>
        </w:tc>
        <w:tc>
          <w:tcPr>
            <w:tcW w:type="dxa" w:w="1368"/>
          </w:tcPr>
          <w:p>
            <w:pPr>
              <w:spacing w:before="20" w:after="20"/>
            </w:pPr>
            <w:r>
              <w:rPr>
                <w:b w:val="0"/>
                <w:sz w:val="18"/>
              </w:rPr>
              <w:t>Operation</w:t>
            </w:r>
          </w:p>
        </w:tc>
        <w:tc>
          <w:tcPr>
            <w:tcW w:type="dxa" w:w="1224"/>
          </w:tcPr>
          <w:p>
            <w:pPr>
              <w:spacing w:before="20" w:after="20"/>
            </w:pPr>
            <w:r>
              <w:rPr>
                <w:b w:val="0"/>
                <w:sz w:val="18"/>
              </w:rPr>
              <w:t>C. Demmler</w:t>
            </w:r>
          </w:p>
        </w:tc>
        <w:tc>
          <w:tcPr>
            <w:tcW w:type="dxa" w:w="1296"/>
          </w:tcPr>
          <w:p>
            <w:pPr>
              <w:spacing w:before="20" w:after="20"/>
            </w:pPr>
            <w:r>
              <w:rPr>
                <w:b w:val="0"/>
                <w:sz w:val="18"/>
              </w:rPr>
              <w:t>Department heads</w:t>
            </w:r>
          </w:p>
        </w:tc>
        <w:tc>
          <w:tcPr>
            <w:tcW w:type="dxa" w:w="1152"/>
          </w:tcPr>
          <w:p>
            <w:pPr>
              <w:spacing w:before="20" w:after="20"/>
            </w:pPr>
            <w:r>
              <w:rPr>
                <w:b w:val="0"/>
                <w:sz w:val="18"/>
              </w:rPr>
              <w:t>01/29/2027</w:t>
            </w:r>
          </w:p>
        </w:tc>
        <w:tc>
          <w:tcPr>
            <w:tcW w:type="dxa" w:w="1440"/>
          </w:tcPr>
          <w:p>
            <w:pPr>
              <w:spacing w:before="20" w:after="20"/>
            </w:pPr>
            <w:r>
              <w:rPr>
                <w:b w:val="0"/>
                <w:sz w:val="18"/>
              </w:rPr>
              <w:t>Review record in PLM2</w:t>
            </w:r>
          </w:p>
        </w:tc>
      </w:tr>
      <w:tr>
        <w:trPr>
          <w:cantSplit/>
        </w:trPr>
        <w:tc>
          <w:tcPr>
            <w:tcW w:type="dxa" w:w="576"/>
          </w:tcPr>
          <w:p>
            <w:pPr>
              <w:spacing w:before="20" w:after="20"/>
            </w:pPr>
            <w:r>
              <w:rPr>
                <w:b w:val="0"/>
                <w:sz w:val="18"/>
              </w:rPr>
              <w:t>I5</w:t>
            </w:r>
          </w:p>
        </w:tc>
        <w:tc>
          <w:tcPr>
            <w:tcW w:type="dxa" w:w="2448"/>
          </w:tcPr>
          <w:p>
            <w:pPr>
              <w:spacing w:before="20" w:after="20"/>
            </w:pPr>
            <w:r>
              <w:rPr>
                <w:b w:val="0"/>
                <w:sz w:val="18"/>
              </w:rPr>
              <w:t>Stored customer files encrypted at rest (AES-256), as already done in RFQ2</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01/04/2027</w:t>
            </w:r>
          </w:p>
        </w:tc>
        <w:tc>
          <w:tcPr>
            <w:tcW w:type="dxa" w:w="1440"/>
          </w:tcPr>
          <w:p>
            <w:pPr>
              <w:spacing w:before="20" w:after="20"/>
            </w:pPr>
            <w:r>
              <w:rPr>
                <w:b w:val="0"/>
                <w:sz w:val="18"/>
              </w:rPr>
              <w:t>Encryption test, key handling documented</w:t>
            </w:r>
          </w:p>
        </w:tc>
      </w:tr>
      <w:tr>
        <w:trPr>
          <w:cantSplit/>
        </w:trPr>
        <w:tc>
          <w:tcPr>
            <w:tcW w:type="dxa" w:w="576"/>
          </w:tcPr>
          <w:p>
            <w:pPr>
              <w:spacing w:before="20" w:after="20"/>
            </w:pPr>
            <w:r>
              <w:rPr>
                <w:b w:val="0"/>
                <w:sz w:val="18"/>
              </w:rPr>
              <w:t>E1 / M1 / M5</w:t>
            </w:r>
          </w:p>
        </w:tc>
        <w:tc>
          <w:tcPr>
            <w:tcW w:type="dxa" w:w="2448"/>
          </w:tcPr>
          <w:p>
            <w:pPr>
              <w:spacing w:before="20" w:after="20"/>
            </w:pPr>
            <w:r>
              <w:rPr>
                <w:b w:val="0"/>
                <w:sz w:val="18"/>
              </w:rPr>
              <w:t>Department rights, access scope, scheduled backup with restore test (see TOC-PLM-01 and -03)</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IT</w:t>
            </w:r>
          </w:p>
        </w:tc>
        <w:tc>
          <w:tcPr>
            <w:tcW w:type="dxa" w:w="1152"/>
          </w:tcPr>
          <w:p>
            <w:pPr>
              <w:spacing w:before="20" w:after="20"/>
            </w:pPr>
            <w:r>
              <w:rPr>
                <w:b w:val="0"/>
                <w:sz w:val="18"/>
              </w:rPr>
              <w:t>11/20/2026</w:t>
            </w:r>
          </w:p>
        </w:tc>
        <w:tc>
          <w:tcPr>
            <w:tcW w:type="dxa" w:w="1440"/>
          </w:tcPr>
          <w:p>
            <w:pPr>
              <w:spacing w:before="20" w:after="20"/>
            </w:pPr>
            <w:r>
              <w:rPr>
                <w:b w:val="0"/>
                <w:sz w:val="18"/>
              </w:rPr>
              <w:t>See stream documents</w:t>
            </w:r>
          </w:p>
        </w:tc>
      </w:tr>
    </w:tbl>
    <w:p/>
    <w:p>
      <w:pPr>
        <w:spacing w:before="0" w:after="120"/>
      </w:pPr>
      <w:r>
        <w:rPr>
          <w:b w:val="0"/>
          <w:sz w:val="22"/>
        </w:rPr>
        <w:t xml:space="preserve">The table is the plan as of the status date above. Progress is tracked in the action plan </w:t>
      </w:r>
      <w:r>
        <w:rPr>
          <w:b/>
          <w:sz w:val="22"/>
        </w:rPr>
        <w:t>TOC-PLM-LOP (KTX LOP F-DVS-CORP-010)</w:t>
      </w:r>
      <w:r>
        <w:rPr>
          <w:b w:val="0"/>
          <w:sz w:val="22"/>
        </w:rPr>
        <w:t>; a date that moves is changed there with the reason, and this document is updated with it.</w:t>
      </w:r>
    </w:p>
    <w:sectPr w:rsidR="00660C57" w:rsidRPr="0072424B" w:rsidSect="00353403">
      <w:headerReference w:type="default" r:id="rId24"/>
      <w:footerReference w:type="default" r:id="rId25"/>
      <w:pgSz w:w="12240" w:h="15840" w:code="1"/>
      <w:pgMar w:top="1440" w:right="1296"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8FE" w14:textId="77777777" w:rsidR="00DB2060" w:rsidRDefault="00DB2060">
      <w:r>
        <w:separator/>
      </w:r>
    </w:p>
  </w:endnote>
  <w:endnote w:type="continuationSeparator" w:id="0">
    <w:p w14:paraId="7C8E7C8E" w14:textId="77777777" w:rsidR="00DB2060" w:rsidRDefault="00DB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360" w:val="right"/>
      </w:tabs>
      <w:spacing w:before="0" w:after="0"/>
    </w:pPr>
    <w:r>
      <w:rPr>
        <w:b w:val="0"/>
        <w:color w:val="6B7280"/>
        <w:sz w:val="16"/>
      </w:rPr>
      <w:t>Internal working document – not part of document control</w:t>
      <w:tab/>
    </w:r>
    <w:r>
      <w:rPr>
        <w:b w:val="0"/>
        <w:color w:val="6B7280"/>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b w:val="0"/>
        <w:color w:val="6B7280"/>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F0B7" w14:textId="77777777" w:rsidR="00DB2060" w:rsidRDefault="00DB2060">
      <w:r>
        <w:separator/>
      </w:r>
    </w:p>
  </w:footnote>
  <w:footnote w:type="continuationSeparator" w:id="0">
    <w:p w14:paraId="369670AB" w14:textId="77777777" w:rsidR="00DB2060" w:rsidRDefault="00DB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r>
      <w:rPr>
        <w:b w:val="0"/>
        <w:color w:val="6B7280"/>
        <w:sz w:val="16"/>
      </w:rPr>
      <w:t>KTX Toccoa · Process Development · Engineering / PLM2</w:t>
    </w:r>
  </w:p>
  <w:p>
    <w:pPr>
      <w:spacing w:before="0" w:after="0"/>
    </w:pPr>
    <w:r>
      <w:rPr>
        <w:b/>
        <w:sz w:val="20"/>
      </w:rPr>
      <w:t>Information Security (TISAX) in PLM2</w:t>
    </w:r>
  </w:p>
  <w:p>
    <w:pPr>
      <w:spacing w:before="0" w:after="160"/>
      <w:pBdr>
        <w:bottom w:val="single" w:sz="4" w:space="4" w:color="9CA3AF"/>
      </w:pBdr>
    </w:pPr>
    <w:r>
      <w:rPr>
        <w:b w:val="0"/>
        <w:color w:val="6B7280"/>
        <w:sz w:val="16"/>
      </w:rPr>
      <w:t>TOC-PLM-05 · status 09/30/2026 · internal working document, not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2EB2D"/>
    <w:multiLevelType w:val="hybridMultilevel"/>
    <w:tmpl w:val="B8BF3F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E2A8A"/>
    <w:multiLevelType w:val="hybridMultilevel"/>
    <w:tmpl w:val="4AB09F1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2A009F"/>
    <w:multiLevelType w:val="hybridMultilevel"/>
    <w:tmpl w:val="4C84E892"/>
    <w:lvl w:ilvl="0" w:tplc="FD02FF82">
      <w:start w:val="2"/>
      <w:numFmt w:val="upperLetter"/>
      <w:lvlText w:val="%1."/>
      <w:lvlJc w:val="left"/>
      <w:pPr>
        <w:tabs>
          <w:tab w:val="num" w:pos="1080"/>
        </w:tabs>
        <w:ind w:left="1080" w:hanging="720"/>
      </w:pPr>
      <w:rPr>
        <w:rFonts w:hint="default"/>
      </w:rPr>
    </w:lvl>
    <w:lvl w:ilvl="1" w:tplc="A7ACFC3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5C4921"/>
    <w:multiLevelType w:val="hybridMultilevel"/>
    <w:tmpl w:val="9288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775450"/>
    <w:multiLevelType w:val="singleLevel"/>
    <w:tmpl w:val="9D925344"/>
    <w:lvl w:ilvl="0">
      <w:start w:val="1"/>
      <w:numFmt w:val="decimal"/>
      <w:lvlText w:val="%1."/>
      <w:lvlJc w:val="left"/>
      <w:pPr>
        <w:tabs>
          <w:tab w:val="num" w:pos="1440"/>
        </w:tabs>
        <w:ind w:left="1440" w:hanging="720"/>
      </w:pPr>
      <w:rPr>
        <w:rFonts w:hint="default"/>
      </w:rPr>
    </w:lvl>
  </w:abstractNum>
  <w:abstractNum w:abstractNumId="5" w15:restartNumberingAfterBreak="0">
    <w:nsid w:val="03226BB4"/>
    <w:multiLevelType w:val="singleLevel"/>
    <w:tmpl w:val="6490523C"/>
    <w:lvl w:ilvl="0">
      <w:start w:val="1"/>
      <w:numFmt w:val="decimal"/>
      <w:lvlText w:val="%1."/>
      <w:lvlJc w:val="left"/>
      <w:pPr>
        <w:tabs>
          <w:tab w:val="num" w:pos="1440"/>
        </w:tabs>
        <w:ind w:left="1440" w:hanging="720"/>
      </w:pPr>
      <w:rPr>
        <w:rFonts w:hint="default"/>
      </w:rPr>
    </w:lvl>
  </w:abstractNum>
  <w:abstractNum w:abstractNumId="6" w15:restartNumberingAfterBreak="0">
    <w:nsid w:val="03300557"/>
    <w:multiLevelType w:val="hybridMultilevel"/>
    <w:tmpl w:val="970E65B4"/>
    <w:lvl w:ilvl="0" w:tplc="CA48BE28">
      <w:start w:val="15"/>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F708B"/>
    <w:multiLevelType w:val="hybridMultilevel"/>
    <w:tmpl w:val="69902E00"/>
    <w:lvl w:ilvl="0" w:tplc="2D741C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D4CB3"/>
    <w:multiLevelType w:val="hybridMultilevel"/>
    <w:tmpl w:val="76D68CEC"/>
    <w:lvl w:ilvl="0" w:tplc="49385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A0222"/>
    <w:multiLevelType w:val="hybridMultilevel"/>
    <w:tmpl w:val="D1228E9A"/>
    <w:lvl w:ilvl="0" w:tplc="5B5AE3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012B5"/>
    <w:multiLevelType w:val="hybridMultilevel"/>
    <w:tmpl w:val="C674C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46F2E"/>
    <w:multiLevelType w:val="hybridMultilevel"/>
    <w:tmpl w:val="38DCD572"/>
    <w:lvl w:ilvl="0" w:tplc="DFA6A1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291B"/>
    <w:multiLevelType w:val="multilevel"/>
    <w:tmpl w:val="49F22962"/>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B20B3"/>
    <w:multiLevelType w:val="hybridMultilevel"/>
    <w:tmpl w:val="78F8536C"/>
    <w:lvl w:ilvl="0" w:tplc="E7C2A2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4D6087E"/>
    <w:multiLevelType w:val="hybridMultilevel"/>
    <w:tmpl w:val="287A5F3E"/>
    <w:lvl w:ilvl="0" w:tplc="5F18877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5436C5F"/>
    <w:multiLevelType w:val="multilevel"/>
    <w:tmpl w:val="0FAEE6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5439"/>
    <w:multiLevelType w:val="multilevel"/>
    <w:tmpl w:val="A720E2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C0111E5"/>
    <w:multiLevelType w:val="hybridMultilevel"/>
    <w:tmpl w:val="88604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 w15:restartNumberingAfterBreak="0">
    <w:nsid w:val="1CB61A72"/>
    <w:multiLevelType w:val="hybridMultilevel"/>
    <w:tmpl w:val="9E14E43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97A336"/>
    <w:multiLevelType w:val="hybridMultilevel"/>
    <w:tmpl w:val="22832B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10E486E"/>
    <w:multiLevelType w:val="hybridMultilevel"/>
    <w:tmpl w:val="D1B232C6"/>
    <w:lvl w:ilvl="0" w:tplc="50C06DE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59641D"/>
    <w:multiLevelType w:val="hybridMultilevel"/>
    <w:tmpl w:val="2B4EC920"/>
    <w:lvl w:ilvl="0" w:tplc="2CD8A0EC">
      <w:start w:val="1"/>
      <w:numFmt w:val="decimal"/>
      <w:lvlText w:val="%1."/>
      <w:lvlJc w:val="left"/>
      <w:pPr>
        <w:tabs>
          <w:tab w:val="num" w:pos="1440"/>
        </w:tabs>
        <w:ind w:left="1440" w:hanging="720"/>
      </w:pPr>
      <w:rPr>
        <w:rFonts w:hint="default"/>
      </w:rPr>
    </w:lvl>
    <w:lvl w:ilvl="1" w:tplc="0D52786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80AA9100">
      <w:start w:val="5"/>
      <w:numFmt w:val="upp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C08A7"/>
    <w:multiLevelType w:val="hybridMultilevel"/>
    <w:tmpl w:val="736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526B4"/>
    <w:multiLevelType w:val="singleLevel"/>
    <w:tmpl w:val="FA624EEE"/>
    <w:lvl w:ilvl="0">
      <w:start w:val="1"/>
      <w:numFmt w:val="lowerLetter"/>
      <w:lvlText w:val="(%1)"/>
      <w:lvlJc w:val="left"/>
      <w:pPr>
        <w:tabs>
          <w:tab w:val="num" w:pos="3600"/>
        </w:tabs>
        <w:ind w:left="3600" w:hanging="720"/>
      </w:pPr>
      <w:rPr>
        <w:rFonts w:hint="default"/>
      </w:rPr>
    </w:lvl>
  </w:abstractNum>
  <w:abstractNum w:abstractNumId="25" w15:restartNumberingAfterBreak="0">
    <w:nsid w:val="29BA09B6"/>
    <w:multiLevelType w:val="hybridMultilevel"/>
    <w:tmpl w:val="8C74E6B4"/>
    <w:lvl w:ilvl="0" w:tplc="0B1C6ACA">
      <w:start w:val="1"/>
      <w:numFmt w:val="upperLetter"/>
      <w:lvlText w:val="%1."/>
      <w:lvlJc w:val="left"/>
      <w:pPr>
        <w:ind w:left="720" w:hanging="360"/>
      </w:pPr>
      <w:rPr>
        <w:rFonts w:hint="default"/>
        <w:b/>
      </w:rPr>
    </w:lvl>
    <w:lvl w:ilvl="1" w:tplc="2FBA4DEE">
      <w:start w:val="1"/>
      <w:numFmt w:val="decimal"/>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2E31"/>
    <w:multiLevelType w:val="hybridMultilevel"/>
    <w:tmpl w:val="45287BC8"/>
    <w:lvl w:ilvl="0" w:tplc="04090001">
      <w:start w:val="1"/>
      <w:numFmt w:val="bullet"/>
      <w:lvlText w:val=""/>
      <w:lvlJc w:val="left"/>
      <w:pPr>
        <w:tabs>
          <w:tab w:val="num" w:pos="1296"/>
        </w:tabs>
        <w:ind w:left="1296" w:hanging="360"/>
      </w:pPr>
      <w:rPr>
        <w:rFonts w:ascii="Symbol" w:hAnsi="Symbol" w:hint="default"/>
      </w:rPr>
    </w:lvl>
    <w:lvl w:ilvl="1" w:tplc="EBCA585C">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240F64"/>
    <w:multiLevelType w:val="hybridMultilevel"/>
    <w:tmpl w:val="FC4A687C"/>
    <w:lvl w:ilvl="0" w:tplc="A75C0938">
      <w:start w:val="2"/>
      <w:numFmt w:val="decimal"/>
      <w:lvlText w:val="%1."/>
      <w:lvlJc w:val="left"/>
      <w:pPr>
        <w:tabs>
          <w:tab w:val="num" w:pos="1440"/>
        </w:tabs>
        <w:ind w:left="1440" w:hanging="720"/>
      </w:pPr>
      <w:rPr>
        <w:rFonts w:hint="default"/>
      </w:rPr>
    </w:lvl>
    <w:lvl w:ilvl="1" w:tplc="83DC1C5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F2B4837A">
      <w:start w:val="5"/>
      <w:numFmt w:val="upperLetter"/>
      <w:lvlText w:val="%4."/>
      <w:lvlJc w:val="left"/>
      <w:pPr>
        <w:tabs>
          <w:tab w:val="num" w:pos="3600"/>
        </w:tabs>
        <w:ind w:left="3600" w:hanging="72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CE63050"/>
    <w:multiLevelType w:val="hybridMultilevel"/>
    <w:tmpl w:val="A9BAB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80F7E"/>
    <w:multiLevelType w:val="multilevel"/>
    <w:tmpl w:val="2F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4337C"/>
    <w:multiLevelType w:val="hybridMultilevel"/>
    <w:tmpl w:val="C5AE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DB2B9F"/>
    <w:multiLevelType w:val="hybridMultilevel"/>
    <w:tmpl w:val="E9F4C590"/>
    <w:lvl w:ilvl="0" w:tplc="E5601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02400FA"/>
    <w:multiLevelType w:val="singleLevel"/>
    <w:tmpl w:val="E5BC0448"/>
    <w:lvl w:ilvl="0">
      <w:start w:val="2"/>
      <w:numFmt w:val="upperLetter"/>
      <w:pStyle w:val="Heading1"/>
      <w:lvlText w:val="%1."/>
      <w:lvlJc w:val="left"/>
      <w:pPr>
        <w:tabs>
          <w:tab w:val="num" w:pos="720"/>
        </w:tabs>
        <w:ind w:left="720" w:hanging="720"/>
      </w:pPr>
      <w:rPr>
        <w:rFonts w:hint="default"/>
      </w:rPr>
    </w:lvl>
  </w:abstractNum>
  <w:abstractNum w:abstractNumId="33" w15:restartNumberingAfterBreak="0">
    <w:nsid w:val="32F52C15"/>
    <w:multiLevelType w:val="hybridMultilevel"/>
    <w:tmpl w:val="DDB87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404A79"/>
    <w:multiLevelType w:val="hybridMultilevel"/>
    <w:tmpl w:val="7408C094"/>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D85496"/>
    <w:multiLevelType w:val="hybridMultilevel"/>
    <w:tmpl w:val="9026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EE7699"/>
    <w:multiLevelType w:val="hybridMultilevel"/>
    <w:tmpl w:val="49F22962"/>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F72956"/>
    <w:multiLevelType w:val="hybridMultilevel"/>
    <w:tmpl w:val="0D245C3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F8D3D84"/>
    <w:multiLevelType w:val="hybridMultilevel"/>
    <w:tmpl w:val="17347ED0"/>
    <w:lvl w:ilvl="0" w:tplc="7398E906">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400550C4"/>
    <w:multiLevelType w:val="hybridMultilevel"/>
    <w:tmpl w:val="6E66B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D704B"/>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D22C1"/>
    <w:multiLevelType w:val="multilevel"/>
    <w:tmpl w:val="16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0452B"/>
    <w:multiLevelType w:val="hybridMultilevel"/>
    <w:tmpl w:val="AC04A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CBA4C5B"/>
    <w:multiLevelType w:val="hybridMultilevel"/>
    <w:tmpl w:val="2CD67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4CFE6CF4"/>
    <w:multiLevelType w:val="hybridMultilevel"/>
    <w:tmpl w:val="D4A68766"/>
    <w:lvl w:ilvl="0" w:tplc="CAC2159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AE07026">
      <w:start w:val="6"/>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E294E70"/>
    <w:multiLevelType w:val="hybridMultilevel"/>
    <w:tmpl w:val="17882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F0DC8"/>
    <w:multiLevelType w:val="hybridMultilevel"/>
    <w:tmpl w:val="BE7AEE14"/>
    <w:lvl w:ilvl="0" w:tplc="0E6A3A0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810ED7"/>
    <w:multiLevelType w:val="hybridMultilevel"/>
    <w:tmpl w:val="206E67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44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695D98"/>
    <w:multiLevelType w:val="hybridMultilevel"/>
    <w:tmpl w:val="2D06CD2A"/>
    <w:lvl w:ilvl="0" w:tplc="460A7AB4">
      <w:start w:val="4"/>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676E76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7C67E2C"/>
    <w:multiLevelType w:val="multilevel"/>
    <w:tmpl w:val="4AB09F10"/>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7D30711"/>
    <w:multiLevelType w:val="hybridMultilevel"/>
    <w:tmpl w:val="C4B6F8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8A4FE6"/>
    <w:multiLevelType w:val="multilevel"/>
    <w:tmpl w:val="DC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01C"/>
    <w:multiLevelType w:val="hybridMultilevel"/>
    <w:tmpl w:val="EB60456C"/>
    <w:lvl w:ilvl="0" w:tplc="3A30C3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2024E6"/>
    <w:multiLevelType w:val="multilevel"/>
    <w:tmpl w:val="76480E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DBB2950"/>
    <w:multiLevelType w:val="hybridMultilevel"/>
    <w:tmpl w:val="A75E6044"/>
    <w:lvl w:ilvl="0" w:tplc="79D693F8">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CF4F73"/>
    <w:multiLevelType w:val="hybridMultilevel"/>
    <w:tmpl w:val="FACC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B3898"/>
    <w:multiLevelType w:val="multilevel"/>
    <w:tmpl w:val="D9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E4E0E"/>
    <w:multiLevelType w:val="hybridMultilevel"/>
    <w:tmpl w:val="6E86A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1B15456"/>
    <w:multiLevelType w:val="hybridMultilevel"/>
    <w:tmpl w:val="689C80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2CC4F88"/>
    <w:multiLevelType w:val="hybridMultilevel"/>
    <w:tmpl w:val="C4B6F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050723"/>
    <w:multiLevelType w:val="multilevel"/>
    <w:tmpl w:val="E31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7F7"/>
    <w:multiLevelType w:val="multilevel"/>
    <w:tmpl w:val="21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3BA9"/>
    <w:multiLevelType w:val="hybridMultilevel"/>
    <w:tmpl w:val="0FAEE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9C13DA"/>
    <w:multiLevelType w:val="hybridMultilevel"/>
    <w:tmpl w:val="806295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597EF3"/>
    <w:multiLevelType w:val="hybridMultilevel"/>
    <w:tmpl w:val="CF080646"/>
    <w:lvl w:ilvl="0" w:tplc="844CE196">
      <w:start w:val="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FD90EBA"/>
    <w:multiLevelType w:val="hybridMultilevel"/>
    <w:tmpl w:val="F110B686"/>
    <w:lvl w:ilvl="0" w:tplc="ABE61488">
      <w:start w:val="6"/>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3143325">
    <w:abstractNumId w:val="48"/>
  </w:num>
  <w:num w:numId="2" w16cid:durableId="2141723158">
    <w:abstractNumId w:val="32"/>
  </w:num>
  <w:num w:numId="3" w16cid:durableId="992756059">
    <w:abstractNumId w:val="5"/>
  </w:num>
  <w:num w:numId="4" w16cid:durableId="2033844578">
    <w:abstractNumId w:val="24"/>
  </w:num>
  <w:num w:numId="5" w16cid:durableId="326907362">
    <w:abstractNumId w:val="4"/>
  </w:num>
  <w:num w:numId="6" w16cid:durableId="1794865726">
    <w:abstractNumId w:val="34"/>
  </w:num>
  <w:num w:numId="7" w16cid:durableId="97599740">
    <w:abstractNumId w:val="19"/>
  </w:num>
  <w:num w:numId="8" w16cid:durableId="700085806">
    <w:abstractNumId w:val="36"/>
  </w:num>
  <w:num w:numId="9" w16cid:durableId="402064300">
    <w:abstractNumId w:val="12"/>
  </w:num>
  <w:num w:numId="10" w16cid:durableId="108597909">
    <w:abstractNumId w:val="26"/>
  </w:num>
  <w:num w:numId="11" w16cid:durableId="1964072033">
    <w:abstractNumId w:val="58"/>
  </w:num>
  <w:num w:numId="12" w16cid:durableId="1526868204">
    <w:abstractNumId w:val="1"/>
  </w:num>
  <w:num w:numId="13" w16cid:durableId="1719888913">
    <w:abstractNumId w:val="50"/>
  </w:num>
  <w:num w:numId="14" w16cid:durableId="265427478">
    <w:abstractNumId w:val="37"/>
  </w:num>
  <w:num w:numId="15" w16cid:durableId="1014116202">
    <w:abstractNumId w:val="63"/>
  </w:num>
  <w:num w:numId="16" w16cid:durableId="619917254">
    <w:abstractNumId w:val="15"/>
  </w:num>
  <w:num w:numId="17" w16cid:durableId="156194220">
    <w:abstractNumId w:val="31"/>
  </w:num>
  <w:num w:numId="18" w16cid:durableId="548758888">
    <w:abstractNumId w:val="22"/>
  </w:num>
  <w:num w:numId="19" w16cid:durableId="1664313983">
    <w:abstractNumId w:val="44"/>
  </w:num>
  <w:num w:numId="20" w16cid:durableId="852449992">
    <w:abstractNumId w:val="66"/>
  </w:num>
  <w:num w:numId="21" w16cid:durableId="1526166402">
    <w:abstractNumId w:val="2"/>
  </w:num>
  <w:num w:numId="22" w16cid:durableId="416177202">
    <w:abstractNumId w:val="13"/>
  </w:num>
  <w:num w:numId="23" w16cid:durableId="1836217251">
    <w:abstractNumId w:val="38"/>
  </w:num>
  <w:num w:numId="24" w16cid:durableId="86007551">
    <w:abstractNumId w:val="65"/>
  </w:num>
  <w:num w:numId="25" w16cid:durableId="901987615">
    <w:abstractNumId w:val="27"/>
  </w:num>
  <w:num w:numId="26" w16cid:durableId="166528093">
    <w:abstractNumId w:val="49"/>
  </w:num>
  <w:num w:numId="27" w16cid:durableId="331106993">
    <w:abstractNumId w:val="14"/>
  </w:num>
  <w:num w:numId="28" w16cid:durableId="1196237231">
    <w:abstractNumId w:val="0"/>
  </w:num>
  <w:num w:numId="29" w16cid:durableId="2088336108">
    <w:abstractNumId w:val="20"/>
  </w:num>
  <w:num w:numId="30" w16cid:durableId="1502500820">
    <w:abstractNumId w:val="18"/>
  </w:num>
  <w:num w:numId="31" w16cid:durableId="2092462481">
    <w:abstractNumId w:val="43"/>
  </w:num>
  <w:num w:numId="32" w16cid:durableId="405542036">
    <w:abstractNumId w:val="25"/>
  </w:num>
  <w:num w:numId="33" w16cid:durableId="185101039">
    <w:abstractNumId w:val="21"/>
  </w:num>
  <w:num w:numId="34" w16cid:durableId="1915167170">
    <w:abstractNumId w:val="7"/>
  </w:num>
  <w:num w:numId="35" w16cid:durableId="1192455890">
    <w:abstractNumId w:val="47"/>
  </w:num>
  <w:num w:numId="36" w16cid:durableId="1544444404">
    <w:abstractNumId w:val="46"/>
  </w:num>
  <w:num w:numId="37" w16cid:durableId="1656374723">
    <w:abstractNumId w:val="6"/>
  </w:num>
  <w:num w:numId="38" w16cid:durableId="1739857579">
    <w:abstractNumId w:val="28"/>
  </w:num>
  <w:num w:numId="39" w16cid:durableId="1939832369">
    <w:abstractNumId w:val="55"/>
  </w:num>
  <w:num w:numId="40" w16cid:durableId="1660189684">
    <w:abstractNumId w:val="33"/>
  </w:num>
  <w:num w:numId="41" w16cid:durableId="321979555">
    <w:abstractNumId w:val="10"/>
  </w:num>
  <w:num w:numId="42" w16cid:durableId="1576893042">
    <w:abstractNumId w:val="30"/>
  </w:num>
  <w:num w:numId="43" w16cid:durableId="1529760611">
    <w:abstractNumId w:val="3"/>
  </w:num>
  <w:num w:numId="44" w16cid:durableId="1468400077">
    <w:abstractNumId w:val="42"/>
  </w:num>
  <w:num w:numId="45" w16cid:durableId="358509366">
    <w:abstractNumId w:val="35"/>
  </w:num>
  <w:num w:numId="46" w16cid:durableId="979118269">
    <w:abstractNumId w:val="45"/>
  </w:num>
  <w:num w:numId="47" w16cid:durableId="1693997147">
    <w:abstractNumId w:val="60"/>
  </w:num>
  <w:num w:numId="48" w16cid:durableId="535964583">
    <w:abstractNumId w:val="11"/>
  </w:num>
  <w:num w:numId="49" w16cid:durableId="452289653">
    <w:abstractNumId w:val="8"/>
  </w:num>
  <w:num w:numId="50" w16cid:durableId="1094783998">
    <w:abstractNumId w:val="9"/>
  </w:num>
  <w:num w:numId="51" w16cid:durableId="724790415">
    <w:abstractNumId w:val="64"/>
  </w:num>
  <w:num w:numId="52" w16cid:durableId="1667243253">
    <w:abstractNumId w:val="23"/>
  </w:num>
  <w:num w:numId="53" w16cid:durableId="1032925777">
    <w:abstractNumId w:val="51"/>
  </w:num>
  <w:num w:numId="54" w16cid:durableId="1284771427">
    <w:abstractNumId w:val="54"/>
  </w:num>
  <w:num w:numId="55" w16cid:durableId="407506769">
    <w:abstractNumId w:val="17"/>
  </w:num>
  <w:num w:numId="56" w16cid:durableId="510031082">
    <w:abstractNumId w:val="56"/>
  </w:num>
  <w:num w:numId="57" w16cid:durableId="603150885">
    <w:abstractNumId w:val="41"/>
  </w:num>
  <w:num w:numId="58" w16cid:durableId="2077506170">
    <w:abstractNumId w:val="53"/>
  </w:num>
  <w:num w:numId="59" w16cid:durableId="934745583">
    <w:abstractNumId w:val="59"/>
  </w:num>
  <w:num w:numId="60" w16cid:durableId="1569265954">
    <w:abstractNumId w:val="29"/>
  </w:num>
  <w:num w:numId="61" w16cid:durableId="1746297996">
    <w:abstractNumId w:val="52"/>
  </w:num>
  <w:num w:numId="62" w16cid:durableId="548496790">
    <w:abstractNumId w:val="16"/>
  </w:num>
  <w:num w:numId="63" w16cid:durableId="416443955">
    <w:abstractNumId w:val="62"/>
  </w:num>
  <w:num w:numId="64" w16cid:durableId="1908874521">
    <w:abstractNumId w:val="40"/>
  </w:num>
  <w:num w:numId="65" w16cid:durableId="491526275">
    <w:abstractNumId w:val="61"/>
  </w:num>
  <w:num w:numId="66" w16cid:durableId="2004506294">
    <w:abstractNumId w:val="57"/>
  </w:num>
  <w:num w:numId="67" w16cid:durableId="8424728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55"/>
    <w:rsid w:val="000006DD"/>
    <w:rsid w:val="00004A62"/>
    <w:rsid w:val="000244AF"/>
    <w:rsid w:val="000409AD"/>
    <w:rsid w:val="000437A8"/>
    <w:rsid w:val="00043F20"/>
    <w:rsid w:val="00043F71"/>
    <w:rsid w:val="00050D47"/>
    <w:rsid w:val="000530CE"/>
    <w:rsid w:val="00070C27"/>
    <w:rsid w:val="00070F81"/>
    <w:rsid w:val="000745F5"/>
    <w:rsid w:val="00076FEE"/>
    <w:rsid w:val="00077C43"/>
    <w:rsid w:val="000853A4"/>
    <w:rsid w:val="00087AC0"/>
    <w:rsid w:val="0009537E"/>
    <w:rsid w:val="000A28F1"/>
    <w:rsid w:val="000A639A"/>
    <w:rsid w:val="000B0280"/>
    <w:rsid w:val="000B180E"/>
    <w:rsid w:val="000C1213"/>
    <w:rsid w:val="000C2A57"/>
    <w:rsid w:val="000C453A"/>
    <w:rsid w:val="000C5574"/>
    <w:rsid w:val="000D151D"/>
    <w:rsid w:val="000D2FF8"/>
    <w:rsid w:val="000D39FD"/>
    <w:rsid w:val="000E6A65"/>
    <w:rsid w:val="001040FC"/>
    <w:rsid w:val="00117DDA"/>
    <w:rsid w:val="00125ACE"/>
    <w:rsid w:val="00127696"/>
    <w:rsid w:val="001347E8"/>
    <w:rsid w:val="00150D1E"/>
    <w:rsid w:val="00154AEC"/>
    <w:rsid w:val="00155128"/>
    <w:rsid w:val="00162EE3"/>
    <w:rsid w:val="00180125"/>
    <w:rsid w:val="00181B6A"/>
    <w:rsid w:val="001862F0"/>
    <w:rsid w:val="001A243D"/>
    <w:rsid w:val="001A4273"/>
    <w:rsid w:val="001A5668"/>
    <w:rsid w:val="001A7507"/>
    <w:rsid w:val="001B1143"/>
    <w:rsid w:val="001B42C7"/>
    <w:rsid w:val="001C5CDE"/>
    <w:rsid w:val="001D20AA"/>
    <w:rsid w:val="001E38CF"/>
    <w:rsid w:val="001E7FCC"/>
    <w:rsid w:val="001F19A3"/>
    <w:rsid w:val="001F2709"/>
    <w:rsid w:val="001F28D1"/>
    <w:rsid w:val="00203DAE"/>
    <w:rsid w:val="00205A2F"/>
    <w:rsid w:val="002147D1"/>
    <w:rsid w:val="00215D29"/>
    <w:rsid w:val="002270DD"/>
    <w:rsid w:val="002324E7"/>
    <w:rsid w:val="0023320F"/>
    <w:rsid w:val="00244D30"/>
    <w:rsid w:val="00254630"/>
    <w:rsid w:val="00257582"/>
    <w:rsid w:val="002763AF"/>
    <w:rsid w:val="00276784"/>
    <w:rsid w:val="00282DD9"/>
    <w:rsid w:val="00284156"/>
    <w:rsid w:val="002A34E8"/>
    <w:rsid w:val="002B23D5"/>
    <w:rsid w:val="002C01D1"/>
    <w:rsid w:val="002C47C9"/>
    <w:rsid w:val="002C6F39"/>
    <w:rsid w:val="002D3BB7"/>
    <w:rsid w:val="002D66CE"/>
    <w:rsid w:val="002D789D"/>
    <w:rsid w:val="002E05F7"/>
    <w:rsid w:val="002E1F61"/>
    <w:rsid w:val="002E5B17"/>
    <w:rsid w:val="0031050D"/>
    <w:rsid w:val="00314C1B"/>
    <w:rsid w:val="00317D5F"/>
    <w:rsid w:val="00321B07"/>
    <w:rsid w:val="003221A0"/>
    <w:rsid w:val="003248C4"/>
    <w:rsid w:val="00324A78"/>
    <w:rsid w:val="00326A8D"/>
    <w:rsid w:val="00343954"/>
    <w:rsid w:val="00343DE4"/>
    <w:rsid w:val="00346051"/>
    <w:rsid w:val="00353403"/>
    <w:rsid w:val="00356D49"/>
    <w:rsid w:val="00361B3C"/>
    <w:rsid w:val="00362C79"/>
    <w:rsid w:val="003637DF"/>
    <w:rsid w:val="00365D1F"/>
    <w:rsid w:val="00376AA1"/>
    <w:rsid w:val="003800FC"/>
    <w:rsid w:val="003A0836"/>
    <w:rsid w:val="003A0A37"/>
    <w:rsid w:val="003A1EC4"/>
    <w:rsid w:val="003A39D2"/>
    <w:rsid w:val="003B5AEC"/>
    <w:rsid w:val="003C249C"/>
    <w:rsid w:val="003D057D"/>
    <w:rsid w:val="003D16D1"/>
    <w:rsid w:val="003D2849"/>
    <w:rsid w:val="003D493A"/>
    <w:rsid w:val="003D550E"/>
    <w:rsid w:val="003D69C8"/>
    <w:rsid w:val="003E3A16"/>
    <w:rsid w:val="003E70AB"/>
    <w:rsid w:val="00405DF1"/>
    <w:rsid w:val="0041705D"/>
    <w:rsid w:val="00424534"/>
    <w:rsid w:val="00427E01"/>
    <w:rsid w:val="0043095B"/>
    <w:rsid w:val="004339F4"/>
    <w:rsid w:val="00441ED6"/>
    <w:rsid w:val="0044709D"/>
    <w:rsid w:val="004505AD"/>
    <w:rsid w:val="00451E8D"/>
    <w:rsid w:val="00457466"/>
    <w:rsid w:val="004577FC"/>
    <w:rsid w:val="004601CB"/>
    <w:rsid w:val="004655F1"/>
    <w:rsid w:val="00465A06"/>
    <w:rsid w:val="0047021C"/>
    <w:rsid w:val="00474009"/>
    <w:rsid w:val="00483437"/>
    <w:rsid w:val="00491DD4"/>
    <w:rsid w:val="0049231C"/>
    <w:rsid w:val="00497DF2"/>
    <w:rsid w:val="004A726A"/>
    <w:rsid w:val="004D0E80"/>
    <w:rsid w:val="004D4CFD"/>
    <w:rsid w:val="004E22F4"/>
    <w:rsid w:val="00500FFB"/>
    <w:rsid w:val="00503AC8"/>
    <w:rsid w:val="005043AB"/>
    <w:rsid w:val="00511459"/>
    <w:rsid w:val="00515432"/>
    <w:rsid w:val="00515984"/>
    <w:rsid w:val="00515CC2"/>
    <w:rsid w:val="00517C1F"/>
    <w:rsid w:val="00521B2E"/>
    <w:rsid w:val="00540BD8"/>
    <w:rsid w:val="005479C2"/>
    <w:rsid w:val="00550827"/>
    <w:rsid w:val="00563A4F"/>
    <w:rsid w:val="00571282"/>
    <w:rsid w:val="00585739"/>
    <w:rsid w:val="00593CDB"/>
    <w:rsid w:val="005A09CE"/>
    <w:rsid w:val="005A6883"/>
    <w:rsid w:val="005B129A"/>
    <w:rsid w:val="005C11BA"/>
    <w:rsid w:val="005C5D0D"/>
    <w:rsid w:val="005C5FE9"/>
    <w:rsid w:val="005D07C5"/>
    <w:rsid w:val="005D1422"/>
    <w:rsid w:val="005D2C08"/>
    <w:rsid w:val="005D367C"/>
    <w:rsid w:val="005E550D"/>
    <w:rsid w:val="005F083C"/>
    <w:rsid w:val="005F4031"/>
    <w:rsid w:val="005F5A96"/>
    <w:rsid w:val="00601E62"/>
    <w:rsid w:val="00602563"/>
    <w:rsid w:val="006044F2"/>
    <w:rsid w:val="00615B75"/>
    <w:rsid w:val="0062491B"/>
    <w:rsid w:val="00626808"/>
    <w:rsid w:val="006341E9"/>
    <w:rsid w:val="006354A7"/>
    <w:rsid w:val="006356CB"/>
    <w:rsid w:val="00636DBD"/>
    <w:rsid w:val="00637D41"/>
    <w:rsid w:val="00640AE0"/>
    <w:rsid w:val="00642FF9"/>
    <w:rsid w:val="00651B7E"/>
    <w:rsid w:val="006562F9"/>
    <w:rsid w:val="00660C57"/>
    <w:rsid w:val="006615E2"/>
    <w:rsid w:val="0068060F"/>
    <w:rsid w:val="006939EC"/>
    <w:rsid w:val="006C1466"/>
    <w:rsid w:val="006C1A2F"/>
    <w:rsid w:val="006C4355"/>
    <w:rsid w:val="006C6325"/>
    <w:rsid w:val="006D15DF"/>
    <w:rsid w:val="006E4804"/>
    <w:rsid w:val="006E7D1C"/>
    <w:rsid w:val="006F164A"/>
    <w:rsid w:val="006F402E"/>
    <w:rsid w:val="006F4D1E"/>
    <w:rsid w:val="0070195E"/>
    <w:rsid w:val="00702641"/>
    <w:rsid w:val="00706561"/>
    <w:rsid w:val="00713E53"/>
    <w:rsid w:val="0072105C"/>
    <w:rsid w:val="00721A55"/>
    <w:rsid w:val="00722CAB"/>
    <w:rsid w:val="0072424B"/>
    <w:rsid w:val="00726828"/>
    <w:rsid w:val="0073622A"/>
    <w:rsid w:val="007445DD"/>
    <w:rsid w:val="007516D5"/>
    <w:rsid w:val="00755DFA"/>
    <w:rsid w:val="007660E1"/>
    <w:rsid w:val="0077798A"/>
    <w:rsid w:val="00785C80"/>
    <w:rsid w:val="00787E1B"/>
    <w:rsid w:val="007A027F"/>
    <w:rsid w:val="007A308D"/>
    <w:rsid w:val="007B249A"/>
    <w:rsid w:val="007B6893"/>
    <w:rsid w:val="007C58F8"/>
    <w:rsid w:val="007D3186"/>
    <w:rsid w:val="007E4213"/>
    <w:rsid w:val="007F1375"/>
    <w:rsid w:val="007F155F"/>
    <w:rsid w:val="007F4F5F"/>
    <w:rsid w:val="00806E2D"/>
    <w:rsid w:val="0081752F"/>
    <w:rsid w:val="008241EE"/>
    <w:rsid w:val="00844382"/>
    <w:rsid w:val="00844B63"/>
    <w:rsid w:val="00855F26"/>
    <w:rsid w:val="0085760F"/>
    <w:rsid w:val="00862F0C"/>
    <w:rsid w:val="008948D8"/>
    <w:rsid w:val="00897C37"/>
    <w:rsid w:val="008A1F42"/>
    <w:rsid w:val="008A4EC8"/>
    <w:rsid w:val="008B0206"/>
    <w:rsid w:val="008B350C"/>
    <w:rsid w:val="008B399A"/>
    <w:rsid w:val="008B46FF"/>
    <w:rsid w:val="008B4EA6"/>
    <w:rsid w:val="008B4F45"/>
    <w:rsid w:val="008B6CB0"/>
    <w:rsid w:val="008C4662"/>
    <w:rsid w:val="008D2DD1"/>
    <w:rsid w:val="008E590E"/>
    <w:rsid w:val="008F4314"/>
    <w:rsid w:val="0091503B"/>
    <w:rsid w:val="00921ABE"/>
    <w:rsid w:val="00924322"/>
    <w:rsid w:val="00937A7C"/>
    <w:rsid w:val="00962A6E"/>
    <w:rsid w:val="009654DE"/>
    <w:rsid w:val="00975216"/>
    <w:rsid w:val="00992A01"/>
    <w:rsid w:val="00993D58"/>
    <w:rsid w:val="00996AB1"/>
    <w:rsid w:val="00996C46"/>
    <w:rsid w:val="0099710C"/>
    <w:rsid w:val="009A5F94"/>
    <w:rsid w:val="009B282C"/>
    <w:rsid w:val="009B3114"/>
    <w:rsid w:val="009C1E93"/>
    <w:rsid w:val="009C5C40"/>
    <w:rsid w:val="009F04FF"/>
    <w:rsid w:val="009F1B9F"/>
    <w:rsid w:val="009F2D71"/>
    <w:rsid w:val="009F375F"/>
    <w:rsid w:val="00A004E1"/>
    <w:rsid w:val="00A01491"/>
    <w:rsid w:val="00A06CFD"/>
    <w:rsid w:val="00A11571"/>
    <w:rsid w:val="00A17C72"/>
    <w:rsid w:val="00A3061A"/>
    <w:rsid w:val="00A45949"/>
    <w:rsid w:val="00A51E2C"/>
    <w:rsid w:val="00A547A3"/>
    <w:rsid w:val="00A55428"/>
    <w:rsid w:val="00A57078"/>
    <w:rsid w:val="00A575E9"/>
    <w:rsid w:val="00A7048A"/>
    <w:rsid w:val="00A81041"/>
    <w:rsid w:val="00A813CE"/>
    <w:rsid w:val="00A8262F"/>
    <w:rsid w:val="00A84033"/>
    <w:rsid w:val="00A848D5"/>
    <w:rsid w:val="00A90808"/>
    <w:rsid w:val="00A927CE"/>
    <w:rsid w:val="00A970ED"/>
    <w:rsid w:val="00AA034A"/>
    <w:rsid w:val="00AA7A28"/>
    <w:rsid w:val="00AD1EF5"/>
    <w:rsid w:val="00AE65D5"/>
    <w:rsid w:val="00AE7952"/>
    <w:rsid w:val="00AF05BF"/>
    <w:rsid w:val="00AF5672"/>
    <w:rsid w:val="00B054CC"/>
    <w:rsid w:val="00B065F1"/>
    <w:rsid w:val="00B13417"/>
    <w:rsid w:val="00B16144"/>
    <w:rsid w:val="00B21E66"/>
    <w:rsid w:val="00B36F4C"/>
    <w:rsid w:val="00B4233C"/>
    <w:rsid w:val="00B54026"/>
    <w:rsid w:val="00B8222E"/>
    <w:rsid w:val="00B83A7F"/>
    <w:rsid w:val="00BA6CB6"/>
    <w:rsid w:val="00BA7D67"/>
    <w:rsid w:val="00BB7050"/>
    <w:rsid w:val="00BC1839"/>
    <w:rsid w:val="00BC1AE7"/>
    <w:rsid w:val="00BC4BBD"/>
    <w:rsid w:val="00BD0553"/>
    <w:rsid w:val="00BD662A"/>
    <w:rsid w:val="00BD74C2"/>
    <w:rsid w:val="00BE2F9E"/>
    <w:rsid w:val="00BE462A"/>
    <w:rsid w:val="00BE52EB"/>
    <w:rsid w:val="00BE7F5F"/>
    <w:rsid w:val="00BF3299"/>
    <w:rsid w:val="00BF75F0"/>
    <w:rsid w:val="00C01E97"/>
    <w:rsid w:val="00C0780B"/>
    <w:rsid w:val="00C15439"/>
    <w:rsid w:val="00C256FB"/>
    <w:rsid w:val="00C304D6"/>
    <w:rsid w:val="00C342F6"/>
    <w:rsid w:val="00C3536F"/>
    <w:rsid w:val="00C35F8C"/>
    <w:rsid w:val="00C406E3"/>
    <w:rsid w:val="00C45AFE"/>
    <w:rsid w:val="00C5614C"/>
    <w:rsid w:val="00C64E3C"/>
    <w:rsid w:val="00C7038E"/>
    <w:rsid w:val="00C75E96"/>
    <w:rsid w:val="00C76C06"/>
    <w:rsid w:val="00C83C2A"/>
    <w:rsid w:val="00C92A0B"/>
    <w:rsid w:val="00C9537E"/>
    <w:rsid w:val="00CA09E4"/>
    <w:rsid w:val="00CB49F0"/>
    <w:rsid w:val="00CC4D60"/>
    <w:rsid w:val="00CC63AC"/>
    <w:rsid w:val="00CD5AEC"/>
    <w:rsid w:val="00CE33F3"/>
    <w:rsid w:val="00CE3568"/>
    <w:rsid w:val="00CE78D6"/>
    <w:rsid w:val="00CF0DCE"/>
    <w:rsid w:val="00CF20FF"/>
    <w:rsid w:val="00CF4625"/>
    <w:rsid w:val="00CF6108"/>
    <w:rsid w:val="00CF72E1"/>
    <w:rsid w:val="00D05BD0"/>
    <w:rsid w:val="00D20ECF"/>
    <w:rsid w:val="00D24221"/>
    <w:rsid w:val="00D360FE"/>
    <w:rsid w:val="00D51298"/>
    <w:rsid w:val="00D51753"/>
    <w:rsid w:val="00D52B4A"/>
    <w:rsid w:val="00D57F3C"/>
    <w:rsid w:val="00D60E01"/>
    <w:rsid w:val="00D6341C"/>
    <w:rsid w:val="00D65D57"/>
    <w:rsid w:val="00D67ECD"/>
    <w:rsid w:val="00D73B2A"/>
    <w:rsid w:val="00D81BCA"/>
    <w:rsid w:val="00DA41A6"/>
    <w:rsid w:val="00DA49DC"/>
    <w:rsid w:val="00DB1460"/>
    <w:rsid w:val="00DB2060"/>
    <w:rsid w:val="00DC5051"/>
    <w:rsid w:val="00DC5151"/>
    <w:rsid w:val="00DD0EB6"/>
    <w:rsid w:val="00DD1215"/>
    <w:rsid w:val="00DD4ACF"/>
    <w:rsid w:val="00DE06C6"/>
    <w:rsid w:val="00DE3555"/>
    <w:rsid w:val="00DF23A9"/>
    <w:rsid w:val="00DF765E"/>
    <w:rsid w:val="00E0705A"/>
    <w:rsid w:val="00E07B03"/>
    <w:rsid w:val="00E27A09"/>
    <w:rsid w:val="00E30DF9"/>
    <w:rsid w:val="00E3581D"/>
    <w:rsid w:val="00E44E05"/>
    <w:rsid w:val="00E46DB7"/>
    <w:rsid w:val="00E5149D"/>
    <w:rsid w:val="00E5251D"/>
    <w:rsid w:val="00E546F2"/>
    <w:rsid w:val="00E57F22"/>
    <w:rsid w:val="00E60B38"/>
    <w:rsid w:val="00E658F9"/>
    <w:rsid w:val="00E83612"/>
    <w:rsid w:val="00EB2A72"/>
    <w:rsid w:val="00EB4064"/>
    <w:rsid w:val="00EE00FB"/>
    <w:rsid w:val="00EE1D54"/>
    <w:rsid w:val="00EF2398"/>
    <w:rsid w:val="00EF4922"/>
    <w:rsid w:val="00EF4BE2"/>
    <w:rsid w:val="00EF550A"/>
    <w:rsid w:val="00EF6108"/>
    <w:rsid w:val="00F06BF7"/>
    <w:rsid w:val="00F21822"/>
    <w:rsid w:val="00F237B3"/>
    <w:rsid w:val="00F300D6"/>
    <w:rsid w:val="00F37A82"/>
    <w:rsid w:val="00F513B3"/>
    <w:rsid w:val="00F53C4D"/>
    <w:rsid w:val="00F54F3F"/>
    <w:rsid w:val="00F56423"/>
    <w:rsid w:val="00F57D0B"/>
    <w:rsid w:val="00F637CC"/>
    <w:rsid w:val="00F70559"/>
    <w:rsid w:val="00F70E5B"/>
    <w:rsid w:val="00F73705"/>
    <w:rsid w:val="00F75933"/>
    <w:rsid w:val="00F75FB1"/>
    <w:rsid w:val="00F77710"/>
    <w:rsid w:val="00F83AF1"/>
    <w:rsid w:val="00F927D1"/>
    <w:rsid w:val="00F94584"/>
    <w:rsid w:val="00FA2744"/>
    <w:rsid w:val="00FA54CD"/>
    <w:rsid w:val="00FC338E"/>
    <w:rsid w:val="00FD0365"/>
    <w:rsid w:val="00FD1B94"/>
    <w:rsid w:val="00FD3215"/>
    <w:rsid w:val="00FD52CC"/>
    <w:rsid w:val="00FE3FD1"/>
    <w:rsid w:val="00FF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1D9C"/>
  <w15:chartTrackingRefBased/>
  <w15:docId w15:val="{8BA9DA1D-9C49-46E3-9E9C-365974AC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jc w:val="both"/>
      <w:outlineLvl w:val="0"/>
    </w:pPr>
    <w:rPr>
      <w:color w:val="000000"/>
      <w:sz w:val="24"/>
    </w:rPr>
  </w:style>
  <w:style w:type="paragraph" w:styleId="Heading3">
    <w:name w:val="heading 3"/>
    <w:basedOn w:val="Normal"/>
    <w:next w:val="Normal"/>
    <w:link w:val="Heading3Char"/>
    <w:unhideWhenUsed/>
    <w:qFormat/>
    <w:rsid w:val="000C121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0C121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pBdr>
        <w:top w:val="single" w:sz="4" w:space="1" w:color="auto"/>
      </w:pBdr>
      <w:tabs>
        <w:tab w:val="center" w:pos="4320"/>
        <w:tab w:val="right" w:pos="8640"/>
      </w:tabs>
      <w:jc w:val="center"/>
    </w:pPr>
    <w:rPr>
      <w:b/>
    </w:rPr>
  </w:style>
  <w:style w:type="paragraph" w:styleId="BodyText">
    <w:name w:val="Body Text"/>
    <w:basedOn w:val="Normal"/>
    <w:pPr>
      <w:spacing w:after="240"/>
      <w:jc w:val="both"/>
    </w:pPr>
    <w:rPr>
      <w:rFonts w:ascii="Garamond" w:hAnsi="Garamond"/>
      <w:spacing w:val="-5"/>
      <w:sz w:val="24"/>
    </w:rPr>
  </w:style>
  <w:style w:type="paragraph" w:styleId="BodyTextIndent2">
    <w:name w:val="Body Text Indent 2"/>
    <w:basedOn w:val="Normal"/>
    <w:pPr>
      <w:ind w:left="2880" w:hanging="720"/>
      <w:jc w:val="both"/>
    </w:pPr>
    <w:rPr>
      <w:rFonts w:ascii="Garamond" w:hAnsi="Garamond"/>
      <w:sz w:val="24"/>
    </w:rPr>
  </w:style>
  <w:style w:type="paragraph" w:styleId="BodyTextIndent3">
    <w:name w:val="Body Text Indent 3"/>
    <w:basedOn w:val="Normal"/>
    <w:pPr>
      <w:tabs>
        <w:tab w:val="left" w:pos="2160"/>
      </w:tabs>
      <w:spacing w:before="120" w:after="120"/>
      <w:ind w:left="2880" w:hanging="720"/>
      <w:jc w:val="both"/>
    </w:pPr>
    <w:rPr>
      <w:rFonts w:ascii="Garamond" w:hAnsi="Garamond"/>
      <w:sz w:val="24"/>
    </w:rPr>
  </w:style>
  <w:style w:type="paragraph" w:styleId="BodyTextIndent">
    <w:name w:val="Body Text Indent"/>
    <w:basedOn w:val="Normal"/>
    <w:pPr>
      <w:ind w:left="1440" w:hanging="720"/>
      <w:jc w:val="both"/>
    </w:pPr>
    <w:rPr>
      <w:sz w:val="24"/>
    </w:rPr>
  </w:style>
  <w:style w:type="character" w:styleId="Hyperlink">
    <w:name w:val="Hyperlink"/>
    <w:rPr>
      <w:rFonts w:ascii="Times New Roman" w:hAnsi="Times New Roman"/>
      <w:color w:val="0000FF"/>
      <w:sz w:val="24"/>
      <w:u w:val="single"/>
    </w:rPr>
  </w:style>
  <w:style w:type="character" w:styleId="FollowedHyperlink">
    <w:name w:val="FollowedHyperlink"/>
    <w:rPr>
      <w:color w:val="800080"/>
      <w:u w:val="single"/>
    </w:rPr>
  </w:style>
  <w:style w:type="paragraph" w:styleId="BodyText2">
    <w:name w:val="Body Text 2"/>
    <w:basedOn w:val="Normal"/>
    <w:rPr>
      <w:sz w:val="16"/>
    </w:rPr>
  </w:style>
  <w:style w:type="paragraph" w:styleId="BalloonText">
    <w:name w:val="Balloon Text"/>
    <w:basedOn w:val="Normal"/>
    <w:semiHidden/>
    <w:rsid w:val="00996AB1"/>
    <w:rPr>
      <w:rFonts w:ascii="Tahoma" w:hAnsi="Tahoma" w:cs="Tahoma"/>
      <w:sz w:val="16"/>
      <w:szCs w:val="16"/>
    </w:rPr>
  </w:style>
  <w:style w:type="paragraph" w:styleId="DocumentMap">
    <w:name w:val="Document Map"/>
    <w:basedOn w:val="Normal"/>
    <w:semiHidden/>
    <w:rsid w:val="00CF6108"/>
    <w:pPr>
      <w:shd w:val="clear" w:color="auto" w:fill="000080"/>
    </w:pPr>
    <w:rPr>
      <w:rFonts w:ascii="Tahoma" w:hAnsi="Tahoma" w:cs="Tahoma"/>
    </w:rPr>
  </w:style>
  <w:style w:type="paragraph" w:customStyle="1" w:styleId="Default">
    <w:name w:val="Default"/>
    <w:rsid w:val="005D1422"/>
    <w:pPr>
      <w:autoSpaceDE w:val="0"/>
      <w:autoSpaceDN w:val="0"/>
      <w:adjustRightInd w:val="0"/>
    </w:pPr>
    <w:rPr>
      <w:color w:val="000000"/>
      <w:sz w:val="24"/>
      <w:szCs w:val="24"/>
    </w:rPr>
  </w:style>
  <w:style w:type="paragraph" w:customStyle="1" w:styleId="1head">
    <w:name w:val="1head"/>
    <w:basedOn w:val="Default"/>
    <w:next w:val="Default"/>
    <w:rsid w:val="005D1422"/>
    <w:pPr>
      <w:spacing w:before="100" w:after="100"/>
    </w:pPr>
    <w:rPr>
      <w:color w:val="auto"/>
    </w:rPr>
  </w:style>
  <w:style w:type="paragraph" w:customStyle="1" w:styleId="Bullet">
    <w:name w:val="Bullet"/>
    <w:basedOn w:val="Default"/>
    <w:next w:val="Default"/>
    <w:rsid w:val="005D1422"/>
    <w:pPr>
      <w:spacing w:before="100" w:after="100"/>
    </w:pPr>
    <w:rPr>
      <w:color w:val="auto"/>
    </w:rPr>
  </w:style>
  <w:style w:type="paragraph" w:styleId="ListParagraph">
    <w:name w:val="List Paragraph"/>
    <w:basedOn w:val="Normal"/>
    <w:uiPriority w:val="34"/>
    <w:qFormat/>
    <w:rsid w:val="000006DD"/>
    <w:pPr>
      <w:ind w:left="720"/>
    </w:pPr>
  </w:style>
  <w:style w:type="character" w:customStyle="1" w:styleId="Heading3Char">
    <w:name w:val="Heading 3 Char"/>
    <w:link w:val="Heading3"/>
    <w:rsid w:val="000C1213"/>
    <w:rPr>
      <w:rFonts w:ascii="Calibri Light" w:eastAsia="Times New Roman" w:hAnsi="Calibri Light" w:cs="Times New Roman"/>
      <w:b/>
      <w:bCs/>
      <w:sz w:val="26"/>
      <w:szCs w:val="26"/>
    </w:rPr>
  </w:style>
  <w:style w:type="character" w:customStyle="1" w:styleId="Heading4Char">
    <w:name w:val="Heading 4 Char"/>
    <w:link w:val="Heading4"/>
    <w:semiHidden/>
    <w:rsid w:val="000C1213"/>
    <w:rPr>
      <w:rFonts w:ascii="Calibri" w:eastAsia="Times New Roman" w:hAnsi="Calibri" w:cs="Times New Roman"/>
      <w:b/>
      <w:bCs/>
      <w:sz w:val="28"/>
      <w:szCs w:val="28"/>
    </w:rPr>
  </w:style>
  <w:style w:type="character" w:styleId="Strong">
    <w:name w:val="Strong"/>
    <w:uiPriority w:val="22"/>
    <w:qFormat/>
    <w:rsid w:val="00E5149D"/>
    <w:rPr>
      <w:b/>
      <w:bCs/>
    </w:rPr>
  </w:style>
  <w:style w:type="table" w:styleId="TableGrid">
    <w:name w:val="Table Grid"/>
    <w:basedOn w:val="TableNormal"/>
    <w:uiPriority w:val="39"/>
    <w:rsid w:val="0011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7D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FooterChar">
    <w:name w:val="Footer Char"/>
    <w:basedOn w:val="DefaultParagraphFont"/>
    <w:link w:val="Footer"/>
    <w:uiPriority w:val="99"/>
    <w:rsid w:val="00F54F3F"/>
    <w:rPr>
      <w:b/>
    </w:rPr>
  </w:style>
  <w:style w:type="character" w:styleId="UnresolvedMention">
    <w:name w:val="Unresolved Mention"/>
    <w:basedOn w:val="DefaultParagraphFont"/>
    <w:uiPriority w:val="99"/>
    <w:semiHidden/>
    <w:unhideWhenUsed/>
    <w:rsid w:val="0050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2667">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9898461">
      <w:bodyDiv w:val="1"/>
      <w:marLeft w:val="0"/>
      <w:marRight w:val="0"/>
      <w:marTop w:val="0"/>
      <w:marBottom w:val="0"/>
      <w:divBdr>
        <w:top w:val="none" w:sz="0" w:space="0" w:color="auto"/>
        <w:left w:val="none" w:sz="0" w:space="0" w:color="auto"/>
        <w:bottom w:val="none" w:sz="0" w:space="0" w:color="auto"/>
        <w:right w:val="none" w:sz="0" w:space="0" w:color="auto"/>
      </w:divBdr>
    </w:div>
    <w:div w:id="615329881">
      <w:bodyDiv w:val="1"/>
      <w:marLeft w:val="0"/>
      <w:marRight w:val="0"/>
      <w:marTop w:val="0"/>
      <w:marBottom w:val="0"/>
      <w:divBdr>
        <w:top w:val="none" w:sz="0" w:space="0" w:color="auto"/>
        <w:left w:val="none" w:sz="0" w:space="0" w:color="auto"/>
        <w:bottom w:val="none" w:sz="0" w:space="0" w:color="auto"/>
        <w:right w:val="none" w:sz="0" w:space="0" w:color="auto"/>
      </w:divBdr>
    </w:div>
    <w:div w:id="894244610">
      <w:bodyDiv w:val="1"/>
      <w:marLeft w:val="0"/>
      <w:marRight w:val="0"/>
      <w:marTop w:val="0"/>
      <w:marBottom w:val="0"/>
      <w:divBdr>
        <w:top w:val="none" w:sz="0" w:space="0" w:color="auto"/>
        <w:left w:val="none" w:sz="0" w:space="0" w:color="auto"/>
        <w:bottom w:val="none" w:sz="0" w:space="0" w:color="auto"/>
        <w:right w:val="none" w:sz="0" w:space="0" w:color="auto"/>
      </w:divBdr>
    </w:div>
    <w:div w:id="916940413">
      <w:bodyDiv w:val="1"/>
      <w:marLeft w:val="0"/>
      <w:marRight w:val="0"/>
      <w:marTop w:val="0"/>
      <w:marBottom w:val="0"/>
      <w:divBdr>
        <w:top w:val="none" w:sz="0" w:space="0" w:color="auto"/>
        <w:left w:val="none" w:sz="0" w:space="0" w:color="auto"/>
        <w:bottom w:val="none" w:sz="0" w:space="0" w:color="auto"/>
        <w:right w:val="none" w:sz="0" w:space="0" w:color="auto"/>
      </w:divBdr>
    </w:div>
    <w:div w:id="996298762">
      <w:bodyDiv w:val="1"/>
      <w:marLeft w:val="0"/>
      <w:marRight w:val="0"/>
      <w:marTop w:val="0"/>
      <w:marBottom w:val="0"/>
      <w:divBdr>
        <w:top w:val="none" w:sz="0" w:space="0" w:color="auto"/>
        <w:left w:val="none" w:sz="0" w:space="0" w:color="auto"/>
        <w:bottom w:val="none" w:sz="0" w:space="0" w:color="auto"/>
        <w:right w:val="none" w:sz="0" w:space="0" w:color="auto"/>
      </w:divBdr>
    </w:div>
    <w:div w:id="1094589559">
      <w:bodyDiv w:val="1"/>
      <w:marLeft w:val="0"/>
      <w:marRight w:val="0"/>
      <w:marTop w:val="0"/>
      <w:marBottom w:val="0"/>
      <w:divBdr>
        <w:top w:val="none" w:sz="0" w:space="0" w:color="auto"/>
        <w:left w:val="none" w:sz="0" w:space="0" w:color="auto"/>
        <w:bottom w:val="none" w:sz="0" w:space="0" w:color="auto"/>
        <w:right w:val="none" w:sz="0" w:space="0" w:color="auto"/>
      </w:divBdr>
    </w:div>
    <w:div w:id="1213662475">
      <w:bodyDiv w:val="1"/>
      <w:marLeft w:val="0"/>
      <w:marRight w:val="0"/>
      <w:marTop w:val="0"/>
      <w:marBottom w:val="0"/>
      <w:divBdr>
        <w:top w:val="none" w:sz="0" w:space="0" w:color="auto"/>
        <w:left w:val="none" w:sz="0" w:space="0" w:color="auto"/>
        <w:bottom w:val="none" w:sz="0" w:space="0" w:color="auto"/>
        <w:right w:val="none" w:sz="0" w:space="0" w:color="auto"/>
      </w:divBdr>
    </w:div>
    <w:div w:id="1413702239">
      <w:bodyDiv w:val="1"/>
      <w:marLeft w:val="0"/>
      <w:marRight w:val="0"/>
      <w:marTop w:val="0"/>
      <w:marBottom w:val="0"/>
      <w:divBdr>
        <w:top w:val="none" w:sz="0" w:space="0" w:color="auto"/>
        <w:left w:val="none" w:sz="0" w:space="0" w:color="auto"/>
        <w:bottom w:val="none" w:sz="0" w:space="0" w:color="auto"/>
        <w:right w:val="none" w:sz="0" w:space="0" w:color="auto"/>
      </w:divBdr>
    </w:div>
    <w:div w:id="1518620707">
      <w:bodyDiv w:val="1"/>
      <w:marLeft w:val="0"/>
      <w:marRight w:val="0"/>
      <w:marTop w:val="0"/>
      <w:marBottom w:val="0"/>
      <w:divBdr>
        <w:top w:val="none" w:sz="0" w:space="0" w:color="auto"/>
        <w:left w:val="none" w:sz="0" w:space="0" w:color="auto"/>
        <w:bottom w:val="none" w:sz="0" w:space="0" w:color="auto"/>
        <w:right w:val="none" w:sz="0" w:space="0" w:color="auto"/>
      </w:divBdr>
    </w:div>
    <w:div w:id="1526747808">
      <w:bodyDiv w:val="1"/>
      <w:marLeft w:val="0"/>
      <w:marRight w:val="0"/>
      <w:marTop w:val="0"/>
      <w:marBottom w:val="0"/>
      <w:divBdr>
        <w:top w:val="none" w:sz="0" w:space="0" w:color="auto"/>
        <w:left w:val="none" w:sz="0" w:space="0" w:color="auto"/>
        <w:bottom w:val="none" w:sz="0" w:space="0" w:color="auto"/>
        <w:right w:val="none" w:sz="0" w:space="0" w:color="auto"/>
      </w:divBdr>
    </w:div>
    <w:div w:id="1583759785">
      <w:bodyDiv w:val="1"/>
      <w:marLeft w:val="0"/>
      <w:marRight w:val="0"/>
      <w:marTop w:val="0"/>
      <w:marBottom w:val="0"/>
      <w:divBdr>
        <w:top w:val="none" w:sz="0" w:space="0" w:color="auto"/>
        <w:left w:val="none" w:sz="0" w:space="0" w:color="auto"/>
        <w:bottom w:val="none" w:sz="0" w:space="0" w:color="auto"/>
        <w:right w:val="none" w:sz="0" w:space="0" w:color="auto"/>
      </w:divBdr>
    </w:div>
    <w:div w:id="1641301044">
      <w:bodyDiv w:val="1"/>
      <w:marLeft w:val="0"/>
      <w:marRight w:val="0"/>
      <w:marTop w:val="0"/>
      <w:marBottom w:val="0"/>
      <w:divBdr>
        <w:top w:val="none" w:sz="0" w:space="0" w:color="auto"/>
        <w:left w:val="none" w:sz="0" w:space="0" w:color="auto"/>
        <w:bottom w:val="none" w:sz="0" w:space="0" w:color="auto"/>
        <w:right w:val="none" w:sz="0" w:space="0" w:color="auto"/>
      </w:divBdr>
    </w:div>
    <w:div w:id="1742409468">
      <w:bodyDiv w:val="1"/>
      <w:marLeft w:val="0"/>
      <w:marRight w:val="0"/>
      <w:marTop w:val="0"/>
      <w:marBottom w:val="0"/>
      <w:divBdr>
        <w:top w:val="none" w:sz="0" w:space="0" w:color="auto"/>
        <w:left w:val="none" w:sz="0" w:space="0" w:color="auto"/>
        <w:bottom w:val="none" w:sz="0" w:space="0" w:color="auto"/>
        <w:right w:val="none" w:sz="0" w:space="0" w:color="auto"/>
      </w:divBdr>
    </w:div>
    <w:div w:id="1900481384">
      <w:bodyDiv w:val="1"/>
      <w:marLeft w:val="0"/>
      <w:marRight w:val="0"/>
      <w:marTop w:val="0"/>
      <w:marBottom w:val="0"/>
      <w:divBdr>
        <w:top w:val="none" w:sz="0" w:space="0" w:color="auto"/>
        <w:left w:val="none" w:sz="0" w:space="0" w:color="auto"/>
        <w:bottom w:val="none" w:sz="0" w:space="0" w:color="auto"/>
        <w:right w:val="none" w:sz="0" w:space="0" w:color="auto"/>
      </w:divBdr>
    </w:div>
    <w:div w:id="1955480333">
      <w:bodyDiv w:val="1"/>
      <w:marLeft w:val="0"/>
      <w:marRight w:val="0"/>
      <w:marTop w:val="0"/>
      <w:marBottom w:val="0"/>
      <w:divBdr>
        <w:top w:val="none" w:sz="0" w:space="0" w:color="auto"/>
        <w:left w:val="none" w:sz="0" w:space="0" w:color="auto"/>
        <w:bottom w:val="none" w:sz="0" w:space="0" w:color="auto"/>
        <w:right w:val="none" w:sz="0" w:space="0" w:color="auto"/>
      </w:divBdr>
    </w:div>
    <w:div w:id="1969821323">
      <w:bodyDiv w:val="1"/>
      <w:marLeft w:val="0"/>
      <w:marRight w:val="0"/>
      <w:marTop w:val="0"/>
      <w:marBottom w:val="0"/>
      <w:divBdr>
        <w:top w:val="none" w:sz="0" w:space="0" w:color="auto"/>
        <w:left w:val="none" w:sz="0" w:space="0" w:color="auto"/>
        <w:bottom w:val="none" w:sz="0" w:space="0" w:color="auto"/>
        <w:right w:val="none" w:sz="0" w:space="0" w:color="auto"/>
      </w:divBdr>
    </w:div>
    <w:div w:id="1982148614">
      <w:bodyDiv w:val="1"/>
      <w:marLeft w:val="0"/>
      <w:marRight w:val="0"/>
      <w:marTop w:val="0"/>
      <w:marBottom w:val="0"/>
      <w:divBdr>
        <w:top w:val="none" w:sz="0" w:space="0" w:color="auto"/>
        <w:left w:val="none" w:sz="0" w:space="0" w:color="auto"/>
        <w:bottom w:val="none" w:sz="0" w:space="0" w:color="auto"/>
        <w:right w:val="none" w:sz="0" w:space="0" w:color="auto"/>
      </w:divBdr>
    </w:div>
    <w:div w:id="2082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txgroup.sharepoint.com/sites/USEngineeri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Use to format ATD Procedures</vt:lpstr>
    </vt:vector>
  </TitlesOfParts>
  <Company>VANCE AFB</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(TISAX) in PLM2</dc:title>
  <dc:subject/>
  <dc:creator>KTX Toccoa, Process Development</dc:creator>
  <cp:keywords/>
  <cp:lastModifiedBy>Demmler, Christoph</cp:lastModifiedBy>
  <cp:revision>4</cp:revision>
  <cp:lastPrinted>2024-10-25T19:59:00Z</cp:lastPrinted>
  <dcterms:created xsi:type="dcterms:W3CDTF">2025-03-31T17:21:00Z</dcterms:created>
  <dcterms:modified xsi:type="dcterms:W3CDTF">2025-03-31T17:56:00Z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l_Department">
    <vt:lpwstr/>
  </property>
  <property fmtid="{D5CDD505-2E9C-101B-9397-08002B2CF9AE}" pid="3" name="POC email">
    <vt:lpwstr/>
  </property>
  <property fmtid="{D5CDD505-2E9C-101B-9397-08002B2CF9AE}" pid="4" name="_Status">
    <vt:lpwstr>Not Started</vt:lpwstr>
  </property>
  <property fmtid="{D5CDD505-2E9C-101B-9397-08002B2CF9AE}" pid="5" name="ContentType">
    <vt:lpwstr>Document</vt:lpwstr>
  </property>
  <property fmtid="{D5CDD505-2E9C-101B-9397-08002B2CF9AE}" pid="6" name="POC">
    <vt:lpwstr/>
  </property>
</Properties>
</file>