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目前只有4个省份可以更改跑马灯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陕西消息公告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"http://10.231.171.141:8007/ucm/"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http://10.231.171.141:8007/ucm/</w:t>
      </w:r>
      <w:r>
        <w:rPr>
          <w:rFonts w:hint="eastAsia"/>
          <w:lang w:eastAsia="zh-CN"/>
        </w:rPr>
        <w:fldChar w:fldCharType="end"/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356100" cy="1994535"/>
            <wp:effectExtent l="0" t="0" r="6350" b="5715"/>
            <wp:docPr id="1" name="图片 1" descr="15416855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168554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操作: 连接内网 更改公告内容，生效失效时间，改完会变待初审，审核通过即可。发布。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华数</w:t>
      </w:r>
      <w:r>
        <w:rPr>
          <w:rFonts w:hint="eastAsia"/>
        </w:rPr>
        <w:t>消息公告</w:t>
      </w:r>
      <w:r>
        <w:rPr>
          <w:rFonts w:hint="eastAsia"/>
          <w:lang w:eastAsia="zh-CN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HYPERLINK "http://125.210.117.58:8060/ucm/#"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1"/>
          <w:szCs w:val="24"/>
          <w:lang w:val="en-US" w:eastAsia="zh-CN" w:bidi="ar-SA"/>
        </w:rPr>
        <w:t>http://125.210.117.58:8060/ucm/#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操作：需安装华数VPN登录  页面操作方式跟陕西一致</w:t>
      </w:r>
    </w:p>
    <w:p>
      <w:pPr>
        <w:numPr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483100" cy="1360170"/>
            <wp:effectExtent l="0" t="0" r="12700" b="11430"/>
            <wp:docPr id="2" name="图片 2" descr="15416859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168595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打开河南VPN电脑的网页，已经登陆了</w:t>
      </w:r>
    </w:p>
    <w:p>
      <w:pPr>
        <w:numPr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操作：打开所在的位置更改即可</w:t>
      </w:r>
    </w:p>
    <w:p>
      <w:pPr>
        <w:numPr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694940" cy="2021205"/>
            <wp:effectExtent l="0" t="0" r="10160" b="17145"/>
            <wp:docPr id="3" name="图片 3" descr="279396106525678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9396106525678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4.重庆有线需找王黎更新，把更新内容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发给他即可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8DB28"/>
    <w:multiLevelType w:val="singleLevel"/>
    <w:tmpl w:val="FA58DB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1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jushihuyu</dc:creator>
  <cp:lastModifiedBy>jushihuyu</cp:lastModifiedBy>
  <dcterms:modified xsi:type="dcterms:W3CDTF">2018-11-08T14:20:47Z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