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637F6E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策略总结</w:t>
      </w:r>
    </w:p>
    <w:p w:rsidR="008C71F1" w:rsidRDefault="006C4826" w:rsidP="006C4826">
      <w:pPr>
        <w:pStyle w:val="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实盘策略；</w:t>
      </w:r>
    </w:p>
    <w:p w:rsidR="00D31D6B" w:rsidRDefault="008445AB" w:rsidP="00D31D6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期权</w:t>
      </w:r>
      <w:r>
        <w:t>—</w:t>
      </w:r>
      <w:r>
        <w:rPr>
          <w:rFonts w:hint="eastAsia"/>
        </w:rPr>
        <w:t>期货套利策略</w:t>
      </w:r>
    </w:p>
    <w:p w:rsidR="0034323B" w:rsidRDefault="0034323B" w:rsidP="0034323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持仓：期货</w:t>
      </w:r>
      <w:r>
        <w:rPr>
          <w:rFonts w:hint="eastAsia"/>
        </w:rPr>
        <w:t>IH1803</w:t>
      </w:r>
      <w:r>
        <w:rPr>
          <w:rFonts w:hint="eastAsia"/>
        </w:rPr>
        <w:t>买入一手</w:t>
      </w:r>
      <w:r w:rsidR="0033388B">
        <w:rPr>
          <w:rFonts w:hint="eastAsia"/>
        </w:rPr>
        <w:t xml:space="preserve"> </w:t>
      </w:r>
      <w:r w:rsidR="0033388B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期权购</w:t>
      </w:r>
      <w:r>
        <w:rPr>
          <w:rFonts w:hint="eastAsia"/>
        </w:rPr>
        <w:t>/</w:t>
      </w:r>
      <w:r>
        <w:rPr>
          <w:rFonts w:hint="eastAsia"/>
        </w:rPr>
        <w:t>沽各</w:t>
      </w:r>
      <w:r>
        <w:rPr>
          <w:rFonts w:hint="eastAsia"/>
        </w:rPr>
        <w:t>30</w:t>
      </w:r>
      <w:r>
        <w:rPr>
          <w:rFonts w:hint="eastAsia"/>
        </w:rPr>
        <w:t>张；</w:t>
      </w:r>
    </w:p>
    <w:p w:rsidR="00B222B2" w:rsidRDefault="00B222B2" w:rsidP="0034323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下单点位：组合点数</w:t>
      </w:r>
      <w:r>
        <w:rPr>
          <w:rFonts w:hint="eastAsia"/>
        </w:rPr>
        <w:t>26500</w:t>
      </w:r>
      <w:r w:rsidR="005C0DCB">
        <w:rPr>
          <w:rFonts w:hint="eastAsia"/>
        </w:rPr>
        <w:t>；</w:t>
      </w:r>
    </w:p>
    <w:p w:rsidR="0034323B" w:rsidRDefault="005C0DCB" w:rsidP="0034323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无风险套利策略，阈值高于基准</w:t>
      </w:r>
      <w:r>
        <w:rPr>
          <w:rFonts w:hint="eastAsia"/>
        </w:rPr>
        <w:t>2000</w:t>
      </w:r>
      <w:r>
        <w:rPr>
          <w:rFonts w:hint="eastAsia"/>
        </w:rPr>
        <w:t>，基本可以实现无风险回归；</w:t>
      </w:r>
    </w:p>
    <w:p w:rsidR="006C4826" w:rsidRDefault="006C4826" w:rsidP="006C4826">
      <w:pPr>
        <w:pStyle w:val="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模拟盘策略：</w:t>
      </w:r>
    </w:p>
    <w:p w:rsidR="00860B40" w:rsidRDefault="00010AB0" w:rsidP="00860B40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海龟策略：</w:t>
      </w:r>
    </w:p>
    <w:p w:rsidR="00010AB0" w:rsidRDefault="00010AB0" w:rsidP="00010AB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模拟盘测试三个品种分别是：</w:t>
      </w:r>
      <w:r>
        <w:rPr>
          <w:rFonts w:hint="eastAsia"/>
        </w:rPr>
        <w:t>RB.1801.SHF, I1801.DCE, J1801.DCE;</w:t>
      </w:r>
    </w:p>
    <w:p w:rsidR="00010AB0" w:rsidRDefault="00CB3259" w:rsidP="00010AB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三个品种近三年回测曲线如下：</w:t>
      </w:r>
    </w:p>
    <w:p w:rsidR="00CB3259" w:rsidRDefault="00CB3259" w:rsidP="00CB3259">
      <w:pPr>
        <w:pStyle w:val="1"/>
        <w:spacing w:line="22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76625"/>
            <wp:effectExtent l="19050" t="0" r="2540" b="0"/>
            <wp:docPr id="1" name="图片 0" descr="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59" w:rsidRDefault="00CB3259" w:rsidP="00CB3259">
      <w:pPr>
        <w:pStyle w:val="1"/>
        <w:spacing w:line="220" w:lineRule="atLeast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07105"/>
            <wp:effectExtent l="19050" t="0" r="2540" b="0"/>
            <wp:docPr id="3" name="图片 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3C" w:rsidRDefault="005930EB" w:rsidP="00CB3259">
      <w:pPr>
        <w:pStyle w:val="1"/>
        <w:spacing w:line="220" w:lineRule="atLeast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42665"/>
            <wp:effectExtent l="19050" t="0" r="2540" b="0"/>
            <wp:docPr id="4" name="图片 3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3C" w:rsidRDefault="00A7223C">
      <w:pPr>
        <w:adjustRightInd/>
        <w:snapToGrid/>
        <w:spacing w:after="0"/>
      </w:pPr>
      <w:r>
        <w:br w:type="page"/>
      </w:r>
    </w:p>
    <w:p w:rsidR="00010AB0" w:rsidRDefault="00010AB0" w:rsidP="00860B40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纯卖空策略：</w:t>
      </w:r>
    </w:p>
    <w:p w:rsidR="00504E1A" w:rsidRDefault="00504E1A" w:rsidP="00504E1A">
      <w:pPr>
        <w:pStyle w:val="1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26" w:rsidRDefault="006C4826" w:rsidP="006C4826">
      <w:pPr>
        <w:pStyle w:val="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其它策略：</w:t>
      </w:r>
    </w:p>
    <w:p w:rsidR="00FE5AAE" w:rsidRDefault="00FE5AAE" w:rsidP="00FE5AAE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期权秃鹰式策略</w:t>
      </w:r>
    </w:p>
    <w:p w:rsidR="00504E1A" w:rsidRDefault="00504E1A" w:rsidP="00504E1A">
      <w:pPr>
        <w:pStyle w:val="1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077" cy="3600450"/>
            <wp:effectExtent l="19050" t="0" r="6773" b="0"/>
            <wp:docPr id="6" name="图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A" w:rsidRDefault="00504E1A" w:rsidP="00504E1A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年化收益相对最大回撤太小，未进入模拟盘测试；</w:t>
      </w:r>
    </w:p>
    <w:p w:rsidR="00504E1A" w:rsidRDefault="00504E1A" w:rsidP="00504E1A">
      <w:pPr>
        <w:pStyle w:val="1"/>
        <w:spacing w:line="220" w:lineRule="atLeast"/>
        <w:ind w:left="420" w:firstLineChars="0" w:firstLine="0"/>
        <w:rPr>
          <w:rFonts w:hint="eastAsia"/>
        </w:rPr>
      </w:pPr>
    </w:p>
    <w:p w:rsidR="00FE5AAE" w:rsidRDefault="00FE5AAE" w:rsidP="00FE5AAE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成交量确认信号策略</w:t>
      </w:r>
    </w:p>
    <w:p w:rsidR="003C2BB8" w:rsidRDefault="00D37696" w:rsidP="00D37696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连续两根</w:t>
      </w:r>
      <w:r>
        <w:rPr>
          <w:rFonts w:hint="eastAsia"/>
        </w:rPr>
        <w:t>Bar</w:t>
      </w:r>
      <w:r>
        <w:rPr>
          <w:rFonts w:hint="eastAsia"/>
        </w:rPr>
        <w:t>的成交量超越指定成交量阈值，根据第三根</w:t>
      </w:r>
      <w:r>
        <w:rPr>
          <w:rFonts w:hint="eastAsia"/>
        </w:rPr>
        <w:t>Bar</w:t>
      </w:r>
      <w:r>
        <w:rPr>
          <w:rFonts w:hint="eastAsia"/>
        </w:rPr>
        <w:t>方向，在第四根</w:t>
      </w:r>
      <w:r>
        <w:rPr>
          <w:rFonts w:hint="eastAsia"/>
        </w:rPr>
        <w:t>Bar</w:t>
      </w:r>
      <w:r>
        <w:rPr>
          <w:rFonts w:hint="eastAsia"/>
        </w:rPr>
        <w:t>开盘时开仓；</w:t>
      </w:r>
    </w:p>
    <w:p w:rsidR="00D37696" w:rsidRDefault="00930156" w:rsidP="00D37696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优化成交量阈值、止损值、移动止损值等参数及其它交易逻辑；</w:t>
      </w:r>
    </w:p>
    <w:p w:rsidR="00FE5AAE" w:rsidRDefault="000B1957" w:rsidP="00FE5AAE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应用机器学习测试</w:t>
      </w:r>
    </w:p>
    <w:p w:rsidR="0094418C" w:rsidRDefault="0094418C" w:rsidP="0094418C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根据机器学习的方法神经网络、支持向量机、隐马尔科夫连等对市场行情进分类；</w:t>
      </w:r>
    </w:p>
    <w:p w:rsidR="0094418C" w:rsidRDefault="0094418C" w:rsidP="0094418C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寻找有效的技术指标因子；</w:t>
      </w:r>
    </w:p>
    <w:p w:rsidR="00094851" w:rsidRDefault="00094851" w:rsidP="00FE5AAE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优化调整试运行策略</w:t>
      </w:r>
    </w:p>
    <w:p w:rsidR="00880DC4" w:rsidRDefault="003F4ECC" w:rsidP="00880DC4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海龟策略等已经运行的策略交易参数逻辑优化修改；</w:t>
      </w:r>
    </w:p>
    <w:p w:rsidR="00CC410A" w:rsidRDefault="00CC410A" w:rsidP="006C4826">
      <w:pPr>
        <w:pStyle w:val="1"/>
        <w:spacing w:line="220" w:lineRule="atLeast"/>
        <w:ind w:firstLineChars="0" w:firstLine="0"/>
      </w:pP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0AB0"/>
    <w:rsid w:val="00016F8F"/>
    <w:rsid w:val="00026760"/>
    <w:rsid w:val="00034AA0"/>
    <w:rsid w:val="00043E60"/>
    <w:rsid w:val="000519D7"/>
    <w:rsid w:val="000700CB"/>
    <w:rsid w:val="000767ED"/>
    <w:rsid w:val="000905E5"/>
    <w:rsid w:val="00092645"/>
    <w:rsid w:val="00094851"/>
    <w:rsid w:val="000B1957"/>
    <w:rsid w:val="000C3736"/>
    <w:rsid w:val="000E6E8E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3388B"/>
    <w:rsid w:val="0034323B"/>
    <w:rsid w:val="003527B1"/>
    <w:rsid w:val="00356034"/>
    <w:rsid w:val="003903BE"/>
    <w:rsid w:val="00397C6E"/>
    <w:rsid w:val="003A357E"/>
    <w:rsid w:val="003A50DA"/>
    <w:rsid w:val="003B5EEA"/>
    <w:rsid w:val="003C2BB8"/>
    <w:rsid w:val="003C6704"/>
    <w:rsid w:val="003D37D8"/>
    <w:rsid w:val="003E2292"/>
    <w:rsid w:val="003E4EB8"/>
    <w:rsid w:val="003F4ECC"/>
    <w:rsid w:val="004204AE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4F275C"/>
    <w:rsid w:val="00504981"/>
    <w:rsid w:val="00504E1A"/>
    <w:rsid w:val="005077EE"/>
    <w:rsid w:val="005130E5"/>
    <w:rsid w:val="005466B2"/>
    <w:rsid w:val="00561D01"/>
    <w:rsid w:val="005730FC"/>
    <w:rsid w:val="00584FB3"/>
    <w:rsid w:val="00586533"/>
    <w:rsid w:val="005930EB"/>
    <w:rsid w:val="005B075D"/>
    <w:rsid w:val="005C0DCB"/>
    <w:rsid w:val="005D36FC"/>
    <w:rsid w:val="005F0307"/>
    <w:rsid w:val="00605335"/>
    <w:rsid w:val="00616B7B"/>
    <w:rsid w:val="006265A6"/>
    <w:rsid w:val="006309E8"/>
    <w:rsid w:val="0063466D"/>
    <w:rsid w:val="00637F6E"/>
    <w:rsid w:val="00655B1B"/>
    <w:rsid w:val="00657DAA"/>
    <w:rsid w:val="0068191B"/>
    <w:rsid w:val="006B3CE4"/>
    <w:rsid w:val="006B66A3"/>
    <w:rsid w:val="006C4826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445AB"/>
    <w:rsid w:val="008551A0"/>
    <w:rsid w:val="00860B40"/>
    <w:rsid w:val="008676DE"/>
    <w:rsid w:val="00880DC4"/>
    <w:rsid w:val="008B7726"/>
    <w:rsid w:val="008C71F1"/>
    <w:rsid w:val="008D6D46"/>
    <w:rsid w:val="008F35B7"/>
    <w:rsid w:val="00930156"/>
    <w:rsid w:val="0094418C"/>
    <w:rsid w:val="009648C0"/>
    <w:rsid w:val="00980733"/>
    <w:rsid w:val="009A3FDE"/>
    <w:rsid w:val="009A72CB"/>
    <w:rsid w:val="009F6E13"/>
    <w:rsid w:val="00A05D01"/>
    <w:rsid w:val="00A50F5F"/>
    <w:rsid w:val="00A7223C"/>
    <w:rsid w:val="00A85EA6"/>
    <w:rsid w:val="00AA5CD3"/>
    <w:rsid w:val="00AE3518"/>
    <w:rsid w:val="00AE483C"/>
    <w:rsid w:val="00AE4B21"/>
    <w:rsid w:val="00AF7A24"/>
    <w:rsid w:val="00B143F9"/>
    <w:rsid w:val="00B1742D"/>
    <w:rsid w:val="00B222B2"/>
    <w:rsid w:val="00B33A50"/>
    <w:rsid w:val="00B37C37"/>
    <w:rsid w:val="00B42B94"/>
    <w:rsid w:val="00B47E27"/>
    <w:rsid w:val="00B87343"/>
    <w:rsid w:val="00B92DE3"/>
    <w:rsid w:val="00BB66E0"/>
    <w:rsid w:val="00BC0039"/>
    <w:rsid w:val="00BF56E2"/>
    <w:rsid w:val="00C12FBB"/>
    <w:rsid w:val="00C21C30"/>
    <w:rsid w:val="00C35D21"/>
    <w:rsid w:val="00C61ED3"/>
    <w:rsid w:val="00C633DC"/>
    <w:rsid w:val="00C662AA"/>
    <w:rsid w:val="00C91DFA"/>
    <w:rsid w:val="00CB0BA4"/>
    <w:rsid w:val="00CB19A2"/>
    <w:rsid w:val="00CB3259"/>
    <w:rsid w:val="00CC410A"/>
    <w:rsid w:val="00CD2795"/>
    <w:rsid w:val="00CD6546"/>
    <w:rsid w:val="00D044AA"/>
    <w:rsid w:val="00D30306"/>
    <w:rsid w:val="00D31D50"/>
    <w:rsid w:val="00D31D6B"/>
    <w:rsid w:val="00D37696"/>
    <w:rsid w:val="00D47763"/>
    <w:rsid w:val="00D90A6F"/>
    <w:rsid w:val="00DA64DE"/>
    <w:rsid w:val="00DB1E6F"/>
    <w:rsid w:val="00DF20EA"/>
    <w:rsid w:val="00DF4436"/>
    <w:rsid w:val="00E2202B"/>
    <w:rsid w:val="00E2524B"/>
    <w:rsid w:val="00E269A1"/>
    <w:rsid w:val="00E310DD"/>
    <w:rsid w:val="00E32060"/>
    <w:rsid w:val="00E321B2"/>
    <w:rsid w:val="00E5119C"/>
    <w:rsid w:val="00E63C10"/>
    <w:rsid w:val="00E67D8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E5AAE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114</cp:revision>
  <dcterms:created xsi:type="dcterms:W3CDTF">2008-09-11T17:20:00Z</dcterms:created>
  <dcterms:modified xsi:type="dcterms:W3CDTF">2017-10-16T08:29:00Z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