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算法导论：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KNN是通过已经标记样本来预测新样本的类别；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means物以类聚，人以群分，自然天成；根据样本特征自身特性进行分类，离得近的被分为一组；如果知道两个中心，然后计算每个样本距离每个中心的距离（欧氏距离），距离哪个中心近，就分到哪一组中；如果我们不知道两个中心，如果知道两组的点，可以通过两组数据点计算出两个中心；但是我们现在拿到的数据，没有中心，也不知道两组的数据；how？两个中心随机分配如何？计算每个点属于哪个中心，然后通过点来更新中心，再次计算每个点的归属，依次循环，直到中心不再变化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CA横看成岭侧成峰，远近高低各不同；横看的时候，样本分散情况，侧看样本分布情况，垂直看的情况，样本分散的情况，然后对三者按照分散情况进行排序，去掉分散值最小的，就将三维数据降低为二维数据；联想numpy时候的线性代数，当时提到过PCA，在那一部分？特征值特征向量，那么横看，侧看和垂直看三个维度，相当于特征值的?特征向量，特征值就是分散程度；求特征值和特征向量即可实现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N天下合久必分，分久必合；提取特征进行多维复杂预测分类；ppt实例直观解析；x1+x2=1;x1x2=1;他们彼此组合，可以进行更为复杂的划分，如果要穷举所有x1和x2的组合，其增长级别是指数增长的；但是用NN却可以综合考虑多个特征值，并自定义特征的扩增和收缩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KNN和NN是监督式学习，Kmeans和PCA是非监督式学习；没有严格的界定，大致这样区分，通过是否需要对样本进行标记来区分，是否需要参考“标准答案”来预测或者训练；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KNN,Kmean和PCA，就是一招，而NN更像是组合拳，可变性很强，可以调节重构的环节很多，柔性很强，如CNN，RNN等都是它的衍生及变异；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KNN,Kmean和PCA都是严格定义的求解的，是有标准答案的，但是NN不是的，模糊的计算，在模糊中寻找准确；也正因为如此，所以才有了更好的延展性，而由它衍生出来的网络也都继承了它的这一特性；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sklearn.datasets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make_blobs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kmeanDIY(Samples, k):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Samples=np.array(Samples)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#生成numpy数组；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nSamples=Samples.shape[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pointSelected = np.random.choice(nSamples, k,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replace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centroids = Samples[pointSelected, :].copy()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#生成随机聚类中心；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Kmeans++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centroids=Samples[np.random.randint(0,nSamples,1),:] #随机选择一个样本作为聚类中心；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tmp=np.argmax(np.sum(np.square(Samples-centroids),axis=1)) #选择第二个样本作为聚类中心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centroids=np.row_stack([Samples[tmp],centroids]) #合并聚类中心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if k&gt;2: #如果聚类中心大于2个的话；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for i2 in range(2,k): #遍历剩余聚类中心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distances=[]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for i in range(nSamples): #遍历所有样本点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    distances.append(min(np.sum(np.square(Samples[i] - centroids), axis=1)))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tmp=np.argmax(distances)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#         centroids = np.row_stack([Samples[tmp], centroids])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clusterAssment=np.zeros([nSamples,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#创建[nSamples X k ]二维数组记录聚类详情,第1列记录该样本属于哪个聚类中心，第二列记录该点距离聚类中心的距离；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while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clusterChanged: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Dtmp=np.sum(np.square(Samples[:,np.newaxis,:]-centroids),axis=2) #代替两个for循环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IndexT=np.argmin(Dtmp,axis=1)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if (~np.equal(clusterAssment[:,0],IndexT)).sum():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clusterChanged=True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tmp=[Dtmp[i,IndexT[i]] for i in range(len(IndexT))]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clusterAssment=np.column_stack([IndexT,tmp])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(nSamples):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#遍历每一个样本；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minIndex 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0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#记录距离哪个聚类中心最近；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minDist  = np.inf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#记录距离最近聚类中心的距离；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distances=np.square(np.sum(np.square(Samples[i]-centroids),axis=1))#代替一个for循环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minIndex=np.argmin(distances)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# minDist=distances[minIndex]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(k):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#遍历每个聚类中心；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distance=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(np.square(Samples[i]-centroids[j]))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#计算距离；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distance &lt; minDist: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#判断是否有更近的聚类中心点出现；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minDist  = distance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    minIndex = j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clusterAssment[i,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!= minIndex: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#判断该点是否需要更新聚类中心；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clusterChanged =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clusterAssment[i, :] = minIndex, minDist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j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(k):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#遍历每个聚类中心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pointsInCluster = Samples[clusterAssment[:,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]==j,:]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centroids[j, :] = np.mean(pointsInCluster,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 xml:space="preserve">axis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range(k):  # 遍历所有聚类中心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 = clusterAssment[:, 0] == i  # 选择属于i个聚类中心点的index;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tmp = Samples[tmp, :]  # 选出这些点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    plt.scatter(tmp[:, 0], tmp[:, 1], c=colors[i], s=50)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  # plt.show()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centroids, clusterAssment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X,y=make_blobs(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n_samples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n_features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centers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cluster_std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random_state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#生成随机点；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#plt.scatter(X[:,0],X[:,1],c='k',marker='o',s=50)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nClusters=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colors=[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'k'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'gold'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'gray'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'steelblue'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'darkred'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centroids,clusterAssment=kmeanDIY(X,nClusters)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(nClusters):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#遍历所有聚类中心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tmp=clusterAssment[:,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]==i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#选择属于第i个聚类中心点的index;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tmp=X[tmp,:]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#选出这些点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plt.scatter(tmp[:,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],tmp[:,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=colors[i],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loss=[] #做肘形图；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range(2,7):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_, clusterAssment = kmeanDIY(X, i) #返回距离值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loss.append(sum(clusterAssment[:,1]))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plt.plot(loss)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plt.show()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看一下每次更新打印出来的图；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肘型图确定需要几个中心点；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Kmean++和Kmean||都是微调优化；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PCA方法：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sklearn.preprocessing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StandardScaler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PCAdiy(Data,n):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meanV = np.mean(Data, 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axis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取均值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dataNew=Data-meanV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#减去均值，归零化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covMat=np.cov(dataNew,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rowvar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0 代表一行为一个样本，非零代表一列为一个样本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eigVals,eigVects=np.linalg.eig(covMat)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#求特征值特征向量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eigVindex = np.argsort(eigVals)[::-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#对特征值排序并返回排序后的索引值（降序）；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n&lt;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eigTmp = eigVals[eigVindex]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Values = eigTmp.cumsum()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ValuesPercents = Values /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(eigTmp)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n=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sum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(ValuesPercents&lt;n)+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eigVindexSelect = eigVindex[:n]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#选取eigVals的Top n 的索引；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eigVectSelect=eigVects[:,eigVindexSelect]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#选取eigVals的Top n对应的eigVectors；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eigVectSelect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Data=np.loadtxt(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'wine.txt'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X = (X - X.mean(axis=0)) / X.std(axis=0)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sc=StandardScaler()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#标准化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Data=sc.fit_transform(Data)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#标准化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vectors=PCAdiy(Data,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dataNew=np.dot(Data,vectors)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plt.scatter(dataNew[:,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],dataNew[:,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Notes：特征值为负数，比如如果生成随机数，就会产生特征值为负数，说明原始数据太乱，很可能是错误数据；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NN算法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更新参数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 w:asciiTheme="minorEastAsia" w:hAnsiTheme="minorEastAsia" w:cstheme="minorEastAsia"/>
          <w:lang w:val="en-US" w:eastAsia="zh-CN"/>
        </w:rPr>
        <w:t>时候应该从输入端开始更新，才能实现同时更新；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是一个动态的充满生机的网络，网络中各个节点会维持持续动态更新、删减和添加；一种新产品的上市，是不是能经受住市场的考验，是不是能被消费认可；一种游戏，上市能不能流行起来，都是要经过现实数据的训练筛选，没有历史数据，只能实时产生，并迅速反馈，每一次运行都即是train也是test；消费反馈修改生产权重，更新经济结构，这也是历史见证行业企业兴衰交替，更迭发展过程的原因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最近提到的一路一带，这会在全球经济网络产生总体的影响，加入很多新节点，形成很多新路径，并且对原有路径节点的权重形成影响并更新；然后这些节点也会接受全球经济环境的“经济数据”训练，进行资源配置的寻优；寻优的目标函数：人尽其才，无尽其用；从而使得世界更快更好的发展；全球经济网中，著名的波罗的海指数（BDI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也是很明显的，现实运行中调节和反馈系统相当复杂，我们所能接收到的反馈有限的，还有很多隐含的或者我们不可见的反馈在运行，我们仅仅对我们可见的反馈做出回应，这种回应的不全面性，将会产生错误，当这种错误增大到一定程度时，就会产生一定程度的崩溃，就是所谓的经济危机；经济危机将是对网络硬性强力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交易：一级市场和二级市场；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一级市场：我们最熟悉的“打新”应该属于参与一级市场行为，是一级市场的最后环节，和IPO对应（即上市公司通过券商发起IPO首次公开发行卖出股票，股民通过打新股买入这些股票）；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其它的一级市场行为：一般包括天使投资，VC/PE等风险股权投资。每次投资都会增加公司的资本且一般发生在ipo前。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个人也参与一级市场，但是需要的资金量大，有较好的风险承担能力和金融知识；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市场：由持股股东自由交易转让股票的交易属于二级市场。卖家是投资者，买家也是投资者。一般的股票交易就在此列。实际上，二级市场的交易无法对上市公司本身的资本造成任何影响，是一种权益转让，影响的只有持股人；一般发生在ipo后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增发可算作一级半市场把，是公司发起IPO后增加资本的主要手段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4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从生产到消费过程每一级的彼此连接，都是通过交易完成，并且由此建立反馈修正基础（类似正向传播中的a(1),a(2),...）；接下来，我们进入经济的微观结构，交易；什么是交易？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差：商品质量和价值预期；商品质量是基于商品的实用性进行的评估，从而影响价差；当我们讨论股票等投资标的的时候，它们并不具有这种实在的实用性，所以影响价差的因素仅仅是价值预期；另外投资标的的买方和卖方对买卖具有更高的统一性，即一个市场上的交易者即是买方，也是卖方；所以买卖报价也都是对等的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交易基本概念，摆单拍单；冰山一角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买和卖 是相当模糊的概念，也仅仅对我们大陆A股市场适应；实际“买”和“卖”代表的是方向，即做多标的和做空标的；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投资交易市场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量化基金概况</w:t>
      </w:r>
    </w:p>
    <w:p>
      <w:pPr>
        <w:numPr>
          <w:ilvl w:val="0"/>
          <w:numId w:val="4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市场分析--交易优势，T+0，开盘时卖掉，收盘时买回，ai增加交易优势；联系赌场；交易优势，阈值，达到一定程度激活；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胜率：并不是寻找一种方法 以至于百发百中；而是寻求一个相对稳定的概率，在相当长的时间里，赢面可以持续稳定超越亏损；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打开交易软件解释一下；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上证指数获取作图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#from pylab import  *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#mpl.rcParams['font.sans-serif']=['SimHei']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#mpl.rcParams['axes.unicode_minus']=False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'600000'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None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'2016-01-01'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fig=plt.figure()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ax=fig.add_subplot(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'None'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'2016-01-01'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ax.set_title(stock)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ax.set_ylabel(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读取00300近一年数据，并作折线图，标注日期；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读取000651/600519从2010年01月01日到现在的，不复权，前复权，和后复权数据，做一张图；比对同一时间601857/600519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Ktype 设置成5分钟等分钟线；读取600188数据，绘制[2018-01-09,2018-01-12]期间收盘价折线图；选择日期：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True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i[: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'2018-01-09'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'2018-01-12'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'2018-01-13'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]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else False 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dates]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000001 上证综指和平安银行都是这个代码；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Ktype 5 15 30 60四种，其它的不能设置，10分钟的可以合成；wind几乎可以给出任意任重数据；获取分钟数据的时候，时间限制不可用；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复权一般选择前复权即默认值即可，极少数情况会用到不复权或者后复权；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get_stock_basics()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df[df[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贵州茅台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].index[0]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没有市净率，市盈率，总市值的历史值，如何获取？</w:t>
      </w: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 xml:space="preserve">市盈/净率：每股股价/每股收益（每股净资产） ts.get_k_data,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get_report_data(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2014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,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3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中的esp和bvps</w:t>
      </w: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总市值：每股股价*总股本;ts.get_k_data,ts.get_stock_basics()中的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>totals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eastAsia="zh-CN"/>
        </w:rPr>
        <w:t>，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val="en-US" w:eastAsia="zh-CN"/>
        </w:rPr>
        <w:t>单位是（亿股）</w:t>
      </w:r>
    </w:p>
    <w:p>
      <w:pPr>
        <w:pStyle w:val="5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get_realtime_quotes(</w:t>
      </w:r>
      <w:r>
        <w:rPr>
          <w:b w:val="0"/>
          <w:i w:val="0"/>
          <w:caps w:val="0"/>
          <w:color w:val="4070A0"/>
          <w:spacing w:val="0"/>
          <w:sz w:val="23"/>
          <w:szCs w:val="23"/>
          <w:shd w:val="clear" w:fill="FAFAFA"/>
        </w:rPr>
        <w:t>'000581'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实时监测某个/几个指标是否到达某个值；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time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win32api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'600000'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12.71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priceCurrent=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(ts.get_realtime_quotes(stock)[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timeStr=time.strftime(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time.localtime())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priceCurrent&gt;targetPrice: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tmp=timeStr+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已大于目标点位。'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tmp=win32api.MessageBox(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,tmp,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(timeStr+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(targetPrice-priceCurrent,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priceCurrent&lt;-targetPrice: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 = timeStr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 stock 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stock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已小于目标点位。'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tmp = 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tmp,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tmp ==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        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(priceCurrent+targetPrice,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让学生自己完成：同时监测多个指标：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stock=[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'600000'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'300001'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'000002'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'000004'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'000005'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targetPrice=[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12.71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time.sleep(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priceCurrent=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map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float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,ts.get_realtime_quotes(stock)[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'price'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timeStr=time.strftime(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'%H:%M:%S'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 time.localtime())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msgRecord=[]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(stock)):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targetPrice[i]&gt;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priceCurrent[i]&gt;targetPrice[i]: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msgRecord.append(timeStr+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已大于目标点位。'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(timeStr+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(targetPrice[i]-priceCurrent[i],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priceCurrent[i]&lt;-targetPrice[i]: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msgRecord.append(timeStr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' stock '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+ stock[i] +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已小于目标点位。'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(timeStr+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stock 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+stock[i]+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 还差'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round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(targetPrice[i]+priceCurrent[i],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'个点，才能到达目标点位。'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(msgRecord):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\n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.join(msgRecord)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 = win32api.MessageBox(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tmp,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'Alert!'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continues!'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'Monitor exits!'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break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Matplotlib.finance标准格式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dates=[date2num(datetime.datetime.strptime(x,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'%Y-%m-%d'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))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 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candleData=np.column_stack([dates,prices])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ax.xaxis_date()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plt.xticks(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修改一下，自定义x轴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#dates=[date2num(datetime.datetime.strptime(x,'%Y-%m-%d')) for x in dates 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(dates))),prices])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dates=dates.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  <w:lang w:val="en-US" w:eastAsia="zh-CN"/>
        </w:rPr>
        <w:t>values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L=len(dates)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xindex=list(range(0,L,L//12))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t>ax.set_xticklabels(dates[xindex],rotation=45)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添加成交量及均线并标记点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matplotlib.pylab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date2num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'600519'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'2017-09-17'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'2017-12-11'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prices=data[[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#dates=[date2num(datetime.datetime.strptime(x,'%Y-%m-%d')) for x in dates 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candleData=np.column_stack([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(dates))),prices])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fig=plt.figure(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ax=fig.add_axes([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0.3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mpf.candlestick_ohlc(ax,candleData,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width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0.5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'r'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colordown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'g'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dates=dates.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closes=data[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highlight w:val="yellow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ma5=[];ma10=[]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,L):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ma5.append(closes[i-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:i+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].mean())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highlight w:val="yellow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i&gt;=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 xml:space="preserve">        ma10.append(closes[i-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:i+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].mean())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ax.plot(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,L),ma5)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ax.plot(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9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,L),ma10)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ax.grid()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ax1=fig.add_axes([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0.1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0.2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ax1.bar(</w:t>
      </w:r>
      <w:r>
        <w:rPr>
          <w:rFonts w:hint="eastAsia" w:ascii="宋体" w:hAnsi="宋体" w:eastAsia="宋体" w:cs="宋体"/>
          <w:color w:val="000080"/>
          <w:sz w:val="24"/>
          <w:szCs w:val="24"/>
          <w:highlight w:val="yellow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(L),data[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highlight w:val="yellow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highlight w:val="yellow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highlight w:val="yellow"/>
          <w:shd w:val="clear" w:fill="FFFFFF"/>
        </w:rPr>
        <w:t>45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ax1.grid()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highlight w:val="yellow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highlight w:val="none"/>
          <w:shd w:val="clear" w:fill="FFFFFF"/>
          <w:lang w:val="en-US" w:eastAsia="zh-CN"/>
        </w:rPr>
        <w:t>课堂练习：让学生自己写一下获取其它股票的数据，生成K线图；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作出【2018-01-11，2018-01-12】5分钟k线图和成交量Bar图；bar图上加入ma5；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量化策略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收盘卖掉，开盘买入；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考虑涨跌停；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比对矩阵运算和for循环，他们效果相当的时候，用矩阵运算；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添加条件，比如去掉涨停；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只有涨的时候才抛出；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还可以做更为细致的优化，比如测试涨跌幅区间，配合成交量等；</w:t>
      </w:r>
    </w:p>
    <w:p>
      <w:pPr>
        <w:widowControl w:val="0"/>
        <w:numPr>
          <w:ilvl w:val="2"/>
          <w:numId w:val="4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每个股票的优化参数是不一样的，跟他们的波动率相关；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T+1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matplotlib.finance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mpf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stock=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data=ts.get_k_data(stock,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ktype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autype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'qfq'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'2010-01-01'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'2018-01-01'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closes=np.array(data[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opens=np.array(data[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#diff=1-opens[2:]/closes[1:-1]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#tem=(closes[1:-1]/closes[:-2]&gt;=1.094 )|(1-closes[1:-1]/closes[:-2]&gt;=0.094)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#diff[tem]=0.0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(closes)):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1.094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]&lt;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0.094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  <w:lang w:val="en-US" w:eastAsia="zh-CN"/>
        </w:rPr>
        <w:t>#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and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]&gt;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diff.append(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-opens[i]/closes[i-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#else: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#diff.append(0.0)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(np.mean(diff))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diff=np.array(diff)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plt.figure(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ax=plt.subplot()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ax.plot(diff.cumsum(),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'Strategy'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diff1=closes[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ax.plot(diff1,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'Common'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dates=data[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].reset_index(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drop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(dates)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xindex=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,L,L//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ax.set_xticks(xindex)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ax.set_xticklabels(dates[xindex],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rotation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plt.title(stock)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plt.grid()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策略二股指期货 T+0 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将数据IFT_0推送给学生；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pandas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x=pd.read_csv(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'test.csv'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index_col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'datetime'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lows=x[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highs=x[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closes=x[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].values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Ndays=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(closes)//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Re=[]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holds=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(Ndays):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lowT=lows[i*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highT=highs[i*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closeT=closes[i*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:(i+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)*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startBar=holds//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5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upline=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max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(highT[:startBar])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downline=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min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(lowT[:startBar])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i2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(startBar,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(lowT)):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lowT[i2]&lt;downline: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-closeT[-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]/downline)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elif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highT[i2]&gt;upline: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Re.append(closeT[-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]/upline-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break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        if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i2&gt;</w:t>
      </w:r>
      <w:r>
        <w:rPr>
          <w:rFonts w:hint="eastAsia" w:ascii="宋体" w:hAnsi="宋体" w:eastAsia="宋体" w:cs="宋体"/>
          <w:color w:val="000080"/>
          <w:sz w:val="24"/>
          <w:szCs w:val="24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(lowT)-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    Re.append(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0.0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Re=np.array(Re)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plt.plot(Re.cumsum(),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'Strategy'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reRaw=closes[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47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::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]/closes[::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48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plt.plot(reRaw.cumsum(),</w:t>
      </w:r>
      <w:r>
        <w:rPr>
          <w:rFonts w:hint="eastAsia" w:ascii="宋体" w:hAnsi="宋体" w:eastAsia="宋体" w:cs="宋体"/>
          <w:color w:val="660099"/>
          <w:sz w:val="24"/>
          <w:szCs w:val="24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FFFFFF"/>
        </w:rPr>
        <w:t>'HS300'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plt.legend()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plt.show()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clear" w:pos="312"/>
        </w:tabs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没有考虑手续费，T+0现在手续费已经很高了；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hd w:val="clear" w:fill="FFFFFF"/>
        <w:tabs>
          <w:tab w:val="clear" w:pos="312"/>
        </w:tabs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这是股指期货的策略，现在使用的是沪深300指数；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 真的这么好吗？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Answer1：需要去除手续费；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这只是一个交易优势，而且要应用是有条件的，这一个手续费可以由多个交易优势分摊，或者筛选对个交易优势大的个股；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特征：5日收益，近5日波动率（求标准差），成交量变化，5日成交量方差；最高价和最低价比值；监测不同个股以及不同方法交叉验证；经典指标：KDJ，RSI，MACD，布林带等；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在T+1策略上使用Kmean方法和knn方法进行识别；基本面信息，通过tushare获取，pe,pb,市值等；自定义：比如通过复权分红波动率来评估；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使用的数据为2005年到2012年，然后预测2012年到2017年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直接使用数据，效果不好，然后使用比例；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效果并不好，我们调整一下时间2016-7年（即2009年）到2016年训练，预测2016年到现在的情况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循环递归训练，每三年数据训练接下来一年的数据；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开放式作业：考虑时间权重，考虑Re权重即改变0和1的值为具体值（扣除平均涨跌幅，参考大盘等），测试其它股票或者指数；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sklearn.neighbors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KNeighborsClassifier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pdb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Get_XY(startDate,endDate):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#获取交易数据及其收益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ReX=[];ReY=[]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(closes)-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tmp=closes[i-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ReX.append([opens[i]/tmp,closes[i]/tmp,highs[i]/tmp,lows[i]/tmp])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ReY.append(closes[i+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]/closes[i]-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X=np.array(ReX)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ReY=np.array(ReY)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tmp=closes[:-2]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openNew=opens[1:-1]/tmp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closeNew=closes[1:-1]/tmp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highNew=highs[1:-1]/tmp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lowNew=lows[1:-1]/tmp   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ReY=closes[2:]/closes[1:-1]-1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X=np.column_stack([openNew,closeNew,highNew,lowNew])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 xml:space="preserve">    return X,ReY'''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Fig(labels,labelsU,ReY):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#针对不同分类，作图显示其走势差异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Rlist=[];titles=[];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ReTem=ReY[tem]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Rlist.append(ReTem)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'SZIndex:'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+objectTrade+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'; year:'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years=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2014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X,ReY=Get_XY(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knn=KNeighborsClassifier(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n_neighbors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knn.fit(X,ReY&gt;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X,ReY=Get_XY(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(years)+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labels=knn.predict(X)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n_clusters=2, 分类并不合适；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n=3（涨，跌，震荡）,效果不错，还试了一下n=4,n=5；(当N=5的时候，出现两个小的反向，样本太少，不能作为参考)；那么按照分类，我们应该怎么做，才好；用loss肘部图来确定；当n=6的时候，有两个比较好，测试也是这两个比较好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用preprocessing.StandarScaler()处理后，分类更好，不容易纠缠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PCA编写代码，返回的值是np.array格式，然后运算的时候用np.dot或者np.mat转换；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加入PCA，0.9效果不明显，再降低一个维度到0.8的时候，输出维度降低到2维，有除去噪音的效果；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sklearn.cluster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preprocessing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sklearn.decomposition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GetXY(startDate,endDate):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global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tmp=closes[:-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openNew=opens[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closeNew=closes[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highNew=highs[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lowNew=lows[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#volNew=vols[1:-1]/vols[:-2]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ReY=closes[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X=np.column_stack([openNew,closeNew,highNew,lowNew])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Rlist=[];titles=[]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Rlist.append(ReY[tem])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plt.title(objectTrade)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'2000-01-01'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'2013-01-01'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X=(X-X.mean(axis=0))/X.std(axis=0)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scaler=preprocessing.StandardScaler()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pca=PCA(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kmean=KMeans(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n_clusters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6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kmean.fit(X)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labels=kmean.labels_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loss=[] #通过肘型图测试K值选取问题；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for i in range(2,25):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kmean=KMeans(n_clusters=i)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kmean.fit(X)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    loss.append(kmean.inertia_)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plt.plot(loss)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 plt.show()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'2013-01-01'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'2017-12-01'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labels=kmean.predict(X)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MLPnn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数据不做任何处理，无法实现分类；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查看原因，分的三类里面各自的个数，都差不多；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考虑是因为各个数据样本太过相似，区分度小，所以引入标准化处理，减去均值除以方差;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加入PCA效果通常是有的，但是因为每次MLPnn都会进行不同的初始化值，所以每次结果并不一样；造成的差异；0.9，在调整到0.85，去除噪音后效果还是不错的；</w:t>
      </w:r>
    </w:p>
    <w:p>
      <w:pPr>
        <w:widowControl w:val="0"/>
        <w:numPr>
          <w:ilvl w:val="0"/>
          <w:numId w:val="11"/>
        </w:numPr>
        <w:jc w:val="both"/>
      </w:pPr>
      <w:r>
        <w:rPr>
          <w:rFonts w:hint="eastAsia"/>
          <w:lang w:val="en-US" w:eastAsia="zh-CN"/>
        </w:rPr>
        <w:t>调整激活函数，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identity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logistic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tanh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relu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切换；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‘identity’, no-op activation, useful to implement linear bottleneck, returns f(x) = x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‘logistic’, the logistic sigmoid function, returns f(x) = 1 / (1 + exp(-x)).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‘tanh’, the hyperbolic tan function, returns f(x) = tanh(x).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</w:pP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‘relu’, the rectified linear unit function, returns f(x) = max(0, x)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调整solver：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lbfgs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sgd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adam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gd:</w:t>
      </w:r>
      <w:r>
        <w:rPr>
          <w:rFonts w:hint="default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</w:rPr>
        <w:t>Stochastic gradient descent: Use 1 example in each iteration；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Adam:T</w:t>
      </w:r>
      <w:r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his method change the learning rate to over time according to gradients before;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D1F22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1D1F22"/>
          <w:spacing w:val="0"/>
          <w:sz w:val="21"/>
          <w:szCs w:val="21"/>
          <w:shd w:val="clear" w:fill="FFFFFF"/>
          <w:lang w:val="en-US" w:eastAsia="zh-CN"/>
        </w:rPr>
        <w:t>dam 适合大样本，lbfgs适合小样本；</w:t>
      </w: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调整网络结构或者增加分类（注意每个分类，数量相当）；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tushare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numpy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np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matplotlib.pyplot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as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plt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sklearn.neural_network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MLPClassifier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preprocessing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sklearn.decomposition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objectTrade=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'000001'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GetXY(startDate,endDate):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#获取交易数据及其收益；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data=ts.get_k_data(objectTrade,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start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=startDate,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end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=endDate,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index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'close'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vols=np.array(data[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'volume'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'open'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'high'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lows=np.array(data[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'low'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tmp=closes[:-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openNew=opens[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closeNew=closes[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highNew=highs[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lowNew=lows[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]/tmp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ReY=closes[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:]/closes[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:-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X=np.column_stack([openNew,closeNew,highNew,lowNew])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def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Fig(labels,labelsU,ReY):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#对不同分类作图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Rlist=[];titles=[]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tem=labels==labelsU[i]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Rlist.append(ReY[tem])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titles.append(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'Label:'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+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str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(labelsU[i]))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plt.figure(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figsize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8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i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(titles)):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plt.plot(Rlist[i].cumsum(),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label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=titles[i])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plt.title(objectTrade)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plt.legend()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plt.grid()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plt.show()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'2000-01-01'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'2012-01-01'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scaler=preprocessing.StandardScaler()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#数据标准化，等同于Z-score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pca=PCA(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X=pca.fit_transform(X)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clf=MLPClassifier(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solver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'adam'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max_iter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2000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hidden_layer_sizes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),</w:t>
      </w:r>
      <w:r>
        <w:rPr>
          <w:rFonts w:hint="eastAsia" w:ascii="宋体" w:hAnsi="宋体" w:eastAsia="宋体" w:cs="宋体"/>
          <w:color w:val="660099"/>
          <w:sz w:val="21"/>
          <w:szCs w:val="21"/>
          <w:shd w:val="clear" w:fill="FFFFFF"/>
        </w:rPr>
        <w:t>activation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'tanh'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tmp=np.ones(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len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(ReY))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tmp[ReY&gt;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0.005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tmp[ReY&lt;-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0.005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]=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#print((tmp==0).sum())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#print((tmp==1).sum())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#print((tmp==2).sum())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kk=clf.fit(X,tmp)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labels=clf.predict(X)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labelsU=np.unique(labels)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X,ReY=GetXY(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'2012-01-01'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'2017-12-01'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X=scaler.transform(X)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X=pca.transform(X)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labels=clf.predict(X)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Fig(labels,labelsU,ReY)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543D16"/>
    <w:multiLevelType w:val="singleLevel"/>
    <w:tmpl w:val="AA543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8D452FC"/>
    <w:multiLevelType w:val="singleLevel"/>
    <w:tmpl w:val="C8D452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046669"/>
    <w:multiLevelType w:val="singleLevel"/>
    <w:tmpl w:val="DB0466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69BEED"/>
    <w:multiLevelType w:val="singleLevel"/>
    <w:tmpl w:val="3769BEE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8397691"/>
    <w:multiLevelType w:val="multilevel"/>
    <w:tmpl w:val="38397691"/>
    <w:lvl w:ilvl="0" w:tentative="0">
      <w:start w:val="0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69CD8EB"/>
    <w:multiLevelType w:val="singleLevel"/>
    <w:tmpl w:val="469CD8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8B679"/>
    <w:multiLevelType w:val="multilevel"/>
    <w:tmpl w:val="5A28B6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A4F2594"/>
    <w:multiLevelType w:val="singleLevel"/>
    <w:tmpl w:val="5A4F259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4F25EA"/>
    <w:multiLevelType w:val="singleLevel"/>
    <w:tmpl w:val="5A4F25EA"/>
    <w:lvl w:ilvl="0" w:tentative="0">
      <w:start w:val="0"/>
      <w:numFmt w:val="decimal"/>
      <w:suff w:val="space"/>
      <w:lvlText w:val="%1."/>
      <w:lvlJc w:val="left"/>
    </w:lvl>
  </w:abstractNum>
  <w:abstractNum w:abstractNumId="9">
    <w:nsid w:val="5A4F2BBC"/>
    <w:multiLevelType w:val="singleLevel"/>
    <w:tmpl w:val="5A4F2BBC"/>
    <w:lvl w:ilvl="0" w:tentative="0">
      <w:start w:val="0"/>
      <w:numFmt w:val="decimal"/>
      <w:suff w:val="space"/>
      <w:lvlText w:val="%1."/>
      <w:lvlJc w:val="left"/>
    </w:lvl>
  </w:abstractNum>
  <w:abstractNum w:abstractNumId="10">
    <w:nsid w:val="5A4F3DCE"/>
    <w:multiLevelType w:val="multilevel"/>
    <w:tmpl w:val="5A4F3D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195"/>
    <w:rsid w:val="004D3DC3"/>
    <w:rsid w:val="008E5261"/>
    <w:rsid w:val="00FB3971"/>
    <w:rsid w:val="017B0F19"/>
    <w:rsid w:val="0234421A"/>
    <w:rsid w:val="02485360"/>
    <w:rsid w:val="06205553"/>
    <w:rsid w:val="06C616EE"/>
    <w:rsid w:val="06D47136"/>
    <w:rsid w:val="072E28DE"/>
    <w:rsid w:val="077B17AB"/>
    <w:rsid w:val="08C8085D"/>
    <w:rsid w:val="09042895"/>
    <w:rsid w:val="090C485F"/>
    <w:rsid w:val="091B1257"/>
    <w:rsid w:val="0A06453D"/>
    <w:rsid w:val="0A7D7DD7"/>
    <w:rsid w:val="0AC01EA1"/>
    <w:rsid w:val="0B521C01"/>
    <w:rsid w:val="0B9375AE"/>
    <w:rsid w:val="0BD04F78"/>
    <w:rsid w:val="0EEA2999"/>
    <w:rsid w:val="102857F6"/>
    <w:rsid w:val="112F715A"/>
    <w:rsid w:val="11444E81"/>
    <w:rsid w:val="128629A1"/>
    <w:rsid w:val="15951307"/>
    <w:rsid w:val="161807B0"/>
    <w:rsid w:val="177256DC"/>
    <w:rsid w:val="18F37406"/>
    <w:rsid w:val="19121E3D"/>
    <w:rsid w:val="19B5178D"/>
    <w:rsid w:val="1A714E7A"/>
    <w:rsid w:val="1AE21253"/>
    <w:rsid w:val="1B385844"/>
    <w:rsid w:val="1C9E1832"/>
    <w:rsid w:val="1D9E0732"/>
    <w:rsid w:val="1DAE349A"/>
    <w:rsid w:val="20033DAF"/>
    <w:rsid w:val="22EE3AF0"/>
    <w:rsid w:val="23A23E96"/>
    <w:rsid w:val="2402479C"/>
    <w:rsid w:val="26B6459A"/>
    <w:rsid w:val="2CA83CBE"/>
    <w:rsid w:val="2D5868DC"/>
    <w:rsid w:val="2D731B62"/>
    <w:rsid w:val="2E3B74F9"/>
    <w:rsid w:val="2FB861B7"/>
    <w:rsid w:val="2FEC5F58"/>
    <w:rsid w:val="30A021B4"/>
    <w:rsid w:val="30E55F17"/>
    <w:rsid w:val="33DB4FA3"/>
    <w:rsid w:val="35333EA6"/>
    <w:rsid w:val="374C069F"/>
    <w:rsid w:val="375A206F"/>
    <w:rsid w:val="381231EB"/>
    <w:rsid w:val="38FA1008"/>
    <w:rsid w:val="390F6416"/>
    <w:rsid w:val="393C0FB6"/>
    <w:rsid w:val="396B7A58"/>
    <w:rsid w:val="397800DF"/>
    <w:rsid w:val="398F2CFA"/>
    <w:rsid w:val="39B370E4"/>
    <w:rsid w:val="3DF45582"/>
    <w:rsid w:val="3F897062"/>
    <w:rsid w:val="40315289"/>
    <w:rsid w:val="406C1B9F"/>
    <w:rsid w:val="40C57762"/>
    <w:rsid w:val="44FC1EB6"/>
    <w:rsid w:val="45E42261"/>
    <w:rsid w:val="463A76E6"/>
    <w:rsid w:val="4681765F"/>
    <w:rsid w:val="472920E8"/>
    <w:rsid w:val="4B655155"/>
    <w:rsid w:val="4B7807A2"/>
    <w:rsid w:val="4C0A7197"/>
    <w:rsid w:val="4C6A71F1"/>
    <w:rsid w:val="4CB71026"/>
    <w:rsid w:val="4D3A5A09"/>
    <w:rsid w:val="4D9F04CC"/>
    <w:rsid w:val="4DA518C2"/>
    <w:rsid w:val="4E3C13E3"/>
    <w:rsid w:val="4ECE4B8C"/>
    <w:rsid w:val="4EEB10FF"/>
    <w:rsid w:val="4EEF2216"/>
    <w:rsid w:val="4EF175BC"/>
    <w:rsid w:val="5035314B"/>
    <w:rsid w:val="524A1786"/>
    <w:rsid w:val="52D262E9"/>
    <w:rsid w:val="54703B7F"/>
    <w:rsid w:val="54953057"/>
    <w:rsid w:val="564A44F8"/>
    <w:rsid w:val="569449A8"/>
    <w:rsid w:val="56C17136"/>
    <w:rsid w:val="579A7ADB"/>
    <w:rsid w:val="5A17335F"/>
    <w:rsid w:val="5A8E0814"/>
    <w:rsid w:val="5C756D08"/>
    <w:rsid w:val="5CF248E4"/>
    <w:rsid w:val="5E18118D"/>
    <w:rsid w:val="5EE41B17"/>
    <w:rsid w:val="60D34EF7"/>
    <w:rsid w:val="60F31DE4"/>
    <w:rsid w:val="614855D9"/>
    <w:rsid w:val="62882D5E"/>
    <w:rsid w:val="63824D33"/>
    <w:rsid w:val="655D5FD9"/>
    <w:rsid w:val="6569215E"/>
    <w:rsid w:val="67EF7299"/>
    <w:rsid w:val="68112996"/>
    <w:rsid w:val="69591C93"/>
    <w:rsid w:val="697E2727"/>
    <w:rsid w:val="69BA0078"/>
    <w:rsid w:val="6B0E4CC2"/>
    <w:rsid w:val="70E75C10"/>
    <w:rsid w:val="76661B7D"/>
    <w:rsid w:val="77623BBE"/>
    <w:rsid w:val="78D44979"/>
    <w:rsid w:val="7908210B"/>
    <w:rsid w:val="7A511793"/>
    <w:rsid w:val="7CAA3B39"/>
    <w:rsid w:val="7D635364"/>
    <w:rsid w:val="7EA6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cp:lastPrinted>2018-01-12T06:33:00Z</cp:lastPrinted>
  <dcterms:modified xsi:type="dcterms:W3CDTF">2018-01-14T03:42:48Z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