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A05D01" w:rsidRDefault="00A05D01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</w:t>
      </w:r>
    </w:p>
    <w:p w:rsidR="003B5EEA" w:rsidRDefault="000E6E8E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债券策略学习研究</w:t>
      </w:r>
    </w:p>
    <w:p w:rsidR="0068191B" w:rsidRDefault="0068191B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国债期货主力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-10</w:t>
      </w:r>
      <w:r>
        <w:rPr>
          <w:rFonts w:hint="eastAsia"/>
        </w:rPr>
        <w:t>年对冲走势图：</w:t>
      </w:r>
    </w:p>
    <w:p w:rsidR="00026760" w:rsidRDefault="00026760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主力从</w:t>
      </w:r>
      <w:r>
        <w:rPr>
          <w:rFonts w:hint="eastAsia"/>
        </w:rPr>
        <w:t>15</w:t>
      </w:r>
      <w:r>
        <w:rPr>
          <w:rFonts w:hint="eastAsia"/>
        </w:rPr>
        <w:t>年开始至今对冲走势图如下：</w:t>
      </w:r>
    </w:p>
    <w:p w:rsidR="00026760" w:rsidRDefault="00026760" w:rsidP="00026760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689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0" w:rsidRDefault="00026760" w:rsidP="00026760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时间在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-16</w:t>
      </w:r>
      <w:r>
        <w:rPr>
          <w:rFonts w:hint="eastAsia"/>
        </w:rPr>
        <w:t>年底，两者差值在</w:t>
      </w:r>
      <w:r>
        <w:rPr>
          <w:rFonts w:hint="eastAsia"/>
        </w:rPr>
        <w:t>1.0</w:t>
      </w:r>
      <w:r>
        <w:rPr>
          <w:rFonts w:hint="eastAsia"/>
        </w:rPr>
        <w:t>的区间有平衡状态；</w:t>
      </w:r>
    </w:p>
    <w:p w:rsidR="00026760" w:rsidRDefault="00026760" w:rsidP="00026760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年已经明显偏离该平衡点，在</w:t>
      </w:r>
      <w:r>
        <w:rPr>
          <w:rFonts w:hint="eastAsia"/>
        </w:rPr>
        <w:t>2.5</w:t>
      </w:r>
      <w:r>
        <w:rPr>
          <w:rFonts w:hint="eastAsia"/>
        </w:rPr>
        <w:t>位置平衡震荡；</w:t>
      </w:r>
    </w:p>
    <w:p w:rsidR="00026760" w:rsidRDefault="00026760" w:rsidP="00026760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平衡位置可能和经济状态相关性较大，主要体现在利率涨跌上；</w:t>
      </w:r>
    </w:p>
    <w:p w:rsidR="00026760" w:rsidRDefault="00026760" w:rsidP="00026760">
      <w:pPr>
        <w:pStyle w:val="1"/>
        <w:spacing w:line="220" w:lineRule="atLeast"/>
        <w:ind w:left="840" w:firstLineChars="0" w:firstLine="0"/>
      </w:pPr>
    </w:p>
    <w:p w:rsidR="0068191B" w:rsidRDefault="0068191B" w:rsidP="0068191B">
      <w:pPr>
        <w:pStyle w:val="1"/>
        <w:spacing w:line="220" w:lineRule="atLeast"/>
        <w:ind w:left="840" w:firstLineChars="0" w:firstLine="0"/>
      </w:pPr>
    </w:p>
    <w:p w:rsidR="0068191B" w:rsidRDefault="0068191B" w:rsidP="0068191B">
      <w:pPr>
        <w:pStyle w:val="1"/>
        <w:spacing w:line="220" w:lineRule="atLeast"/>
        <w:ind w:firstLineChars="0"/>
      </w:pPr>
    </w:p>
    <w:p w:rsidR="00492573" w:rsidRDefault="00492573" w:rsidP="0068191B">
      <w:pPr>
        <w:pStyle w:val="1"/>
        <w:spacing w:line="220" w:lineRule="atLeast"/>
        <w:ind w:left="840" w:firstLineChars="0" w:firstLine="0"/>
      </w:pPr>
    </w:p>
    <w:p w:rsidR="00016F8F" w:rsidRDefault="00016F8F" w:rsidP="000E6E8E">
      <w:pPr>
        <w:pStyle w:val="1"/>
        <w:spacing w:line="220" w:lineRule="atLeast"/>
        <w:ind w:firstLineChars="190" w:firstLine="418"/>
      </w:pPr>
    </w:p>
    <w:p w:rsidR="00A05D01" w:rsidRDefault="00A05D01">
      <w:pPr>
        <w:adjustRightInd/>
        <w:snapToGrid/>
        <w:spacing w:after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C410A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套利组合交易</w:t>
      </w:r>
      <w:r w:rsidR="00A05D01">
        <w:rPr>
          <w:rFonts w:hint="eastAsia"/>
        </w:rPr>
        <w:t>；</w:t>
      </w:r>
    </w:p>
    <w:p w:rsidR="00CC410A" w:rsidRDefault="0002676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债券研究学习；寻找债券相关性高的品种，尝试建立对冲或者套利</w:t>
      </w: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D6D46"/>
    <w:rsid w:val="008F35B7"/>
    <w:rsid w:val="009648C0"/>
    <w:rsid w:val="00980733"/>
    <w:rsid w:val="009A3FDE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524B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88</cp:revision>
  <dcterms:created xsi:type="dcterms:W3CDTF">2008-09-11T17:20:00Z</dcterms:created>
  <dcterms:modified xsi:type="dcterms:W3CDTF">2017-09-01T08:40:00Z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