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360" w:lineRule="auto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Quantitative Risk Assessment</w:t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Single loss expectancy (SLE): Total loss expected from a single incident</w:t>
      </w:r>
    </w:p>
    <w:p w:rsidR="00000000" w:rsidDel="00000000" w:rsidP="00000000" w:rsidRDefault="00000000" w:rsidRPr="00000000" w14:paraId="00000003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Annual rate of occurrence (ARO): Number of times an incident is expected to occur in a year</w:t>
      </w:r>
    </w:p>
    <w:p w:rsidR="00000000" w:rsidDel="00000000" w:rsidP="00000000" w:rsidRDefault="00000000" w:rsidRPr="00000000" w14:paraId="00000004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Annual loss expectancy (ALE): Expected loss for a year</w:t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ALE = SLE X ARO</w:t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Safeguard value: Cost of a safeguard or control</w:t>
      </w:r>
    </w:p>
    <w:p w:rsidR="00000000" w:rsidDel="00000000" w:rsidP="00000000" w:rsidRDefault="00000000" w:rsidRPr="00000000" w14:paraId="00000009">
      <w:pPr>
        <w:shd w:fill="dbeef3" w:val="clear"/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Scenario 1: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Richman Investments provides high-end smartphones to several employees. The value of each smartphone is $500, and approximately 1,000 employees have these company-owned devices. In the past year, employees have lost or damaged 75 smartphones.</w:t>
      </w:r>
    </w:p>
    <w:p w:rsidR="00000000" w:rsidDel="00000000" w:rsidP="00000000" w:rsidRDefault="00000000" w:rsidRPr="00000000" w14:paraId="0000000A">
      <w:pPr>
        <w:spacing w:after="0" w:line="36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With this information, calculate the following:</w:t>
      </w:r>
    </w:p>
    <w:tbl>
      <w:tblPr>
        <w:tblStyle w:val="Table1"/>
        <w:tblW w:w="206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5"/>
        <w:gridCol w:w="1170"/>
        <w:tblGridChange w:id="0">
          <w:tblGrid>
            <w:gridCol w:w="895"/>
            <w:gridCol w:w="1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SLE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ARO 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ALE 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$37,500</w:t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Richman is considering buying insurance for each smartphone. Use the ALE to determine the usefulness of this safeguard. For example, Richman could purchase insurance for each device for $25 per year. The safeguard value is $25 X 1,000 devices, or $25,000. It is estimated that if the insurance is purchased, the ARO will decrease to 5. Should the company purchase the insurance?</w:t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Determine the effectiveness of the safeguard (fill in blank boxes):</w:t>
      </w:r>
    </w:p>
    <w:tbl>
      <w:tblPr>
        <w:tblStyle w:val="Table2"/>
        <w:tblW w:w="773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05"/>
        <w:gridCol w:w="2430"/>
        <w:tblGridChange w:id="0">
          <w:tblGrid>
            <w:gridCol w:w="5305"/>
            <w:gridCol w:w="24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Current ALE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$37,500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ARO with control 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ALE with control 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$2,500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Savings with control (current ALE - ALE with control)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$35,000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Safeguard value (cost of control)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$25,000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Realized savings (savings with control - safeguard value)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$10,000</w:t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spacing w:after="0" w:line="36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Should Richman buy the insurance? Explain your answer.</w:t>
      </w:r>
    </w:p>
    <w:tbl>
      <w:tblPr>
        <w:tblStyle w:val="Table3"/>
        <w:tblW w:w="935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0"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Yes the company should buy the insurance, as the company can save $10,000 every year, as it seems employees mishandle their devices due to their ARO being 75. As well as without insurance, they would be spending possibly around $37,500 every year, when they could be spending only $27,500 every year, which would be severely lower and the savings could go into funding more worthy projects than company mishandling.</w:t>
            </w:r>
          </w:p>
          <w:p w:rsidR="00000000" w:rsidDel="00000000" w:rsidP="00000000" w:rsidRDefault="00000000" w:rsidRPr="00000000" w14:paraId="00000025">
            <w:pPr>
              <w:spacing w:after="0"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1"/>
        <w:spacing w:after="0" w:line="36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Qualitative Risk Assessment</w:t>
      </w:r>
    </w:p>
    <w:p w:rsidR="00000000" w:rsidDel="00000000" w:rsidP="00000000" w:rsidRDefault="00000000" w:rsidRPr="00000000" w14:paraId="0000002A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Probability: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The likelihood that a threat will exploit a vulnerability. Probability can use a scale of low, medium, and high, assigning percentage values to each.</w:t>
      </w:r>
    </w:p>
    <w:p w:rsidR="00000000" w:rsidDel="00000000" w:rsidP="00000000" w:rsidRDefault="00000000" w:rsidRPr="00000000" w14:paraId="0000002B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Impact: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The negative result if a risk occurs. You can use low, medium, or high to describe the impact. </w:t>
      </w:r>
    </w:p>
    <w:p w:rsidR="00000000" w:rsidDel="00000000" w:rsidP="00000000" w:rsidRDefault="00000000" w:rsidRPr="00000000" w14:paraId="0000002C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You can calculate the risk level using the following formula:</w:t>
      </w:r>
    </w:p>
    <w:p w:rsidR="00000000" w:rsidDel="00000000" w:rsidP="00000000" w:rsidRDefault="00000000" w:rsidRPr="00000000" w14:paraId="0000002D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Risk Level = Probability X Impact</w:t>
      </w:r>
    </w:p>
    <w:p w:rsidR="00000000" w:rsidDel="00000000" w:rsidP="00000000" w:rsidRDefault="00000000" w:rsidRPr="00000000" w14:paraId="0000002F">
      <w:pPr>
        <w:spacing w:after="0" w:line="36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dbeef3" w:val="clear"/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Scenario 2: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Richman Investments is concerned about the security of its customer data. Management has determined that the three primary risks the company faces in protecting the data are as follows: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dbeef3" w:val="clear"/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Unauthorized access by an external party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dbeef3" w:val="clear"/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Sabotage by an internal employee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dbeef3" w:val="clear"/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Hardware failures</w:t>
      </w:r>
    </w:p>
    <w:p w:rsidR="00000000" w:rsidDel="00000000" w:rsidP="00000000" w:rsidRDefault="00000000" w:rsidRPr="00000000" w14:paraId="00000034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Richman has created scales for the probability and impact of risks as follows: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Probability: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Low = 10%, Medium = 50%, and High = 100%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Impact: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Low = 10, Medium = 50, and High = 100</w:t>
      </w:r>
    </w:p>
    <w:p w:rsidR="00000000" w:rsidDel="00000000" w:rsidP="00000000" w:rsidRDefault="00000000" w:rsidRPr="00000000" w14:paraId="00000038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After surveying key individuals in the company, Richman calculated the probability and impact of each risk, as shown in the table below.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Based on the information given above, calculate the risk level for each risk:</w:t>
      </w:r>
    </w:p>
    <w:p w:rsidR="00000000" w:rsidDel="00000000" w:rsidP="00000000" w:rsidRDefault="00000000" w:rsidRPr="00000000" w14:paraId="0000003A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2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36"/>
        <w:gridCol w:w="1701"/>
        <w:gridCol w:w="1842"/>
        <w:gridCol w:w="1843"/>
        <w:tblGridChange w:id="0">
          <w:tblGrid>
            <w:gridCol w:w="3936"/>
            <w:gridCol w:w="1701"/>
            <w:gridCol w:w="1842"/>
            <w:gridCol w:w="1843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Risk Level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Unauthorized access by an external party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12.5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Sabotage by an internal employee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Hardware failures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7.5</w:t>
            </w:r>
          </w:p>
        </w:tc>
      </w:tr>
    </w:tbl>
    <w:p w:rsidR="00000000" w:rsidDel="00000000" w:rsidP="00000000" w:rsidRDefault="00000000" w:rsidRPr="00000000" w14:paraId="0000004B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Which risk has the highest risk level?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tbl>
      <w:tblPr>
        <w:tblStyle w:val="Table5"/>
        <w:tblW w:w="935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Sabotage by an internal employee</w:t>
            </w:r>
          </w:p>
        </w:tc>
      </w:tr>
    </w:tbl>
    <w:p w:rsidR="00000000" w:rsidDel="00000000" w:rsidP="00000000" w:rsidRDefault="00000000" w:rsidRPr="00000000" w14:paraId="0000004E">
      <w:pPr>
        <w:spacing w:after="0" w:line="36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Prioritize the risks from high to low:</w:t>
      </w:r>
    </w:p>
    <w:tbl>
      <w:tblPr>
        <w:tblStyle w:val="Table6"/>
        <w:tblW w:w="935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5"/>
        <w:gridCol w:w="8100"/>
        <w:tblGridChange w:id="0">
          <w:tblGrid>
            <w:gridCol w:w="1255"/>
            <w:gridCol w:w="8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Priority 1 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Sabotage by an internal employee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Priority 2 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Unauthorized access by an internal party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Priority 3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Hardware failures</w:t>
            </w:r>
          </w:p>
        </w:tc>
      </w:tr>
    </w:tbl>
    <w:p w:rsidR="00000000" w:rsidDel="00000000" w:rsidP="00000000" w:rsidRDefault="00000000" w:rsidRPr="00000000" w14:paraId="00000056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9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Georgia"/>
  <w:font w:name="Cambria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B">
    <w:pPr>
      <w:pBdr>
        <w:top w:color="ffc000" w:space="1" w:sz="18" w:val="single"/>
      </w:pBdr>
      <w:spacing w:after="0" w:line="240" w:lineRule="auto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© 2018 by Jones &amp; Bartlett Learning, LLC, an Ascend Learning Company. All rights reserved.</w:t>
    </w:r>
  </w:p>
  <w:p w:rsidR="00000000" w:rsidDel="00000000" w:rsidP="00000000" w:rsidRDefault="00000000" w:rsidRPr="00000000" w14:paraId="0000005C">
    <w:pPr>
      <w:pBdr>
        <w:top w:color="ffc000" w:space="1" w:sz="18" w:val="single"/>
      </w:pBdr>
      <w:tabs>
        <w:tab w:val="right" w:pos="9360"/>
      </w:tabs>
      <w:spacing w:after="0" w:line="240" w:lineRule="auto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i w:val="1"/>
        <w:color w:val="004b91"/>
        <w:sz w:val="18"/>
        <w:szCs w:val="18"/>
        <w:rtl w:val="0"/>
      </w:rPr>
      <w:t xml:space="preserve">www.jblearning.com  </w:t>
    </w:r>
    <w:r w:rsidDel="00000000" w:rsidR="00000000" w:rsidRPr="00000000">
      <w:rPr>
        <w:rFonts w:ascii="Arial" w:cs="Arial" w:eastAsia="Arial" w:hAnsi="Arial"/>
        <w:i w:val="1"/>
        <w:sz w:val="18"/>
        <w:szCs w:val="18"/>
        <w:rtl w:val="0"/>
      </w:rPr>
      <w:tab/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7"/>
      <w:tblW w:w="9360.0" w:type="dxa"/>
      <w:jc w:val="left"/>
      <w:tblInd w:w="0.0" w:type="dxa"/>
      <w:tblBorders>
        <w:top w:color="000000" w:space="0" w:sz="0" w:val="nil"/>
        <w:left w:color="000000" w:space="0" w:sz="0" w:val="nil"/>
        <w:bottom w:color="ffc000" w:space="0" w:sz="18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354"/>
      <w:gridCol w:w="7006"/>
      <w:tblGridChange w:id="0">
        <w:tblGrid>
          <w:gridCol w:w="2354"/>
          <w:gridCol w:w="7006"/>
        </w:tblGrid>
      </w:tblGridChange>
    </w:tblGrid>
    <w:tr>
      <w:trPr>
        <w:cantSplit w:val="0"/>
        <w:trHeight w:val="1080" w:hRule="atLeast"/>
        <w:tblHeader w:val="0"/>
      </w:trPr>
      <w:tc>
        <w:tcPr/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2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274320" hidden="0" layoutInCell="1" locked="0" relativeHeight="0" simplePos="0">
                <wp:simplePos x="0" y="0"/>
                <wp:positionH relativeFrom="column">
                  <wp:posOffset>5080</wp:posOffset>
                </wp:positionH>
                <wp:positionV relativeFrom="paragraph">
                  <wp:posOffset>-115569</wp:posOffset>
                </wp:positionV>
                <wp:extent cx="1362075" cy="621665"/>
                <wp:effectExtent b="0" l="0" r="0" t="0"/>
                <wp:wrapSquare wrapText="right" distB="0" distT="0" distL="0" distR="274320"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2075" cy="621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bottom"/>
        </w:tcPr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4b91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4b91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Quantitative and Qualitative Risk Assessment Analysis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200" w:before="0" w:line="276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C4320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semiHidden w:val="1"/>
    <w:unhideWhenUsed w:val="1"/>
    <w:qFormat w:val="1"/>
    <w:rsid w:val="00FB5BE5"/>
    <w:pPr>
      <w:keepNext w:val="1"/>
      <w:spacing w:after="60" w:before="240" w:line="240" w:lineRule="atLeast"/>
      <w:outlineLvl w:val="1"/>
    </w:pPr>
    <w:rPr>
      <w:rFonts w:ascii="Arial" w:eastAsia="Batang" w:hAnsi="Arial"/>
      <w:b w:val="1"/>
      <w:bCs w:val="1"/>
      <w:i w:val="1"/>
      <w:iCs w:val="1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CommentReference">
    <w:name w:val="annotation reference"/>
    <w:uiPriority w:val="99"/>
    <w:semiHidden w:val="1"/>
    <w:unhideWhenUsed w:val="1"/>
    <w:rsid w:val="002C4320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2C4320"/>
    <w:pPr>
      <w:tabs>
        <w:tab w:val="center" w:pos="4680"/>
        <w:tab w:val="right" w:pos="9360"/>
      </w:tabs>
    </w:pPr>
    <w:rPr>
      <w:sz w:val="20"/>
      <w:szCs w:val="20"/>
    </w:rPr>
  </w:style>
  <w:style w:type="character" w:styleId="HeaderChar" w:customStyle="1">
    <w:name w:val="Header Char"/>
    <w:link w:val="Header"/>
    <w:uiPriority w:val="99"/>
    <w:rsid w:val="002C4320"/>
    <w:rPr>
      <w:rFonts w:ascii="Calibri" w:cs="Times New Roman" w:eastAsia="Calibri" w:hAnsi="Calibri"/>
    </w:rPr>
  </w:style>
  <w:style w:type="paragraph" w:styleId="Footer">
    <w:name w:val="footer"/>
    <w:basedOn w:val="Normal"/>
    <w:link w:val="FooterChar"/>
    <w:uiPriority w:val="99"/>
    <w:unhideWhenUsed w:val="1"/>
    <w:rsid w:val="002C4320"/>
    <w:pPr>
      <w:tabs>
        <w:tab w:val="center" w:pos="4680"/>
        <w:tab w:val="right" w:pos="9360"/>
      </w:tabs>
    </w:pPr>
    <w:rPr>
      <w:sz w:val="20"/>
      <w:szCs w:val="20"/>
    </w:rPr>
  </w:style>
  <w:style w:type="character" w:styleId="FooterChar" w:customStyle="1">
    <w:name w:val="Footer Char"/>
    <w:link w:val="Footer"/>
    <w:uiPriority w:val="99"/>
    <w:rsid w:val="002C4320"/>
    <w:rPr>
      <w:rFonts w:ascii="Calibri" w:cs="Times New Roman" w:eastAsia="Calibri" w:hAnsi="Calibri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C4320"/>
    <w:pPr>
      <w:spacing w:after="0" w:line="240" w:lineRule="auto"/>
    </w:pPr>
    <w:rPr>
      <w:rFonts w:ascii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2C4320"/>
    <w:rPr>
      <w:rFonts w:ascii="Tahoma" w:cs="Tahoma" w:eastAsia="Calibri" w:hAnsi="Tahoma"/>
      <w:sz w:val="16"/>
      <w:szCs w:val="16"/>
    </w:rPr>
  </w:style>
  <w:style w:type="paragraph" w:styleId="ListParagraph">
    <w:name w:val="List Paragraph"/>
    <w:basedOn w:val="Normal"/>
    <w:qFormat w:val="1"/>
    <w:rsid w:val="002C4320"/>
    <w:pPr>
      <w:ind w:left="720"/>
      <w:contextualSpacing w:val="1"/>
    </w:p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2C4320"/>
    <w:rPr>
      <w:sz w:val="20"/>
      <w:szCs w:val="20"/>
    </w:rPr>
  </w:style>
  <w:style w:type="character" w:styleId="CommentTextChar" w:customStyle="1">
    <w:name w:val="Comment Text Char"/>
    <w:link w:val="CommentText"/>
    <w:uiPriority w:val="99"/>
    <w:semiHidden w:val="1"/>
    <w:rsid w:val="002C4320"/>
    <w:rPr>
      <w:rFonts w:ascii="Calibri" w:cs="Times New Roman" w:eastAsia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2A243A"/>
    <w:pPr>
      <w:spacing w:line="240" w:lineRule="auto"/>
    </w:pPr>
    <w:rPr>
      <w:b w:val="1"/>
      <w:bCs w:val="1"/>
    </w:rPr>
  </w:style>
  <w:style w:type="character" w:styleId="CommentSubjectChar" w:customStyle="1">
    <w:name w:val="Comment Subject Char"/>
    <w:link w:val="CommentSubject"/>
    <w:uiPriority w:val="99"/>
    <w:semiHidden w:val="1"/>
    <w:rsid w:val="002A243A"/>
    <w:rPr>
      <w:rFonts w:ascii="Calibri" w:cs="Times New Roman" w:eastAsia="Calibri" w:hAnsi="Calibri"/>
      <w:b w:val="1"/>
      <w:bCs w:val="1"/>
      <w:sz w:val="20"/>
      <w:szCs w:val="20"/>
    </w:rPr>
  </w:style>
  <w:style w:type="paragraph" w:styleId="NoSpacing">
    <w:name w:val="No Spacing"/>
    <w:uiPriority w:val="1"/>
    <w:qFormat w:val="1"/>
    <w:rsid w:val="003E3116"/>
    <w:rPr>
      <w:sz w:val="22"/>
      <w:szCs w:val="22"/>
    </w:rPr>
  </w:style>
  <w:style w:type="table" w:styleId="TableGrid">
    <w:name w:val="Table Grid"/>
    <w:basedOn w:val="TableNormal"/>
    <w:uiPriority w:val="59"/>
    <w:rsid w:val="0099329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162288"/>
    <w:rPr>
      <w:color w:val="0000ff" w:themeColor="hyperlink"/>
      <w:u w:val="single"/>
    </w:rPr>
  </w:style>
  <w:style w:type="character" w:styleId="Heading2Char" w:customStyle="1">
    <w:name w:val="Heading 2 Char"/>
    <w:basedOn w:val="DefaultParagraphFont"/>
    <w:link w:val="Heading2"/>
    <w:semiHidden w:val="1"/>
    <w:rsid w:val="00FB5BE5"/>
    <w:rPr>
      <w:rFonts w:ascii="Arial" w:eastAsia="Batang" w:hAnsi="Arial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4.0" w:type="dxa"/>
        <w:bottom w:w="0.0" w:type="dxa"/>
        <w:right w:w="1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bnZXJl7eQExN3qTooDPb/N8qOw==">AMUW2mVT/vv2kqfuQjJWk8q/60Ume/2ax7F0QbLH+R9hXYMdBCVi/JB5itvGNqKFtR2P8T5AJcuqlfLwRljjPwLQ3Wewd+Oj7AKj9VZxGS7hDJmV0pd6448=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2016-07-27T15:38:00Z</dcterms:created>
  <dc:creator>jkorelc</dc:creator>
</cp:coreProperties>
</file>