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32DD3" w14:textId="77777777" w:rsidR="009F26E0" w:rsidRPr="008E3C76" w:rsidRDefault="009F26E0" w:rsidP="003C098F">
      <w:pPr>
        <w:spacing w:line="240" w:lineRule="auto"/>
        <w:rPr>
          <w:rFonts w:ascii="Arial" w:hAnsi="Arial" w:cs="Arial"/>
          <w:b/>
          <w:bCs/>
          <w:sz w:val="20"/>
          <w:szCs w:val="20"/>
        </w:rPr>
      </w:pPr>
      <w:r w:rsidRPr="008E3C76">
        <w:rPr>
          <w:rFonts w:ascii="Arial" w:hAnsi="Arial" w:cs="Arial"/>
          <w:b/>
          <w:bCs/>
          <w:sz w:val="20"/>
          <w:szCs w:val="20"/>
        </w:rPr>
        <w:t xml:space="preserve">Hacking or malware (HACK) cases: </w:t>
      </w:r>
    </w:p>
    <w:p w14:paraId="68E1CFEA" w14:textId="77777777" w:rsidR="009F26E0" w:rsidRPr="008E3C76" w:rsidRDefault="009F26E0" w:rsidP="009F26E0">
      <w:pPr>
        <w:pStyle w:val="ListParagraph"/>
        <w:numPr>
          <w:ilvl w:val="0"/>
          <w:numId w:val="1"/>
        </w:numPr>
        <w:rPr>
          <w:rFonts w:ascii="Arial" w:hAnsi="Arial" w:cs="Arial"/>
          <w:b/>
          <w:bCs/>
          <w:sz w:val="20"/>
          <w:szCs w:val="20"/>
        </w:rPr>
      </w:pPr>
      <w:r w:rsidRPr="008E3C76">
        <w:rPr>
          <w:rFonts w:ascii="Arial" w:hAnsi="Arial" w:cs="Arial"/>
          <w:b/>
          <w:bCs/>
          <w:sz w:val="20"/>
          <w:szCs w:val="20"/>
        </w:rPr>
        <w:t xml:space="preserve">Colonial Pipeline Ransomware Attack </w:t>
      </w:r>
    </w:p>
    <w:p w14:paraId="39F24329" w14:textId="77777777" w:rsidR="009F26E0" w:rsidRPr="008E3C76" w:rsidRDefault="009F26E0" w:rsidP="009F26E0">
      <w:pPr>
        <w:pStyle w:val="ListParagraph"/>
        <w:numPr>
          <w:ilvl w:val="0"/>
          <w:numId w:val="1"/>
        </w:numPr>
        <w:rPr>
          <w:rFonts w:ascii="Arial" w:hAnsi="Arial" w:cs="Arial"/>
          <w:b/>
          <w:bCs/>
          <w:sz w:val="20"/>
          <w:szCs w:val="20"/>
        </w:rPr>
      </w:pPr>
      <w:r w:rsidRPr="008E3C76">
        <w:rPr>
          <w:rFonts w:ascii="Arial" w:hAnsi="Arial" w:cs="Arial"/>
          <w:b/>
          <w:bCs/>
          <w:sz w:val="20"/>
          <w:szCs w:val="20"/>
        </w:rPr>
        <w:t xml:space="preserve">Okta Data Breach by Lapsus$ Group </w:t>
      </w:r>
    </w:p>
    <w:p w14:paraId="1E075F1A" w14:textId="77777777" w:rsidR="009F26E0" w:rsidRPr="008E3C76" w:rsidRDefault="009F26E0" w:rsidP="009F26E0">
      <w:pPr>
        <w:pStyle w:val="ListParagraph"/>
        <w:rPr>
          <w:rFonts w:ascii="Arial" w:hAnsi="Arial" w:cs="Arial"/>
          <w:b/>
          <w:bCs/>
          <w:sz w:val="20"/>
          <w:szCs w:val="20"/>
        </w:rPr>
      </w:pPr>
    </w:p>
    <w:p w14:paraId="1BD82ECE" w14:textId="2444D27A" w:rsidR="009F26E0" w:rsidRPr="008E3C76" w:rsidRDefault="009F26E0" w:rsidP="009F26E0">
      <w:pPr>
        <w:jc w:val="center"/>
        <w:rPr>
          <w:rFonts w:ascii="Arial" w:hAnsi="Arial" w:cs="Arial"/>
          <w:b/>
          <w:bCs/>
          <w:sz w:val="20"/>
          <w:szCs w:val="20"/>
        </w:rPr>
      </w:pPr>
      <w:r w:rsidRPr="008E3C76">
        <w:rPr>
          <w:rFonts w:ascii="Arial" w:hAnsi="Arial" w:cs="Arial"/>
          <w:b/>
          <w:bCs/>
          <w:sz w:val="20"/>
          <w:szCs w:val="20"/>
        </w:rPr>
        <w:t>The Colonial Pipeline Ransomware Attack</w:t>
      </w:r>
    </w:p>
    <w:p w14:paraId="4F885DD1" w14:textId="77777777" w:rsidR="009F26E0"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In the morning hours of May 7, 2020, an employee of the Colonial Pipeline company noticed a ransom note on one of the company's computers. The message on the screen indicated that the company's servers were now encrypted, and to decrypt them, they would need to follow a set of instructions. The instructions provided access to some of the encrypted information and a threat to publish the encrypted data if the company did not pay a ransom. </w:t>
      </w:r>
    </w:p>
    <w:p w14:paraId="3D83F19E" w14:textId="77777777" w:rsidR="009F26E0" w:rsidRPr="008E3C76" w:rsidRDefault="009F26E0" w:rsidP="009F26E0">
      <w:pPr>
        <w:spacing w:after="0" w:line="240" w:lineRule="auto"/>
        <w:rPr>
          <w:rFonts w:ascii="Arial" w:eastAsia="Times New Roman" w:hAnsi="Arial" w:cs="Arial"/>
          <w:color w:val="0E101A"/>
          <w:sz w:val="20"/>
          <w:szCs w:val="20"/>
        </w:rPr>
      </w:pPr>
    </w:p>
    <w:p w14:paraId="09D91A4F" w14:textId="77777777" w:rsidR="009F26E0"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Colonial Pipeline oversees the operation of one of the largest gas pipelines in the United States that stretch from Houston, Texas, to New York Harbor. The pipeline</w:t>
      </w:r>
      <w:r>
        <w:rPr>
          <w:rFonts w:ascii="Arial" w:eastAsia="Times New Roman" w:hAnsi="Arial" w:cs="Arial"/>
          <w:color w:val="0E101A"/>
          <w:sz w:val="20"/>
          <w:szCs w:val="20"/>
        </w:rPr>
        <w:t>s</w:t>
      </w:r>
      <w:r w:rsidRPr="008E3C76">
        <w:rPr>
          <w:rFonts w:ascii="Arial" w:eastAsia="Times New Roman" w:hAnsi="Arial" w:cs="Arial"/>
          <w:color w:val="0E101A"/>
          <w:sz w:val="20"/>
          <w:szCs w:val="20"/>
        </w:rPr>
        <w:t xml:space="preserve"> </w:t>
      </w:r>
      <w:r>
        <w:rPr>
          <w:rFonts w:ascii="Arial" w:eastAsia="Times New Roman" w:hAnsi="Arial" w:cs="Arial"/>
          <w:color w:val="0E101A"/>
          <w:sz w:val="20"/>
          <w:szCs w:val="20"/>
        </w:rPr>
        <w:t>are</w:t>
      </w:r>
      <w:r w:rsidRPr="008E3C76">
        <w:rPr>
          <w:rFonts w:ascii="Arial" w:eastAsia="Times New Roman" w:hAnsi="Arial" w:cs="Arial"/>
          <w:color w:val="0E101A"/>
          <w:sz w:val="20"/>
          <w:szCs w:val="20"/>
        </w:rPr>
        <w:t xml:space="preserve"> responsible for transporting about 45% of the fuel to the east coast (Eaton, 2021). It is considered a critical energy infrastructure in the United States. The company is a private partnership that took in $1.3 billion in revenue in 2020</w:t>
      </w:r>
      <w:r>
        <w:rPr>
          <w:rFonts w:ascii="Arial" w:eastAsia="Times New Roman" w:hAnsi="Arial" w:cs="Arial"/>
          <w:color w:val="0E101A"/>
          <w:sz w:val="20"/>
          <w:szCs w:val="20"/>
        </w:rPr>
        <w:t>.</w:t>
      </w:r>
    </w:p>
    <w:p w14:paraId="68D30F5B" w14:textId="77777777" w:rsidR="009F26E0" w:rsidRPr="008E3C76" w:rsidRDefault="009F26E0" w:rsidP="009F26E0">
      <w:pPr>
        <w:spacing w:after="0" w:line="240" w:lineRule="auto"/>
        <w:rPr>
          <w:rFonts w:ascii="Arial" w:eastAsia="Times New Roman" w:hAnsi="Arial" w:cs="Arial"/>
          <w:color w:val="0E101A"/>
          <w:sz w:val="20"/>
          <w:szCs w:val="20"/>
        </w:rPr>
      </w:pPr>
    </w:p>
    <w:p w14:paraId="0400FAEB" w14:textId="77777777" w:rsidR="009F26E0"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The CEO, Joseph Blount, was at the helm when the breach was discovered. He immediately shut down the pipeline in case the breach infected the pipeline's Operational Technology (OT) network. Within hours the flow of gasoline to the east coast came to a screeching halt. He then made what he describes as a tough decision to pay the ransom of 75 bitcoins. Blount indicates that he was not immediately aware of the scope of the attack, and the more time offline was going to cost more money. On the first day of the attack, the CEO paid the ransom of 75 bitcoins, or $4.4 million at the time to the group responsible (Kerner, 2022).</w:t>
      </w:r>
    </w:p>
    <w:p w14:paraId="34A6A937" w14:textId="77777777" w:rsidR="009F26E0" w:rsidRPr="008E3C76" w:rsidRDefault="009F26E0" w:rsidP="009F26E0">
      <w:pPr>
        <w:spacing w:after="0" w:line="240" w:lineRule="auto"/>
        <w:rPr>
          <w:rFonts w:ascii="Arial" w:eastAsia="Times New Roman" w:hAnsi="Arial" w:cs="Arial"/>
          <w:color w:val="0E101A"/>
          <w:sz w:val="20"/>
          <w:szCs w:val="20"/>
        </w:rPr>
      </w:pPr>
    </w:p>
    <w:p w14:paraId="78B68462" w14:textId="77777777" w:rsidR="009F26E0"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The executives at the company also reached out to the FBI and CISA and shared the Indicators of Compromise (IOCs) with government authorities.</w:t>
      </w:r>
      <w:r>
        <w:rPr>
          <w:rFonts w:ascii="Arial" w:eastAsia="Times New Roman" w:hAnsi="Arial" w:cs="Arial"/>
          <w:color w:val="0E101A"/>
          <w:sz w:val="20"/>
          <w:szCs w:val="20"/>
        </w:rPr>
        <w:t xml:space="preserve"> </w:t>
      </w:r>
      <w:r w:rsidRPr="008E3C76">
        <w:rPr>
          <w:rFonts w:ascii="Arial" w:eastAsia="Times New Roman" w:hAnsi="Arial" w:cs="Arial"/>
          <w:color w:val="0E101A"/>
          <w:sz w:val="20"/>
          <w:szCs w:val="20"/>
        </w:rPr>
        <w:t>Within the first 24 hours of discovery, the company had shut everything down and paid the ransom.</w:t>
      </w:r>
      <w:r>
        <w:rPr>
          <w:rFonts w:ascii="Arial" w:eastAsia="Times New Roman" w:hAnsi="Arial" w:cs="Arial"/>
          <w:color w:val="0E101A"/>
          <w:sz w:val="20"/>
          <w:szCs w:val="20"/>
        </w:rPr>
        <w:t xml:space="preserve"> </w:t>
      </w:r>
      <w:r w:rsidRPr="008E3C76">
        <w:rPr>
          <w:rFonts w:ascii="Arial" w:eastAsia="Times New Roman" w:hAnsi="Arial" w:cs="Arial"/>
          <w:color w:val="0E101A"/>
          <w:sz w:val="20"/>
          <w:szCs w:val="20"/>
        </w:rPr>
        <w:t>The company immediately looked to Mandiant, a cybersecurity company, to investigate the breach. Mandiant immediately recognized the attack signature as that of the Darkside ransomware group, which has affiliates throughout Eastern Europe. The Darkside is a cybercriminal network that develops Ransomware-as-a-Service (RaaS) software for its members to use for ransomware attacks. The members go through an interview process to become affiliated with the group, at which point they can gain access to the group's software dashboard. The members pay up to 25% of their proceeds to the developers depending on the size of the ransom (Osborne, 2021). </w:t>
      </w:r>
    </w:p>
    <w:p w14:paraId="0D01A8E7" w14:textId="77777777" w:rsidR="009F26E0" w:rsidRPr="008E3C76" w:rsidRDefault="009F26E0" w:rsidP="009F26E0">
      <w:pPr>
        <w:spacing w:after="0" w:line="240" w:lineRule="auto"/>
        <w:rPr>
          <w:rFonts w:ascii="Arial" w:eastAsia="Times New Roman" w:hAnsi="Arial" w:cs="Arial"/>
          <w:color w:val="0E101A"/>
          <w:sz w:val="20"/>
          <w:szCs w:val="20"/>
        </w:rPr>
      </w:pPr>
    </w:p>
    <w:p w14:paraId="13B95ECB" w14:textId="77777777" w:rsidR="009F26E0" w:rsidRPr="008E3C76"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After paying the ransom, the Darkside group provided the decryption tool to Colonial Pipeline. Unfortunately, the company had some trouble using the decryption tool, which was not as effective as expected. This is one of the reasons the pipeline did not fully reopen until May 12, 2021. The delay in operations meant that the east coast was without the main source of gas supplies for five days. The shortage in gas supplies led to an emergency declaration by President Joe Biden on May 9, 2021. </w:t>
      </w:r>
    </w:p>
    <w:p w14:paraId="4976400D" w14:textId="77777777" w:rsidR="009F26E0" w:rsidRDefault="009F26E0" w:rsidP="009F26E0">
      <w:pPr>
        <w:spacing w:after="0" w:line="240" w:lineRule="auto"/>
        <w:rPr>
          <w:rFonts w:ascii="Arial" w:eastAsia="Times New Roman" w:hAnsi="Arial" w:cs="Arial"/>
          <w:color w:val="0E101A"/>
          <w:sz w:val="20"/>
          <w:szCs w:val="20"/>
        </w:rPr>
      </w:pPr>
    </w:p>
    <w:p w14:paraId="5884164D" w14:textId="66F4B117" w:rsidR="009F26E0"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The gas shortage set off panic leading to long lines at gas stations and panic buying. Over fifty percent of the gas stations in North Carolina were out of gas at one point. Gas prices in North Carolina, Georgia, and South Carolina increased twenty-one percent, and the national average gas price hit a six-year high following the cyber incident (</w:t>
      </w:r>
      <w:proofErr w:type="spellStart"/>
      <w:r w:rsidRPr="008E3C76">
        <w:rPr>
          <w:rFonts w:ascii="Arial" w:eastAsia="Times New Roman" w:hAnsi="Arial" w:cs="Arial"/>
          <w:color w:val="0E101A"/>
          <w:sz w:val="20"/>
          <w:szCs w:val="20"/>
        </w:rPr>
        <w:t>Thorbecke</w:t>
      </w:r>
      <w:proofErr w:type="spellEnd"/>
      <w:r w:rsidRPr="008E3C76">
        <w:rPr>
          <w:rFonts w:ascii="Arial" w:eastAsia="Times New Roman" w:hAnsi="Arial" w:cs="Arial"/>
          <w:color w:val="0E101A"/>
          <w:sz w:val="20"/>
          <w:szCs w:val="20"/>
        </w:rPr>
        <w:t>, 2021).</w:t>
      </w:r>
    </w:p>
    <w:p w14:paraId="0202B4C7" w14:textId="77777777" w:rsidR="009F26E0" w:rsidRPr="008E3C76" w:rsidRDefault="009F26E0" w:rsidP="009F26E0">
      <w:pPr>
        <w:spacing w:after="0" w:line="240" w:lineRule="auto"/>
        <w:rPr>
          <w:rFonts w:ascii="Arial" w:eastAsia="Times New Roman" w:hAnsi="Arial" w:cs="Arial"/>
          <w:color w:val="0E101A"/>
          <w:sz w:val="20"/>
          <w:szCs w:val="20"/>
        </w:rPr>
      </w:pPr>
    </w:p>
    <w:p w14:paraId="3CDDDE3C" w14:textId="77777777" w:rsidR="009F26E0" w:rsidRPr="008E3C76"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In the conclusion of Mandiant's investigation, they found that someone affiliated with the Darkside group accessed Colonial Pipeline's network by using an exposed password to a VPN account. The company CEO indicated that they use multi-factor authentication with an RSA token on other systems, but this was a legacy system. According to the company, the password used was not a simple one, which points to it being compromised on another account. After gaining access to the network, the group used malware to encrypt essential data and then extracted it so that they could use their double extortion technique. </w:t>
      </w:r>
    </w:p>
    <w:p w14:paraId="0A278111" w14:textId="77777777" w:rsidR="009F26E0" w:rsidRPr="008E3C76" w:rsidRDefault="009F26E0" w:rsidP="009F26E0">
      <w:pPr>
        <w:spacing w:after="0" w:line="240" w:lineRule="auto"/>
        <w:rPr>
          <w:rFonts w:ascii="Arial" w:eastAsia="Times New Roman" w:hAnsi="Arial" w:cs="Arial"/>
          <w:color w:val="0E101A"/>
          <w:sz w:val="20"/>
          <w:szCs w:val="20"/>
        </w:rPr>
      </w:pPr>
    </w:p>
    <w:p w14:paraId="288F1217" w14:textId="77777777" w:rsidR="009F26E0"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lastRenderedPageBreak/>
        <w:t>Colonial Pipeline performed well at detecting, responding, and recovering from a ransomware attack. They could have possibly eliminated the threat in the first place by implementing specific controls to reduce risk. First, the company should have inventoried all its assets and identified any vulnerable legacy systems. As the National Institute of Standards and Technology (NIST) indicates, a thorough risk assessment should be completed to understand a company's cybersecurity risks. In the case of Colonial Pipeline, they would have identified that they still had some legacy VPN login endpoints that were not up to their current multi-factor authentication</w:t>
      </w:r>
      <w:r>
        <w:rPr>
          <w:rFonts w:ascii="Arial" w:eastAsia="Times New Roman" w:hAnsi="Arial" w:cs="Arial"/>
          <w:color w:val="0E101A"/>
          <w:sz w:val="20"/>
          <w:szCs w:val="20"/>
        </w:rPr>
        <w:t xml:space="preserve"> (MFA)</w:t>
      </w:r>
      <w:r w:rsidRPr="008E3C76">
        <w:rPr>
          <w:rFonts w:ascii="Arial" w:eastAsia="Times New Roman" w:hAnsi="Arial" w:cs="Arial"/>
          <w:color w:val="0E101A"/>
          <w:sz w:val="20"/>
          <w:szCs w:val="20"/>
        </w:rPr>
        <w:t xml:space="preserve"> standards. A vulnerability assessment would have shown the high risk of having a legacy VPN connection with single-factor authentication. The MFA control reduces the risk of future ransomware attacks on the company. </w:t>
      </w:r>
    </w:p>
    <w:p w14:paraId="13B5B694" w14:textId="77777777" w:rsidR="009F26E0" w:rsidRPr="008E3C76" w:rsidRDefault="009F26E0" w:rsidP="009F26E0">
      <w:pPr>
        <w:spacing w:after="0" w:line="240" w:lineRule="auto"/>
        <w:rPr>
          <w:rFonts w:ascii="Arial" w:eastAsia="Times New Roman" w:hAnsi="Arial" w:cs="Arial"/>
          <w:color w:val="0E101A"/>
          <w:sz w:val="20"/>
          <w:szCs w:val="20"/>
        </w:rPr>
      </w:pPr>
    </w:p>
    <w:p w14:paraId="3D2A0469" w14:textId="77777777" w:rsidR="009F26E0" w:rsidRPr="008E3C76" w:rsidRDefault="009F26E0" w:rsidP="009F26E0">
      <w:pPr>
        <w:spacing w:after="0" w:line="240" w:lineRule="auto"/>
        <w:rPr>
          <w:rFonts w:ascii="Arial" w:eastAsia="Times New Roman" w:hAnsi="Arial" w:cs="Arial"/>
          <w:color w:val="0E101A"/>
          <w:sz w:val="20"/>
          <w:szCs w:val="20"/>
        </w:rPr>
      </w:pPr>
      <w:r w:rsidRPr="008E3C76">
        <w:rPr>
          <w:rFonts w:ascii="Arial" w:eastAsia="Times New Roman" w:hAnsi="Arial" w:cs="Arial"/>
          <w:color w:val="0E101A"/>
          <w:sz w:val="20"/>
          <w:szCs w:val="20"/>
        </w:rPr>
        <w:t xml:space="preserve">The company could have protected its assets by training employees not to use the same secret password on multiple systems because other systems may not be as secure. Companies should provide training on secret password best </w:t>
      </w:r>
      <w:proofErr w:type="gramStart"/>
      <w:r w:rsidRPr="008E3C76">
        <w:rPr>
          <w:rFonts w:ascii="Arial" w:eastAsia="Times New Roman" w:hAnsi="Arial" w:cs="Arial"/>
          <w:color w:val="0E101A"/>
          <w:sz w:val="20"/>
          <w:szCs w:val="20"/>
        </w:rPr>
        <w:t>practices, and</w:t>
      </w:r>
      <w:proofErr w:type="gramEnd"/>
      <w:r w:rsidRPr="008E3C76">
        <w:rPr>
          <w:rFonts w:ascii="Arial" w:eastAsia="Times New Roman" w:hAnsi="Arial" w:cs="Arial"/>
          <w:color w:val="0E101A"/>
          <w:sz w:val="20"/>
          <w:szCs w:val="20"/>
        </w:rPr>
        <w:t xml:space="preserve"> blacklist any passwords that have been identified in prior breaches. </w:t>
      </w:r>
    </w:p>
    <w:p w14:paraId="0FF81646" w14:textId="77777777" w:rsidR="009F26E0" w:rsidRPr="008E3C76" w:rsidRDefault="009F26E0" w:rsidP="009F26E0">
      <w:pPr>
        <w:spacing w:after="0" w:line="240" w:lineRule="auto"/>
        <w:rPr>
          <w:rFonts w:ascii="Arial" w:eastAsia="Times New Roman" w:hAnsi="Arial" w:cs="Arial"/>
          <w:color w:val="0E101A"/>
          <w:sz w:val="20"/>
          <w:szCs w:val="20"/>
        </w:rPr>
      </w:pPr>
      <w:r w:rsidRPr="008E3C76">
        <w:rPr>
          <w:rFonts w:ascii="Arial" w:hAnsi="Arial" w:cs="Arial"/>
          <w:sz w:val="20"/>
          <w:szCs w:val="20"/>
        </w:rPr>
        <w:t xml:space="preserve"> </w:t>
      </w:r>
    </w:p>
    <w:p w14:paraId="3F2560F5" w14:textId="77777777" w:rsidR="00F24701" w:rsidRDefault="009F26E0" w:rsidP="009F26E0">
      <w:pPr>
        <w:rPr>
          <w:rFonts w:ascii="Arial" w:hAnsi="Arial" w:cs="Arial"/>
          <w:sz w:val="20"/>
          <w:szCs w:val="20"/>
        </w:rPr>
      </w:pPr>
      <w:r w:rsidRPr="006B7C64">
        <w:rPr>
          <w:rFonts w:ascii="Arial" w:hAnsi="Arial" w:cs="Arial"/>
          <w:sz w:val="20"/>
          <w:szCs w:val="20"/>
        </w:rPr>
        <w:t xml:space="preserve">Colonial Pipeline should reference </w:t>
      </w:r>
      <w:r w:rsidR="00F24701">
        <w:rPr>
          <w:rFonts w:ascii="Arial" w:hAnsi="Arial" w:cs="Arial"/>
          <w:sz w:val="20"/>
          <w:szCs w:val="20"/>
        </w:rPr>
        <w:t xml:space="preserve">the following sections from the </w:t>
      </w:r>
      <w:r w:rsidRPr="006B7C64">
        <w:rPr>
          <w:rFonts w:ascii="Arial" w:hAnsi="Arial" w:cs="Arial"/>
          <w:sz w:val="20"/>
          <w:szCs w:val="20"/>
        </w:rPr>
        <w:t>National Institute of Standards and Technology</w:t>
      </w:r>
      <w:r w:rsidR="00F24701">
        <w:rPr>
          <w:rFonts w:ascii="Arial" w:hAnsi="Arial" w:cs="Arial"/>
          <w:sz w:val="20"/>
          <w:szCs w:val="20"/>
        </w:rPr>
        <w:t xml:space="preserve"> (NIST)</w:t>
      </w:r>
      <w:r w:rsidRPr="006B7C64">
        <w:rPr>
          <w:rFonts w:ascii="Arial" w:hAnsi="Arial" w:cs="Arial"/>
          <w:sz w:val="20"/>
          <w:szCs w:val="20"/>
        </w:rPr>
        <w:t xml:space="preserve">’s Cybersecurity Framework to improve its cybersecurity infrastructure (NIST, 2018). </w:t>
      </w:r>
    </w:p>
    <w:p w14:paraId="3B7B4503" w14:textId="3ADFF478" w:rsidR="009F26E0" w:rsidRPr="001E6AD2" w:rsidRDefault="001E6AD2" w:rsidP="001E6AD2">
      <w:pPr>
        <w:pStyle w:val="ListParagraph"/>
        <w:numPr>
          <w:ilvl w:val="0"/>
          <w:numId w:val="6"/>
        </w:numPr>
        <w:rPr>
          <w:rFonts w:ascii="Arial" w:hAnsi="Arial" w:cs="Arial"/>
          <w:sz w:val="20"/>
          <w:szCs w:val="20"/>
        </w:rPr>
      </w:pPr>
      <w:r>
        <w:rPr>
          <w:rFonts w:ascii="Arial" w:hAnsi="Arial" w:cs="Arial"/>
          <w:sz w:val="20"/>
          <w:szCs w:val="20"/>
        </w:rPr>
        <w:t xml:space="preserve">Identify; </w:t>
      </w:r>
      <w:r w:rsidRPr="00A262BF">
        <w:rPr>
          <w:rFonts w:ascii="Arial" w:hAnsi="Arial" w:cs="Arial"/>
          <w:color w:val="000000" w:themeColor="text1"/>
          <w:sz w:val="20"/>
          <w:szCs w:val="20"/>
        </w:rPr>
        <w:t>Asset vulnerabilities are identified and documented</w:t>
      </w:r>
      <w:r>
        <w:rPr>
          <w:rFonts w:ascii="Arial" w:hAnsi="Arial" w:cs="Arial"/>
          <w:color w:val="000000" w:themeColor="text1"/>
          <w:sz w:val="20"/>
          <w:szCs w:val="20"/>
        </w:rPr>
        <w:t>.</w:t>
      </w:r>
    </w:p>
    <w:p w14:paraId="3CB2838C" w14:textId="4BE08392" w:rsidR="001E6AD2" w:rsidRPr="001E6AD2" w:rsidRDefault="001E6AD2" w:rsidP="001E6AD2">
      <w:pPr>
        <w:pStyle w:val="ListParagraph"/>
        <w:numPr>
          <w:ilvl w:val="0"/>
          <w:numId w:val="6"/>
        </w:numPr>
        <w:rPr>
          <w:rFonts w:ascii="Arial" w:hAnsi="Arial" w:cs="Arial"/>
          <w:sz w:val="20"/>
          <w:szCs w:val="20"/>
        </w:rPr>
      </w:pPr>
      <w:r>
        <w:rPr>
          <w:rFonts w:ascii="Arial" w:hAnsi="Arial" w:cs="Arial"/>
          <w:color w:val="000000" w:themeColor="text1"/>
          <w:sz w:val="20"/>
          <w:szCs w:val="20"/>
        </w:rPr>
        <w:t xml:space="preserve">Identify; </w:t>
      </w:r>
      <w:r w:rsidRPr="00A262BF">
        <w:rPr>
          <w:rFonts w:ascii="Arial" w:hAnsi="Arial" w:cs="Arial"/>
          <w:color w:val="000000" w:themeColor="text1"/>
          <w:sz w:val="20"/>
          <w:szCs w:val="20"/>
        </w:rPr>
        <w:t>Threats, vulnerabilities likelihoods, and impacts are used to determine risk</w:t>
      </w:r>
      <w:r>
        <w:rPr>
          <w:rFonts w:ascii="Arial" w:hAnsi="Arial" w:cs="Arial"/>
          <w:color w:val="000000" w:themeColor="text1"/>
          <w:sz w:val="20"/>
          <w:szCs w:val="20"/>
        </w:rPr>
        <w:t>.</w:t>
      </w:r>
    </w:p>
    <w:p w14:paraId="6EF4CF01" w14:textId="2E326440" w:rsidR="001E6AD2" w:rsidRPr="001E6AD2" w:rsidRDefault="001E6AD2" w:rsidP="001E6AD2">
      <w:pPr>
        <w:pStyle w:val="ListParagraph"/>
        <w:numPr>
          <w:ilvl w:val="0"/>
          <w:numId w:val="6"/>
        </w:numPr>
        <w:rPr>
          <w:rFonts w:ascii="Arial" w:hAnsi="Arial" w:cs="Arial"/>
          <w:sz w:val="20"/>
          <w:szCs w:val="20"/>
        </w:rPr>
      </w:pPr>
      <w:r>
        <w:rPr>
          <w:rFonts w:ascii="Arial" w:hAnsi="Arial" w:cs="Arial"/>
          <w:color w:val="000000" w:themeColor="text1"/>
          <w:sz w:val="20"/>
          <w:szCs w:val="20"/>
        </w:rPr>
        <w:t xml:space="preserve">Protect; </w:t>
      </w:r>
      <w:r w:rsidRPr="00A262BF">
        <w:rPr>
          <w:rFonts w:ascii="Arial" w:hAnsi="Arial" w:cs="Arial"/>
          <w:color w:val="000000" w:themeColor="text1"/>
          <w:sz w:val="20"/>
          <w:szCs w:val="20"/>
        </w:rPr>
        <w:t>Remote access is managed</w:t>
      </w:r>
      <w:r>
        <w:rPr>
          <w:rFonts w:ascii="Arial" w:hAnsi="Arial" w:cs="Arial"/>
          <w:color w:val="000000" w:themeColor="text1"/>
          <w:sz w:val="20"/>
          <w:szCs w:val="20"/>
        </w:rPr>
        <w:t>.</w:t>
      </w:r>
    </w:p>
    <w:p w14:paraId="5E3CB14E" w14:textId="27C72EE2" w:rsidR="001E6AD2" w:rsidRPr="001E6AD2" w:rsidRDefault="001E6AD2" w:rsidP="001E6AD2">
      <w:pPr>
        <w:pStyle w:val="ListParagraph"/>
        <w:numPr>
          <w:ilvl w:val="0"/>
          <w:numId w:val="6"/>
        </w:numPr>
        <w:rPr>
          <w:rFonts w:ascii="Arial" w:hAnsi="Arial" w:cs="Arial"/>
          <w:sz w:val="20"/>
          <w:szCs w:val="20"/>
        </w:rPr>
      </w:pPr>
      <w:r>
        <w:rPr>
          <w:rFonts w:ascii="Arial" w:hAnsi="Arial" w:cs="Arial"/>
          <w:sz w:val="20"/>
          <w:szCs w:val="20"/>
        </w:rPr>
        <w:t xml:space="preserve">Protect; </w:t>
      </w:r>
      <w:r w:rsidRPr="00A262BF">
        <w:rPr>
          <w:rFonts w:ascii="Arial" w:hAnsi="Arial" w:cs="Arial"/>
          <w:color w:val="000000" w:themeColor="text1"/>
          <w:sz w:val="20"/>
          <w:szCs w:val="20"/>
        </w:rPr>
        <w:t>All users are informed and trained</w:t>
      </w:r>
    </w:p>
    <w:p w14:paraId="25B45182" w14:textId="77777777" w:rsidR="009F26E0" w:rsidRDefault="009F26E0" w:rsidP="009F26E0">
      <w:pPr>
        <w:rPr>
          <w:rFonts w:ascii="Arial" w:hAnsi="Arial" w:cs="Arial"/>
          <w:sz w:val="20"/>
          <w:szCs w:val="20"/>
        </w:rPr>
      </w:pPr>
      <w:r w:rsidRPr="006B7C64">
        <w:rPr>
          <w:rFonts w:ascii="Arial" w:hAnsi="Arial" w:cs="Arial"/>
          <w:sz w:val="20"/>
          <w:szCs w:val="20"/>
        </w:rPr>
        <w:t xml:space="preserve">We recommend that the company assets are </w:t>
      </w:r>
      <w:proofErr w:type="gramStart"/>
      <w:r w:rsidRPr="006B7C64">
        <w:rPr>
          <w:rFonts w:ascii="Arial" w:hAnsi="Arial" w:cs="Arial"/>
          <w:sz w:val="20"/>
          <w:szCs w:val="20"/>
        </w:rPr>
        <w:t>inventoried</w:t>
      </w:r>
      <w:proofErr w:type="gramEnd"/>
      <w:r w:rsidRPr="006B7C64">
        <w:rPr>
          <w:rFonts w:ascii="Arial" w:hAnsi="Arial" w:cs="Arial"/>
          <w:sz w:val="20"/>
          <w:szCs w:val="20"/>
        </w:rPr>
        <w:t xml:space="preserve"> and a vulnerability assessment is conducted. We recommend adopting MFA and providing password training as part of our annual cybersecurity training requirement. MFA will stop many bad actors from entering our network and protect us from compromised credentials.</w:t>
      </w:r>
    </w:p>
    <w:p w14:paraId="11A7B448" w14:textId="1670CD11" w:rsidR="009F26E0" w:rsidRPr="007F32CA" w:rsidRDefault="009F26E0" w:rsidP="009F26E0">
      <w:pPr>
        <w:jc w:val="center"/>
        <w:rPr>
          <w:rFonts w:ascii="Arial" w:hAnsi="Arial" w:cs="Arial"/>
          <w:b/>
          <w:bCs/>
          <w:sz w:val="20"/>
          <w:szCs w:val="20"/>
        </w:rPr>
      </w:pPr>
      <w:r w:rsidRPr="00560F4B">
        <w:rPr>
          <w:rFonts w:ascii="Arial" w:hAnsi="Arial" w:cs="Arial"/>
          <w:b/>
          <w:bCs/>
          <w:sz w:val="20"/>
          <w:szCs w:val="20"/>
        </w:rPr>
        <w:t>Okta Data Breach by Lapsus$ Group</w:t>
      </w:r>
    </w:p>
    <w:p w14:paraId="69BBEFA4" w14:textId="77777777" w:rsidR="009F26E0" w:rsidRPr="007F32CA" w:rsidRDefault="009F26E0" w:rsidP="009F26E0">
      <w:pPr>
        <w:rPr>
          <w:rFonts w:ascii="Arial" w:hAnsi="Arial" w:cs="Arial"/>
          <w:sz w:val="20"/>
          <w:szCs w:val="20"/>
        </w:rPr>
      </w:pPr>
      <w:r w:rsidRPr="007F32CA">
        <w:rPr>
          <w:rFonts w:ascii="Arial" w:hAnsi="Arial" w:cs="Arial"/>
          <w:sz w:val="20"/>
          <w:szCs w:val="20"/>
        </w:rPr>
        <w:t xml:space="preserve">On January 20, 2022, in the middle of the night, Okta Security found that someone at a suspicious location had added a new authentication factor to a device belonging to one of their third-party vendor accounts. The security team quickly shut down the sessions and suspended the vendor's account with Okta. The next day Okta worked with their vendor </w:t>
      </w:r>
      <w:proofErr w:type="spellStart"/>
      <w:r w:rsidRPr="007F32CA">
        <w:rPr>
          <w:rFonts w:ascii="Arial" w:hAnsi="Arial" w:cs="Arial"/>
          <w:sz w:val="20"/>
          <w:szCs w:val="20"/>
        </w:rPr>
        <w:t>Sitel</w:t>
      </w:r>
      <w:proofErr w:type="spellEnd"/>
      <w:r w:rsidRPr="007F32CA">
        <w:rPr>
          <w:rFonts w:ascii="Arial" w:hAnsi="Arial" w:cs="Arial"/>
          <w:sz w:val="20"/>
          <w:szCs w:val="20"/>
        </w:rPr>
        <w:t xml:space="preserve"> to understand the incident, and as a result, the vendor hired Mandiant, an outside cyber forensics firm, to investigate the incident. The incident appeared to be benign, and nobody seemed to be alarmed at the time the incident occurred. </w:t>
      </w:r>
    </w:p>
    <w:p w14:paraId="69E55D56" w14:textId="77777777" w:rsidR="009F26E0" w:rsidRPr="007F32CA" w:rsidRDefault="009F26E0" w:rsidP="009F26E0">
      <w:pPr>
        <w:rPr>
          <w:rFonts w:ascii="Arial" w:hAnsi="Arial" w:cs="Arial"/>
          <w:sz w:val="20"/>
          <w:szCs w:val="20"/>
        </w:rPr>
      </w:pPr>
      <w:r w:rsidRPr="007F32CA">
        <w:rPr>
          <w:rFonts w:ascii="Arial" w:hAnsi="Arial" w:cs="Arial"/>
          <w:sz w:val="20"/>
          <w:szCs w:val="20"/>
        </w:rPr>
        <w:t xml:space="preserve">Okta is a fast-growing multi-billion cybersecurity corporation specializing in identity and access management solutions (Gupta, 2022). The company has almost $1.5 billion in revenue from over 15,000 customers, including FedEx and Moody's. The company is growing rapidly as other companies look to adopt zero trust access controls using tools like multi-factor authentication to avoid the high-profile cybersecurity breaches that appear ubiquitous in recent news cycles. </w:t>
      </w:r>
    </w:p>
    <w:p w14:paraId="1F3AA8A0" w14:textId="77777777" w:rsidR="009F26E0" w:rsidRPr="007F32CA" w:rsidRDefault="009F26E0" w:rsidP="009F26E0">
      <w:pPr>
        <w:rPr>
          <w:rFonts w:ascii="Arial" w:hAnsi="Arial" w:cs="Arial"/>
          <w:sz w:val="20"/>
          <w:szCs w:val="20"/>
        </w:rPr>
      </w:pPr>
      <w:r w:rsidRPr="007F32CA">
        <w:rPr>
          <w:rFonts w:ascii="Arial" w:hAnsi="Arial" w:cs="Arial"/>
          <w:sz w:val="20"/>
          <w:szCs w:val="20"/>
        </w:rPr>
        <w:t xml:space="preserve">After the initial security incident in January, Okta left all the investigation work to their vendor partner </w:t>
      </w:r>
      <w:proofErr w:type="spellStart"/>
      <w:r w:rsidRPr="007F32CA">
        <w:rPr>
          <w:rFonts w:ascii="Arial" w:hAnsi="Arial" w:cs="Arial"/>
          <w:sz w:val="20"/>
          <w:szCs w:val="20"/>
        </w:rPr>
        <w:t>Sitel</w:t>
      </w:r>
      <w:proofErr w:type="spellEnd"/>
      <w:r w:rsidRPr="007F32CA">
        <w:rPr>
          <w:rFonts w:ascii="Arial" w:hAnsi="Arial" w:cs="Arial"/>
          <w:sz w:val="20"/>
          <w:szCs w:val="20"/>
        </w:rPr>
        <w:t xml:space="preserve"> and the investigating firm Mandiant. Mandiant's investigation took over a month, and they eventually reported the findings to </w:t>
      </w:r>
      <w:proofErr w:type="spellStart"/>
      <w:r w:rsidRPr="007F32CA">
        <w:rPr>
          <w:rFonts w:ascii="Arial" w:hAnsi="Arial" w:cs="Arial"/>
          <w:sz w:val="20"/>
          <w:szCs w:val="20"/>
        </w:rPr>
        <w:t>Sitel</w:t>
      </w:r>
      <w:proofErr w:type="spellEnd"/>
      <w:r w:rsidRPr="007F32CA">
        <w:rPr>
          <w:rFonts w:ascii="Arial" w:hAnsi="Arial" w:cs="Arial"/>
          <w:sz w:val="20"/>
          <w:szCs w:val="20"/>
        </w:rPr>
        <w:t xml:space="preserve"> on March 10, 2022. </w:t>
      </w:r>
      <w:proofErr w:type="spellStart"/>
      <w:r w:rsidRPr="007F32CA">
        <w:rPr>
          <w:rFonts w:ascii="Arial" w:hAnsi="Arial" w:cs="Arial"/>
          <w:sz w:val="20"/>
          <w:szCs w:val="20"/>
        </w:rPr>
        <w:t>Sitel</w:t>
      </w:r>
      <w:proofErr w:type="spellEnd"/>
      <w:r w:rsidRPr="007F32CA">
        <w:rPr>
          <w:rFonts w:ascii="Arial" w:hAnsi="Arial" w:cs="Arial"/>
          <w:sz w:val="20"/>
          <w:szCs w:val="20"/>
        </w:rPr>
        <w:t xml:space="preserve"> then waited another week to report these findings to Okta on March 17, 2022. Five days after Okta received the forensic analysis report, the hacking group Lapsus$ published screenshots on a Telegram account showing their breach access to Okta's internal dashboard. </w:t>
      </w:r>
    </w:p>
    <w:p w14:paraId="2863C9AF" w14:textId="77777777" w:rsidR="009F26E0" w:rsidRPr="007F32CA" w:rsidRDefault="009F26E0" w:rsidP="009F26E0">
      <w:pPr>
        <w:rPr>
          <w:rFonts w:ascii="Arial" w:hAnsi="Arial" w:cs="Arial"/>
          <w:sz w:val="20"/>
          <w:szCs w:val="20"/>
        </w:rPr>
      </w:pPr>
      <w:r w:rsidRPr="007F32CA">
        <w:rPr>
          <w:rFonts w:ascii="Arial" w:hAnsi="Arial" w:cs="Arial"/>
          <w:sz w:val="20"/>
          <w:szCs w:val="20"/>
        </w:rPr>
        <w:t xml:space="preserve">On March 22, 2022, Okta finally acknowledged that a security incident had occurred. Still, it indicated that they were never breached, indicating someone unsuccessfully attempted to access one of their customer support engineer's accounts (Bradbury, 2022). On the same day, the Chief Security Officer, David Bradbury, updated his announcement to clarify that Okta was breached, but it only affected 2.5% of Okta's customers. The extent of the breach was vague and indicated that they may have viewed customer information. </w:t>
      </w:r>
    </w:p>
    <w:p w14:paraId="173D03F6" w14:textId="73A356AB" w:rsidR="009F26E0" w:rsidRDefault="009F26E0" w:rsidP="009F26E0">
      <w:pPr>
        <w:rPr>
          <w:rFonts w:ascii="Arial" w:hAnsi="Arial" w:cs="Arial"/>
          <w:sz w:val="20"/>
          <w:szCs w:val="20"/>
        </w:rPr>
      </w:pPr>
      <w:r w:rsidRPr="007F32CA">
        <w:rPr>
          <w:rFonts w:ascii="Arial" w:hAnsi="Arial" w:cs="Arial"/>
          <w:sz w:val="20"/>
          <w:szCs w:val="20"/>
        </w:rPr>
        <w:lastRenderedPageBreak/>
        <w:t>After the initial announcement of the security incident, Okta's stock price plummeted from $169 a share to as low as $138 a share at the end of the week. The stock price dipped almost twenty percent while the Nasdaq exchange-traded fund (ETF) QQQ almost rose over six percent over the same period. The market did not react well to the uncertainty left by the mixed statements given regarding the breach.</w:t>
      </w:r>
    </w:p>
    <w:p w14:paraId="24C3DCCA" w14:textId="63B9FB10" w:rsidR="003C098F" w:rsidRDefault="006F0EAF" w:rsidP="006F0EAF">
      <w:pPr>
        <w:jc w:val="center"/>
        <w:rPr>
          <w:rFonts w:ascii="Arial" w:hAnsi="Arial" w:cs="Arial"/>
          <w:sz w:val="20"/>
          <w:szCs w:val="20"/>
        </w:rPr>
      </w:pPr>
      <w:r>
        <w:rPr>
          <w:noProof/>
        </w:rPr>
        <w:drawing>
          <wp:inline distT="0" distB="0" distL="0" distR="0" wp14:anchorId="70E19204" wp14:editId="18AB914D">
            <wp:extent cx="3962400" cy="2377440"/>
            <wp:effectExtent l="0" t="0" r="0" b="3810"/>
            <wp:docPr id="1" name="Chart 1">
              <a:extLst xmlns:a="http://schemas.openxmlformats.org/drawingml/2006/main">
                <a:ext uri="{FF2B5EF4-FFF2-40B4-BE49-F238E27FC236}">
                  <a16:creationId xmlns:a16="http://schemas.microsoft.com/office/drawing/2014/main" id="{6B449051-712B-4541-B409-383B45D122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ACDAF7D" w14:textId="3FEB2199" w:rsidR="009F26E0" w:rsidRPr="00C4643D" w:rsidRDefault="009F26E0" w:rsidP="009F26E0">
      <w:pPr>
        <w:rPr>
          <w:rFonts w:ascii="Arial" w:hAnsi="Arial" w:cs="Arial"/>
          <w:sz w:val="20"/>
          <w:szCs w:val="20"/>
        </w:rPr>
      </w:pPr>
      <w:r w:rsidRPr="00C4643D">
        <w:rPr>
          <w:rFonts w:ascii="Arial" w:hAnsi="Arial" w:cs="Arial"/>
          <w:sz w:val="20"/>
          <w:szCs w:val="20"/>
        </w:rPr>
        <w:t xml:space="preserve">On April 19, 2022, Okta came out with yet another announcement indicating that the company was only breached for a total of 25 minutes on January 21, 2022, by the Lapsus$ hacking group. The threat actor took control of a single workstation, and a total of 366 customers may have been affected, but only two active customers had their information viewed (Bradbury, 2022). </w:t>
      </w:r>
    </w:p>
    <w:p w14:paraId="186DFE51" w14:textId="57603193" w:rsidR="009F26E0" w:rsidRPr="00C4643D" w:rsidRDefault="009F26E0" w:rsidP="009F26E0">
      <w:pPr>
        <w:rPr>
          <w:rFonts w:ascii="Arial" w:hAnsi="Arial" w:cs="Arial"/>
          <w:sz w:val="20"/>
          <w:szCs w:val="20"/>
        </w:rPr>
      </w:pPr>
      <w:r w:rsidRPr="00C4643D">
        <w:rPr>
          <w:rFonts w:ascii="Arial" w:hAnsi="Arial" w:cs="Arial"/>
          <w:sz w:val="20"/>
          <w:szCs w:val="20"/>
        </w:rPr>
        <w:t xml:space="preserve">The Lapsus$ hacking group is a relatively new group that started to appear in December 2021.The group is not known to distribute ransomware or malware but is known to hack into companies and steal sensitive </w:t>
      </w:r>
      <w:proofErr w:type="spellStart"/>
      <w:proofErr w:type="gramStart"/>
      <w:r w:rsidRPr="00C4643D">
        <w:rPr>
          <w:rFonts w:ascii="Arial" w:hAnsi="Arial" w:cs="Arial"/>
          <w:sz w:val="20"/>
          <w:szCs w:val="20"/>
        </w:rPr>
        <w:t>information.The</w:t>
      </w:r>
      <w:proofErr w:type="spellEnd"/>
      <w:proofErr w:type="gramEnd"/>
      <w:r w:rsidRPr="00C4643D">
        <w:rPr>
          <w:rFonts w:ascii="Arial" w:hAnsi="Arial" w:cs="Arial"/>
          <w:sz w:val="20"/>
          <w:szCs w:val="20"/>
        </w:rPr>
        <w:t xml:space="preserve"> Lapsus$ hacker compromised the credentials of a customer-support engineer that worked for the recently acquired Sykes Enterprises. The group used a tool named </w:t>
      </w:r>
      <w:proofErr w:type="spellStart"/>
      <w:r w:rsidRPr="00C4643D">
        <w:rPr>
          <w:rFonts w:ascii="Arial" w:hAnsi="Arial" w:cs="Arial"/>
          <w:sz w:val="20"/>
          <w:szCs w:val="20"/>
        </w:rPr>
        <w:t>Mimikatz</w:t>
      </w:r>
      <w:proofErr w:type="spellEnd"/>
      <w:r w:rsidRPr="00C4643D">
        <w:rPr>
          <w:rFonts w:ascii="Arial" w:hAnsi="Arial" w:cs="Arial"/>
          <w:sz w:val="20"/>
          <w:szCs w:val="20"/>
        </w:rPr>
        <w:t xml:space="preserve">. Penetration testers use </w:t>
      </w:r>
      <w:proofErr w:type="spellStart"/>
      <w:r w:rsidRPr="00C4643D">
        <w:rPr>
          <w:rFonts w:ascii="Arial" w:hAnsi="Arial" w:cs="Arial"/>
          <w:sz w:val="20"/>
          <w:szCs w:val="20"/>
        </w:rPr>
        <w:t>Mimikatz</w:t>
      </w:r>
      <w:proofErr w:type="spellEnd"/>
      <w:r w:rsidRPr="00C4643D">
        <w:rPr>
          <w:rFonts w:ascii="Arial" w:hAnsi="Arial" w:cs="Arial"/>
          <w:sz w:val="20"/>
          <w:szCs w:val="20"/>
        </w:rPr>
        <w:t xml:space="preserve"> to expose Microsoft Windows authentication vulnerabilities. </w:t>
      </w:r>
      <w:proofErr w:type="spellStart"/>
      <w:r w:rsidRPr="00C4643D">
        <w:rPr>
          <w:rFonts w:ascii="Arial" w:hAnsi="Arial" w:cs="Arial"/>
          <w:sz w:val="20"/>
          <w:szCs w:val="20"/>
        </w:rPr>
        <w:t>Mimikatz</w:t>
      </w:r>
      <w:proofErr w:type="spellEnd"/>
      <w:r w:rsidRPr="00C4643D">
        <w:rPr>
          <w:rFonts w:ascii="Arial" w:hAnsi="Arial" w:cs="Arial"/>
          <w:sz w:val="20"/>
          <w:szCs w:val="20"/>
        </w:rPr>
        <w:t xml:space="preserve"> uses tricks like Pass-the-Hash to steal credentials. The hacker used the tool to enter the employee's laptop. The group also was able to disable a security scanning tool on the computer. The group had access to the laptop starting on January 16, 2022 (Newman, 2022). </w:t>
      </w:r>
    </w:p>
    <w:p w14:paraId="3668CCD1" w14:textId="77777777" w:rsidR="000B5945" w:rsidRDefault="009F26E0" w:rsidP="009F26E0">
      <w:pPr>
        <w:rPr>
          <w:rFonts w:ascii="Arial" w:hAnsi="Arial" w:cs="Arial"/>
          <w:sz w:val="20"/>
          <w:szCs w:val="20"/>
        </w:rPr>
      </w:pPr>
      <w:r w:rsidRPr="00C4643D">
        <w:rPr>
          <w:rFonts w:ascii="Arial" w:hAnsi="Arial" w:cs="Arial"/>
          <w:sz w:val="20"/>
          <w:szCs w:val="20"/>
        </w:rPr>
        <w:t xml:space="preserve">Lapsus$ group indicated on its Telegram page that it had access to Okta's system for two months. Mandiant, </w:t>
      </w:r>
      <w:proofErr w:type="spellStart"/>
      <w:r w:rsidRPr="00C4643D">
        <w:rPr>
          <w:rFonts w:ascii="Arial" w:hAnsi="Arial" w:cs="Arial"/>
          <w:sz w:val="20"/>
          <w:szCs w:val="20"/>
        </w:rPr>
        <w:t>Sitel</w:t>
      </w:r>
      <w:proofErr w:type="spellEnd"/>
      <w:r w:rsidRPr="00C4643D">
        <w:rPr>
          <w:rFonts w:ascii="Arial" w:hAnsi="Arial" w:cs="Arial"/>
          <w:sz w:val="20"/>
          <w:szCs w:val="20"/>
        </w:rPr>
        <w:t xml:space="preserve">, and Okta have disputed this claim and indicated that the hackers only had access to Okta's network for 25 minutes. Once in the network, the group only had access to a </w:t>
      </w:r>
      <w:proofErr w:type="spellStart"/>
      <w:r w:rsidRPr="00C4643D">
        <w:rPr>
          <w:rFonts w:ascii="Arial" w:hAnsi="Arial" w:cs="Arial"/>
          <w:sz w:val="20"/>
          <w:szCs w:val="20"/>
        </w:rPr>
        <w:t>SuperUser</w:t>
      </w:r>
      <w:proofErr w:type="spellEnd"/>
      <w:r w:rsidRPr="00C4643D">
        <w:rPr>
          <w:rFonts w:ascii="Arial" w:hAnsi="Arial" w:cs="Arial"/>
          <w:sz w:val="20"/>
          <w:szCs w:val="20"/>
        </w:rPr>
        <w:t xml:space="preserve"> application,</w:t>
      </w:r>
      <w:r w:rsidR="000B5945">
        <w:rPr>
          <w:rFonts w:ascii="Arial" w:hAnsi="Arial" w:cs="Arial"/>
          <w:sz w:val="20"/>
          <w:szCs w:val="20"/>
        </w:rPr>
        <w:t xml:space="preserve"> which contained</w:t>
      </w:r>
      <w:r w:rsidRPr="00C4643D">
        <w:rPr>
          <w:rFonts w:ascii="Arial" w:hAnsi="Arial" w:cs="Arial"/>
          <w:sz w:val="20"/>
          <w:szCs w:val="20"/>
        </w:rPr>
        <w:t xml:space="preserve"> Jira tickets and lists of users. The support engineer </w:t>
      </w:r>
      <w:r w:rsidR="000B5945">
        <w:rPr>
          <w:rFonts w:ascii="Arial" w:hAnsi="Arial" w:cs="Arial"/>
          <w:sz w:val="20"/>
          <w:szCs w:val="20"/>
        </w:rPr>
        <w:t xml:space="preserve">had access to </w:t>
      </w:r>
      <w:r w:rsidRPr="00C4643D">
        <w:rPr>
          <w:rFonts w:ascii="Arial" w:hAnsi="Arial" w:cs="Arial"/>
          <w:sz w:val="20"/>
          <w:szCs w:val="20"/>
        </w:rPr>
        <w:t>passwords and MFA factors for Okta customers, but the</w:t>
      </w:r>
      <w:r w:rsidR="000B5945">
        <w:rPr>
          <w:rFonts w:ascii="Arial" w:hAnsi="Arial" w:cs="Arial"/>
          <w:sz w:val="20"/>
          <w:szCs w:val="20"/>
        </w:rPr>
        <w:t xml:space="preserve"> hackers were</w:t>
      </w:r>
      <w:r w:rsidRPr="00C4643D">
        <w:rPr>
          <w:rFonts w:ascii="Arial" w:hAnsi="Arial" w:cs="Arial"/>
          <w:sz w:val="20"/>
          <w:szCs w:val="20"/>
        </w:rPr>
        <w:t xml:space="preserve"> unable to see the current passwords. The hacker viewed two active customers' information on their Slack and Jira applications.</w:t>
      </w:r>
      <w:r w:rsidR="000B5945">
        <w:rPr>
          <w:rFonts w:ascii="Arial" w:hAnsi="Arial" w:cs="Arial"/>
          <w:sz w:val="20"/>
          <w:szCs w:val="20"/>
        </w:rPr>
        <w:t xml:space="preserve"> </w:t>
      </w:r>
      <w:r w:rsidRPr="00C4643D">
        <w:rPr>
          <w:rFonts w:ascii="Arial" w:hAnsi="Arial" w:cs="Arial"/>
          <w:sz w:val="20"/>
          <w:szCs w:val="20"/>
        </w:rPr>
        <w:t xml:space="preserve">For its part in the security breach, </w:t>
      </w:r>
      <w:proofErr w:type="spellStart"/>
      <w:r w:rsidRPr="00C4643D">
        <w:rPr>
          <w:rFonts w:ascii="Arial" w:hAnsi="Arial" w:cs="Arial"/>
          <w:sz w:val="20"/>
          <w:szCs w:val="20"/>
        </w:rPr>
        <w:t>Sitel</w:t>
      </w:r>
      <w:proofErr w:type="spellEnd"/>
      <w:r w:rsidRPr="00C4643D">
        <w:rPr>
          <w:rFonts w:ascii="Arial" w:hAnsi="Arial" w:cs="Arial"/>
          <w:sz w:val="20"/>
          <w:szCs w:val="20"/>
        </w:rPr>
        <w:t xml:space="preserve"> Group blamed legacy systems that its newly acquired Sykes Enterprises employed at the time of the incident.</w:t>
      </w:r>
      <w:r w:rsidR="000B5945">
        <w:rPr>
          <w:rFonts w:ascii="Arial" w:hAnsi="Arial" w:cs="Arial"/>
          <w:sz w:val="20"/>
          <w:szCs w:val="20"/>
        </w:rPr>
        <w:t xml:space="preserve"> </w:t>
      </w:r>
      <w:r w:rsidRPr="00C4643D">
        <w:rPr>
          <w:rFonts w:ascii="Arial" w:hAnsi="Arial" w:cs="Arial"/>
          <w:sz w:val="20"/>
          <w:szCs w:val="20"/>
        </w:rPr>
        <w:t xml:space="preserve">Okta ended its vendor relationship with </w:t>
      </w:r>
      <w:proofErr w:type="spellStart"/>
      <w:r w:rsidRPr="00C4643D">
        <w:rPr>
          <w:rFonts w:ascii="Arial" w:hAnsi="Arial" w:cs="Arial"/>
          <w:sz w:val="20"/>
          <w:szCs w:val="20"/>
        </w:rPr>
        <w:t>Sitel</w:t>
      </w:r>
      <w:proofErr w:type="spellEnd"/>
      <w:r w:rsidRPr="00C4643D">
        <w:rPr>
          <w:rFonts w:ascii="Arial" w:hAnsi="Arial" w:cs="Arial"/>
          <w:sz w:val="20"/>
          <w:szCs w:val="20"/>
        </w:rPr>
        <w:t xml:space="preserve"> Group shortly after the March announcement. </w:t>
      </w:r>
    </w:p>
    <w:p w14:paraId="7A91A06D" w14:textId="16542DAC" w:rsidR="009F26E0" w:rsidRPr="00C4643D" w:rsidRDefault="009F26E0" w:rsidP="009F26E0">
      <w:pPr>
        <w:rPr>
          <w:rFonts w:ascii="Arial" w:hAnsi="Arial" w:cs="Arial"/>
          <w:sz w:val="20"/>
          <w:szCs w:val="20"/>
        </w:rPr>
      </w:pPr>
      <w:r w:rsidRPr="00C4643D">
        <w:rPr>
          <w:rFonts w:ascii="Arial" w:hAnsi="Arial" w:cs="Arial"/>
          <w:sz w:val="20"/>
          <w:szCs w:val="20"/>
        </w:rPr>
        <w:t xml:space="preserve">Even though the hackers did not obtain any sensitive information from Okta, the company has lost reputational value since the event. Since Okta provides secure cybersecurity solutions for its customers, it didn't look good when its systems were not secure. The company communicated the breach and made it look like it was trying to avoid telling the public and its customers the truth. Okta openly acknowledges on their website that they made a mistake by not notifying customers after the January breach was first discovered. Okta did not believe there was a risk to their customers at the time. This was evident in the first announcement when the company CSO reported that Okta was still not breached. Based on its </w:t>
      </w:r>
      <w:r w:rsidRPr="00C4643D">
        <w:rPr>
          <w:rFonts w:ascii="Arial" w:hAnsi="Arial" w:cs="Arial"/>
          <w:sz w:val="20"/>
          <w:szCs w:val="20"/>
        </w:rPr>
        <w:lastRenderedPageBreak/>
        <w:t xml:space="preserve">blundered communication approach, the company has indicated that it will be revamping its communication processes. </w:t>
      </w:r>
    </w:p>
    <w:p w14:paraId="3FC47C18" w14:textId="77777777" w:rsidR="009F26E0" w:rsidRPr="00C4643D" w:rsidRDefault="009F26E0" w:rsidP="009F26E0">
      <w:pPr>
        <w:rPr>
          <w:rFonts w:ascii="Arial" w:hAnsi="Arial" w:cs="Arial"/>
          <w:sz w:val="20"/>
          <w:szCs w:val="20"/>
        </w:rPr>
      </w:pPr>
      <w:r w:rsidRPr="00C4643D">
        <w:rPr>
          <w:rFonts w:ascii="Arial" w:hAnsi="Arial" w:cs="Arial"/>
          <w:sz w:val="20"/>
          <w:szCs w:val="20"/>
        </w:rPr>
        <w:t xml:space="preserve">The company will also be making changes to its third-party risk management policies. All third-party vendors will now comply with Okta's zero-trust security architecture. The third-party vendor will have to authenticate to the Okta network using Okta's authentication software. The company says that Okta will now directly manage all devices of third parties that access their customer tools. They will also further restrict customer support vendor access to Okta data. </w:t>
      </w:r>
    </w:p>
    <w:p w14:paraId="6FD9805A" w14:textId="17836A37" w:rsidR="009F26E0" w:rsidRDefault="00F24701" w:rsidP="009F26E0">
      <w:pPr>
        <w:rPr>
          <w:rFonts w:ascii="Arial" w:hAnsi="Arial" w:cs="Arial"/>
          <w:sz w:val="20"/>
          <w:szCs w:val="20"/>
        </w:rPr>
      </w:pPr>
      <w:r>
        <w:rPr>
          <w:rFonts w:ascii="Arial" w:hAnsi="Arial" w:cs="Arial"/>
          <w:sz w:val="20"/>
          <w:szCs w:val="20"/>
        </w:rPr>
        <w:t xml:space="preserve">Okta </w:t>
      </w:r>
      <w:r w:rsidR="009F26E0" w:rsidRPr="00C4643D">
        <w:rPr>
          <w:rFonts w:ascii="Arial" w:hAnsi="Arial" w:cs="Arial"/>
          <w:sz w:val="20"/>
          <w:szCs w:val="20"/>
        </w:rPr>
        <w:t xml:space="preserve">should reference </w:t>
      </w:r>
      <w:r>
        <w:rPr>
          <w:rFonts w:ascii="Arial" w:hAnsi="Arial" w:cs="Arial"/>
          <w:sz w:val="20"/>
          <w:szCs w:val="20"/>
        </w:rPr>
        <w:t xml:space="preserve">NIST’s </w:t>
      </w:r>
      <w:r w:rsidR="009F26E0" w:rsidRPr="00C4643D">
        <w:rPr>
          <w:rFonts w:ascii="Arial" w:hAnsi="Arial" w:cs="Arial"/>
          <w:sz w:val="20"/>
          <w:szCs w:val="20"/>
        </w:rPr>
        <w:t xml:space="preserve">Cybersecurity Framework </w:t>
      </w:r>
      <w:r>
        <w:rPr>
          <w:rFonts w:ascii="Arial" w:hAnsi="Arial" w:cs="Arial"/>
          <w:sz w:val="20"/>
          <w:szCs w:val="20"/>
        </w:rPr>
        <w:t xml:space="preserve">sections </w:t>
      </w:r>
      <w:r w:rsidR="009F26E0" w:rsidRPr="00C4643D">
        <w:rPr>
          <w:rFonts w:ascii="Arial" w:hAnsi="Arial" w:cs="Arial"/>
          <w:sz w:val="20"/>
          <w:szCs w:val="20"/>
        </w:rPr>
        <w:t xml:space="preserve">to improve its cybersecurity infrastructure (NIST, 2018).  </w:t>
      </w:r>
      <w:r w:rsidR="009F26E0">
        <w:rPr>
          <w:rFonts w:ascii="Arial" w:hAnsi="Arial" w:cs="Arial"/>
          <w:sz w:val="20"/>
          <w:szCs w:val="20"/>
        </w:rPr>
        <w:t xml:space="preserve"> </w:t>
      </w:r>
    </w:p>
    <w:p w14:paraId="278E6CB7" w14:textId="6BF6313C" w:rsidR="00F24701" w:rsidRPr="00F24701" w:rsidRDefault="00F24701" w:rsidP="00F24701">
      <w:pPr>
        <w:pStyle w:val="ListParagraph"/>
        <w:numPr>
          <w:ilvl w:val="0"/>
          <w:numId w:val="5"/>
        </w:numPr>
        <w:rPr>
          <w:rFonts w:ascii="Arial" w:hAnsi="Arial" w:cs="Arial"/>
          <w:sz w:val="20"/>
          <w:szCs w:val="20"/>
        </w:rPr>
      </w:pPr>
      <w:r>
        <w:rPr>
          <w:rFonts w:ascii="Arial" w:hAnsi="Arial" w:cs="Arial"/>
          <w:sz w:val="20"/>
          <w:szCs w:val="20"/>
        </w:rPr>
        <w:t xml:space="preserve">Protect; </w:t>
      </w:r>
      <w:r w:rsidRPr="00A129D4">
        <w:rPr>
          <w:rFonts w:ascii="Arial" w:hAnsi="Arial" w:cs="Arial"/>
          <w:color w:val="000000" w:themeColor="text1"/>
          <w:sz w:val="20"/>
          <w:szCs w:val="20"/>
        </w:rPr>
        <w:t>The principle of least functionality is incorporated by configuring systems to provide only essential capabilities</w:t>
      </w:r>
      <w:r>
        <w:rPr>
          <w:rFonts w:ascii="Arial" w:hAnsi="Arial" w:cs="Arial"/>
          <w:color w:val="000000" w:themeColor="text1"/>
          <w:sz w:val="20"/>
          <w:szCs w:val="20"/>
        </w:rPr>
        <w:t>.</w:t>
      </w:r>
    </w:p>
    <w:p w14:paraId="5ECBCE98" w14:textId="2A83F899" w:rsidR="00F24701" w:rsidRPr="00F24701" w:rsidRDefault="00F24701" w:rsidP="00F24701">
      <w:pPr>
        <w:pStyle w:val="ListParagraph"/>
        <w:numPr>
          <w:ilvl w:val="0"/>
          <w:numId w:val="5"/>
        </w:numPr>
        <w:rPr>
          <w:rFonts w:ascii="Arial" w:hAnsi="Arial" w:cs="Arial"/>
          <w:sz w:val="20"/>
          <w:szCs w:val="20"/>
        </w:rPr>
      </w:pPr>
      <w:r>
        <w:rPr>
          <w:rFonts w:ascii="Arial" w:hAnsi="Arial" w:cs="Arial"/>
          <w:sz w:val="20"/>
          <w:szCs w:val="20"/>
        </w:rPr>
        <w:t xml:space="preserve">Protect; </w:t>
      </w:r>
      <w:r w:rsidRPr="00A129D4">
        <w:rPr>
          <w:rFonts w:ascii="Arial" w:hAnsi="Arial" w:cs="Arial"/>
          <w:color w:val="000000" w:themeColor="text1"/>
          <w:sz w:val="20"/>
          <w:szCs w:val="20"/>
        </w:rPr>
        <w:t>Remote access is managed</w:t>
      </w:r>
    </w:p>
    <w:p w14:paraId="23E4BF6E" w14:textId="1BAED0C7" w:rsidR="00F24701" w:rsidRPr="00F24701" w:rsidRDefault="00F24701" w:rsidP="00F24701">
      <w:pPr>
        <w:pStyle w:val="ListParagraph"/>
        <w:numPr>
          <w:ilvl w:val="0"/>
          <w:numId w:val="5"/>
        </w:numPr>
        <w:rPr>
          <w:rFonts w:ascii="Arial" w:hAnsi="Arial" w:cs="Arial"/>
          <w:sz w:val="20"/>
          <w:szCs w:val="20"/>
        </w:rPr>
      </w:pPr>
      <w:r>
        <w:rPr>
          <w:rFonts w:ascii="Arial" w:hAnsi="Arial" w:cs="Arial"/>
          <w:color w:val="000000" w:themeColor="text1"/>
          <w:sz w:val="20"/>
          <w:szCs w:val="20"/>
        </w:rPr>
        <w:t xml:space="preserve">Respond; </w:t>
      </w:r>
      <w:r w:rsidRPr="00A129D4">
        <w:rPr>
          <w:rFonts w:ascii="Arial" w:hAnsi="Arial" w:cs="Arial"/>
          <w:color w:val="000000" w:themeColor="text1"/>
          <w:sz w:val="20"/>
          <w:szCs w:val="20"/>
        </w:rPr>
        <w:t>Voluntary information sharing occurs with external stakeholders</w:t>
      </w:r>
      <w:r>
        <w:rPr>
          <w:rFonts w:ascii="Arial" w:hAnsi="Arial" w:cs="Arial"/>
          <w:color w:val="000000" w:themeColor="text1"/>
          <w:sz w:val="20"/>
          <w:szCs w:val="20"/>
        </w:rPr>
        <w:t>.</w:t>
      </w:r>
    </w:p>
    <w:p w14:paraId="1C8C14DF" w14:textId="1EE7AA80" w:rsidR="00F24701" w:rsidRPr="00F24701" w:rsidRDefault="00F24701" w:rsidP="00F24701">
      <w:pPr>
        <w:pStyle w:val="ListParagraph"/>
        <w:numPr>
          <w:ilvl w:val="0"/>
          <w:numId w:val="5"/>
        </w:numPr>
        <w:rPr>
          <w:rFonts w:ascii="Arial" w:hAnsi="Arial" w:cs="Arial"/>
          <w:sz w:val="20"/>
          <w:szCs w:val="20"/>
        </w:rPr>
      </w:pPr>
      <w:r>
        <w:rPr>
          <w:rFonts w:ascii="Arial" w:hAnsi="Arial" w:cs="Arial"/>
          <w:sz w:val="20"/>
          <w:szCs w:val="20"/>
        </w:rPr>
        <w:t xml:space="preserve">Recover; </w:t>
      </w:r>
      <w:r w:rsidRPr="00A129D4">
        <w:rPr>
          <w:rFonts w:ascii="Arial" w:hAnsi="Arial" w:cs="Arial"/>
          <w:color w:val="000000" w:themeColor="text1"/>
          <w:sz w:val="20"/>
          <w:szCs w:val="20"/>
        </w:rPr>
        <w:t>Reputation is repaired after an incident</w:t>
      </w:r>
      <w:r>
        <w:rPr>
          <w:rFonts w:ascii="Arial" w:hAnsi="Arial" w:cs="Arial"/>
          <w:color w:val="000000" w:themeColor="text1"/>
          <w:sz w:val="20"/>
          <w:szCs w:val="20"/>
        </w:rPr>
        <w:t>.</w:t>
      </w:r>
    </w:p>
    <w:p w14:paraId="7AD08EC2" w14:textId="22567818" w:rsidR="009F26E0" w:rsidRPr="00C4643D" w:rsidRDefault="00A129D4" w:rsidP="009F26E0">
      <w:pPr>
        <w:rPr>
          <w:rFonts w:ascii="Arial" w:hAnsi="Arial" w:cs="Arial"/>
          <w:sz w:val="20"/>
          <w:szCs w:val="20"/>
        </w:rPr>
      </w:pPr>
      <w:r>
        <w:rPr>
          <w:rFonts w:ascii="Arial" w:hAnsi="Arial" w:cs="Arial"/>
          <w:sz w:val="20"/>
          <w:szCs w:val="20"/>
        </w:rPr>
        <w:t>As shown by the Okta breach it</w:t>
      </w:r>
      <w:r w:rsidR="009F26E0" w:rsidRPr="00C4643D">
        <w:rPr>
          <w:rFonts w:ascii="Arial" w:hAnsi="Arial" w:cs="Arial"/>
          <w:sz w:val="20"/>
          <w:szCs w:val="20"/>
        </w:rPr>
        <w:t xml:space="preserve"> is important to assess the risk brought on by third-party vendors. There need</w:t>
      </w:r>
      <w:r w:rsidR="009F26E0">
        <w:rPr>
          <w:rFonts w:ascii="Arial" w:hAnsi="Arial" w:cs="Arial"/>
          <w:sz w:val="20"/>
          <w:szCs w:val="20"/>
        </w:rPr>
        <w:t>s</w:t>
      </w:r>
      <w:r w:rsidR="009F26E0" w:rsidRPr="00C4643D">
        <w:rPr>
          <w:rFonts w:ascii="Arial" w:hAnsi="Arial" w:cs="Arial"/>
          <w:sz w:val="20"/>
          <w:szCs w:val="20"/>
        </w:rPr>
        <w:t xml:space="preserve"> to be third-party agreements signed showing the vendor understands its contractual obligation to follow specific cybersecurity policies. The company should only allow the third-party vendor access to only essential capabilities</w:t>
      </w:r>
      <w:r w:rsidR="009F26E0">
        <w:rPr>
          <w:rFonts w:ascii="Arial" w:hAnsi="Arial" w:cs="Arial"/>
          <w:sz w:val="20"/>
          <w:szCs w:val="20"/>
        </w:rPr>
        <w:t xml:space="preserve"> and data</w:t>
      </w:r>
      <w:r w:rsidR="009F26E0" w:rsidRPr="00C4643D">
        <w:rPr>
          <w:rFonts w:ascii="Arial" w:hAnsi="Arial" w:cs="Arial"/>
          <w:sz w:val="20"/>
          <w:szCs w:val="20"/>
        </w:rPr>
        <w:t xml:space="preserve"> to do their job</w:t>
      </w:r>
      <w:r w:rsidR="009F26E0">
        <w:rPr>
          <w:rFonts w:ascii="Arial" w:hAnsi="Arial" w:cs="Arial"/>
          <w:sz w:val="20"/>
          <w:szCs w:val="20"/>
        </w:rPr>
        <w:t>.</w:t>
      </w:r>
    </w:p>
    <w:p w14:paraId="2E01ADC7" w14:textId="77777777" w:rsidR="009F26E0" w:rsidRPr="00C4643D" w:rsidRDefault="009F26E0" w:rsidP="009F26E0">
      <w:pPr>
        <w:rPr>
          <w:rFonts w:ascii="Arial" w:hAnsi="Arial" w:cs="Arial"/>
          <w:sz w:val="20"/>
          <w:szCs w:val="20"/>
        </w:rPr>
      </w:pPr>
      <w:r w:rsidRPr="00C4643D">
        <w:rPr>
          <w:rFonts w:ascii="Arial" w:hAnsi="Arial" w:cs="Arial"/>
          <w:sz w:val="20"/>
          <w:szCs w:val="20"/>
        </w:rPr>
        <w:t>Vendors must follow the same authentication practices for remote access as the company. Allowing vendors weaker endpoint security will open the network to many different threats. As in the case of Okta, their vendor should have been using the same authentication method as the company. Once an incident occurs, both sides must communicate so they have situational awareness and can take steps to mitigate any additional harm in the meantime. In the case of Okta, they left the investigation up to the third-party vendor. They did not address anything until the vendor handed them the forensic investigation. The delay resulted in an additional delay in reporting the incident, which led to an increased reputational loss.</w:t>
      </w:r>
    </w:p>
    <w:p w14:paraId="10BA532E" w14:textId="4B4451AE" w:rsidR="00FF2298" w:rsidRDefault="009F26E0" w:rsidP="009F26E0">
      <w:pPr>
        <w:rPr>
          <w:rFonts w:ascii="Arial" w:hAnsi="Arial" w:cs="Arial"/>
          <w:sz w:val="20"/>
          <w:szCs w:val="20"/>
        </w:rPr>
      </w:pPr>
      <w:r w:rsidRPr="00C4643D">
        <w:rPr>
          <w:rFonts w:ascii="Arial" w:hAnsi="Arial" w:cs="Arial"/>
          <w:sz w:val="20"/>
          <w:szCs w:val="20"/>
        </w:rPr>
        <w:t xml:space="preserve">We recommend the cybersecurity team perform a vendor risk assessment. An assessment would reveal if all vendors </w:t>
      </w:r>
      <w:proofErr w:type="gramStart"/>
      <w:r w:rsidRPr="00C4643D">
        <w:rPr>
          <w:rFonts w:ascii="Arial" w:hAnsi="Arial" w:cs="Arial"/>
          <w:sz w:val="20"/>
          <w:szCs w:val="20"/>
        </w:rPr>
        <w:t>follow</w:t>
      </w:r>
      <w:proofErr w:type="gramEnd"/>
      <w:r w:rsidRPr="00C4643D">
        <w:rPr>
          <w:rFonts w:ascii="Arial" w:hAnsi="Arial" w:cs="Arial"/>
          <w:sz w:val="20"/>
          <w:szCs w:val="20"/>
        </w:rPr>
        <w:t xml:space="preserve"> the same security posture and utilize MFA authentication </w:t>
      </w:r>
      <w:r>
        <w:rPr>
          <w:rFonts w:ascii="Arial" w:hAnsi="Arial" w:cs="Arial"/>
          <w:sz w:val="20"/>
          <w:szCs w:val="20"/>
        </w:rPr>
        <w:t>standards</w:t>
      </w:r>
      <w:r w:rsidRPr="00C4643D">
        <w:rPr>
          <w:rFonts w:ascii="Arial" w:hAnsi="Arial" w:cs="Arial"/>
          <w:sz w:val="20"/>
          <w:szCs w:val="20"/>
        </w:rPr>
        <w:t xml:space="preserve">. We recommend establishing a cyber incident response communication plan. Following the plan, the company would provide timely, accurate information to the public once a breach is identified. The company should also develop a plan to repair reputational risk </w:t>
      </w:r>
      <w:r>
        <w:rPr>
          <w:rFonts w:ascii="Arial" w:hAnsi="Arial" w:cs="Arial"/>
          <w:sz w:val="20"/>
          <w:szCs w:val="20"/>
        </w:rPr>
        <w:t>when</w:t>
      </w:r>
      <w:r w:rsidRPr="00C4643D">
        <w:rPr>
          <w:rFonts w:ascii="Arial" w:hAnsi="Arial" w:cs="Arial"/>
          <w:sz w:val="20"/>
          <w:szCs w:val="20"/>
        </w:rPr>
        <w:t xml:space="preserve"> a breach occurs.</w:t>
      </w:r>
    </w:p>
    <w:p w14:paraId="395DF90A" w14:textId="77777777" w:rsidR="009F26E0" w:rsidRPr="00C4643D" w:rsidRDefault="009F26E0" w:rsidP="009F26E0">
      <w:pPr>
        <w:rPr>
          <w:rFonts w:ascii="Arial" w:hAnsi="Arial" w:cs="Arial"/>
          <w:b/>
          <w:bCs/>
          <w:sz w:val="20"/>
          <w:szCs w:val="20"/>
        </w:rPr>
      </w:pPr>
      <w:r w:rsidRPr="00C4643D">
        <w:rPr>
          <w:rFonts w:ascii="Arial" w:hAnsi="Arial" w:cs="Arial"/>
          <w:b/>
          <w:bCs/>
          <w:sz w:val="20"/>
          <w:szCs w:val="20"/>
        </w:rPr>
        <w:t xml:space="preserve">Unintended disclosure (DISC) Case: Texas Department of Insurance Data Leak </w:t>
      </w:r>
    </w:p>
    <w:p w14:paraId="6527BF42" w14:textId="77777777" w:rsidR="009F26E0" w:rsidRDefault="009F26E0" w:rsidP="009F26E0">
      <w:pPr>
        <w:jc w:val="center"/>
        <w:rPr>
          <w:rFonts w:ascii="Arial" w:hAnsi="Arial" w:cs="Arial"/>
          <w:b/>
          <w:bCs/>
          <w:sz w:val="20"/>
          <w:szCs w:val="20"/>
        </w:rPr>
      </w:pPr>
      <w:r w:rsidRPr="007E5329">
        <w:rPr>
          <w:rFonts w:ascii="Arial" w:hAnsi="Arial" w:cs="Arial"/>
          <w:b/>
          <w:bCs/>
          <w:sz w:val="20"/>
          <w:szCs w:val="20"/>
        </w:rPr>
        <w:t>Texas Department of Insurance Data Leak</w:t>
      </w:r>
    </w:p>
    <w:p w14:paraId="40E143E2" w14:textId="77777777" w:rsidR="009F26E0" w:rsidRPr="00D320E8" w:rsidRDefault="009F26E0" w:rsidP="009F26E0">
      <w:pPr>
        <w:rPr>
          <w:rFonts w:ascii="Arial" w:hAnsi="Arial" w:cs="Arial"/>
          <w:sz w:val="20"/>
          <w:szCs w:val="20"/>
        </w:rPr>
      </w:pPr>
      <w:r w:rsidRPr="00D320E8">
        <w:rPr>
          <w:rFonts w:ascii="Arial" w:hAnsi="Arial" w:cs="Arial"/>
          <w:sz w:val="20"/>
          <w:szCs w:val="20"/>
        </w:rPr>
        <w:t xml:space="preserve">On March 24, 2022, the Texas Department of Insurance (TDI) issued a notice of a data security incident. On January 4, 2022, TDI discovered that one of its web applications was open to anyone on the internet due to a coding issue (TDI, 2022). TDI unintentionally disclosed workers' compensation information, including dates of birth, Social Security numbers, and information about injuries of 1.8 million people from March 2019 until January 2022. </w:t>
      </w:r>
    </w:p>
    <w:p w14:paraId="1CF60713" w14:textId="6C022634" w:rsidR="009F26E0" w:rsidRDefault="009F26E0" w:rsidP="009F26E0">
      <w:pPr>
        <w:rPr>
          <w:rFonts w:ascii="Arial" w:hAnsi="Arial" w:cs="Arial"/>
          <w:sz w:val="20"/>
          <w:szCs w:val="20"/>
        </w:rPr>
      </w:pPr>
      <w:r w:rsidRPr="00D320E8">
        <w:rPr>
          <w:rFonts w:ascii="Arial" w:hAnsi="Arial" w:cs="Arial"/>
          <w:sz w:val="20"/>
          <w:szCs w:val="20"/>
        </w:rPr>
        <w:t xml:space="preserve">The web server interacts with insurance companies as they upload their claim information to TDI for compliance purposes. Once TDI discovered that the data was accessible, they immediately took the server off the network and </w:t>
      </w:r>
      <w:r>
        <w:rPr>
          <w:rFonts w:ascii="Arial" w:hAnsi="Arial" w:cs="Arial"/>
          <w:sz w:val="20"/>
          <w:szCs w:val="20"/>
        </w:rPr>
        <w:t>corrected</w:t>
      </w:r>
      <w:r w:rsidRPr="00D320E8">
        <w:rPr>
          <w:rFonts w:ascii="Arial" w:hAnsi="Arial" w:cs="Arial"/>
          <w:sz w:val="20"/>
          <w:szCs w:val="20"/>
        </w:rPr>
        <w:t xml:space="preserve"> the bad code. The Texas government then hired a forensics company to investigate the event's scope and scan the internet for possible compromised data. Up to this point, the forensics company has not found any signs of data leakage. As part of the announcement, TDI </w:t>
      </w:r>
      <w:r w:rsidRPr="006E3822">
        <w:rPr>
          <w:rFonts w:ascii="Arial" w:hAnsi="Arial" w:cs="Arial"/>
          <w:sz w:val="20"/>
          <w:szCs w:val="20"/>
        </w:rPr>
        <w:t xml:space="preserve">promised to provide anyone affected by the unintended disclosure a free year of credit monitoring. </w:t>
      </w:r>
    </w:p>
    <w:p w14:paraId="3A8A197D" w14:textId="027AC2CF" w:rsidR="009F26E0" w:rsidRPr="006E3822" w:rsidRDefault="009F26E0" w:rsidP="009F26E0">
      <w:pPr>
        <w:rPr>
          <w:rFonts w:ascii="Arial" w:hAnsi="Arial" w:cs="Arial"/>
          <w:sz w:val="20"/>
          <w:szCs w:val="20"/>
        </w:rPr>
      </w:pPr>
      <w:r w:rsidRPr="006E3822">
        <w:rPr>
          <w:rFonts w:ascii="Arial" w:hAnsi="Arial" w:cs="Arial"/>
          <w:sz w:val="20"/>
          <w:szCs w:val="20"/>
        </w:rPr>
        <w:lastRenderedPageBreak/>
        <w:t>The State of Texas conducted an audit while a programming error was discovered. The audit report published on May 12, 2022, indicated the programming error allowed access to a protected application (Collier, 2022). Unfortunately, most audit details are omitted and exempt from</w:t>
      </w:r>
      <w:r>
        <w:rPr>
          <w:rFonts w:ascii="Arial" w:hAnsi="Arial" w:cs="Arial"/>
          <w:sz w:val="20"/>
          <w:szCs w:val="20"/>
        </w:rPr>
        <w:t xml:space="preserve"> the Texas Public Information Act. </w:t>
      </w:r>
      <w:r w:rsidRPr="006E3822">
        <w:rPr>
          <w:rFonts w:ascii="Arial" w:hAnsi="Arial" w:cs="Arial"/>
          <w:sz w:val="20"/>
          <w:szCs w:val="20"/>
        </w:rPr>
        <w:t>The published audit leaves out any details of the programming code error that allowed the public access to sensitive information.</w:t>
      </w:r>
    </w:p>
    <w:p w14:paraId="16FE6B10" w14:textId="1650F78D" w:rsidR="009F26E0" w:rsidRDefault="009F26E0" w:rsidP="009F26E0">
      <w:pPr>
        <w:rPr>
          <w:rFonts w:ascii="Arial" w:hAnsi="Arial" w:cs="Arial"/>
          <w:sz w:val="20"/>
          <w:szCs w:val="20"/>
        </w:rPr>
      </w:pPr>
      <w:r w:rsidRPr="00AE3E6F">
        <w:rPr>
          <w:rFonts w:ascii="Arial" w:hAnsi="Arial" w:cs="Arial"/>
          <w:sz w:val="20"/>
          <w:szCs w:val="20"/>
        </w:rPr>
        <w:t>The first noticeable problem with the TDI’s data leak is that the sensitive information should have never been accessible through a public web server, even if there was a programming error. TDI’s network should not allow public web server traffic into their local area network database servers where they should keep sensitive information. The public web server should be partitioned into a DMZ to protect the rest of the network from outside traffic. TDI’s situation is unique because they collect data from the insurance companies to ensure compliance. For this special relationship, TDI should create an extranet for the insurance companies. Using an extranet, they can access data through an encrypted VPN tunnel.</w:t>
      </w:r>
    </w:p>
    <w:p w14:paraId="01ED5999" w14:textId="5D314C4E" w:rsidR="003C098F" w:rsidRDefault="00A129D4" w:rsidP="003C098F">
      <w:pPr>
        <w:rPr>
          <w:rFonts w:ascii="Arial" w:hAnsi="Arial" w:cs="Arial"/>
          <w:sz w:val="20"/>
          <w:szCs w:val="20"/>
        </w:rPr>
      </w:pPr>
      <w:r>
        <w:rPr>
          <w:noProof/>
        </w:rPr>
        <mc:AlternateContent>
          <mc:Choice Requires="wps">
            <w:drawing>
              <wp:anchor distT="0" distB="0" distL="114300" distR="114300" simplePos="0" relativeHeight="251663360" behindDoc="0" locked="0" layoutInCell="1" allowOverlap="1" wp14:anchorId="18B74286" wp14:editId="121C1341">
                <wp:simplePos x="0" y="0"/>
                <wp:positionH relativeFrom="column">
                  <wp:posOffset>792480</wp:posOffset>
                </wp:positionH>
                <wp:positionV relativeFrom="paragraph">
                  <wp:posOffset>2428240</wp:posOffset>
                </wp:positionV>
                <wp:extent cx="594360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9008AB8" w14:textId="34D69713" w:rsidR="008E3F26" w:rsidRPr="008E3F26" w:rsidRDefault="008E3F26" w:rsidP="008E3F26">
                            <w:pPr>
                              <w:pStyle w:val="Caption"/>
                            </w:pPr>
                            <w:r>
                              <w:t xml:space="preserve">Figure </w:t>
                            </w:r>
                            <w:fldSimple w:instr=" SEQ Figure \* ARABIC ">
                              <w:r>
                                <w:rPr>
                                  <w:noProof/>
                                </w:rPr>
                                <w:t>1</w:t>
                              </w:r>
                            </w:fldSimple>
                            <w:r>
                              <w:t xml:space="preserve"> – Possible TDI Network Diagram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B74286" id="_x0000_t202" coordsize="21600,21600" o:spt="202" path="m,l,21600r21600,l21600,xe">
                <v:stroke joinstyle="miter"/>
                <v:path gradientshapeok="t" o:connecttype="rect"/>
              </v:shapetype>
              <v:shape id="Text Box 3" o:spid="_x0000_s1026" type="#_x0000_t202" style="position:absolute;margin-left:62.4pt;margin-top:191.2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" stroked="f">
                <v:textbox style="mso-fit-shape-to-text:t" inset="0,0,0,0">
                  <w:txbxContent>
                    <w:p w14:paraId="49008AB8" w14:textId="34D69713" w:rsidR="008E3F26" w:rsidRPr="008E3F26" w:rsidRDefault="008E3F26" w:rsidP="008E3F26">
                      <w:pPr>
                        <w:pStyle w:val="Caption"/>
                      </w:pPr>
                      <w:r>
                        <w:t xml:space="preserve">Figure </w:t>
                      </w:r>
                      <w:fldSimple w:instr=" SEQ Figure \* ARABIC ">
                        <w:r>
                          <w:rPr>
                            <w:noProof/>
                          </w:rPr>
                          <w:t>1</w:t>
                        </w:r>
                      </w:fldSimple>
                      <w:r>
                        <w:t xml:space="preserve"> – Possible TDI Network Diagram </w:t>
                      </w:r>
                    </w:p>
                  </w:txbxContent>
                </v:textbox>
                <w10:wrap type="topAndBottom"/>
              </v:shape>
            </w:pict>
          </mc:Fallback>
        </mc:AlternateContent>
      </w:r>
      <w:r w:rsidRPr="006E3822">
        <w:rPr>
          <w:rFonts w:ascii="Arial" w:hAnsi="Arial" w:cs="Arial"/>
          <w:noProof/>
          <w:sz w:val="20"/>
          <w:szCs w:val="20"/>
        </w:rPr>
        <w:drawing>
          <wp:anchor distT="0" distB="0" distL="114300" distR="114300" simplePos="0" relativeHeight="251661312" behindDoc="0" locked="0" layoutInCell="1" allowOverlap="1" wp14:anchorId="234BD46C" wp14:editId="737C6DF8">
            <wp:simplePos x="0" y="0"/>
            <wp:positionH relativeFrom="margin">
              <wp:posOffset>586740</wp:posOffset>
            </wp:positionH>
            <wp:positionV relativeFrom="paragraph">
              <wp:posOffset>525780</wp:posOffset>
            </wp:positionV>
            <wp:extent cx="4343400" cy="2042795"/>
            <wp:effectExtent l="0" t="0" r="0" b="0"/>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3400" cy="2042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98F" w:rsidRPr="00AE3E6F">
        <w:rPr>
          <w:rFonts w:ascii="Arial" w:hAnsi="Arial" w:cs="Arial"/>
          <w:sz w:val="20"/>
          <w:szCs w:val="20"/>
        </w:rPr>
        <w:t xml:space="preserve">This setup would allow the insurance companies secure access to TDI’s databases without exposure to any public internet server. The setup would also protect TDI’s main network from the insurance companies. The VPN gateway can direct the insurance company traffic into the extranet. </w:t>
      </w:r>
    </w:p>
    <w:p w14:paraId="0992F7C9" w14:textId="2AF14253" w:rsidR="003C098F" w:rsidRPr="00AE3E6F" w:rsidRDefault="003C098F" w:rsidP="003C098F">
      <w:pPr>
        <w:rPr>
          <w:rFonts w:ascii="Arial" w:hAnsi="Arial" w:cs="Arial"/>
          <w:sz w:val="20"/>
          <w:szCs w:val="20"/>
        </w:rPr>
      </w:pPr>
      <w:r w:rsidRPr="00AE3E6F">
        <w:rPr>
          <w:rFonts w:ascii="Arial" w:hAnsi="Arial" w:cs="Arial"/>
          <w:sz w:val="20"/>
          <w:szCs w:val="20"/>
        </w:rPr>
        <w:t xml:space="preserve">TDI can also use basic access rights to ensure only assigned users have read and write capabilities. By restricting access rights, they can ensure the integrity of the data in the extranet. Since the data that was disclosed included public health information (PHI), it would fall under HIPPA regulations. HIPPA indicates that the organization should only allow the minimum necessary authorized access (Department of Health and Human Services, 2022). TDI should only authorize users that need to update the databases and should follow the guidance of least privilege. </w:t>
      </w:r>
    </w:p>
    <w:p w14:paraId="66388C26" w14:textId="3470B5A9" w:rsidR="003C098F" w:rsidRDefault="003C098F" w:rsidP="003C098F">
      <w:pPr>
        <w:rPr>
          <w:rFonts w:ascii="Arial" w:hAnsi="Arial" w:cs="Arial"/>
          <w:sz w:val="20"/>
          <w:szCs w:val="20"/>
        </w:rPr>
      </w:pPr>
      <w:r w:rsidRPr="00AE3E6F">
        <w:rPr>
          <w:rFonts w:ascii="Arial" w:hAnsi="Arial" w:cs="Arial"/>
          <w:sz w:val="20"/>
          <w:szCs w:val="20"/>
        </w:rPr>
        <w:t xml:space="preserve">The Workers’ Compensation insurance providers provided the data that was being stored for compliance purposes. Once the data is provided, it should have been encrypted in the database and classified as highly sensitive. TDI also </w:t>
      </w:r>
      <w:r>
        <w:rPr>
          <w:rFonts w:ascii="Arial" w:hAnsi="Arial" w:cs="Arial"/>
          <w:sz w:val="20"/>
          <w:szCs w:val="20"/>
        </w:rPr>
        <w:t>needs</w:t>
      </w:r>
      <w:r w:rsidRPr="00AE3E6F">
        <w:rPr>
          <w:rFonts w:ascii="Arial" w:hAnsi="Arial" w:cs="Arial"/>
          <w:sz w:val="20"/>
          <w:szCs w:val="20"/>
        </w:rPr>
        <w:t xml:space="preserve"> to mask the sensitive data from any logs and make sure it is removed when it is no longer needed for compliance purposes. TDI should have also implemented more vulnerability scanning, penetration testing, and code testing of its application software to find the coding error sooner. </w:t>
      </w:r>
    </w:p>
    <w:p w14:paraId="2B346E64" w14:textId="66442928" w:rsidR="00DB771E" w:rsidRDefault="00DB771E" w:rsidP="003C098F">
      <w:pPr>
        <w:rPr>
          <w:rFonts w:ascii="Arial" w:hAnsi="Arial" w:cs="Arial"/>
          <w:sz w:val="20"/>
          <w:szCs w:val="20"/>
        </w:rPr>
      </w:pPr>
      <w:r>
        <w:rPr>
          <w:rFonts w:ascii="Arial" w:hAnsi="Arial" w:cs="Arial"/>
          <w:sz w:val="20"/>
          <w:szCs w:val="20"/>
        </w:rPr>
        <w:t>T</w:t>
      </w:r>
      <w:r w:rsidR="003C098F" w:rsidRPr="00D320E8">
        <w:rPr>
          <w:rFonts w:ascii="Arial" w:hAnsi="Arial" w:cs="Arial"/>
          <w:sz w:val="20"/>
          <w:szCs w:val="20"/>
        </w:rPr>
        <w:t>he Texas Department of Insurance should reference</w:t>
      </w:r>
      <w:r>
        <w:rPr>
          <w:rFonts w:ascii="Arial" w:hAnsi="Arial" w:cs="Arial"/>
          <w:sz w:val="20"/>
          <w:szCs w:val="20"/>
        </w:rPr>
        <w:t xml:space="preserve"> the</w:t>
      </w:r>
      <w:r w:rsidR="003C098F" w:rsidRPr="00D320E8">
        <w:rPr>
          <w:rFonts w:ascii="Arial" w:hAnsi="Arial" w:cs="Arial"/>
          <w:sz w:val="20"/>
          <w:szCs w:val="20"/>
        </w:rPr>
        <w:t xml:space="preserve"> </w:t>
      </w:r>
      <w:proofErr w:type="spellStart"/>
      <w:r w:rsidR="003C098F" w:rsidRPr="00D320E8">
        <w:rPr>
          <w:rFonts w:ascii="Arial" w:hAnsi="Arial" w:cs="Arial"/>
          <w:sz w:val="20"/>
          <w:szCs w:val="20"/>
        </w:rPr>
        <w:t>the</w:t>
      </w:r>
      <w:proofErr w:type="spellEnd"/>
      <w:r w:rsidR="003C098F" w:rsidRPr="00D320E8">
        <w:rPr>
          <w:rFonts w:ascii="Arial" w:hAnsi="Arial" w:cs="Arial"/>
          <w:sz w:val="20"/>
          <w:szCs w:val="20"/>
        </w:rPr>
        <w:t xml:space="preserve"> N</w:t>
      </w:r>
      <w:r w:rsidR="00F24701">
        <w:rPr>
          <w:rFonts w:ascii="Arial" w:hAnsi="Arial" w:cs="Arial"/>
          <w:sz w:val="20"/>
          <w:szCs w:val="20"/>
        </w:rPr>
        <w:t>IST</w:t>
      </w:r>
      <w:r w:rsidR="003C098F" w:rsidRPr="00D320E8">
        <w:rPr>
          <w:rFonts w:ascii="Arial" w:hAnsi="Arial" w:cs="Arial"/>
          <w:sz w:val="20"/>
          <w:szCs w:val="20"/>
        </w:rPr>
        <w:t xml:space="preserve">'s Cybersecurity Framework to improve their cybersecurity infrastructure (NIST, 2018). </w:t>
      </w:r>
      <w:r>
        <w:rPr>
          <w:rFonts w:ascii="Arial" w:hAnsi="Arial" w:cs="Arial"/>
          <w:sz w:val="20"/>
          <w:szCs w:val="20"/>
        </w:rPr>
        <w:t xml:space="preserve">They should reference the following sections: </w:t>
      </w:r>
    </w:p>
    <w:p w14:paraId="22656C22" w14:textId="6273746B" w:rsidR="003C098F" w:rsidRPr="00DB771E" w:rsidRDefault="00DB771E" w:rsidP="00DB771E">
      <w:pPr>
        <w:pStyle w:val="ListParagraph"/>
        <w:numPr>
          <w:ilvl w:val="0"/>
          <w:numId w:val="4"/>
        </w:numPr>
        <w:rPr>
          <w:rFonts w:ascii="Arial" w:hAnsi="Arial" w:cs="Arial"/>
          <w:sz w:val="20"/>
          <w:szCs w:val="20"/>
        </w:rPr>
      </w:pPr>
      <w:r>
        <w:rPr>
          <w:rFonts w:ascii="Arial" w:hAnsi="Arial" w:cs="Arial"/>
          <w:sz w:val="20"/>
          <w:szCs w:val="20"/>
        </w:rPr>
        <w:t>Protect;</w:t>
      </w:r>
      <w:r w:rsidRPr="00DB771E">
        <w:rPr>
          <w:rFonts w:ascii="Arial" w:hAnsi="Arial" w:cs="Arial"/>
          <w:color w:val="000000" w:themeColor="text1"/>
          <w:sz w:val="20"/>
          <w:szCs w:val="20"/>
        </w:rPr>
        <w:t xml:space="preserve"> </w:t>
      </w:r>
      <w:r w:rsidRPr="00565293">
        <w:rPr>
          <w:rFonts w:ascii="Arial" w:hAnsi="Arial" w:cs="Arial"/>
          <w:color w:val="000000" w:themeColor="text1"/>
          <w:sz w:val="20"/>
          <w:szCs w:val="20"/>
        </w:rPr>
        <w:t>Access permissions and authorizations are managed, incorporating the principles of least privilege and separation of duties</w:t>
      </w:r>
      <w:r>
        <w:rPr>
          <w:rFonts w:ascii="Arial" w:hAnsi="Arial" w:cs="Arial"/>
          <w:color w:val="000000" w:themeColor="text1"/>
          <w:sz w:val="20"/>
          <w:szCs w:val="20"/>
        </w:rPr>
        <w:t>.</w:t>
      </w:r>
    </w:p>
    <w:p w14:paraId="0246121A" w14:textId="5797A55B" w:rsidR="00DB771E" w:rsidRPr="00DB771E" w:rsidRDefault="00DB771E" w:rsidP="00DB771E">
      <w:pPr>
        <w:pStyle w:val="ListParagraph"/>
        <w:numPr>
          <w:ilvl w:val="0"/>
          <w:numId w:val="4"/>
        </w:numPr>
        <w:rPr>
          <w:rFonts w:ascii="Arial" w:hAnsi="Arial" w:cs="Arial"/>
          <w:sz w:val="20"/>
          <w:szCs w:val="20"/>
        </w:rPr>
      </w:pPr>
      <w:r>
        <w:rPr>
          <w:rFonts w:ascii="Arial" w:hAnsi="Arial" w:cs="Arial"/>
          <w:color w:val="000000" w:themeColor="text1"/>
          <w:sz w:val="20"/>
          <w:szCs w:val="20"/>
        </w:rPr>
        <w:t xml:space="preserve">Protect; </w:t>
      </w:r>
      <w:r w:rsidRPr="00565293">
        <w:rPr>
          <w:rFonts w:ascii="Arial" w:hAnsi="Arial" w:cs="Arial"/>
          <w:color w:val="000000" w:themeColor="text1"/>
          <w:sz w:val="20"/>
          <w:szCs w:val="20"/>
        </w:rPr>
        <w:t>Network integrity is protected</w:t>
      </w:r>
      <w:r>
        <w:rPr>
          <w:rFonts w:ascii="Arial" w:hAnsi="Arial" w:cs="Arial"/>
          <w:color w:val="000000" w:themeColor="text1"/>
          <w:sz w:val="20"/>
          <w:szCs w:val="20"/>
        </w:rPr>
        <w:t>.</w:t>
      </w:r>
    </w:p>
    <w:p w14:paraId="026D418D" w14:textId="138A48CA" w:rsidR="00DB771E" w:rsidRPr="00DB771E" w:rsidRDefault="00DB771E" w:rsidP="00DB771E">
      <w:pPr>
        <w:pStyle w:val="ListParagraph"/>
        <w:numPr>
          <w:ilvl w:val="0"/>
          <w:numId w:val="4"/>
        </w:numPr>
        <w:rPr>
          <w:rFonts w:ascii="Arial" w:hAnsi="Arial" w:cs="Arial"/>
          <w:sz w:val="20"/>
          <w:szCs w:val="20"/>
        </w:rPr>
      </w:pPr>
      <w:r>
        <w:rPr>
          <w:rFonts w:ascii="Arial" w:hAnsi="Arial" w:cs="Arial"/>
          <w:color w:val="000000" w:themeColor="text1"/>
          <w:sz w:val="20"/>
          <w:szCs w:val="20"/>
        </w:rPr>
        <w:t xml:space="preserve">Protect; Data-at-rest is protected. </w:t>
      </w:r>
    </w:p>
    <w:p w14:paraId="3B17383D" w14:textId="707CC6DA" w:rsidR="00DB771E" w:rsidRPr="00DB771E" w:rsidRDefault="00DB771E" w:rsidP="00DB771E">
      <w:pPr>
        <w:pStyle w:val="ListParagraph"/>
        <w:numPr>
          <w:ilvl w:val="0"/>
          <w:numId w:val="4"/>
        </w:numPr>
        <w:rPr>
          <w:rFonts w:ascii="Arial" w:hAnsi="Arial" w:cs="Arial"/>
          <w:sz w:val="20"/>
          <w:szCs w:val="20"/>
        </w:rPr>
      </w:pPr>
      <w:r>
        <w:rPr>
          <w:rFonts w:ascii="Arial" w:hAnsi="Arial" w:cs="Arial"/>
          <w:sz w:val="20"/>
          <w:szCs w:val="20"/>
        </w:rPr>
        <w:t xml:space="preserve">Protect; </w:t>
      </w:r>
      <w:r w:rsidRPr="00565293">
        <w:rPr>
          <w:rFonts w:ascii="Arial" w:hAnsi="Arial" w:cs="Arial"/>
          <w:color w:val="000000" w:themeColor="text1"/>
          <w:sz w:val="20"/>
          <w:szCs w:val="20"/>
        </w:rPr>
        <w:t>Protections against data leaks are implemented</w:t>
      </w:r>
      <w:r>
        <w:rPr>
          <w:rFonts w:ascii="Arial" w:hAnsi="Arial" w:cs="Arial"/>
          <w:color w:val="000000" w:themeColor="text1"/>
          <w:sz w:val="20"/>
          <w:szCs w:val="20"/>
        </w:rPr>
        <w:t>.</w:t>
      </w:r>
    </w:p>
    <w:p w14:paraId="52295D68" w14:textId="096BB31F" w:rsidR="003C098F" w:rsidRDefault="003C098F" w:rsidP="003C098F">
      <w:pPr>
        <w:rPr>
          <w:rFonts w:ascii="Arial" w:hAnsi="Arial" w:cs="Arial"/>
          <w:sz w:val="20"/>
          <w:szCs w:val="20"/>
        </w:rPr>
      </w:pPr>
      <w:r w:rsidRPr="00AE3E6F">
        <w:rPr>
          <w:rFonts w:ascii="Arial" w:hAnsi="Arial" w:cs="Arial"/>
          <w:sz w:val="20"/>
          <w:szCs w:val="20"/>
        </w:rPr>
        <w:lastRenderedPageBreak/>
        <w:t xml:space="preserve">As a company, protecting sensitive data, especially PHI, is vital due to the possible civil penalties resulting from compliance violations. </w:t>
      </w:r>
      <w:r>
        <w:rPr>
          <w:rFonts w:ascii="Arial" w:hAnsi="Arial" w:cs="Arial"/>
          <w:sz w:val="20"/>
          <w:szCs w:val="20"/>
        </w:rPr>
        <w:t>I recommend the company review</w:t>
      </w:r>
      <w:r w:rsidRPr="00AE3E6F">
        <w:rPr>
          <w:rFonts w:ascii="Arial" w:hAnsi="Arial" w:cs="Arial"/>
          <w:sz w:val="20"/>
          <w:szCs w:val="20"/>
        </w:rPr>
        <w:t xml:space="preserve"> network segmentation, place sensitive databases behind hardened firewalls, separate our public webservers using a DMZ, and use different subnets for each department. Sensitive data should be encrypted at rest, and access policies should be established to only allow access to individuals who need it.</w:t>
      </w:r>
    </w:p>
    <w:p w14:paraId="17F142D0" w14:textId="7EFA0C13" w:rsidR="003C098F" w:rsidRPr="00513483" w:rsidRDefault="003C098F" w:rsidP="003C098F">
      <w:pPr>
        <w:rPr>
          <w:rFonts w:ascii="Arial" w:hAnsi="Arial" w:cs="Arial"/>
          <w:b/>
          <w:bCs/>
          <w:sz w:val="20"/>
          <w:szCs w:val="20"/>
        </w:rPr>
      </w:pPr>
      <w:r w:rsidRPr="00513483">
        <w:rPr>
          <w:rFonts w:ascii="Arial" w:hAnsi="Arial" w:cs="Arial"/>
          <w:b/>
          <w:bCs/>
          <w:sz w:val="20"/>
          <w:szCs w:val="20"/>
        </w:rPr>
        <w:t xml:space="preserve">Insider Breach Case (INSD): Elliott Greenleaf Law Firm Data Theft </w:t>
      </w:r>
    </w:p>
    <w:p w14:paraId="1D9CEBD9" w14:textId="1B88F85C" w:rsidR="003C098F" w:rsidRPr="00513483" w:rsidRDefault="003C098F" w:rsidP="003C098F">
      <w:pPr>
        <w:jc w:val="center"/>
        <w:rPr>
          <w:rFonts w:ascii="Arial" w:hAnsi="Arial" w:cs="Arial"/>
          <w:b/>
          <w:bCs/>
          <w:sz w:val="20"/>
          <w:szCs w:val="20"/>
        </w:rPr>
      </w:pPr>
      <w:r w:rsidRPr="00513483">
        <w:rPr>
          <w:rFonts w:ascii="Arial" w:hAnsi="Arial" w:cs="Arial"/>
          <w:b/>
          <w:bCs/>
          <w:sz w:val="20"/>
          <w:szCs w:val="20"/>
        </w:rPr>
        <w:t>Elliott Greenleaf Law Firm Data Theft</w:t>
      </w:r>
    </w:p>
    <w:p w14:paraId="2810A5D8" w14:textId="45556222" w:rsidR="003C098F" w:rsidRPr="00AB08B0" w:rsidRDefault="003C098F" w:rsidP="003C098F">
      <w:pPr>
        <w:rPr>
          <w:rFonts w:ascii="Arial" w:hAnsi="Arial" w:cs="Arial"/>
          <w:sz w:val="20"/>
          <w:szCs w:val="20"/>
        </w:rPr>
      </w:pPr>
      <w:r w:rsidRPr="00AB08B0">
        <w:rPr>
          <w:rFonts w:ascii="Arial" w:hAnsi="Arial" w:cs="Arial"/>
          <w:sz w:val="20"/>
          <w:szCs w:val="20"/>
        </w:rPr>
        <w:t xml:space="preserve">Elliot Greenleaf, a Pennsylvania law firm, filed a lawsuit on February 5, 2021, against four of its former attorneys accusing them of stealing data from the firm and destroying documents. Four disgruntled employees were all plotting to leave the firm and join a rival firm Armstrong Teasdale LLP when they stole the data (Thomas, 2021). The four attorneys are accused of copying data and extracting data from their accounts so they would have access to the information when they left the firm. The lawsuit also accuses the attorneys of deleting emails and shredding company documents. </w:t>
      </w:r>
    </w:p>
    <w:p w14:paraId="21B72A49" w14:textId="2A6FEF56" w:rsidR="003C098F" w:rsidRPr="00AB08B0" w:rsidRDefault="003C098F" w:rsidP="003C098F">
      <w:pPr>
        <w:rPr>
          <w:rFonts w:ascii="Arial" w:hAnsi="Arial" w:cs="Arial"/>
          <w:sz w:val="20"/>
          <w:szCs w:val="20"/>
        </w:rPr>
      </w:pPr>
      <w:r w:rsidRPr="00AB08B0">
        <w:rPr>
          <w:rFonts w:ascii="Arial" w:hAnsi="Arial" w:cs="Arial"/>
          <w:sz w:val="20"/>
          <w:szCs w:val="20"/>
        </w:rPr>
        <w:t xml:space="preserve">The employees extracted the company data from November 2021 until their resignation on December 28, 2020. A new firm hired them on January 4, 2021. The data included case information from past cases, customer information and files, and business email correspondence. This data was valuable for the attorneys because they could use it to bring their current clientele to their new law firm. The lawsuit indicates that </w:t>
      </w:r>
      <w:r>
        <w:rPr>
          <w:rFonts w:ascii="Arial" w:hAnsi="Arial" w:cs="Arial"/>
          <w:sz w:val="20"/>
          <w:szCs w:val="20"/>
        </w:rPr>
        <w:t>the</w:t>
      </w:r>
      <w:r w:rsidRPr="00AB08B0">
        <w:rPr>
          <w:rFonts w:ascii="Arial" w:hAnsi="Arial" w:cs="Arial"/>
          <w:sz w:val="20"/>
          <w:szCs w:val="20"/>
        </w:rPr>
        <w:t xml:space="preserve"> data was uploaded to a personal Google Docs account, emailed to a personal Gmail account, and uploaded to a person's iCloud account. The employees also shredded 288 pounds of paper and deleted </w:t>
      </w:r>
      <w:r>
        <w:rPr>
          <w:rFonts w:ascii="Arial" w:hAnsi="Arial" w:cs="Arial"/>
          <w:sz w:val="20"/>
          <w:szCs w:val="20"/>
        </w:rPr>
        <w:t xml:space="preserve">company </w:t>
      </w:r>
      <w:r w:rsidRPr="00AB08B0">
        <w:rPr>
          <w:rFonts w:ascii="Arial" w:hAnsi="Arial" w:cs="Arial"/>
          <w:sz w:val="20"/>
          <w:szCs w:val="20"/>
        </w:rPr>
        <w:t xml:space="preserve">emails before departure (Brook, 2021). </w:t>
      </w:r>
    </w:p>
    <w:p w14:paraId="2E0968BF" w14:textId="77777777" w:rsidR="009455C0" w:rsidRDefault="003C098F" w:rsidP="003C098F">
      <w:pPr>
        <w:rPr>
          <w:rFonts w:ascii="Arial" w:hAnsi="Arial" w:cs="Arial"/>
          <w:sz w:val="20"/>
          <w:szCs w:val="20"/>
        </w:rPr>
      </w:pPr>
      <w:r w:rsidRPr="00AB08B0">
        <w:rPr>
          <w:rFonts w:ascii="Arial" w:hAnsi="Arial" w:cs="Arial"/>
          <w:sz w:val="20"/>
          <w:szCs w:val="20"/>
        </w:rPr>
        <w:t xml:space="preserve">Disgruntled employees pose a threat to any company as most data security incidents involve an insider threat. Management and human resources should have identified the situation and relayed their concerns to the law firm partners. To combat this threat in the future, the firm should implement a security policy for known disgruntled and recently terminated staff that would include additional employee monitoring. The cybersecurity team should be monitoring the employee's workstation and corporate email for extensive data extractions to catch any data theft attempts. The firm should also blacklist websites such as Google Drive and Apple iCloud and whitelist only approved data storage devices to prevent data extraction. Basic access rights should also be set up for each attorney in the firm to limit their access to files they have no reason to access. </w:t>
      </w:r>
    </w:p>
    <w:p w14:paraId="69F9A90D" w14:textId="77777777" w:rsidR="009455C0" w:rsidRDefault="003C098F" w:rsidP="003C098F">
      <w:pPr>
        <w:rPr>
          <w:rFonts w:ascii="Arial" w:hAnsi="Arial" w:cs="Arial"/>
          <w:sz w:val="20"/>
          <w:szCs w:val="20"/>
        </w:rPr>
      </w:pPr>
      <w:r w:rsidRPr="00AB08B0">
        <w:rPr>
          <w:rFonts w:ascii="Arial" w:hAnsi="Arial" w:cs="Arial"/>
          <w:sz w:val="20"/>
          <w:szCs w:val="20"/>
        </w:rPr>
        <w:t>Elliott Greenleaf Law Firm should reference N</w:t>
      </w:r>
      <w:r w:rsidR="009455C0">
        <w:rPr>
          <w:rFonts w:ascii="Arial" w:hAnsi="Arial" w:cs="Arial"/>
          <w:sz w:val="20"/>
          <w:szCs w:val="20"/>
        </w:rPr>
        <w:t>IST’s</w:t>
      </w:r>
      <w:r w:rsidRPr="00AB08B0">
        <w:rPr>
          <w:rFonts w:ascii="Arial" w:hAnsi="Arial" w:cs="Arial"/>
          <w:sz w:val="20"/>
          <w:szCs w:val="20"/>
        </w:rPr>
        <w:t xml:space="preserve"> Cybersecurity Framework to improve their cybersecurity infrastructure (NIST, 2018).</w:t>
      </w:r>
      <w:r w:rsidR="009455C0">
        <w:rPr>
          <w:rFonts w:ascii="Arial" w:hAnsi="Arial" w:cs="Arial"/>
          <w:sz w:val="20"/>
          <w:szCs w:val="20"/>
        </w:rPr>
        <w:t xml:space="preserve"> They should reference the following sections: </w:t>
      </w:r>
    </w:p>
    <w:p w14:paraId="7EA7AF7A" w14:textId="6B2137C9" w:rsidR="003C098F" w:rsidRDefault="009455C0" w:rsidP="009455C0">
      <w:pPr>
        <w:pStyle w:val="ListParagraph"/>
        <w:numPr>
          <w:ilvl w:val="0"/>
          <w:numId w:val="3"/>
        </w:numPr>
        <w:rPr>
          <w:rFonts w:ascii="Arial" w:hAnsi="Arial" w:cs="Arial"/>
          <w:sz w:val="20"/>
          <w:szCs w:val="20"/>
        </w:rPr>
      </w:pPr>
      <w:r>
        <w:rPr>
          <w:rFonts w:ascii="Arial" w:hAnsi="Arial" w:cs="Arial"/>
          <w:sz w:val="20"/>
          <w:szCs w:val="20"/>
        </w:rPr>
        <w:t>Detect; Personnel activity is monitored to detect potential cybersecurity events.</w:t>
      </w:r>
    </w:p>
    <w:p w14:paraId="48D635FF" w14:textId="746611D4" w:rsidR="009455C0" w:rsidRPr="009455C0" w:rsidRDefault="009455C0" w:rsidP="009455C0">
      <w:pPr>
        <w:pStyle w:val="ListParagraph"/>
        <w:numPr>
          <w:ilvl w:val="0"/>
          <w:numId w:val="3"/>
        </w:numPr>
        <w:rPr>
          <w:rFonts w:ascii="Arial" w:hAnsi="Arial" w:cs="Arial"/>
          <w:sz w:val="20"/>
          <w:szCs w:val="20"/>
        </w:rPr>
      </w:pPr>
      <w:r>
        <w:rPr>
          <w:rFonts w:ascii="Arial" w:hAnsi="Arial" w:cs="Arial"/>
          <w:sz w:val="20"/>
          <w:szCs w:val="20"/>
        </w:rPr>
        <w:t xml:space="preserve">Protect; </w:t>
      </w:r>
      <w:r w:rsidRPr="00565293">
        <w:rPr>
          <w:rFonts w:ascii="Arial" w:hAnsi="Arial" w:cs="Arial"/>
          <w:color w:val="000000" w:themeColor="text1"/>
          <w:sz w:val="20"/>
          <w:szCs w:val="20"/>
        </w:rPr>
        <w:t>Access permissions and authorizations are managed, incorporating the principles of least privilege and separation of duties</w:t>
      </w:r>
      <w:r>
        <w:rPr>
          <w:rFonts w:ascii="Arial" w:hAnsi="Arial" w:cs="Arial"/>
          <w:color w:val="000000" w:themeColor="text1"/>
          <w:sz w:val="20"/>
          <w:szCs w:val="20"/>
        </w:rPr>
        <w:t>.</w:t>
      </w:r>
    </w:p>
    <w:p w14:paraId="5E2A45D9" w14:textId="305F755D" w:rsidR="003C098F" w:rsidRPr="009455C0" w:rsidRDefault="009455C0" w:rsidP="003C098F">
      <w:pPr>
        <w:pStyle w:val="ListParagraph"/>
        <w:numPr>
          <w:ilvl w:val="0"/>
          <w:numId w:val="3"/>
        </w:numPr>
        <w:rPr>
          <w:rFonts w:ascii="Arial" w:hAnsi="Arial" w:cs="Arial"/>
          <w:sz w:val="20"/>
          <w:szCs w:val="20"/>
        </w:rPr>
      </w:pPr>
      <w:r>
        <w:rPr>
          <w:rFonts w:ascii="Arial" w:hAnsi="Arial" w:cs="Arial"/>
          <w:color w:val="000000" w:themeColor="text1"/>
          <w:sz w:val="20"/>
          <w:szCs w:val="20"/>
        </w:rPr>
        <w:t xml:space="preserve">Protect; </w:t>
      </w:r>
      <w:r>
        <w:rPr>
          <w:rFonts w:ascii="Arial" w:hAnsi="Arial" w:cs="Arial"/>
          <w:color w:val="000000" w:themeColor="text1"/>
          <w:sz w:val="20"/>
          <w:szCs w:val="20"/>
        </w:rPr>
        <w:t>Removable media is protected, and its use restricted according to policy</w:t>
      </w:r>
      <w:r w:rsidR="00F24701">
        <w:rPr>
          <w:rFonts w:ascii="Arial" w:hAnsi="Arial" w:cs="Arial"/>
          <w:sz w:val="16"/>
          <w:szCs w:val="16"/>
        </w:rPr>
        <w:t>.</w:t>
      </w:r>
    </w:p>
    <w:tbl>
      <w:tblPr>
        <w:tblpPr w:leftFromText="187" w:rightFromText="187" w:topFromText="1440" w:vertAnchor="page" w:horzAnchor="margin" w:tblpXSpec="center" w:tblpY="985"/>
        <w:tblW w:w="11232" w:type="dxa"/>
        <w:tblLook w:val="04A0" w:firstRow="1" w:lastRow="0" w:firstColumn="1" w:lastColumn="0" w:noHBand="0" w:noVBand="1"/>
      </w:tblPr>
      <w:tblGrid>
        <w:gridCol w:w="2327"/>
        <w:gridCol w:w="2390"/>
        <w:gridCol w:w="2326"/>
        <w:gridCol w:w="2171"/>
        <w:gridCol w:w="2018"/>
      </w:tblGrid>
      <w:tr w:rsidR="003C098F" w:rsidRPr="0087681B" w14:paraId="25614CBA" w14:textId="77777777" w:rsidTr="00815355">
        <w:trPr>
          <w:trHeight w:val="520"/>
          <w:tblHeader/>
        </w:trPr>
        <w:tc>
          <w:tcPr>
            <w:tcW w:w="232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58F09EA" w14:textId="77777777" w:rsidR="003C098F" w:rsidRDefault="003C098F" w:rsidP="00815355">
            <w:pPr>
              <w:spacing w:after="0" w:line="240" w:lineRule="auto"/>
              <w:jc w:val="center"/>
              <w:rPr>
                <w:rFonts w:ascii="Arial" w:eastAsia="Times New Roman" w:hAnsi="Arial" w:cs="Arial"/>
                <w:b/>
                <w:bCs/>
                <w:color w:val="000000"/>
                <w:sz w:val="20"/>
                <w:szCs w:val="20"/>
              </w:rPr>
            </w:pPr>
            <w:r w:rsidRPr="0087681B">
              <w:rPr>
                <w:rFonts w:ascii="Arial" w:eastAsia="Times New Roman" w:hAnsi="Arial" w:cs="Arial"/>
                <w:b/>
                <w:bCs/>
                <w:color w:val="000000"/>
                <w:sz w:val="20"/>
                <w:szCs w:val="20"/>
              </w:rPr>
              <w:lastRenderedPageBreak/>
              <w:t>Company</w:t>
            </w:r>
          </w:p>
          <w:p w14:paraId="6B7C3A8F" w14:textId="77777777" w:rsidR="003C098F" w:rsidRPr="0087681B" w:rsidRDefault="003C098F" w:rsidP="00815355">
            <w:pPr>
              <w:spacing w:after="0" w:line="240" w:lineRule="auto"/>
              <w:jc w:val="center"/>
              <w:rPr>
                <w:rFonts w:ascii="Arial" w:eastAsia="Times New Roman" w:hAnsi="Arial" w:cs="Arial"/>
                <w:b/>
                <w:bCs/>
                <w:color w:val="000000"/>
                <w:sz w:val="20"/>
                <w:szCs w:val="20"/>
              </w:rPr>
            </w:pPr>
          </w:p>
        </w:tc>
        <w:tc>
          <w:tcPr>
            <w:tcW w:w="2390"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17DF7703" w14:textId="77777777" w:rsidR="003C098F" w:rsidRPr="0087681B" w:rsidRDefault="003C098F" w:rsidP="00815355">
            <w:pPr>
              <w:spacing w:after="0" w:line="240" w:lineRule="auto"/>
              <w:jc w:val="center"/>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Colonial Pipeline</w:t>
            </w:r>
          </w:p>
        </w:tc>
        <w:tc>
          <w:tcPr>
            <w:tcW w:w="2326"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72E579B1" w14:textId="77777777" w:rsidR="003C098F" w:rsidRPr="0087681B" w:rsidRDefault="003C098F" w:rsidP="00815355">
            <w:pPr>
              <w:spacing w:after="0" w:line="240" w:lineRule="auto"/>
              <w:jc w:val="center"/>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Okta</w:t>
            </w:r>
          </w:p>
        </w:tc>
        <w:tc>
          <w:tcPr>
            <w:tcW w:w="2171"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687A5FB4" w14:textId="77777777" w:rsidR="003C098F" w:rsidRPr="0087681B" w:rsidRDefault="003C098F" w:rsidP="00815355">
            <w:pPr>
              <w:spacing w:after="0" w:line="240" w:lineRule="auto"/>
              <w:jc w:val="center"/>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Texas Department of Insurance</w:t>
            </w:r>
          </w:p>
        </w:tc>
        <w:tc>
          <w:tcPr>
            <w:tcW w:w="2018"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39B66584" w14:textId="77777777" w:rsidR="003C098F" w:rsidRPr="0087681B" w:rsidRDefault="003C098F" w:rsidP="00815355">
            <w:pPr>
              <w:spacing w:after="0" w:line="240" w:lineRule="auto"/>
              <w:jc w:val="center"/>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Elliott Greenleaf Law Firm</w:t>
            </w:r>
          </w:p>
        </w:tc>
      </w:tr>
      <w:tr w:rsidR="003C098F" w:rsidRPr="0087681B" w14:paraId="3B7F41A2" w14:textId="77777777" w:rsidTr="00815355">
        <w:trPr>
          <w:trHeight w:val="645"/>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0C931E5"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Category of Breach</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8BEC1D"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Hacking or Malware (HACK)</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EE1124"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Hacking or Malware (HACK)</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146E89"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Unintended Disclosure (DISC)</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E18384"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Insider (INSD)</w:t>
            </w:r>
          </w:p>
        </w:tc>
      </w:tr>
      <w:tr w:rsidR="003C098F" w:rsidRPr="0087681B" w14:paraId="5A6C164B" w14:textId="77777777" w:rsidTr="00815355">
        <w:trPr>
          <w:trHeight w:val="490"/>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C05C629"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Start Date of Breach</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8FD25C"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5/7/2021</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85E77E"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1/20/2022</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0E9EF7"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3/1/2019</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F573E5"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10/1/2020</w:t>
            </w:r>
          </w:p>
        </w:tc>
      </w:tr>
      <w:tr w:rsidR="003C098F" w:rsidRPr="0087681B" w14:paraId="09B3C611" w14:textId="77777777" w:rsidTr="00815355">
        <w:trPr>
          <w:trHeight w:val="645"/>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FA02FFB"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End Date of Breach</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5DB03D"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5/12/2021</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3ED7F9"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1/21/2022</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F02DB1"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1/4/2022</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15CF05"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1/1/2021</w:t>
            </w:r>
          </w:p>
        </w:tc>
      </w:tr>
      <w:tr w:rsidR="003C098F" w:rsidRPr="0087681B" w14:paraId="18D356EF" w14:textId="77777777" w:rsidTr="00815355">
        <w:trPr>
          <w:trHeight w:val="391"/>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0C22615"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Data Breach Announced</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3BDE67"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5/7/2021</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CFE909"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3/22/2022</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2BF362"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3/24/2022</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24CCD8"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2/1/2021</w:t>
            </w:r>
          </w:p>
        </w:tc>
      </w:tr>
      <w:tr w:rsidR="003C098F" w:rsidRPr="0087681B" w14:paraId="61D7B971" w14:textId="77777777" w:rsidTr="00815355">
        <w:trPr>
          <w:trHeight w:val="1050"/>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EBAC7D7"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Company Size</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918C13"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$1.23 billion revenue (2021); 700 Employees</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B7903E"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5030 Employees, $41 Billion Mkt Cap (01/22), Post Breach $14 Billion Mkt Cap (06/22)</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255E1B"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1,217 Employees</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982BDE"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55 attorneys</w:t>
            </w:r>
          </w:p>
        </w:tc>
      </w:tr>
      <w:tr w:rsidR="003C098F" w:rsidRPr="0087681B" w14:paraId="77F764E4" w14:textId="77777777" w:rsidTr="00815355">
        <w:trPr>
          <w:trHeight w:val="1384"/>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BF1FD11"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State/Federal Regulation</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8646EB" w14:textId="5D9A9B52" w:rsidR="003C098F" w:rsidRPr="0087681B" w:rsidRDefault="003C098F" w:rsidP="00815355">
            <w:p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Department of Energy, Federal Energy Regulatory Commission (FERC), Energy Information Administration, EPA</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5BAC18"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Sarbanes Oxley Act (SOX), Gramm Leach Bliley Act (GLBA), PCI SSC</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E5DEFA"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State of Texas Insurance Code</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A7D086"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 xml:space="preserve">Pennsylvania Department of Justice </w:t>
            </w:r>
          </w:p>
        </w:tc>
      </w:tr>
      <w:tr w:rsidR="003C098F" w:rsidRPr="0087681B" w14:paraId="1FB79231" w14:textId="77777777" w:rsidTr="00815355">
        <w:trPr>
          <w:trHeight w:val="1309"/>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8E67237"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Concern</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B89DB1"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100 Gigabytes of sensitive data stolen and encrypted. Key US pipeline shut down due to breach.</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8676DB"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Hacker gained access to internal network showing customer data.</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8A643B" w14:textId="735F0E35"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Personally Identifiable Information (PII) and Protected Health Information (PHI) for 1.8 million people</w:t>
            </w:r>
            <w:r w:rsidR="00815355">
              <w:rPr>
                <w:rFonts w:ascii="Arial" w:eastAsia="Times New Roman" w:hAnsi="Arial" w:cs="Arial"/>
                <w:color w:val="000000"/>
                <w:sz w:val="20"/>
                <w:szCs w:val="20"/>
              </w:rPr>
              <w:t>.</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341FDF"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 xml:space="preserve">Insider theft of company data. </w:t>
            </w:r>
          </w:p>
        </w:tc>
      </w:tr>
      <w:tr w:rsidR="003C098F" w:rsidRPr="0087681B" w14:paraId="089201DA" w14:textId="77777777" w:rsidTr="00815355">
        <w:trPr>
          <w:trHeight w:val="645"/>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0703605"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Before Breach Revenue</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D53DF3"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$1.3 billion revenue (2020)</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B66ED7"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$414.94 million Q1 2022</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C70698"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NA</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54E2EA"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Private Firm</w:t>
            </w:r>
          </w:p>
        </w:tc>
      </w:tr>
      <w:tr w:rsidR="003C098F" w:rsidRPr="0087681B" w14:paraId="5B84CB42" w14:textId="77777777" w:rsidTr="00815355">
        <w:trPr>
          <w:trHeight w:val="645"/>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45DCFAD"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After Breach Revenue</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F5049F"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$1.23 billion revenue (2021)</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BF53BA"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Expected $428 million Q2 2022</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FBEC19"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NA</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9D59A5"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Private Firm</w:t>
            </w:r>
          </w:p>
        </w:tc>
      </w:tr>
      <w:tr w:rsidR="003C098F" w:rsidRPr="0087681B" w14:paraId="7AE886EB" w14:textId="77777777" w:rsidTr="00815355">
        <w:trPr>
          <w:trHeight w:val="645"/>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0768549"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Before Breach Stock Price</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E400FC"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Private Company</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06979E"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 xml:space="preserve">$169.41 </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F35A98"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Government</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E75D06"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Private Firm</w:t>
            </w:r>
          </w:p>
        </w:tc>
      </w:tr>
      <w:tr w:rsidR="003C098F" w:rsidRPr="0087681B" w14:paraId="5E722425" w14:textId="77777777" w:rsidTr="00815355">
        <w:trPr>
          <w:trHeight w:val="859"/>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58CDA1C"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Exposure of Records or Type of Data Compromised</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983E03"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5,810 Employee PII and PHI</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8FCAC3"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 xml:space="preserve">Two customers' account details were viewed. </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62743B" w14:textId="006D4FFF"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1.8 million Worker's Compensation records</w:t>
            </w:r>
            <w:r w:rsidR="00815355">
              <w:rPr>
                <w:rFonts w:ascii="Arial" w:eastAsia="Times New Roman" w:hAnsi="Arial" w:cs="Arial"/>
                <w:color w:val="000000"/>
                <w:sz w:val="20"/>
                <w:szCs w:val="20"/>
              </w:rPr>
              <w:t>.</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11C9A8"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Client Information, Business Emails</w:t>
            </w:r>
          </w:p>
        </w:tc>
      </w:tr>
      <w:tr w:rsidR="003C098F" w:rsidRPr="0087681B" w14:paraId="6A663FDD" w14:textId="77777777" w:rsidTr="00815355">
        <w:trPr>
          <w:trHeight w:val="540"/>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BE191DB" w14:textId="77777777" w:rsidR="003C098F" w:rsidRPr="0087681B"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Vulnerability</w:t>
            </w: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A56668"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VPN Password Theft</w:t>
            </w: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569A8B"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Vendor Access and Authentication</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739C96"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Web Application Software</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4B1B61" w14:textId="77777777" w:rsidR="003C098F" w:rsidRPr="0087681B" w:rsidRDefault="003C098F" w:rsidP="00815355">
            <w:pPr>
              <w:spacing w:after="0" w:line="240" w:lineRule="auto"/>
              <w:jc w:val="center"/>
              <w:rPr>
                <w:rFonts w:ascii="Arial" w:eastAsia="Times New Roman" w:hAnsi="Arial" w:cs="Arial"/>
                <w:color w:val="000000"/>
                <w:sz w:val="20"/>
                <w:szCs w:val="20"/>
              </w:rPr>
            </w:pPr>
            <w:r w:rsidRPr="0087681B">
              <w:rPr>
                <w:rFonts w:ascii="Arial" w:eastAsia="Times New Roman" w:hAnsi="Arial" w:cs="Arial"/>
                <w:color w:val="000000"/>
                <w:sz w:val="20"/>
                <w:szCs w:val="20"/>
              </w:rPr>
              <w:t>No Insider Data Monitoring</w:t>
            </w:r>
          </w:p>
        </w:tc>
      </w:tr>
      <w:tr w:rsidR="003C098F" w:rsidRPr="0087681B" w14:paraId="23A2234A" w14:textId="77777777" w:rsidTr="00815355">
        <w:trPr>
          <w:trHeight w:val="2437"/>
          <w:tblHeader/>
        </w:trPr>
        <w:tc>
          <w:tcPr>
            <w:tcW w:w="2327"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FACE324" w14:textId="77777777" w:rsidR="003C098F" w:rsidRDefault="003C098F" w:rsidP="00815355">
            <w:pPr>
              <w:spacing w:after="0" w:line="240" w:lineRule="auto"/>
              <w:rPr>
                <w:rFonts w:ascii="Arial" w:eastAsia="Times New Roman" w:hAnsi="Arial" w:cs="Arial"/>
                <w:b/>
                <w:bCs/>
                <w:color w:val="000000"/>
                <w:sz w:val="20"/>
                <w:szCs w:val="20"/>
              </w:rPr>
            </w:pPr>
            <w:r w:rsidRPr="0087681B">
              <w:rPr>
                <w:rFonts w:ascii="Arial" w:eastAsia="Times New Roman" w:hAnsi="Arial" w:cs="Arial"/>
                <w:b/>
                <w:bCs/>
                <w:color w:val="000000"/>
                <w:sz w:val="20"/>
                <w:szCs w:val="20"/>
              </w:rPr>
              <w:t>Control Recommendations</w:t>
            </w:r>
          </w:p>
          <w:p w14:paraId="5692BE75" w14:textId="77777777" w:rsidR="003C098F" w:rsidRDefault="003C098F" w:rsidP="00815355">
            <w:pPr>
              <w:spacing w:after="0" w:line="240" w:lineRule="auto"/>
              <w:rPr>
                <w:rFonts w:ascii="Arial" w:eastAsia="Times New Roman" w:hAnsi="Arial" w:cs="Arial"/>
                <w:b/>
                <w:bCs/>
                <w:color w:val="000000"/>
                <w:sz w:val="20"/>
                <w:szCs w:val="20"/>
              </w:rPr>
            </w:pPr>
          </w:p>
          <w:p w14:paraId="56A17B60" w14:textId="77777777" w:rsidR="003C098F" w:rsidRPr="0087681B" w:rsidRDefault="003C098F" w:rsidP="00815355">
            <w:pPr>
              <w:spacing w:after="0" w:line="240" w:lineRule="auto"/>
              <w:rPr>
                <w:rFonts w:ascii="Arial" w:eastAsia="Times New Roman" w:hAnsi="Arial" w:cs="Arial"/>
                <w:b/>
                <w:bCs/>
                <w:color w:val="000000"/>
                <w:sz w:val="20"/>
                <w:szCs w:val="20"/>
              </w:rPr>
            </w:pPr>
          </w:p>
          <w:p w14:paraId="0C06E8CC" w14:textId="77777777" w:rsidR="003C098F" w:rsidRPr="0087681B" w:rsidRDefault="003C098F" w:rsidP="00815355">
            <w:pPr>
              <w:spacing w:after="0" w:line="240" w:lineRule="auto"/>
              <w:rPr>
                <w:rFonts w:ascii="Arial" w:eastAsia="Times New Roman" w:hAnsi="Arial" w:cs="Arial"/>
                <w:b/>
                <w:bCs/>
                <w:color w:val="000000"/>
                <w:sz w:val="20"/>
                <w:szCs w:val="20"/>
              </w:rPr>
            </w:pPr>
          </w:p>
        </w:tc>
        <w:tc>
          <w:tcPr>
            <w:tcW w:w="2390"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1D8233" w14:textId="77777777" w:rsidR="003C098F" w:rsidRPr="0087681B" w:rsidRDefault="003C098F" w:rsidP="00815355">
            <w:pPr>
              <w:pStyle w:val="ListParagraph"/>
              <w:numPr>
                <w:ilvl w:val="0"/>
                <w:numId w:val="2"/>
              </w:numPr>
              <w:spacing w:line="240" w:lineRule="auto"/>
              <w:jc w:val="both"/>
              <w:rPr>
                <w:rFonts w:ascii="Arial" w:eastAsia="Times New Roman" w:hAnsi="Arial" w:cs="Arial"/>
                <w:color w:val="000000"/>
                <w:sz w:val="20"/>
                <w:szCs w:val="20"/>
              </w:rPr>
            </w:pPr>
            <w:r w:rsidRPr="0087681B">
              <w:rPr>
                <w:rFonts w:ascii="Arial" w:eastAsia="Times New Roman" w:hAnsi="Arial" w:cs="Arial"/>
                <w:color w:val="000000"/>
                <w:sz w:val="20"/>
                <w:szCs w:val="20"/>
              </w:rPr>
              <w:t>Multi-Factor Authentication</w:t>
            </w:r>
          </w:p>
          <w:p w14:paraId="071898D3" w14:textId="77777777" w:rsidR="003C098F" w:rsidRPr="0087681B" w:rsidRDefault="003C098F" w:rsidP="00815355">
            <w:pPr>
              <w:pStyle w:val="ListParagraph"/>
              <w:spacing w:line="240" w:lineRule="auto"/>
              <w:jc w:val="both"/>
              <w:rPr>
                <w:rFonts w:ascii="Arial" w:eastAsia="Times New Roman" w:hAnsi="Arial" w:cs="Arial"/>
                <w:color w:val="000000"/>
                <w:sz w:val="20"/>
                <w:szCs w:val="20"/>
              </w:rPr>
            </w:pPr>
          </w:p>
          <w:p w14:paraId="55AB9644" w14:textId="77777777" w:rsidR="003C098F" w:rsidRPr="0087681B" w:rsidRDefault="003C098F" w:rsidP="00815355">
            <w:pPr>
              <w:pStyle w:val="ListParagraph"/>
              <w:spacing w:line="240" w:lineRule="auto"/>
              <w:jc w:val="both"/>
              <w:rPr>
                <w:rFonts w:ascii="Arial" w:eastAsia="Times New Roman" w:hAnsi="Arial" w:cs="Arial"/>
                <w:color w:val="000000"/>
                <w:sz w:val="20"/>
                <w:szCs w:val="20"/>
              </w:rPr>
            </w:pPr>
          </w:p>
          <w:p w14:paraId="32B09F16" w14:textId="77777777" w:rsidR="003C098F" w:rsidRPr="0087681B" w:rsidRDefault="003C098F" w:rsidP="00815355">
            <w:pPr>
              <w:pStyle w:val="ListParagraph"/>
              <w:spacing w:line="240" w:lineRule="auto"/>
              <w:jc w:val="both"/>
              <w:rPr>
                <w:rFonts w:ascii="Arial" w:eastAsia="Times New Roman" w:hAnsi="Arial" w:cs="Arial"/>
                <w:color w:val="000000"/>
                <w:sz w:val="20"/>
                <w:szCs w:val="20"/>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D3EB3B"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Vendor Risk Assessment</w:t>
            </w:r>
          </w:p>
          <w:p w14:paraId="28F400EA"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Cyber Incident Response</w:t>
            </w:r>
          </w:p>
          <w:p w14:paraId="33D3D99D"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Communication Plan</w:t>
            </w:r>
          </w:p>
          <w:p w14:paraId="6150363F"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Vendor Access Controls</w:t>
            </w:r>
          </w:p>
          <w:p w14:paraId="5D3E0366"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Vendor MFA</w:t>
            </w:r>
          </w:p>
        </w:tc>
        <w:tc>
          <w:tcPr>
            <w:tcW w:w="2171"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154B34"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Network Segmentation</w:t>
            </w:r>
          </w:p>
          <w:p w14:paraId="5EF2D9FD"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 xml:space="preserve">Pen Testing </w:t>
            </w:r>
          </w:p>
          <w:p w14:paraId="25A19F6B"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 xml:space="preserve">Role Based Access Controls </w:t>
            </w:r>
          </w:p>
          <w:p w14:paraId="446DA3E9"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Encryption Data Security</w:t>
            </w:r>
          </w:p>
        </w:tc>
        <w:tc>
          <w:tcPr>
            <w:tcW w:w="2018" w:type="dxa"/>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360BE5" w14:textId="77777777" w:rsidR="003C098F"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Data Extraction Monitoring</w:t>
            </w:r>
          </w:p>
          <w:p w14:paraId="5D731965" w14:textId="77777777" w:rsidR="003C098F" w:rsidRPr="0087681B" w:rsidRDefault="003C098F" w:rsidP="00815355">
            <w:pPr>
              <w:pStyle w:val="ListParagraph"/>
              <w:numPr>
                <w:ilvl w:val="0"/>
                <w:numId w:val="2"/>
              </w:numPr>
              <w:spacing w:after="0" w:line="240" w:lineRule="auto"/>
              <w:rPr>
                <w:rFonts w:ascii="Arial" w:eastAsia="Times New Roman" w:hAnsi="Arial" w:cs="Arial"/>
                <w:color w:val="000000"/>
                <w:sz w:val="20"/>
                <w:szCs w:val="20"/>
              </w:rPr>
            </w:pPr>
            <w:r w:rsidRPr="0087681B">
              <w:rPr>
                <w:rFonts w:ascii="Arial" w:eastAsia="Times New Roman" w:hAnsi="Arial" w:cs="Arial"/>
                <w:color w:val="000000"/>
                <w:sz w:val="20"/>
                <w:szCs w:val="20"/>
              </w:rPr>
              <w:t>Blacklist Personal Email and Cloud Access</w:t>
            </w:r>
          </w:p>
        </w:tc>
      </w:tr>
    </w:tbl>
    <w:p w14:paraId="72A24A9E" w14:textId="77777777" w:rsidR="003C098F" w:rsidRPr="00997F71" w:rsidRDefault="003C098F" w:rsidP="003C098F">
      <w:pPr>
        <w:pStyle w:val="NormalWeb"/>
        <w:ind w:left="567" w:hanging="567"/>
        <w:rPr>
          <w:rFonts w:ascii="Arial" w:hAnsi="Arial" w:cs="Arial"/>
          <w:sz w:val="16"/>
          <w:szCs w:val="16"/>
        </w:rPr>
      </w:pPr>
      <w:r w:rsidRPr="00997F71">
        <w:rPr>
          <w:rFonts w:ascii="Arial" w:hAnsi="Arial" w:cs="Arial"/>
          <w:sz w:val="16"/>
          <w:szCs w:val="16"/>
        </w:rPr>
        <w:t>Exhibit 2 – Breach Data Summary</w:t>
      </w:r>
    </w:p>
    <w:p w14:paraId="08F2D57C" w14:textId="77777777" w:rsidR="00815355" w:rsidRDefault="00815355" w:rsidP="003C098F">
      <w:pPr>
        <w:pStyle w:val="NormalWeb"/>
        <w:ind w:left="567" w:hanging="567"/>
        <w:jc w:val="center"/>
        <w:rPr>
          <w:rFonts w:ascii="Arial" w:hAnsi="Arial" w:cs="Arial"/>
          <w:b/>
          <w:bCs/>
          <w:sz w:val="20"/>
          <w:szCs w:val="20"/>
        </w:rPr>
      </w:pPr>
    </w:p>
    <w:p w14:paraId="57157B12" w14:textId="66E20BFD" w:rsidR="003C098F" w:rsidRPr="00445375" w:rsidRDefault="003C098F" w:rsidP="003C098F">
      <w:pPr>
        <w:pStyle w:val="NormalWeb"/>
        <w:ind w:left="567" w:hanging="567"/>
        <w:jc w:val="center"/>
        <w:rPr>
          <w:rFonts w:ascii="Arial" w:hAnsi="Arial" w:cs="Arial"/>
          <w:b/>
          <w:bCs/>
          <w:sz w:val="20"/>
          <w:szCs w:val="20"/>
        </w:rPr>
      </w:pPr>
      <w:r w:rsidRPr="00445375">
        <w:rPr>
          <w:rFonts w:ascii="Arial" w:hAnsi="Arial" w:cs="Arial"/>
          <w:b/>
          <w:bCs/>
          <w:sz w:val="20"/>
          <w:szCs w:val="20"/>
        </w:rPr>
        <w:lastRenderedPageBreak/>
        <w:t>References:</w:t>
      </w:r>
    </w:p>
    <w:p w14:paraId="6E1F3C20" w14:textId="77777777" w:rsidR="003C098F" w:rsidRPr="00686153" w:rsidRDefault="003C098F" w:rsidP="003C098F">
      <w:pPr>
        <w:pStyle w:val="NormalWeb"/>
        <w:ind w:left="567" w:hanging="567"/>
        <w:rPr>
          <w:rFonts w:ascii="Arial" w:hAnsi="Arial" w:cs="Arial"/>
          <w:sz w:val="20"/>
          <w:szCs w:val="20"/>
        </w:rPr>
      </w:pPr>
      <w:proofErr w:type="spellStart"/>
      <w:r w:rsidRPr="00686153">
        <w:rPr>
          <w:rFonts w:ascii="Arial" w:hAnsi="Arial" w:cs="Arial"/>
          <w:sz w:val="20"/>
          <w:szCs w:val="20"/>
        </w:rPr>
        <w:t>Beeferman</w:t>
      </w:r>
      <w:proofErr w:type="spellEnd"/>
      <w:r w:rsidRPr="00686153">
        <w:rPr>
          <w:rFonts w:ascii="Arial" w:hAnsi="Arial" w:cs="Arial"/>
          <w:sz w:val="20"/>
          <w:szCs w:val="20"/>
        </w:rPr>
        <w:t xml:space="preserve">, J. (2022, May 16). </w:t>
      </w:r>
      <w:r w:rsidRPr="00686153">
        <w:rPr>
          <w:rFonts w:ascii="Arial" w:hAnsi="Arial" w:cs="Arial"/>
          <w:i/>
          <w:iCs/>
          <w:sz w:val="20"/>
          <w:szCs w:val="20"/>
        </w:rPr>
        <w:t>Personal information of 1.8 million Texans with Department of Insurance claims was exposed for years, audit says</w:t>
      </w:r>
      <w:r w:rsidRPr="00686153">
        <w:rPr>
          <w:rFonts w:ascii="Arial" w:hAnsi="Arial" w:cs="Arial"/>
          <w:sz w:val="20"/>
          <w:szCs w:val="20"/>
        </w:rPr>
        <w:t xml:space="preserve">. The Texas Tribune. Retrieved July 1, 2022, from https://www.texastribune.org/2022/05/16/texas-insurance-data-breach/ </w:t>
      </w:r>
    </w:p>
    <w:p w14:paraId="3F52889E"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Blount, J. (2021, June 9). </w:t>
      </w:r>
      <w:r w:rsidRPr="00686153">
        <w:rPr>
          <w:rFonts w:ascii="Arial" w:hAnsi="Arial" w:cs="Arial"/>
          <w:i/>
          <w:iCs/>
          <w:sz w:val="20"/>
          <w:szCs w:val="20"/>
        </w:rPr>
        <w:t>Hearing before the United States House of Representatives Committee on Homeland Security</w:t>
      </w:r>
      <w:r w:rsidRPr="00686153">
        <w:rPr>
          <w:rFonts w:ascii="Arial" w:hAnsi="Arial" w:cs="Arial"/>
          <w:sz w:val="20"/>
          <w:szCs w:val="20"/>
        </w:rPr>
        <w:t xml:space="preserve">. Congress.gov. Retrieved July 1, 2022, from https://www.congress.gov/117/meeting/house/112689/witnesses/HHRG-117-HM00-Wstate-BlountJ-20210609.pdf </w:t>
      </w:r>
    </w:p>
    <w:p w14:paraId="5C4FEBF0"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Bradbury, D. (2022, April 22). </w:t>
      </w:r>
      <w:r w:rsidRPr="00686153">
        <w:rPr>
          <w:rFonts w:ascii="Arial" w:hAnsi="Arial" w:cs="Arial"/>
          <w:i/>
          <w:iCs/>
          <w:sz w:val="20"/>
          <w:szCs w:val="20"/>
        </w:rPr>
        <w:t>Okta concludes its investigation into the January 2022 compromise</w:t>
      </w:r>
      <w:r w:rsidRPr="00686153">
        <w:rPr>
          <w:rFonts w:ascii="Arial" w:hAnsi="Arial" w:cs="Arial"/>
          <w:sz w:val="20"/>
          <w:szCs w:val="20"/>
        </w:rPr>
        <w:t xml:space="preserve">. Okta. Retrieved July 1, 2022, from https://www.okta.com/blog/2022/04/okta-concludes-its-investigation-into-the-january-2022-compromise/ </w:t>
      </w:r>
    </w:p>
    <w:p w14:paraId="011B4E87"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Bradbury, D. (2022, March 23). </w:t>
      </w:r>
      <w:r w:rsidRPr="00686153">
        <w:rPr>
          <w:rFonts w:ascii="Arial" w:hAnsi="Arial" w:cs="Arial"/>
          <w:i/>
          <w:iCs/>
          <w:sz w:val="20"/>
          <w:szCs w:val="20"/>
        </w:rPr>
        <w:t>Updated okta statement on LAPSUS$</w:t>
      </w:r>
      <w:r w:rsidRPr="00686153">
        <w:rPr>
          <w:rFonts w:ascii="Arial" w:hAnsi="Arial" w:cs="Arial"/>
          <w:sz w:val="20"/>
          <w:szCs w:val="20"/>
        </w:rPr>
        <w:t xml:space="preserve">. Okta. Retrieved July 1, 2022, from https://www.okta.com/blog/2022/03/updated-okta-statement-on-lapsus/ </w:t>
      </w:r>
    </w:p>
    <w:p w14:paraId="0FA03995" w14:textId="77777777" w:rsidR="003C098F" w:rsidRPr="00686153" w:rsidRDefault="003C098F" w:rsidP="003C098F">
      <w:pPr>
        <w:pStyle w:val="NormalWeb"/>
        <w:ind w:left="567" w:hanging="567"/>
        <w:rPr>
          <w:rFonts w:ascii="Arial" w:hAnsi="Arial" w:cs="Arial"/>
          <w:sz w:val="20"/>
          <w:szCs w:val="20"/>
        </w:rPr>
      </w:pPr>
      <w:proofErr w:type="gramStart"/>
      <w:r w:rsidRPr="00686153">
        <w:rPr>
          <w:rFonts w:ascii="Arial" w:hAnsi="Arial" w:cs="Arial"/>
          <w:sz w:val="20"/>
          <w:szCs w:val="20"/>
        </w:rPr>
        <w:t>Brook ,</w:t>
      </w:r>
      <w:proofErr w:type="gramEnd"/>
      <w:r w:rsidRPr="00686153">
        <w:rPr>
          <w:rFonts w:ascii="Arial" w:hAnsi="Arial" w:cs="Arial"/>
          <w:sz w:val="20"/>
          <w:szCs w:val="20"/>
        </w:rPr>
        <w:t xml:space="preserve"> C. (2021, February 17). </w:t>
      </w:r>
      <w:r w:rsidRPr="00686153">
        <w:rPr>
          <w:rFonts w:ascii="Arial" w:hAnsi="Arial" w:cs="Arial"/>
          <w:i/>
          <w:iCs/>
          <w:sz w:val="20"/>
          <w:szCs w:val="20"/>
        </w:rPr>
        <w:t>Suit Claims Attorneys Stole, Destroyed Data Before Joining Rival Firm</w:t>
      </w:r>
      <w:r w:rsidRPr="00686153">
        <w:rPr>
          <w:rFonts w:ascii="Arial" w:hAnsi="Arial" w:cs="Arial"/>
          <w:sz w:val="20"/>
          <w:szCs w:val="20"/>
        </w:rPr>
        <w:t xml:space="preserve">. Digital Guardian. Retrieved July 1, 2022, from https://digitalguardian.com/blog/suit-claims-attorneys-stole-destroyed-data-joining-rival-firm </w:t>
      </w:r>
    </w:p>
    <w:p w14:paraId="10CDC6E0"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Collier, L. R. (2022, May 12). </w:t>
      </w:r>
      <w:r w:rsidRPr="00686153">
        <w:rPr>
          <w:rFonts w:ascii="Arial" w:hAnsi="Arial" w:cs="Arial"/>
          <w:i/>
          <w:iCs/>
          <w:sz w:val="20"/>
          <w:szCs w:val="20"/>
        </w:rPr>
        <w:t>An Audit Report on Confidential Data Management at the Department of Insurance</w:t>
      </w:r>
      <w:r w:rsidRPr="00686153">
        <w:rPr>
          <w:rFonts w:ascii="Arial" w:hAnsi="Arial" w:cs="Arial"/>
          <w:sz w:val="20"/>
          <w:szCs w:val="20"/>
        </w:rPr>
        <w:t xml:space="preserve">. Texas State Auditor's </w:t>
      </w:r>
      <w:proofErr w:type="gramStart"/>
      <w:r w:rsidRPr="00686153">
        <w:rPr>
          <w:rFonts w:ascii="Arial" w:hAnsi="Arial" w:cs="Arial"/>
          <w:sz w:val="20"/>
          <w:szCs w:val="20"/>
        </w:rPr>
        <w:t>Office .</w:t>
      </w:r>
      <w:proofErr w:type="gramEnd"/>
      <w:r w:rsidRPr="00686153">
        <w:rPr>
          <w:rFonts w:ascii="Arial" w:hAnsi="Arial" w:cs="Arial"/>
          <w:sz w:val="20"/>
          <w:szCs w:val="20"/>
        </w:rPr>
        <w:t xml:space="preserve"> Retrieved July 1, 2022, from https://sao.texas.gov/Reports/Main/22-028.pdf </w:t>
      </w:r>
    </w:p>
    <w:p w14:paraId="415331C4"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Cybersecurity &amp; Infrastructure Security </w:t>
      </w:r>
      <w:proofErr w:type="gramStart"/>
      <w:r w:rsidRPr="00686153">
        <w:rPr>
          <w:rFonts w:ascii="Arial" w:hAnsi="Arial" w:cs="Arial"/>
          <w:sz w:val="20"/>
          <w:szCs w:val="20"/>
        </w:rPr>
        <w:t>Agency .</w:t>
      </w:r>
      <w:proofErr w:type="gramEnd"/>
      <w:r w:rsidRPr="00686153">
        <w:rPr>
          <w:rFonts w:ascii="Arial" w:hAnsi="Arial" w:cs="Arial"/>
          <w:sz w:val="20"/>
          <w:szCs w:val="20"/>
        </w:rPr>
        <w:t xml:space="preserve"> (2021, July 8). </w:t>
      </w:r>
      <w:r w:rsidRPr="00686153">
        <w:rPr>
          <w:rFonts w:ascii="Arial" w:hAnsi="Arial" w:cs="Arial"/>
          <w:i/>
          <w:iCs/>
          <w:sz w:val="20"/>
          <w:szCs w:val="20"/>
        </w:rPr>
        <w:t xml:space="preserve">Alert (AA21-131A) </w:t>
      </w:r>
      <w:proofErr w:type="spellStart"/>
      <w:r w:rsidRPr="00686153">
        <w:rPr>
          <w:rFonts w:ascii="Arial" w:hAnsi="Arial" w:cs="Arial"/>
          <w:i/>
          <w:iCs/>
          <w:sz w:val="20"/>
          <w:szCs w:val="20"/>
        </w:rPr>
        <w:t>DarkSide</w:t>
      </w:r>
      <w:proofErr w:type="spellEnd"/>
      <w:r w:rsidRPr="00686153">
        <w:rPr>
          <w:rFonts w:ascii="Arial" w:hAnsi="Arial" w:cs="Arial"/>
          <w:i/>
          <w:iCs/>
          <w:sz w:val="20"/>
          <w:szCs w:val="20"/>
        </w:rPr>
        <w:t xml:space="preserve"> Ransomware: Best Practices for Preventing Business Disruption from Ransomware Attacks</w:t>
      </w:r>
      <w:r w:rsidRPr="00686153">
        <w:rPr>
          <w:rFonts w:ascii="Arial" w:hAnsi="Arial" w:cs="Arial"/>
          <w:sz w:val="20"/>
          <w:szCs w:val="20"/>
        </w:rPr>
        <w:t xml:space="preserve">. CISA.gov. Retrieved July 1, 2022, from https://www.cisa.gov/uscert/ncas/alerts/aa21-131a </w:t>
      </w:r>
    </w:p>
    <w:p w14:paraId="2FA8F8BE" w14:textId="77777777" w:rsidR="003C098F" w:rsidRPr="00686153" w:rsidRDefault="003C098F" w:rsidP="003C098F">
      <w:pPr>
        <w:pStyle w:val="NormalWeb"/>
        <w:ind w:left="567" w:hanging="567"/>
        <w:rPr>
          <w:rFonts w:ascii="Arial" w:hAnsi="Arial" w:cs="Arial"/>
          <w:sz w:val="20"/>
          <w:szCs w:val="20"/>
        </w:rPr>
      </w:pPr>
      <w:proofErr w:type="gramStart"/>
      <w:r w:rsidRPr="00686153">
        <w:rPr>
          <w:rFonts w:ascii="Arial" w:hAnsi="Arial" w:cs="Arial"/>
          <w:sz w:val="20"/>
          <w:szCs w:val="20"/>
        </w:rPr>
        <w:t>Eaton ,</w:t>
      </w:r>
      <w:proofErr w:type="gramEnd"/>
      <w:r w:rsidRPr="00686153">
        <w:rPr>
          <w:rFonts w:ascii="Arial" w:hAnsi="Arial" w:cs="Arial"/>
          <w:sz w:val="20"/>
          <w:szCs w:val="20"/>
        </w:rPr>
        <w:t xml:space="preserve"> C., &amp; Volz, D. (2021, May 19). </w:t>
      </w:r>
      <w:r w:rsidRPr="00686153">
        <w:rPr>
          <w:rFonts w:ascii="Arial" w:hAnsi="Arial" w:cs="Arial"/>
          <w:i/>
          <w:iCs/>
          <w:sz w:val="20"/>
          <w:szCs w:val="20"/>
        </w:rPr>
        <w:t>Colonial Pipeline CEO tells why he paid hackers a $4.4 Million ransom</w:t>
      </w:r>
      <w:r w:rsidRPr="00686153">
        <w:rPr>
          <w:rFonts w:ascii="Arial" w:hAnsi="Arial" w:cs="Arial"/>
          <w:sz w:val="20"/>
          <w:szCs w:val="20"/>
        </w:rPr>
        <w:t xml:space="preserve">. The Wall Street Journal. Retrieved July 1, 2022, from https://www.wsj.com/articles/colonial-pipeline-ceo-tells-why-he-paid-hackers-a-4-4-million-ransom-11621435636 </w:t>
      </w:r>
    </w:p>
    <w:p w14:paraId="005B6C97"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Executive Office of the </w:t>
      </w:r>
      <w:proofErr w:type="gramStart"/>
      <w:r w:rsidRPr="00686153">
        <w:rPr>
          <w:rFonts w:ascii="Arial" w:hAnsi="Arial" w:cs="Arial"/>
          <w:sz w:val="20"/>
          <w:szCs w:val="20"/>
        </w:rPr>
        <w:t>President .</w:t>
      </w:r>
      <w:proofErr w:type="gramEnd"/>
      <w:r w:rsidRPr="00686153">
        <w:rPr>
          <w:rFonts w:ascii="Arial" w:hAnsi="Arial" w:cs="Arial"/>
          <w:sz w:val="20"/>
          <w:szCs w:val="20"/>
        </w:rPr>
        <w:t xml:space="preserve"> (2021, May 12). </w:t>
      </w:r>
      <w:r w:rsidRPr="00686153">
        <w:rPr>
          <w:rFonts w:ascii="Arial" w:hAnsi="Arial" w:cs="Arial"/>
          <w:i/>
          <w:iCs/>
          <w:sz w:val="20"/>
          <w:szCs w:val="20"/>
        </w:rPr>
        <w:t>Improving the Nation's Cybersecurity: E.O. 14028</w:t>
      </w:r>
      <w:r w:rsidRPr="00686153">
        <w:rPr>
          <w:rFonts w:ascii="Arial" w:hAnsi="Arial" w:cs="Arial"/>
          <w:sz w:val="20"/>
          <w:szCs w:val="20"/>
        </w:rPr>
        <w:t xml:space="preserve">. Federal </w:t>
      </w:r>
      <w:proofErr w:type="gramStart"/>
      <w:r w:rsidRPr="00686153">
        <w:rPr>
          <w:rFonts w:ascii="Arial" w:hAnsi="Arial" w:cs="Arial"/>
          <w:sz w:val="20"/>
          <w:szCs w:val="20"/>
        </w:rPr>
        <w:t>Register .</w:t>
      </w:r>
      <w:proofErr w:type="gramEnd"/>
      <w:r w:rsidRPr="00686153">
        <w:rPr>
          <w:rFonts w:ascii="Arial" w:hAnsi="Arial" w:cs="Arial"/>
          <w:sz w:val="20"/>
          <w:szCs w:val="20"/>
        </w:rPr>
        <w:t xml:space="preserve"> Retrieved July 1, 2022, from https://www.federalregister.gov/documents/2021/05/17/2021-10460/improving-the-nations-cybersecurity </w:t>
      </w:r>
    </w:p>
    <w:p w14:paraId="4E618EFB" w14:textId="77777777" w:rsidR="003C098F" w:rsidRPr="00686153" w:rsidRDefault="003C098F" w:rsidP="003C098F">
      <w:pPr>
        <w:pStyle w:val="NormalWeb"/>
        <w:ind w:left="567" w:hanging="567"/>
        <w:rPr>
          <w:rFonts w:ascii="Arial" w:hAnsi="Arial" w:cs="Arial"/>
          <w:sz w:val="20"/>
          <w:szCs w:val="20"/>
        </w:rPr>
      </w:pPr>
      <w:proofErr w:type="spellStart"/>
      <w:r w:rsidRPr="00686153">
        <w:rPr>
          <w:rFonts w:ascii="Arial" w:hAnsi="Arial" w:cs="Arial"/>
          <w:sz w:val="20"/>
          <w:szCs w:val="20"/>
        </w:rPr>
        <w:t>Faife</w:t>
      </w:r>
      <w:proofErr w:type="spellEnd"/>
      <w:r w:rsidRPr="00686153">
        <w:rPr>
          <w:rFonts w:ascii="Arial" w:hAnsi="Arial" w:cs="Arial"/>
          <w:sz w:val="20"/>
          <w:szCs w:val="20"/>
        </w:rPr>
        <w:t xml:space="preserve">, C. (2022, April 20). </w:t>
      </w:r>
      <w:r w:rsidRPr="00686153">
        <w:rPr>
          <w:rFonts w:ascii="Arial" w:hAnsi="Arial" w:cs="Arial"/>
          <w:i/>
          <w:iCs/>
          <w:sz w:val="20"/>
          <w:szCs w:val="20"/>
        </w:rPr>
        <w:t>Okta ends lapsus$ hack investigation, says breach lasted just 25 minutes</w:t>
      </w:r>
      <w:r w:rsidRPr="00686153">
        <w:rPr>
          <w:rFonts w:ascii="Arial" w:hAnsi="Arial" w:cs="Arial"/>
          <w:sz w:val="20"/>
          <w:szCs w:val="20"/>
        </w:rPr>
        <w:t xml:space="preserve">. The Verge. Retrieved July 1, 2022, from https://www.theverge.com/2022/4/20/23034360/okta-lapsus-hack-investigation-breach-25-minutes </w:t>
      </w:r>
    </w:p>
    <w:p w14:paraId="0FB720E2" w14:textId="77777777" w:rsidR="003C098F" w:rsidRPr="00686153" w:rsidRDefault="003C098F" w:rsidP="003C098F">
      <w:pPr>
        <w:pStyle w:val="NormalWeb"/>
        <w:ind w:left="567" w:hanging="567"/>
        <w:rPr>
          <w:rFonts w:ascii="Arial" w:hAnsi="Arial" w:cs="Arial"/>
          <w:sz w:val="20"/>
          <w:szCs w:val="20"/>
        </w:rPr>
      </w:pPr>
      <w:proofErr w:type="spellStart"/>
      <w:r w:rsidRPr="00686153">
        <w:rPr>
          <w:rFonts w:ascii="Arial" w:hAnsi="Arial" w:cs="Arial"/>
          <w:sz w:val="20"/>
          <w:szCs w:val="20"/>
        </w:rPr>
        <w:t>Gatlan</w:t>
      </w:r>
      <w:proofErr w:type="spellEnd"/>
      <w:r w:rsidRPr="00686153">
        <w:rPr>
          <w:rFonts w:ascii="Arial" w:hAnsi="Arial" w:cs="Arial"/>
          <w:sz w:val="20"/>
          <w:szCs w:val="20"/>
        </w:rPr>
        <w:t xml:space="preserve">, S. (2022, April 20). </w:t>
      </w:r>
      <w:r w:rsidRPr="00686153">
        <w:rPr>
          <w:rFonts w:ascii="Arial" w:hAnsi="Arial" w:cs="Arial"/>
          <w:i/>
          <w:iCs/>
          <w:sz w:val="20"/>
          <w:szCs w:val="20"/>
        </w:rPr>
        <w:t>Okta: Lapsus$ breach lasted only 25 minutes, hit 2 customers</w:t>
      </w:r>
      <w:r w:rsidRPr="00686153">
        <w:rPr>
          <w:rFonts w:ascii="Arial" w:hAnsi="Arial" w:cs="Arial"/>
          <w:sz w:val="20"/>
          <w:szCs w:val="20"/>
        </w:rPr>
        <w:t xml:space="preserve">. </w:t>
      </w:r>
      <w:proofErr w:type="spellStart"/>
      <w:r w:rsidRPr="00686153">
        <w:rPr>
          <w:rFonts w:ascii="Arial" w:hAnsi="Arial" w:cs="Arial"/>
          <w:sz w:val="20"/>
          <w:szCs w:val="20"/>
        </w:rPr>
        <w:t>BleepingComputer</w:t>
      </w:r>
      <w:proofErr w:type="spellEnd"/>
      <w:r w:rsidRPr="00686153">
        <w:rPr>
          <w:rFonts w:ascii="Arial" w:hAnsi="Arial" w:cs="Arial"/>
          <w:sz w:val="20"/>
          <w:szCs w:val="20"/>
        </w:rPr>
        <w:t xml:space="preserve">. Retrieved July 1, 2022, from https://www.bleepingcomputer.com/news/security/okta-lapsus-breach-lasted-only-25-minutes-hit-2-customers/ </w:t>
      </w:r>
    </w:p>
    <w:p w14:paraId="7F753CF6"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Gupta, D. (2022, April 25). </w:t>
      </w:r>
      <w:r w:rsidRPr="00686153">
        <w:rPr>
          <w:rFonts w:ascii="Arial" w:hAnsi="Arial" w:cs="Arial"/>
          <w:i/>
          <w:iCs/>
          <w:sz w:val="20"/>
          <w:szCs w:val="20"/>
        </w:rPr>
        <w:t>How lapsus breached Okta and what organizations should learn</w:t>
      </w:r>
      <w:r w:rsidRPr="00686153">
        <w:rPr>
          <w:rFonts w:ascii="Arial" w:hAnsi="Arial" w:cs="Arial"/>
          <w:sz w:val="20"/>
          <w:szCs w:val="20"/>
        </w:rPr>
        <w:t xml:space="preserve">. Deepak Gupta. Retrieved July 1, 2022, from https://guptadeepak.com/how-lapsus-breached-okta-and-what-organizations-should-learn/ </w:t>
      </w:r>
    </w:p>
    <w:p w14:paraId="4FB0B8C8"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lastRenderedPageBreak/>
        <w:t xml:space="preserve">Insurance </w:t>
      </w:r>
      <w:proofErr w:type="gramStart"/>
      <w:r w:rsidRPr="00686153">
        <w:rPr>
          <w:rFonts w:ascii="Arial" w:hAnsi="Arial" w:cs="Arial"/>
          <w:sz w:val="20"/>
          <w:szCs w:val="20"/>
        </w:rPr>
        <w:t>Journal .</w:t>
      </w:r>
      <w:proofErr w:type="gramEnd"/>
      <w:r w:rsidRPr="00686153">
        <w:rPr>
          <w:rFonts w:ascii="Arial" w:hAnsi="Arial" w:cs="Arial"/>
          <w:sz w:val="20"/>
          <w:szCs w:val="20"/>
        </w:rPr>
        <w:t xml:space="preserve"> (2022, May 24). </w:t>
      </w:r>
      <w:r w:rsidRPr="00686153">
        <w:rPr>
          <w:rFonts w:ascii="Arial" w:hAnsi="Arial" w:cs="Arial"/>
          <w:i/>
          <w:iCs/>
          <w:sz w:val="20"/>
          <w:szCs w:val="20"/>
        </w:rPr>
        <w:t>Texas Department of Insurance Security Issue Exposed Data for Nearly 3 Years</w:t>
      </w:r>
      <w:r w:rsidRPr="00686153">
        <w:rPr>
          <w:rFonts w:ascii="Arial" w:hAnsi="Arial" w:cs="Arial"/>
          <w:sz w:val="20"/>
          <w:szCs w:val="20"/>
        </w:rPr>
        <w:t xml:space="preserve">. Insurance Journal. Retrieved July 1, 2022, from https://www.insurancejournal.com/news/southcentral/2022/05/24/669019.htm </w:t>
      </w:r>
    </w:p>
    <w:p w14:paraId="49AD9D9B"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Kerner, S. M. (2022, April 26). </w:t>
      </w:r>
      <w:r w:rsidRPr="00686153">
        <w:rPr>
          <w:rFonts w:ascii="Arial" w:hAnsi="Arial" w:cs="Arial"/>
          <w:i/>
          <w:iCs/>
          <w:sz w:val="20"/>
          <w:szCs w:val="20"/>
        </w:rPr>
        <w:t>Colonial pipeline hack explained: Everything you need to know</w:t>
      </w:r>
      <w:r w:rsidRPr="00686153">
        <w:rPr>
          <w:rFonts w:ascii="Arial" w:hAnsi="Arial" w:cs="Arial"/>
          <w:sz w:val="20"/>
          <w:szCs w:val="20"/>
        </w:rPr>
        <w:t xml:space="preserve">. TechTarget.com. Retrieved July 1, 2022, from https://www.techtarget.com/whatis/feature/Colonial-Pipeline-hack-explained-Everything-you-need-to-know </w:t>
      </w:r>
    </w:p>
    <w:p w14:paraId="2484320E" w14:textId="77777777" w:rsidR="003C098F" w:rsidRPr="00686153" w:rsidRDefault="003C098F" w:rsidP="003C098F">
      <w:pPr>
        <w:pStyle w:val="NormalWeb"/>
        <w:ind w:left="567" w:hanging="567"/>
        <w:rPr>
          <w:rFonts w:ascii="Arial" w:hAnsi="Arial" w:cs="Arial"/>
          <w:sz w:val="20"/>
          <w:szCs w:val="20"/>
        </w:rPr>
      </w:pPr>
      <w:proofErr w:type="gramStart"/>
      <w:r w:rsidRPr="00686153">
        <w:rPr>
          <w:rFonts w:ascii="Arial" w:hAnsi="Arial" w:cs="Arial"/>
          <w:sz w:val="20"/>
          <w:szCs w:val="20"/>
        </w:rPr>
        <w:t>Nasdaq .</w:t>
      </w:r>
      <w:proofErr w:type="gramEnd"/>
      <w:r w:rsidRPr="00686153">
        <w:rPr>
          <w:rFonts w:ascii="Arial" w:hAnsi="Arial" w:cs="Arial"/>
          <w:sz w:val="20"/>
          <w:szCs w:val="20"/>
        </w:rPr>
        <w:t xml:space="preserve"> (2022, July 1). </w:t>
      </w:r>
      <w:r w:rsidRPr="00686153">
        <w:rPr>
          <w:rFonts w:ascii="Arial" w:hAnsi="Arial" w:cs="Arial"/>
          <w:i/>
          <w:iCs/>
          <w:sz w:val="20"/>
          <w:szCs w:val="20"/>
        </w:rPr>
        <w:t xml:space="preserve">Okta Historical </w:t>
      </w:r>
      <w:proofErr w:type="gramStart"/>
      <w:r w:rsidRPr="00686153">
        <w:rPr>
          <w:rFonts w:ascii="Arial" w:hAnsi="Arial" w:cs="Arial"/>
          <w:i/>
          <w:iCs/>
          <w:sz w:val="20"/>
          <w:szCs w:val="20"/>
        </w:rPr>
        <w:t xml:space="preserve">Data </w:t>
      </w:r>
      <w:r w:rsidRPr="00686153">
        <w:rPr>
          <w:rFonts w:ascii="Arial" w:hAnsi="Arial" w:cs="Arial"/>
          <w:sz w:val="20"/>
          <w:szCs w:val="20"/>
        </w:rPr>
        <w:t>.</w:t>
      </w:r>
      <w:proofErr w:type="gramEnd"/>
      <w:r w:rsidRPr="00686153">
        <w:rPr>
          <w:rFonts w:ascii="Arial" w:hAnsi="Arial" w:cs="Arial"/>
          <w:sz w:val="20"/>
          <w:szCs w:val="20"/>
        </w:rPr>
        <w:t xml:space="preserve"> Nasdaq. Retrieved July 1, 2022, from https://www.nasdaq.com/market-activity/stocks/okta/historical </w:t>
      </w:r>
    </w:p>
    <w:p w14:paraId="7E810864"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National Institute of Standards and Technology</w:t>
      </w:r>
      <w:r>
        <w:rPr>
          <w:rFonts w:ascii="Arial" w:hAnsi="Arial" w:cs="Arial"/>
          <w:sz w:val="20"/>
          <w:szCs w:val="20"/>
        </w:rPr>
        <w:t xml:space="preserve"> (NIST)</w:t>
      </w:r>
      <w:r w:rsidRPr="00686153">
        <w:rPr>
          <w:rFonts w:ascii="Arial" w:hAnsi="Arial" w:cs="Arial"/>
          <w:sz w:val="20"/>
          <w:szCs w:val="20"/>
        </w:rPr>
        <w:t xml:space="preserve">. (2018, April 16). </w:t>
      </w:r>
      <w:r w:rsidRPr="00686153">
        <w:rPr>
          <w:rFonts w:ascii="Arial" w:hAnsi="Arial" w:cs="Arial"/>
          <w:i/>
          <w:iCs/>
          <w:sz w:val="20"/>
          <w:szCs w:val="20"/>
        </w:rPr>
        <w:t>Framework for Improving Critical Infrastructure Cybersecurity</w:t>
      </w:r>
      <w:r w:rsidRPr="00686153">
        <w:rPr>
          <w:rFonts w:ascii="Arial" w:hAnsi="Arial" w:cs="Arial"/>
          <w:sz w:val="20"/>
          <w:szCs w:val="20"/>
        </w:rPr>
        <w:t xml:space="preserve">. nist.gov. Retrieved July 1, 2022, from https://nvlpubs.nist.gov/nistpubs/CSWP/NIST.CSWP.04162018.pdf </w:t>
      </w:r>
    </w:p>
    <w:p w14:paraId="372BE535"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National Institute of Standards and Technology</w:t>
      </w:r>
      <w:r>
        <w:rPr>
          <w:rFonts w:ascii="Arial" w:hAnsi="Arial" w:cs="Arial"/>
          <w:sz w:val="20"/>
          <w:szCs w:val="20"/>
        </w:rPr>
        <w:t xml:space="preserve"> (NIST)</w:t>
      </w:r>
      <w:r w:rsidRPr="00686153">
        <w:rPr>
          <w:rFonts w:ascii="Arial" w:hAnsi="Arial" w:cs="Arial"/>
          <w:sz w:val="20"/>
          <w:szCs w:val="20"/>
        </w:rPr>
        <w:t xml:space="preserve">. (2017, June). </w:t>
      </w:r>
      <w:r w:rsidRPr="00686153">
        <w:rPr>
          <w:rFonts w:ascii="Arial" w:hAnsi="Arial" w:cs="Arial"/>
          <w:i/>
          <w:iCs/>
          <w:sz w:val="20"/>
          <w:szCs w:val="20"/>
        </w:rPr>
        <w:t>NIST Special Publication 800-63B. Digital Identity Guidelines</w:t>
      </w:r>
      <w:r w:rsidRPr="00686153">
        <w:rPr>
          <w:rFonts w:ascii="Arial" w:hAnsi="Arial" w:cs="Arial"/>
          <w:sz w:val="20"/>
          <w:szCs w:val="20"/>
        </w:rPr>
        <w:t xml:space="preserve">. nist.gov. Retrieved July 1, 2022, from https://pages.nist.gov/800-63-3/sp800-63b.html </w:t>
      </w:r>
    </w:p>
    <w:p w14:paraId="2A04E5EA"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Newman, L. H. (2022, March 15). </w:t>
      </w:r>
      <w:r w:rsidRPr="00686153">
        <w:rPr>
          <w:rFonts w:ascii="Arial" w:hAnsi="Arial" w:cs="Arial"/>
          <w:i/>
          <w:iCs/>
          <w:sz w:val="20"/>
          <w:szCs w:val="20"/>
        </w:rPr>
        <w:t>The lapsus$ hacking group is off to a chaotic start</w:t>
      </w:r>
      <w:r w:rsidRPr="00686153">
        <w:rPr>
          <w:rFonts w:ascii="Arial" w:hAnsi="Arial" w:cs="Arial"/>
          <w:sz w:val="20"/>
          <w:szCs w:val="20"/>
        </w:rPr>
        <w:t xml:space="preserve">. Wired. Retrieved July 1, 2022, from https://www.wired.com/story/lapsus-hacking-group-extortion-nvidia-samsung/ </w:t>
      </w:r>
    </w:p>
    <w:p w14:paraId="18F51CAC"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Newman, L. H. (2022, March 28). </w:t>
      </w:r>
      <w:r w:rsidRPr="00686153">
        <w:rPr>
          <w:rFonts w:ascii="Arial" w:hAnsi="Arial" w:cs="Arial"/>
          <w:i/>
          <w:iCs/>
          <w:sz w:val="20"/>
          <w:szCs w:val="20"/>
        </w:rPr>
        <w:t>Leaked details of the lapsus$ hack make Okta's slow response look more bizarre</w:t>
      </w:r>
      <w:r w:rsidRPr="00686153">
        <w:rPr>
          <w:rFonts w:ascii="Arial" w:hAnsi="Arial" w:cs="Arial"/>
          <w:sz w:val="20"/>
          <w:szCs w:val="20"/>
        </w:rPr>
        <w:t xml:space="preserve">. Wired. Retrieved July 1, 2022, from https://www.wired.com/story/lapsus-okta-hack-sitel-leak/ </w:t>
      </w:r>
    </w:p>
    <w:p w14:paraId="0E59C416"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Okta. (2022, April 26). </w:t>
      </w:r>
      <w:r w:rsidRPr="00686153">
        <w:rPr>
          <w:rFonts w:ascii="Arial" w:hAnsi="Arial" w:cs="Arial"/>
          <w:i/>
          <w:iCs/>
          <w:sz w:val="20"/>
          <w:szCs w:val="20"/>
        </w:rPr>
        <w:t>Frequently Asked Questions Regarding the January 2022 Compromise</w:t>
      </w:r>
      <w:r w:rsidRPr="00686153">
        <w:rPr>
          <w:rFonts w:ascii="Arial" w:hAnsi="Arial" w:cs="Arial"/>
          <w:sz w:val="20"/>
          <w:szCs w:val="20"/>
        </w:rPr>
        <w:t xml:space="preserve">. Okta Help </w:t>
      </w:r>
      <w:proofErr w:type="gramStart"/>
      <w:r w:rsidRPr="00686153">
        <w:rPr>
          <w:rFonts w:ascii="Arial" w:hAnsi="Arial" w:cs="Arial"/>
          <w:sz w:val="20"/>
          <w:szCs w:val="20"/>
        </w:rPr>
        <w:t>Center .</w:t>
      </w:r>
      <w:proofErr w:type="gramEnd"/>
      <w:r w:rsidRPr="00686153">
        <w:rPr>
          <w:rFonts w:ascii="Arial" w:hAnsi="Arial" w:cs="Arial"/>
          <w:sz w:val="20"/>
          <w:szCs w:val="20"/>
        </w:rPr>
        <w:t xml:space="preserve"> Retrieved July 1, 2022, from https://support.okta.com/help/s/article/Frequently-Asked-Questions-Regarding-January-2022-Compromise?language=en_US </w:t>
      </w:r>
    </w:p>
    <w:p w14:paraId="24C42C0D" w14:textId="77777777" w:rsidR="003C098F" w:rsidRPr="00686153" w:rsidRDefault="003C098F" w:rsidP="003C098F">
      <w:pPr>
        <w:pStyle w:val="NormalWeb"/>
        <w:ind w:left="567" w:hanging="567"/>
        <w:rPr>
          <w:rFonts w:ascii="Arial" w:hAnsi="Arial" w:cs="Arial"/>
          <w:sz w:val="20"/>
          <w:szCs w:val="20"/>
        </w:rPr>
      </w:pPr>
      <w:proofErr w:type="gramStart"/>
      <w:r w:rsidRPr="00686153">
        <w:rPr>
          <w:rFonts w:ascii="Arial" w:hAnsi="Arial" w:cs="Arial"/>
          <w:sz w:val="20"/>
          <w:szCs w:val="20"/>
        </w:rPr>
        <w:t>Osborne ,</w:t>
      </w:r>
      <w:proofErr w:type="gramEnd"/>
      <w:r w:rsidRPr="00686153">
        <w:rPr>
          <w:rFonts w:ascii="Arial" w:hAnsi="Arial" w:cs="Arial"/>
          <w:sz w:val="20"/>
          <w:szCs w:val="20"/>
        </w:rPr>
        <w:t xml:space="preserve"> C. (2021, May 12). </w:t>
      </w:r>
      <w:r w:rsidRPr="00686153">
        <w:rPr>
          <w:rFonts w:ascii="Arial" w:hAnsi="Arial" w:cs="Arial"/>
          <w:i/>
          <w:iCs/>
          <w:sz w:val="20"/>
          <w:szCs w:val="20"/>
        </w:rPr>
        <w:t>Researchers track down five affiliates of Darkside Ransomware Service</w:t>
      </w:r>
      <w:r w:rsidRPr="00686153">
        <w:rPr>
          <w:rFonts w:ascii="Arial" w:hAnsi="Arial" w:cs="Arial"/>
          <w:sz w:val="20"/>
          <w:szCs w:val="20"/>
        </w:rPr>
        <w:t xml:space="preserve">. ZDNet. Retrieved July 1, 2022, from https://www.zdnet.com/article/researchers-track-down-five-affiliates-of-darkside-ransomware-service/ </w:t>
      </w:r>
    </w:p>
    <w:p w14:paraId="14DAC112"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Osborne, C. (2021, May 13). </w:t>
      </w:r>
      <w:r w:rsidRPr="00686153">
        <w:rPr>
          <w:rFonts w:ascii="Arial" w:hAnsi="Arial" w:cs="Arial"/>
          <w:i/>
          <w:iCs/>
          <w:sz w:val="20"/>
          <w:szCs w:val="20"/>
        </w:rPr>
        <w:t>Colonial Pipeline Attack: Everything you need to know</w:t>
      </w:r>
      <w:r w:rsidRPr="00686153">
        <w:rPr>
          <w:rFonts w:ascii="Arial" w:hAnsi="Arial" w:cs="Arial"/>
          <w:sz w:val="20"/>
          <w:szCs w:val="20"/>
        </w:rPr>
        <w:t xml:space="preserve">. ZDNet. Retrieved July 1, 2022, from https://www.zdnet.com/article/colonial-pipeline-ransomware-attack-everything-you-need-to-know/ </w:t>
      </w:r>
    </w:p>
    <w:p w14:paraId="272D9AEB"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Osborne, C. (2021, May 14). </w:t>
      </w:r>
      <w:r w:rsidRPr="00686153">
        <w:rPr>
          <w:rFonts w:ascii="Arial" w:hAnsi="Arial" w:cs="Arial"/>
          <w:i/>
          <w:iCs/>
          <w:sz w:val="20"/>
          <w:szCs w:val="20"/>
        </w:rPr>
        <w:t>Darkside explained: The Ransomware Group responsible for Colonial Pipeline Attack</w:t>
      </w:r>
      <w:r w:rsidRPr="00686153">
        <w:rPr>
          <w:rFonts w:ascii="Arial" w:hAnsi="Arial" w:cs="Arial"/>
          <w:sz w:val="20"/>
          <w:szCs w:val="20"/>
        </w:rPr>
        <w:t xml:space="preserve">. ZDNet. Retrieved July 1, 2022, from https://www.zdnet.com/article/darkside-the-ransomware-group-responsible-for-colonial-pipeline-cyberattack-explained/ </w:t>
      </w:r>
    </w:p>
    <w:p w14:paraId="1B9CF8DF" w14:textId="77777777" w:rsidR="003C098F" w:rsidRPr="00686153" w:rsidRDefault="003C098F" w:rsidP="003C098F">
      <w:pPr>
        <w:pStyle w:val="NormalWeb"/>
        <w:ind w:left="567" w:hanging="567"/>
        <w:rPr>
          <w:rFonts w:ascii="Arial" w:hAnsi="Arial" w:cs="Arial"/>
          <w:sz w:val="20"/>
          <w:szCs w:val="20"/>
        </w:rPr>
      </w:pPr>
      <w:proofErr w:type="gramStart"/>
      <w:r w:rsidRPr="00686153">
        <w:rPr>
          <w:rFonts w:ascii="Arial" w:hAnsi="Arial" w:cs="Arial"/>
          <w:sz w:val="20"/>
          <w:szCs w:val="20"/>
        </w:rPr>
        <w:t>Reed ,</w:t>
      </w:r>
      <w:proofErr w:type="gramEnd"/>
      <w:r w:rsidRPr="00686153">
        <w:rPr>
          <w:rFonts w:ascii="Arial" w:hAnsi="Arial" w:cs="Arial"/>
          <w:sz w:val="20"/>
          <w:szCs w:val="20"/>
        </w:rPr>
        <w:t xml:space="preserve"> J. (2022, April 5). </w:t>
      </w:r>
      <w:r w:rsidRPr="00686153">
        <w:rPr>
          <w:rFonts w:ascii="Arial" w:hAnsi="Arial" w:cs="Arial"/>
          <w:i/>
          <w:iCs/>
          <w:sz w:val="20"/>
          <w:szCs w:val="20"/>
        </w:rPr>
        <w:t xml:space="preserve">Arrests made in relation to LAPSUS$ Cyber </w:t>
      </w:r>
      <w:proofErr w:type="gramStart"/>
      <w:r w:rsidRPr="00686153">
        <w:rPr>
          <w:rFonts w:ascii="Arial" w:hAnsi="Arial" w:cs="Arial"/>
          <w:i/>
          <w:iCs/>
          <w:sz w:val="20"/>
          <w:szCs w:val="20"/>
        </w:rPr>
        <w:t>Gang </w:t>
      </w:r>
      <w:r w:rsidRPr="00686153">
        <w:rPr>
          <w:rFonts w:ascii="Arial" w:hAnsi="Arial" w:cs="Arial"/>
          <w:sz w:val="20"/>
          <w:szCs w:val="20"/>
        </w:rPr>
        <w:t>.</w:t>
      </w:r>
      <w:proofErr w:type="gramEnd"/>
      <w:r w:rsidRPr="00686153">
        <w:rPr>
          <w:rFonts w:ascii="Arial" w:hAnsi="Arial" w:cs="Arial"/>
          <w:sz w:val="20"/>
          <w:szCs w:val="20"/>
        </w:rPr>
        <w:t xml:space="preserve"> Security Intelligence. Retrieved July 1, 2022, from https://securityintelligence.com/news/arrests-made-lapsus-cyber-gang/ </w:t>
      </w:r>
    </w:p>
    <w:p w14:paraId="70045222" w14:textId="77777777" w:rsidR="003C098F" w:rsidRPr="00686153" w:rsidRDefault="003C098F" w:rsidP="003C098F">
      <w:pPr>
        <w:pStyle w:val="NormalWeb"/>
        <w:ind w:left="567" w:hanging="567"/>
        <w:rPr>
          <w:rFonts w:ascii="Arial" w:hAnsi="Arial" w:cs="Arial"/>
          <w:sz w:val="20"/>
          <w:szCs w:val="20"/>
        </w:rPr>
      </w:pPr>
      <w:proofErr w:type="spellStart"/>
      <w:r w:rsidRPr="00686153">
        <w:rPr>
          <w:rFonts w:ascii="Arial" w:hAnsi="Arial" w:cs="Arial"/>
          <w:sz w:val="20"/>
          <w:szCs w:val="20"/>
        </w:rPr>
        <w:t>Sitel</w:t>
      </w:r>
      <w:proofErr w:type="spellEnd"/>
      <w:r w:rsidRPr="00686153">
        <w:rPr>
          <w:rFonts w:ascii="Arial" w:hAnsi="Arial" w:cs="Arial"/>
          <w:sz w:val="20"/>
          <w:szCs w:val="20"/>
        </w:rPr>
        <w:t xml:space="preserve"> </w:t>
      </w:r>
      <w:proofErr w:type="gramStart"/>
      <w:r w:rsidRPr="00686153">
        <w:rPr>
          <w:rFonts w:ascii="Arial" w:hAnsi="Arial" w:cs="Arial"/>
          <w:sz w:val="20"/>
          <w:szCs w:val="20"/>
        </w:rPr>
        <w:t>Group .</w:t>
      </w:r>
      <w:proofErr w:type="gramEnd"/>
      <w:r w:rsidRPr="00686153">
        <w:rPr>
          <w:rFonts w:ascii="Arial" w:hAnsi="Arial" w:cs="Arial"/>
          <w:sz w:val="20"/>
          <w:szCs w:val="20"/>
        </w:rPr>
        <w:t xml:space="preserve"> (2022, March 29). </w:t>
      </w:r>
      <w:r w:rsidRPr="00686153">
        <w:rPr>
          <w:rFonts w:ascii="Arial" w:hAnsi="Arial" w:cs="Arial"/>
          <w:i/>
          <w:iCs/>
          <w:sz w:val="20"/>
          <w:szCs w:val="20"/>
        </w:rPr>
        <w:t>Response regarding the lapsus$ breach</w:t>
      </w:r>
      <w:r w:rsidRPr="00686153">
        <w:rPr>
          <w:rFonts w:ascii="Arial" w:hAnsi="Arial" w:cs="Arial"/>
          <w:sz w:val="20"/>
          <w:szCs w:val="20"/>
        </w:rPr>
        <w:t xml:space="preserve">. </w:t>
      </w:r>
      <w:proofErr w:type="spellStart"/>
      <w:r w:rsidRPr="00686153">
        <w:rPr>
          <w:rFonts w:ascii="Arial" w:hAnsi="Arial" w:cs="Arial"/>
          <w:sz w:val="20"/>
          <w:szCs w:val="20"/>
        </w:rPr>
        <w:t>Sitel</w:t>
      </w:r>
      <w:proofErr w:type="spellEnd"/>
      <w:r w:rsidRPr="00686153">
        <w:rPr>
          <w:rFonts w:ascii="Arial" w:hAnsi="Arial" w:cs="Arial"/>
          <w:sz w:val="20"/>
          <w:szCs w:val="20"/>
        </w:rPr>
        <w:t xml:space="preserve"> Group. Retrieved July 1, 2022, from https://www.sitel.com/news/response-regarding-the-lapsus-breach/ </w:t>
      </w:r>
    </w:p>
    <w:p w14:paraId="70CFDB5C"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Texas Department of </w:t>
      </w:r>
      <w:proofErr w:type="gramStart"/>
      <w:r w:rsidRPr="00686153">
        <w:rPr>
          <w:rFonts w:ascii="Arial" w:hAnsi="Arial" w:cs="Arial"/>
          <w:sz w:val="20"/>
          <w:szCs w:val="20"/>
        </w:rPr>
        <w:t>Insurance .</w:t>
      </w:r>
      <w:proofErr w:type="gramEnd"/>
      <w:r w:rsidRPr="00686153">
        <w:rPr>
          <w:rFonts w:ascii="Arial" w:hAnsi="Arial" w:cs="Arial"/>
          <w:sz w:val="20"/>
          <w:szCs w:val="20"/>
        </w:rPr>
        <w:t xml:space="preserve"> (2022, May 18). </w:t>
      </w:r>
      <w:r w:rsidRPr="00686153">
        <w:rPr>
          <w:rFonts w:ascii="Arial" w:hAnsi="Arial" w:cs="Arial"/>
          <w:i/>
          <w:iCs/>
          <w:sz w:val="20"/>
          <w:szCs w:val="20"/>
        </w:rPr>
        <w:t xml:space="preserve">Additional facts: TDI data security </w:t>
      </w:r>
      <w:proofErr w:type="gramStart"/>
      <w:r w:rsidRPr="00686153">
        <w:rPr>
          <w:rFonts w:ascii="Arial" w:hAnsi="Arial" w:cs="Arial"/>
          <w:i/>
          <w:iCs/>
          <w:sz w:val="20"/>
          <w:szCs w:val="20"/>
        </w:rPr>
        <w:t xml:space="preserve">event </w:t>
      </w:r>
      <w:r w:rsidRPr="00686153">
        <w:rPr>
          <w:rFonts w:ascii="Arial" w:hAnsi="Arial" w:cs="Arial"/>
          <w:sz w:val="20"/>
          <w:szCs w:val="20"/>
        </w:rPr>
        <w:t>.</w:t>
      </w:r>
      <w:proofErr w:type="gramEnd"/>
      <w:r w:rsidRPr="00686153">
        <w:rPr>
          <w:rFonts w:ascii="Arial" w:hAnsi="Arial" w:cs="Arial"/>
          <w:sz w:val="20"/>
          <w:szCs w:val="20"/>
        </w:rPr>
        <w:t xml:space="preserve"> Texas Department of </w:t>
      </w:r>
      <w:proofErr w:type="gramStart"/>
      <w:r w:rsidRPr="00686153">
        <w:rPr>
          <w:rFonts w:ascii="Arial" w:hAnsi="Arial" w:cs="Arial"/>
          <w:sz w:val="20"/>
          <w:szCs w:val="20"/>
        </w:rPr>
        <w:t>Insurance .</w:t>
      </w:r>
      <w:proofErr w:type="gramEnd"/>
      <w:r w:rsidRPr="00686153">
        <w:rPr>
          <w:rFonts w:ascii="Arial" w:hAnsi="Arial" w:cs="Arial"/>
          <w:sz w:val="20"/>
          <w:szCs w:val="20"/>
        </w:rPr>
        <w:t xml:space="preserve"> Retrieved July 1, 2022, from https://www.tdi.texas.gov/data-security-event/additional-information.html </w:t>
      </w:r>
    </w:p>
    <w:p w14:paraId="711F3FBF"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lastRenderedPageBreak/>
        <w:t xml:space="preserve">Texas Department of Insurance. (2022, March 24). </w:t>
      </w:r>
      <w:r w:rsidRPr="00686153">
        <w:rPr>
          <w:rFonts w:ascii="Arial" w:hAnsi="Arial" w:cs="Arial"/>
          <w:i/>
          <w:iCs/>
          <w:sz w:val="20"/>
          <w:szCs w:val="20"/>
        </w:rPr>
        <w:t>TDI Provides Notice of Data Security Event</w:t>
      </w:r>
      <w:r w:rsidRPr="00686153">
        <w:rPr>
          <w:rFonts w:ascii="Arial" w:hAnsi="Arial" w:cs="Arial"/>
          <w:sz w:val="20"/>
          <w:szCs w:val="20"/>
        </w:rPr>
        <w:t xml:space="preserve">. Texas Department of Insurance. Retrieved July 1, 2022, from https://www.tdi.texas.gov/news/2022/tdi03242022.html </w:t>
      </w:r>
    </w:p>
    <w:p w14:paraId="56DD6ECF"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Thomas, D. (2021, February 16). </w:t>
      </w:r>
      <w:r w:rsidRPr="00686153">
        <w:rPr>
          <w:rFonts w:ascii="Arial" w:hAnsi="Arial" w:cs="Arial"/>
          <w:i/>
          <w:iCs/>
          <w:sz w:val="20"/>
          <w:szCs w:val="20"/>
        </w:rPr>
        <w:t>Pa. firm alleges ex-partners 'secretly planned' to join Armstrong Teasdale</w:t>
      </w:r>
      <w:r w:rsidRPr="00686153">
        <w:rPr>
          <w:rFonts w:ascii="Arial" w:hAnsi="Arial" w:cs="Arial"/>
          <w:sz w:val="20"/>
          <w:szCs w:val="20"/>
        </w:rPr>
        <w:t xml:space="preserve">. Westlaw.com. Retrieved July 1, 2022, from https://content.next.westlaw.com/Document/I1c80a1d070ac11ebb555947e94fe83f6/View/FullText.html?contextData=(sc.Default) </w:t>
      </w:r>
    </w:p>
    <w:p w14:paraId="07F0CEBF" w14:textId="77777777" w:rsidR="003C098F" w:rsidRPr="00686153" w:rsidRDefault="003C098F" w:rsidP="003C098F">
      <w:pPr>
        <w:pStyle w:val="NormalWeb"/>
        <w:ind w:left="567" w:hanging="567"/>
        <w:rPr>
          <w:rFonts w:ascii="Arial" w:hAnsi="Arial" w:cs="Arial"/>
          <w:sz w:val="20"/>
          <w:szCs w:val="20"/>
        </w:rPr>
      </w:pPr>
      <w:proofErr w:type="spellStart"/>
      <w:r w:rsidRPr="00686153">
        <w:rPr>
          <w:rFonts w:ascii="Arial" w:hAnsi="Arial" w:cs="Arial"/>
          <w:sz w:val="20"/>
          <w:szCs w:val="20"/>
        </w:rPr>
        <w:t>Thorbecke</w:t>
      </w:r>
      <w:proofErr w:type="spellEnd"/>
      <w:r w:rsidRPr="00686153">
        <w:rPr>
          <w:rFonts w:ascii="Arial" w:hAnsi="Arial" w:cs="Arial"/>
          <w:sz w:val="20"/>
          <w:szCs w:val="20"/>
        </w:rPr>
        <w:t xml:space="preserve">, C. (2021, May 17). </w:t>
      </w:r>
      <w:r w:rsidRPr="00686153">
        <w:rPr>
          <w:rFonts w:ascii="Arial" w:hAnsi="Arial" w:cs="Arial"/>
          <w:i/>
          <w:iCs/>
          <w:sz w:val="20"/>
          <w:szCs w:val="20"/>
        </w:rPr>
        <w:t>Gas hits highest price in 6 years, fuel outages persist despite Colonial Pipeline restart</w:t>
      </w:r>
      <w:r w:rsidRPr="00686153">
        <w:rPr>
          <w:rFonts w:ascii="Arial" w:hAnsi="Arial" w:cs="Arial"/>
          <w:sz w:val="20"/>
          <w:szCs w:val="20"/>
        </w:rPr>
        <w:t xml:space="preserve">. ABC News. Retrieved July 1, 2022, from https://abcnews.go.com/US/gas-hits-highest-price-years-fuel-outages-persist/story?id=77735010 </w:t>
      </w:r>
    </w:p>
    <w:p w14:paraId="3C383D2B" w14:textId="77777777" w:rsidR="003C098F" w:rsidRPr="00686153" w:rsidRDefault="003C098F" w:rsidP="003C098F">
      <w:pPr>
        <w:pStyle w:val="NormalWeb"/>
        <w:ind w:left="567" w:hanging="567"/>
        <w:rPr>
          <w:rFonts w:ascii="Arial" w:hAnsi="Arial" w:cs="Arial"/>
          <w:sz w:val="20"/>
          <w:szCs w:val="20"/>
        </w:rPr>
      </w:pPr>
      <w:proofErr w:type="spellStart"/>
      <w:r w:rsidRPr="00686153">
        <w:rPr>
          <w:rFonts w:ascii="Arial" w:hAnsi="Arial" w:cs="Arial"/>
          <w:sz w:val="20"/>
          <w:szCs w:val="20"/>
        </w:rPr>
        <w:t>Tomaschek</w:t>
      </w:r>
      <w:proofErr w:type="spellEnd"/>
      <w:r w:rsidRPr="00686153">
        <w:rPr>
          <w:rFonts w:ascii="Arial" w:hAnsi="Arial" w:cs="Arial"/>
          <w:sz w:val="20"/>
          <w:szCs w:val="20"/>
        </w:rPr>
        <w:t xml:space="preserve">, A. (2022, May 17). </w:t>
      </w:r>
      <w:r w:rsidRPr="00686153">
        <w:rPr>
          <w:rFonts w:ascii="Arial" w:hAnsi="Arial" w:cs="Arial"/>
          <w:i/>
          <w:iCs/>
          <w:sz w:val="20"/>
          <w:szCs w:val="20"/>
        </w:rPr>
        <w:t>Personal data of 1.8m Texans exposed for years by Texas Department of Insurance</w:t>
      </w:r>
      <w:r w:rsidRPr="00686153">
        <w:rPr>
          <w:rFonts w:ascii="Arial" w:hAnsi="Arial" w:cs="Arial"/>
          <w:sz w:val="20"/>
          <w:szCs w:val="20"/>
        </w:rPr>
        <w:t xml:space="preserve">. CNET. Retrieved July 1, 2022, from https://www.cnet.com/tech/services-and-software/personal-data-of-1-8m-texans-exposed-for-years-by-texas-department-of-insurance/ </w:t>
      </w:r>
    </w:p>
    <w:p w14:paraId="548F74E9"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U.S. Department of Health and Human Services (HHS). (2013, July 26). </w:t>
      </w:r>
      <w:r w:rsidRPr="00686153">
        <w:rPr>
          <w:rFonts w:ascii="Arial" w:hAnsi="Arial" w:cs="Arial"/>
          <w:i/>
          <w:iCs/>
          <w:sz w:val="20"/>
          <w:szCs w:val="20"/>
        </w:rPr>
        <w:t>Summary of the HIPAA Security Rule</w:t>
      </w:r>
      <w:r w:rsidRPr="00686153">
        <w:rPr>
          <w:rFonts w:ascii="Arial" w:hAnsi="Arial" w:cs="Arial"/>
          <w:sz w:val="20"/>
          <w:szCs w:val="20"/>
        </w:rPr>
        <w:t xml:space="preserve">. HHS.gov. Retrieved July 1, 2022, from https://www.hhs.gov/hipaa/for-professionals/security/laws-regulations/index.html </w:t>
      </w:r>
    </w:p>
    <w:p w14:paraId="1E84E3C4" w14:textId="77777777" w:rsidR="003C098F" w:rsidRPr="00686153" w:rsidRDefault="003C098F" w:rsidP="003C098F">
      <w:pPr>
        <w:pStyle w:val="NormalWeb"/>
        <w:ind w:left="567" w:hanging="567"/>
        <w:rPr>
          <w:rFonts w:ascii="Arial" w:hAnsi="Arial" w:cs="Arial"/>
          <w:sz w:val="20"/>
          <w:szCs w:val="20"/>
        </w:rPr>
      </w:pPr>
      <w:r w:rsidRPr="00686153">
        <w:rPr>
          <w:rFonts w:ascii="Arial" w:hAnsi="Arial" w:cs="Arial"/>
          <w:sz w:val="20"/>
          <w:szCs w:val="20"/>
        </w:rPr>
        <w:t xml:space="preserve">The Volkov Law Group. (2021, June 23). </w:t>
      </w:r>
      <w:r w:rsidRPr="00686153">
        <w:rPr>
          <w:rFonts w:ascii="Arial" w:hAnsi="Arial" w:cs="Arial"/>
          <w:i/>
          <w:iCs/>
          <w:sz w:val="20"/>
          <w:szCs w:val="20"/>
        </w:rPr>
        <w:t>The Justice Department Strikes Back and recovers ransom paid by Colonial Pipeline</w:t>
      </w:r>
      <w:r w:rsidRPr="00686153">
        <w:rPr>
          <w:rFonts w:ascii="Arial" w:hAnsi="Arial" w:cs="Arial"/>
          <w:sz w:val="20"/>
          <w:szCs w:val="20"/>
        </w:rPr>
        <w:t xml:space="preserve">. JD Supra. Retrieved July 1, 2022, from https://www.jdsupra.com/legalnews/the-justice-department-strikes-back-and-8967518/ </w:t>
      </w:r>
    </w:p>
    <w:p w14:paraId="6B2296DD" w14:textId="77777777" w:rsidR="003C098F" w:rsidRPr="00686153" w:rsidRDefault="003C098F" w:rsidP="003C098F">
      <w:pPr>
        <w:rPr>
          <w:rFonts w:ascii="Arial" w:hAnsi="Arial" w:cs="Arial"/>
          <w:sz w:val="20"/>
          <w:szCs w:val="20"/>
        </w:rPr>
      </w:pPr>
    </w:p>
    <w:p w14:paraId="799DCBAB" w14:textId="13281C48" w:rsidR="003C098F" w:rsidRDefault="003C098F" w:rsidP="009F26E0"/>
    <w:sectPr w:rsidR="003C098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49C1C" w14:textId="77777777" w:rsidR="00DA5C86" w:rsidRDefault="00DA5C86" w:rsidP="003C098F">
      <w:pPr>
        <w:spacing w:after="0" w:line="240" w:lineRule="auto"/>
      </w:pPr>
      <w:r>
        <w:separator/>
      </w:r>
    </w:p>
  </w:endnote>
  <w:endnote w:type="continuationSeparator" w:id="0">
    <w:p w14:paraId="6FD9EE08" w14:textId="77777777" w:rsidR="00DA5C86" w:rsidRDefault="00DA5C86" w:rsidP="003C0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957263"/>
      <w:docPartObj>
        <w:docPartGallery w:val="Page Numbers (Bottom of Page)"/>
        <w:docPartUnique/>
      </w:docPartObj>
    </w:sdtPr>
    <w:sdtEndPr>
      <w:rPr>
        <w:noProof/>
      </w:rPr>
    </w:sdtEndPr>
    <w:sdtContent>
      <w:p w14:paraId="3B63A444" w14:textId="3E069254" w:rsidR="003C098F" w:rsidRDefault="003C09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F30E3" w14:textId="77777777" w:rsidR="003C098F" w:rsidRDefault="003C0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4C504" w14:textId="77777777" w:rsidR="00DA5C86" w:rsidRDefault="00DA5C86" w:rsidP="003C098F">
      <w:pPr>
        <w:spacing w:after="0" w:line="240" w:lineRule="auto"/>
      </w:pPr>
      <w:r>
        <w:separator/>
      </w:r>
    </w:p>
  </w:footnote>
  <w:footnote w:type="continuationSeparator" w:id="0">
    <w:p w14:paraId="6347A0FA" w14:textId="77777777" w:rsidR="00DA5C86" w:rsidRDefault="00DA5C86" w:rsidP="003C0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4A8F"/>
    <w:multiLevelType w:val="hybridMultilevel"/>
    <w:tmpl w:val="0EB6D1F0"/>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 w15:restartNumberingAfterBreak="0">
    <w:nsid w:val="15B27259"/>
    <w:multiLevelType w:val="hybridMultilevel"/>
    <w:tmpl w:val="93B2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047F3"/>
    <w:multiLevelType w:val="hybridMultilevel"/>
    <w:tmpl w:val="D6F0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16DAF"/>
    <w:multiLevelType w:val="hybridMultilevel"/>
    <w:tmpl w:val="2A28ABC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89E10B1"/>
    <w:multiLevelType w:val="hybridMultilevel"/>
    <w:tmpl w:val="265E6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F67C11"/>
    <w:multiLevelType w:val="hybridMultilevel"/>
    <w:tmpl w:val="D1A06B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565606610">
    <w:abstractNumId w:val="4"/>
  </w:num>
  <w:num w:numId="2" w16cid:durableId="805125129">
    <w:abstractNumId w:val="1"/>
  </w:num>
  <w:num w:numId="3" w16cid:durableId="1297562640">
    <w:abstractNumId w:val="5"/>
  </w:num>
  <w:num w:numId="4" w16cid:durableId="105391677">
    <w:abstractNumId w:val="3"/>
  </w:num>
  <w:num w:numId="5" w16cid:durableId="314258962">
    <w:abstractNumId w:val="2"/>
  </w:num>
  <w:num w:numId="6" w16cid:durableId="71940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E0"/>
    <w:rsid w:val="000B5945"/>
    <w:rsid w:val="001E6AD2"/>
    <w:rsid w:val="002733D6"/>
    <w:rsid w:val="003C098F"/>
    <w:rsid w:val="00401910"/>
    <w:rsid w:val="004D2BEB"/>
    <w:rsid w:val="006F0EAF"/>
    <w:rsid w:val="007B5DA6"/>
    <w:rsid w:val="00815355"/>
    <w:rsid w:val="008E3F26"/>
    <w:rsid w:val="009455C0"/>
    <w:rsid w:val="009F26E0"/>
    <w:rsid w:val="00A129D4"/>
    <w:rsid w:val="00C82D18"/>
    <w:rsid w:val="00CE2CBE"/>
    <w:rsid w:val="00DA5C86"/>
    <w:rsid w:val="00DB771E"/>
    <w:rsid w:val="00F24701"/>
    <w:rsid w:val="00FF2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58439"/>
  <w15:chartTrackingRefBased/>
  <w15:docId w15:val="{187FB969-0E54-41BB-892B-06AE1C21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01910"/>
    <w:pPr>
      <w:framePr w:w="7920" w:h="1980" w:hRule="exact" w:hSpace="180" w:wrap="auto" w:hAnchor="page" w:xAlign="center" w:yAlign="bottom"/>
      <w:spacing w:after="0" w:line="240" w:lineRule="auto"/>
      <w:ind w:left="2880"/>
    </w:pPr>
    <w:rPr>
      <w:rFonts w:ascii="Calibri" w:eastAsiaTheme="majorEastAsia" w:hAnsi="Calibri" w:cstheme="majorBidi"/>
      <w:b/>
      <w:sz w:val="28"/>
      <w:szCs w:val="24"/>
    </w:rPr>
  </w:style>
  <w:style w:type="paragraph" w:styleId="EnvelopeReturn">
    <w:name w:val="envelope return"/>
    <w:basedOn w:val="Normal"/>
    <w:uiPriority w:val="99"/>
    <w:semiHidden/>
    <w:unhideWhenUsed/>
    <w:rsid w:val="00401910"/>
    <w:pPr>
      <w:spacing w:after="0" w:line="240" w:lineRule="auto"/>
    </w:pPr>
    <w:rPr>
      <w:rFonts w:ascii="Calibri" w:eastAsiaTheme="majorEastAsia" w:hAnsi="Calibri" w:cstheme="majorBidi"/>
      <w:b/>
      <w:sz w:val="24"/>
      <w:szCs w:val="20"/>
    </w:rPr>
  </w:style>
  <w:style w:type="paragraph" w:styleId="ListParagraph">
    <w:name w:val="List Paragraph"/>
    <w:basedOn w:val="Normal"/>
    <w:uiPriority w:val="34"/>
    <w:qFormat/>
    <w:rsid w:val="009F26E0"/>
    <w:pPr>
      <w:ind w:left="720"/>
      <w:contextualSpacing/>
    </w:pPr>
  </w:style>
  <w:style w:type="table" w:styleId="TableGrid">
    <w:name w:val="Table Grid"/>
    <w:basedOn w:val="TableNormal"/>
    <w:uiPriority w:val="39"/>
    <w:rsid w:val="009F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098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C0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98F"/>
  </w:style>
  <w:style w:type="paragraph" w:styleId="Footer">
    <w:name w:val="footer"/>
    <w:basedOn w:val="Normal"/>
    <w:link w:val="FooterChar"/>
    <w:uiPriority w:val="99"/>
    <w:unhideWhenUsed/>
    <w:rsid w:val="003C0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98F"/>
  </w:style>
  <w:style w:type="paragraph" w:styleId="Caption">
    <w:name w:val="caption"/>
    <w:basedOn w:val="Normal"/>
    <w:next w:val="Normal"/>
    <w:uiPriority w:val="35"/>
    <w:unhideWhenUsed/>
    <w:qFormat/>
    <w:rsid w:val="008E3F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about:blank"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Okta Stock Price vs QQQ Fund</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HistoricalData_1656688375757!$B$1</c:f>
              <c:strCache>
                <c:ptCount val="1"/>
                <c:pt idx="0">
                  <c:v>Okta</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dLbl>
              <c:idx val="52"/>
              <c:layout>
                <c:manualLayout>
                  <c:x val="3.2051282051281465E-3"/>
                  <c:y val="-8.012820512820513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r>
                      <a:rPr lang="en-US" sz="800" baseline="0">
                        <a:latin typeface="Arial" panose="020B0604020202020204" pitchFamily="34" charset="0"/>
                      </a:rPr>
                      <a:t>3/21/2022</a:t>
                    </a:r>
                    <a:r>
                      <a:rPr lang="en-US" baseline="0"/>
                      <a:t>, $169.41</a:t>
                    </a:r>
                  </a:p>
                </c:rich>
              </c:tx>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62305"/>
                        <a:gd name="adj2" fmla="val 57393"/>
                      </a:avLst>
                    </a:prstGeom>
                    <a:noFill/>
                    <a:ln>
                      <a:noFill/>
                    </a:ln>
                  </c15:spPr>
                  <c15:showDataLabelsRange val="0"/>
                </c:ext>
                <c:ext xmlns:c16="http://schemas.microsoft.com/office/drawing/2014/chart" uri="{C3380CC4-5D6E-409C-BE32-E72D297353CC}">
                  <c16:uniqueId val="{00000000-6B4F-4F69-9615-2AC031310E0D}"/>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HistoricalData_1656688375757!$A$2:$A$125</c:f>
              <c:numCache>
                <c:formatCode>m/d/yyyy</c:formatCode>
                <c:ptCount val="124"/>
                <c:pt idx="0">
                  <c:v>44742</c:v>
                </c:pt>
                <c:pt idx="1">
                  <c:v>44741</c:v>
                </c:pt>
                <c:pt idx="2">
                  <c:v>44740</c:v>
                </c:pt>
                <c:pt idx="3">
                  <c:v>44739</c:v>
                </c:pt>
                <c:pt idx="4">
                  <c:v>44736</c:v>
                </c:pt>
                <c:pt idx="5">
                  <c:v>44735</c:v>
                </c:pt>
                <c:pt idx="6">
                  <c:v>44734</c:v>
                </c:pt>
                <c:pt idx="7">
                  <c:v>44733</c:v>
                </c:pt>
                <c:pt idx="8">
                  <c:v>44729</c:v>
                </c:pt>
                <c:pt idx="9">
                  <c:v>44728</c:v>
                </c:pt>
                <c:pt idx="10">
                  <c:v>44727</c:v>
                </c:pt>
                <c:pt idx="11">
                  <c:v>44726</c:v>
                </c:pt>
                <c:pt idx="12">
                  <c:v>44725</c:v>
                </c:pt>
                <c:pt idx="13">
                  <c:v>44722</c:v>
                </c:pt>
                <c:pt idx="14">
                  <c:v>44721</c:v>
                </c:pt>
                <c:pt idx="15">
                  <c:v>44720</c:v>
                </c:pt>
                <c:pt idx="16">
                  <c:v>44719</c:v>
                </c:pt>
                <c:pt idx="17">
                  <c:v>44718</c:v>
                </c:pt>
                <c:pt idx="18">
                  <c:v>44715</c:v>
                </c:pt>
                <c:pt idx="19">
                  <c:v>44714</c:v>
                </c:pt>
                <c:pt idx="20">
                  <c:v>44713</c:v>
                </c:pt>
                <c:pt idx="21">
                  <c:v>44712</c:v>
                </c:pt>
                <c:pt idx="22">
                  <c:v>44708</c:v>
                </c:pt>
                <c:pt idx="23">
                  <c:v>44707</c:v>
                </c:pt>
                <c:pt idx="24">
                  <c:v>44706</c:v>
                </c:pt>
                <c:pt idx="25">
                  <c:v>44705</c:v>
                </c:pt>
                <c:pt idx="26">
                  <c:v>44704</c:v>
                </c:pt>
                <c:pt idx="27">
                  <c:v>44701</c:v>
                </c:pt>
                <c:pt idx="28">
                  <c:v>44700</c:v>
                </c:pt>
                <c:pt idx="29">
                  <c:v>44699</c:v>
                </c:pt>
                <c:pt idx="30">
                  <c:v>44698</c:v>
                </c:pt>
                <c:pt idx="31">
                  <c:v>44697</c:v>
                </c:pt>
                <c:pt idx="32">
                  <c:v>44694</c:v>
                </c:pt>
                <c:pt idx="33">
                  <c:v>44693</c:v>
                </c:pt>
                <c:pt idx="34">
                  <c:v>44692</c:v>
                </c:pt>
                <c:pt idx="35">
                  <c:v>44691</c:v>
                </c:pt>
                <c:pt idx="36">
                  <c:v>44690</c:v>
                </c:pt>
                <c:pt idx="37">
                  <c:v>44687</c:v>
                </c:pt>
                <c:pt idx="38">
                  <c:v>44686</c:v>
                </c:pt>
                <c:pt idx="39">
                  <c:v>44685</c:v>
                </c:pt>
                <c:pt idx="40">
                  <c:v>44684</c:v>
                </c:pt>
                <c:pt idx="41">
                  <c:v>44683</c:v>
                </c:pt>
                <c:pt idx="42">
                  <c:v>44680</c:v>
                </c:pt>
                <c:pt idx="43">
                  <c:v>44679</c:v>
                </c:pt>
                <c:pt idx="44">
                  <c:v>44678</c:v>
                </c:pt>
                <c:pt idx="45">
                  <c:v>44677</c:v>
                </c:pt>
                <c:pt idx="46">
                  <c:v>44676</c:v>
                </c:pt>
                <c:pt idx="47">
                  <c:v>44673</c:v>
                </c:pt>
                <c:pt idx="48">
                  <c:v>44672</c:v>
                </c:pt>
                <c:pt idx="49">
                  <c:v>44671</c:v>
                </c:pt>
                <c:pt idx="50">
                  <c:v>44670</c:v>
                </c:pt>
                <c:pt idx="51">
                  <c:v>44669</c:v>
                </c:pt>
                <c:pt idx="52">
                  <c:v>44665</c:v>
                </c:pt>
                <c:pt idx="53">
                  <c:v>44664</c:v>
                </c:pt>
                <c:pt idx="54">
                  <c:v>44663</c:v>
                </c:pt>
                <c:pt idx="55">
                  <c:v>44662</c:v>
                </c:pt>
                <c:pt idx="56">
                  <c:v>44659</c:v>
                </c:pt>
                <c:pt idx="57">
                  <c:v>44658</c:v>
                </c:pt>
                <c:pt idx="58">
                  <c:v>44657</c:v>
                </c:pt>
                <c:pt idx="59">
                  <c:v>44656</c:v>
                </c:pt>
                <c:pt idx="60">
                  <c:v>44655</c:v>
                </c:pt>
                <c:pt idx="61">
                  <c:v>44652</c:v>
                </c:pt>
                <c:pt idx="62">
                  <c:v>44651</c:v>
                </c:pt>
                <c:pt idx="63">
                  <c:v>44650</c:v>
                </c:pt>
                <c:pt idx="64">
                  <c:v>44649</c:v>
                </c:pt>
                <c:pt idx="65">
                  <c:v>44648</c:v>
                </c:pt>
                <c:pt idx="66">
                  <c:v>44645</c:v>
                </c:pt>
                <c:pt idx="67">
                  <c:v>44644</c:v>
                </c:pt>
                <c:pt idx="68">
                  <c:v>44643</c:v>
                </c:pt>
                <c:pt idx="69">
                  <c:v>44642</c:v>
                </c:pt>
                <c:pt idx="70">
                  <c:v>44641</c:v>
                </c:pt>
                <c:pt idx="71">
                  <c:v>44638</c:v>
                </c:pt>
                <c:pt idx="72">
                  <c:v>44637</c:v>
                </c:pt>
                <c:pt idx="73">
                  <c:v>44636</c:v>
                </c:pt>
                <c:pt idx="74">
                  <c:v>44635</c:v>
                </c:pt>
                <c:pt idx="75">
                  <c:v>44634</c:v>
                </c:pt>
                <c:pt idx="76">
                  <c:v>44631</c:v>
                </c:pt>
                <c:pt idx="77">
                  <c:v>44630</c:v>
                </c:pt>
                <c:pt idx="78">
                  <c:v>44629</c:v>
                </c:pt>
                <c:pt idx="79">
                  <c:v>44628</c:v>
                </c:pt>
                <c:pt idx="80">
                  <c:v>44627</c:v>
                </c:pt>
                <c:pt idx="81">
                  <c:v>44624</c:v>
                </c:pt>
                <c:pt idx="82">
                  <c:v>44623</c:v>
                </c:pt>
                <c:pt idx="83">
                  <c:v>44622</c:v>
                </c:pt>
                <c:pt idx="84">
                  <c:v>44621</c:v>
                </c:pt>
                <c:pt idx="85">
                  <c:v>44620</c:v>
                </c:pt>
                <c:pt idx="86">
                  <c:v>44617</c:v>
                </c:pt>
                <c:pt idx="87">
                  <c:v>44616</c:v>
                </c:pt>
                <c:pt idx="88">
                  <c:v>44615</c:v>
                </c:pt>
                <c:pt idx="89">
                  <c:v>44614</c:v>
                </c:pt>
                <c:pt idx="90">
                  <c:v>44610</c:v>
                </c:pt>
                <c:pt idx="91">
                  <c:v>44609</c:v>
                </c:pt>
                <c:pt idx="92">
                  <c:v>44608</c:v>
                </c:pt>
                <c:pt idx="93">
                  <c:v>44607</c:v>
                </c:pt>
                <c:pt idx="94">
                  <c:v>44606</c:v>
                </c:pt>
                <c:pt idx="95">
                  <c:v>44603</c:v>
                </c:pt>
                <c:pt idx="96">
                  <c:v>44602</c:v>
                </c:pt>
                <c:pt idx="97">
                  <c:v>44601</c:v>
                </c:pt>
                <c:pt idx="98">
                  <c:v>44600</c:v>
                </c:pt>
                <c:pt idx="99">
                  <c:v>44599</c:v>
                </c:pt>
                <c:pt idx="100">
                  <c:v>44596</c:v>
                </c:pt>
                <c:pt idx="101">
                  <c:v>44595</c:v>
                </c:pt>
                <c:pt idx="102">
                  <c:v>44594</c:v>
                </c:pt>
                <c:pt idx="103">
                  <c:v>44593</c:v>
                </c:pt>
                <c:pt idx="104">
                  <c:v>44592</c:v>
                </c:pt>
                <c:pt idx="105">
                  <c:v>44589</c:v>
                </c:pt>
                <c:pt idx="106">
                  <c:v>44588</c:v>
                </c:pt>
                <c:pt idx="107">
                  <c:v>44587</c:v>
                </c:pt>
                <c:pt idx="108">
                  <c:v>44586</c:v>
                </c:pt>
                <c:pt idx="109">
                  <c:v>44585</c:v>
                </c:pt>
                <c:pt idx="110">
                  <c:v>44582</c:v>
                </c:pt>
                <c:pt idx="111">
                  <c:v>44581</c:v>
                </c:pt>
                <c:pt idx="112">
                  <c:v>44580</c:v>
                </c:pt>
                <c:pt idx="113">
                  <c:v>44579</c:v>
                </c:pt>
                <c:pt idx="114">
                  <c:v>44575</c:v>
                </c:pt>
                <c:pt idx="115">
                  <c:v>44574</c:v>
                </c:pt>
                <c:pt idx="116">
                  <c:v>44573</c:v>
                </c:pt>
                <c:pt idx="117">
                  <c:v>44572</c:v>
                </c:pt>
                <c:pt idx="118">
                  <c:v>44571</c:v>
                </c:pt>
                <c:pt idx="119">
                  <c:v>44568</c:v>
                </c:pt>
                <c:pt idx="120">
                  <c:v>44567</c:v>
                </c:pt>
                <c:pt idx="121">
                  <c:v>44566</c:v>
                </c:pt>
                <c:pt idx="122">
                  <c:v>44565</c:v>
                </c:pt>
                <c:pt idx="123">
                  <c:v>44564</c:v>
                </c:pt>
              </c:numCache>
            </c:numRef>
          </c:cat>
          <c:val>
            <c:numRef>
              <c:f>HistoricalData_1656688375757!$B$2:$B$125</c:f>
              <c:numCache>
                <c:formatCode>"$"#,##0.00_);[Red]\("$"#,##0.00\)</c:formatCode>
                <c:ptCount val="124"/>
                <c:pt idx="0">
                  <c:v>90.4</c:v>
                </c:pt>
                <c:pt idx="1">
                  <c:v>93.36</c:v>
                </c:pt>
                <c:pt idx="2">
                  <c:v>92.6</c:v>
                </c:pt>
                <c:pt idx="3">
                  <c:v>97.26</c:v>
                </c:pt>
                <c:pt idx="4">
                  <c:v>101.26</c:v>
                </c:pt>
                <c:pt idx="5">
                  <c:v>93.4</c:v>
                </c:pt>
                <c:pt idx="6">
                  <c:v>86.02</c:v>
                </c:pt>
                <c:pt idx="7">
                  <c:v>84.12</c:v>
                </c:pt>
                <c:pt idx="8">
                  <c:v>82.67</c:v>
                </c:pt>
                <c:pt idx="9">
                  <c:v>79.040000000000006</c:v>
                </c:pt>
                <c:pt idx="10">
                  <c:v>85.91</c:v>
                </c:pt>
                <c:pt idx="11">
                  <c:v>81.47</c:v>
                </c:pt>
                <c:pt idx="12">
                  <c:v>81.66</c:v>
                </c:pt>
                <c:pt idx="13">
                  <c:v>90.12</c:v>
                </c:pt>
                <c:pt idx="14">
                  <c:v>94.92</c:v>
                </c:pt>
                <c:pt idx="15">
                  <c:v>102.19</c:v>
                </c:pt>
                <c:pt idx="16">
                  <c:v>99.74</c:v>
                </c:pt>
                <c:pt idx="17" formatCode="&quot;$&quot;#,##0_);[Red]\(&quot;$&quot;#,##0\)">
                  <c:v>95</c:v>
                </c:pt>
                <c:pt idx="18">
                  <c:v>98.38</c:v>
                </c:pt>
                <c:pt idx="19">
                  <c:v>93.68</c:v>
                </c:pt>
                <c:pt idx="20">
                  <c:v>84.43</c:v>
                </c:pt>
                <c:pt idx="21">
                  <c:v>83.05</c:v>
                </c:pt>
                <c:pt idx="22">
                  <c:v>86.06</c:v>
                </c:pt>
                <c:pt idx="23">
                  <c:v>81.209999999999994</c:v>
                </c:pt>
                <c:pt idx="24">
                  <c:v>82.57</c:v>
                </c:pt>
                <c:pt idx="25">
                  <c:v>78.86</c:v>
                </c:pt>
                <c:pt idx="26">
                  <c:v>83.51</c:v>
                </c:pt>
                <c:pt idx="27">
                  <c:v>84.22</c:v>
                </c:pt>
                <c:pt idx="28">
                  <c:v>83.03</c:v>
                </c:pt>
                <c:pt idx="29">
                  <c:v>78.77</c:v>
                </c:pt>
                <c:pt idx="30">
                  <c:v>87.48</c:v>
                </c:pt>
                <c:pt idx="31">
                  <c:v>89.37</c:v>
                </c:pt>
                <c:pt idx="32">
                  <c:v>97.7</c:v>
                </c:pt>
                <c:pt idx="33">
                  <c:v>87.69</c:v>
                </c:pt>
                <c:pt idx="34">
                  <c:v>84.46</c:v>
                </c:pt>
                <c:pt idx="35">
                  <c:v>91.57</c:v>
                </c:pt>
                <c:pt idx="36">
                  <c:v>88.83</c:v>
                </c:pt>
                <c:pt idx="37">
                  <c:v>102.45</c:v>
                </c:pt>
                <c:pt idx="38">
                  <c:v>111.17</c:v>
                </c:pt>
                <c:pt idx="39">
                  <c:v>120.51</c:v>
                </c:pt>
                <c:pt idx="40">
                  <c:v>117.72</c:v>
                </c:pt>
                <c:pt idx="41">
                  <c:v>123.97</c:v>
                </c:pt>
                <c:pt idx="42">
                  <c:v>119.31</c:v>
                </c:pt>
                <c:pt idx="43">
                  <c:v>131.69999999999999</c:v>
                </c:pt>
                <c:pt idx="44">
                  <c:v>127.06</c:v>
                </c:pt>
                <c:pt idx="45">
                  <c:v>129.69</c:v>
                </c:pt>
                <c:pt idx="46">
                  <c:v>138.4</c:v>
                </c:pt>
                <c:pt idx="47">
                  <c:v>136.33000000000001</c:v>
                </c:pt>
                <c:pt idx="48">
                  <c:v>138.77000000000001</c:v>
                </c:pt>
                <c:pt idx="49">
                  <c:v>144.76</c:v>
                </c:pt>
                <c:pt idx="50">
                  <c:v>149.05000000000001</c:v>
                </c:pt>
                <c:pt idx="51">
                  <c:v>139.71</c:v>
                </c:pt>
                <c:pt idx="52">
                  <c:v>143.57</c:v>
                </c:pt>
                <c:pt idx="53">
                  <c:v>150.25</c:v>
                </c:pt>
                <c:pt idx="54">
                  <c:v>143.36000000000001</c:v>
                </c:pt>
                <c:pt idx="55">
                  <c:v>144.93</c:v>
                </c:pt>
                <c:pt idx="56">
                  <c:v>142.86000000000001</c:v>
                </c:pt>
                <c:pt idx="57">
                  <c:v>147.57</c:v>
                </c:pt>
                <c:pt idx="58">
                  <c:v>150.1</c:v>
                </c:pt>
                <c:pt idx="59">
                  <c:v>156.79</c:v>
                </c:pt>
                <c:pt idx="60">
                  <c:v>160.41999999999999</c:v>
                </c:pt>
                <c:pt idx="61">
                  <c:v>148.79</c:v>
                </c:pt>
                <c:pt idx="62">
                  <c:v>150.96</c:v>
                </c:pt>
                <c:pt idx="63">
                  <c:v>152.6</c:v>
                </c:pt>
                <c:pt idx="64">
                  <c:v>156.81</c:v>
                </c:pt>
                <c:pt idx="65">
                  <c:v>149.86000000000001</c:v>
                </c:pt>
                <c:pt idx="66">
                  <c:v>138.11000000000001</c:v>
                </c:pt>
                <c:pt idx="67">
                  <c:v>144.5</c:v>
                </c:pt>
                <c:pt idx="68">
                  <c:v>148.55000000000001</c:v>
                </c:pt>
                <c:pt idx="69">
                  <c:v>166.43</c:v>
                </c:pt>
                <c:pt idx="70">
                  <c:v>169.41</c:v>
                </c:pt>
                <c:pt idx="71">
                  <c:v>174.5</c:v>
                </c:pt>
                <c:pt idx="72">
                  <c:v>161.12</c:v>
                </c:pt>
                <c:pt idx="73">
                  <c:v>155.79</c:v>
                </c:pt>
                <c:pt idx="74">
                  <c:v>148.93</c:v>
                </c:pt>
                <c:pt idx="75">
                  <c:v>146.1</c:v>
                </c:pt>
                <c:pt idx="76">
                  <c:v>154.06</c:v>
                </c:pt>
                <c:pt idx="77">
                  <c:v>165.72</c:v>
                </c:pt>
                <c:pt idx="78">
                  <c:v>170.3</c:v>
                </c:pt>
                <c:pt idx="79">
                  <c:v>159.55000000000001</c:v>
                </c:pt>
                <c:pt idx="80">
                  <c:v>154.4</c:v>
                </c:pt>
                <c:pt idx="81">
                  <c:v>158.41</c:v>
                </c:pt>
                <c:pt idx="82">
                  <c:v>167.98</c:v>
                </c:pt>
                <c:pt idx="83">
                  <c:v>182.7</c:v>
                </c:pt>
                <c:pt idx="84">
                  <c:v>184.14</c:v>
                </c:pt>
                <c:pt idx="85">
                  <c:v>182.84</c:v>
                </c:pt>
                <c:pt idx="86">
                  <c:v>177.37</c:v>
                </c:pt>
                <c:pt idx="87">
                  <c:v>173.56</c:v>
                </c:pt>
                <c:pt idx="88">
                  <c:v>159.51</c:v>
                </c:pt>
                <c:pt idx="89">
                  <c:v>168.93</c:v>
                </c:pt>
                <c:pt idx="90">
                  <c:v>164.67</c:v>
                </c:pt>
                <c:pt idx="91">
                  <c:v>173.45</c:v>
                </c:pt>
                <c:pt idx="92">
                  <c:v>188.55</c:v>
                </c:pt>
                <c:pt idx="93">
                  <c:v>195.43</c:v>
                </c:pt>
                <c:pt idx="94">
                  <c:v>189.41</c:v>
                </c:pt>
                <c:pt idx="95">
                  <c:v>191.77</c:v>
                </c:pt>
                <c:pt idx="96">
                  <c:v>196.28</c:v>
                </c:pt>
                <c:pt idx="97">
                  <c:v>195.46</c:v>
                </c:pt>
                <c:pt idx="98">
                  <c:v>190.45</c:v>
                </c:pt>
                <c:pt idx="99">
                  <c:v>188.09</c:v>
                </c:pt>
                <c:pt idx="100">
                  <c:v>188.86</c:v>
                </c:pt>
                <c:pt idx="101">
                  <c:v>182.8</c:v>
                </c:pt>
                <c:pt idx="102">
                  <c:v>191.24</c:v>
                </c:pt>
                <c:pt idx="103">
                  <c:v>201.42</c:v>
                </c:pt>
                <c:pt idx="104">
                  <c:v>197.89</c:v>
                </c:pt>
                <c:pt idx="105">
                  <c:v>184.24</c:v>
                </c:pt>
                <c:pt idx="106">
                  <c:v>175.6</c:v>
                </c:pt>
                <c:pt idx="107">
                  <c:v>178.04</c:v>
                </c:pt>
                <c:pt idx="108">
                  <c:v>177.66</c:v>
                </c:pt>
                <c:pt idx="109">
                  <c:v>190.9</c:v>
                </c:pt>
                <c:pt idx="110">
                  <c:v>188.26</c:v>
                </c:pt>
                <c:pt idx="111">
                  <c:v>200.32</c:v>
                </c:pt>
                <c:pt idx="112">
                  <c:v>197.42</c:v>
                </c:pt>
                <c:pt idx="113">
                  <c:v>197.2</c:v>
                </c:pt>
                <c:pt idx="114">
                  <c:v>204.41</c:v>
                </c:pt>
                <c:pt idx="115" formatCode="&quot;$&quot;#,##0_);[Red]\(&quot;$&quot;#,##0\)">
                  <c:v>202</c:v>
                </c:pt>
                <c:pt idx="116">
                  <c:v>213.93</c:v>
                </c:pt>
                <c:pt idx="117">
                  <c:v>207.98</c:v>
                </c:pt>
                <c:pt idx="118">
                  <c:v>201.24</c:v>
                </c:pt>
                <c:pt idx="119">
                  <c:v>196.67</c:v>
                </c:pt>
                <c:pt idx="120">
                  <c:v>202.22</c:v>
                </c:pt>
                <c:pt idx="121">
                  <c:v>198.59</c:v>
                </c:pt>
                <c:pt idx="122">
                  <c:v>215.01</c:v>
                </c:pt>
                <c:pt idx="123">
                  <c:v>222.66</c:v>
                </c:pt>
              </c:numCache>
            </c:numRef>
          </c:val>
          <c:smooth val="0"/>
          <c:extLst>
            <c:ext xmlns:c16="http://schemas.microsoft.com/office/drawing/2014/chart" uri="{C3380CC4-5D6E-409C-BE32-E72D297353CC}">
              <c16:uniqueId val="{00000001-6B4F-4F69-9615-2AC031310E0D}"/>
            </c:ext>
          </c:extLst>
        </c:ser>
        <c:ser>
          <c:idx val="1"/>
          <c:order val="1"/>
          <c:tx>
            <c:strRef>
              <c:f>HistoricalData_1656688375757!$C$1</c:f>
              <c:strCache>
                <c:ptCount val="1"/>
                <c:pt idx="0">
                  <c:v>QQQ</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HistoricalData_1656688375757!$A$2:$A$125</c:f>
              <c:numCache>
                <c:formatCode>m/d/yyyy</c:formatCode>
                <c:ptCount val="124"/>
                <c:pt idx="0">
                  <c:v>44742</c:v>
                </c:pt>
                <c:pt idx="1">
                  <c:v>44741</c:v>
                </c:pt>
                <c:pt idx="2">
                  <c:v>44740</c:v>
                </c:pt>
                <c:pt idx="3">
                  <c:v>44739</c:v>
                </c:pt>
                <c:pt idx="4">
                  <c:v>44736</c:v>
                </c:pt>
                <c:pt idx="5">
                  <c:v>44735</c:v>
                </c:pt>
                <c:pt idx="6">
                  <c:v>44734</c:v>
                </c:pt>
                <c:pt idx="7">
                  <c:v>44733</c:v>
                </c:pt>
                <c:pt idx="8">
                  <c:v>44729</c:v>
                </c:pt>
                <c:pt idx="9">
                  <c:v>44728</c:v>
                </c:pt>
                <c:pt idx="10">
                  <c:v>44727</c:v>
                </c:pt>
                <c:pt idx="11">
                  <c:v>44726</c:v>
                </c:pt>
                <c:pt idx="12">
                  <c:v>44725</c:v>
                </c:pt>
                <c:pt idx="13">
                  <c:v>44722</c:v>
                </c:pt>
                <c:pt idx="14">
                  <c:v>44721</c:v>
                </c:pt>
                <c:pt idx="15">
                  <c:v>44720</c:v>
                </c:pt>
                <c:pt idx="16">
                  <c:v>44719</c:v>
                </c:pt>
                <c:pt idx="17">
                  <c:v>44718</c:v>
                </c:pt>
                <c:pt idx="18">
                  <c:v>44715</c:v>
                </c:pt>
                <c:pt idx="19">
                  <c:v>44714</c:v>
                </c:pt>
                <c:pt idx="20">
                  <c:v>44713</c:v>
                </c:pt>
                <c:pt idx="21">
                  <c:v>44712</c:v>
                </c:pt>
                <c:pt idx="22">
                  <c:v>44708</c:v>
                </c:pt>
                <c:pt idx="23">
                  <c:v>44707</c:v>
                </c:pt>
                <c:pt idx="24">
                  <c:v>44706</c:v>
                </c:pt>
                <c:pt idx="25">
                  <c:v>44705</c:v>
                </c:pt>
                <c:pt idx="26">
                  <c:v>44704</c:v>
                </c:pt>
                <c:pt idx="27">
                  <c:v>44701</c:v>
                </c:pt>
                <c:pt idx="28">
                  <c:v>44700</c:v>
                </c:pt>
                <c:pt idx="29">
                  <c:v>44699</c:v>
                </c:pt>
                <c:pt idx="30">
                  <c:v>44698</c:v>
                </c:pt>
                <c:pt idx="31">
                  <c:v>44697</c:v>
                </c:pt>
                <c:pt idx="32">
                  <c:v>44694</c:v>
                </c:pt>
                <c:pt idx="33">
                  <c:v>44693</c:v>
                </c:pt>
                <c:pt idx="34">
                  <c:v>44692</c:v>
                </c:pt>
                <c:pt idx="35">
                  <c:v>44691</c:v>
                </c:pt>
                <c:pt idx="36">
                  <c:v>44690</c:v>
                </c:pt>
                <c:pt idx="37">
                  <c:v>44687</c:v>
                </c:pt>
                <c:pt idx="38">
                  <c:v>44686</c:v>
                </c:pt>
                <c:pt idx="39">
                  <c:v>44685</c:v>
                </c:pt>
                <c:pt idx="40">
                  <c:v>44684</c:v>
                </c:pt>
                <c:pt idx="41">
                  <c:v>44683</c:v>
                </c:pt>
                <c:pt idx="42">
                  <c:v>44680</c:v>
                </c:pt>
                <c:pt idx="43">
                  <c:v>44679</c:v>
                </c:pt>
                <c:pt idx="44">
                  <c:v>44678</c:v>
                </c:pt>
                <c:pt idx="45">
                  <c:v>44677</c:v>
                </c:pt>
                <c:pt idx="46">
                  <c:v>44676</c:v>
                </c:pt>
                <c:pt idx="47">
                  <c:v>44673</c:v>
                </c:pt>
                <c:pt idx="48">
                  <c:v>44672</c:v>
                </c:pt>
                <c:pt idx="49">
                  <c:v>44671</c:v>
                </c:pt>
                <c:pt idx="50">
                  <c:v>44670</c:v>
                </c:pt>
                <c:pt idx="51">
                  <c:v>44669</c:v>
                </c:pt>
                <c:pt idx="52">
                  <c:v>44665</c:v>
                </c:pt>
                <c:pt idx="53">
                  <c:v>44664</c:v>
                </c:pt>
                <c:pt idx="54">
                  <c:v>44663</c:v>
                </c:pt>
                <c:pt idx="55">
                  <c:v>44662</c:v>
                </c:pt>
                <c:pt idx="56">
                  <c:v>44659</c:v>
                </c:pt>
                <c:pt idx="57">
                  <c:v>44658</c:v>
                </c:pt>
                <c:pt idx="58">
                  <c:v>44657</c:v>
                </c:pt>
                <c:pt idx="59">
                  <c:v>44656</c:v>
                </c:pt>
                <c:pt idx="60">
                  <c:v>44655</c:v>
                </c:pt>
                <c:pt idx="61">
                  <c:v>44652</c:v>
                </c:pt>
                <c:pt idx="62">
                  <c:v>44651</c:v>
                </c:pt>
                <c:pt idx="63">
                  <c:v>44650</c:v>
                </c:pt>
                <c:pt idx="64">
                  <c:v>44649</c:v>
                </c:pt>
                <c:pt idx="65">
                  <c:v>44648</c:v>
                </c:pt>
                <c:pt idx="66">
                  <c:v>44645</c:v>
                </c:pt>
                <c:pt idx="67">
                  <c:v>44644</c:v>
                </c:pt>
                <c:pt idx="68">
                  <c:v>44643</c:v>
                </c:pt>
                <c:pt idx="69">
                  <c:v>44642</c:v>
                </c:pt>
                <c:pt idx="70">
                  <c:v>44641</c:v>
                </c:pt>
                <c:pt idx="71">
                  <c:v>44638</c:v>
                </c:pt>
                <c:pt idx="72">
                  <c:v>44637</c:v>
                </c:pt>
                <c:pt idx="73">
                  <c:v>44636</c:v>
                </c:pt>
                <c:pt idx="74">
                  <c:v>44635</c:v>
                </c:pt>
                <c:pt idx="75">
                  <c:v>44634</c:v>
                </c:pt>
                <c:pt idx="76">
                  <c:v>44631</c:v>
                </c:pt>
                <c:pt idx="77">
                  <c:v>44630</c:v>
                </c:pt>
                <c:pt idx="78">
                  <c:v>44629</c:v>
                </c:pt>
                <c:pt idx="79">
                  <c:v>44628</c:v>
                </c:pt>
                <c:pt idx="80">
                  <c:v>44627</c:v>
                </c:pt>
                <c:pt idx="81">
                  <c:v>44624</c:v>
                </c:pt>
                <c:pt idx="82">
                  <c:v>44623</c:v>
                </c:pt>
                <c:pt idx="83">
                  <c:v>44622</c:v>
                </c:pt>
                <c:pt idx="84">
                  <c:v>44621</c:v>
                </c:pt>
                <c:pt idx="85">
                  <c:v>44620</c:v>
                </c:pt>
                <c:pt idx="86">
                  <c:v>44617</c:v>
                </c:pt>
                <c:pt idx="87">
                  <c:v>44616</c:v>
                </c:pt>
                <c:pt idx="88">
                  <c:v>44615</c:v>
                </c:pt>
                <c:pt idx="89">
                  <c:v>44614</c:v>
                </c:pt>
                <c:pt idx="90">
                  <c:v>44610</c:v>
                </c:pt>
                <c:pt idx="91">
                  <c:v>44609</c:v>
                </c:pt>
                <c:pt idx="92">
                  <c:v>44608</c:v>
                </c:pt>
                <c:pt idx="93">
                  <c:v>44607</c:v>
                </c:pt>
                <c:pt idx="94">
                  <c:v>44606</c:v>
                </c:pt>
                <c:pt idx="95">
                  <c:v>44603</c:v>
                </c:pt>
                <c:pt idx="96">
                  <c:v>44602</c:v>
                </c:pt>
                <c:pt idx="97">
                  <c:v>44601</c:v>
                </c:pt>
                <c:pt idx="98">
                  <c:v>44600</c:v>
                </c:pt>
                <c:pt idx="99">
                  <c:v>44599</c:v>
                </c:pt>
                <c:pt idx="100">
                  <c:v>44596</c:v>
                </c:pt>
                <c:pt idx="101">
                  <c:v>44595</c:v>
                </c:pt>
                <c:pt idx="102">
                  <c:v>44594</c:v>
                </c:pt>
                <c:pt idx="103">
                  <c:v>44593</c:v>
                </c:pt>
                <c:pt idx="104">
                  <c:v>44592</c:v>
                </c:pt>
                <c:pt idx="105">
                  <c:v>44589</c:v>
                </c:pt>
                <c:pt idx="106">
                  <c:v>44588</c:v>
                </c:pt>
                <c:pt idx="107">
                  <c:v>44587</c:v>
                </c:pt>
                <c:pt idx="108">
                  <c:v>44586</c:v>
                </c:pt>
                <c:pt idx="109">
                  <c:v>44585</c:v>
                </c:pt>
                <c:pt idx="110">
                  <c:v>44582</c:v>
                </c:pt>
                <c:pt idx="111">
                  <c:v>44581</c:v>
                </c:pt>
                <c:pt idx="112">
                  <c:v>44580</c:v>
                </c:pt>
                <c:pt idx="113">
                  <c:v>44579</c:v>
                </c:pt>
                <c:pt idx="114">
                  <c:v>44575</c:v>
                </c:pt>
                <c:pt idx="115">
                  <c:v>44574</c:v>
                </c:pt>
                <c:pt idx="116">
                  <c:v>44573</c:v>
                </c:pt>
                <c:pt idx="117">
                  <c:v>44572</c:v>
                </c:pt>
                <c:pt idx="118">
                  <c:v>44571</c:v>
                </c:pt>
                <c:pt idx="119">
                  <c:v>44568</c:v>
                </c:pt>
                <c:pt idx="120">
                  <c:v>44567</c:v>
                </c:pt>
                <c:pt idx="121">
                  <c:v>44566</c:v>
                </c:pt>
                <c:pt idx="122">
                  <c:v>44565</c:v>
                </c:pt>
                <c:pt idx="123">
                  <c:v>44564</c:v>
                </c:pt>
              </c:numCache>
            </c:numRef>
          </c:cat>
          <c:val>
            <c:numRef>
              <c:f>HistoricalData_1656688375757!$C$2:$C$125</c:f>
              <c:numCache>
                <c:formatCode>"$"#,##0.00_);[Red]\("$"#,##0.00\)</c:formatCode>
                <c:ptCount val="124"/>
                <c:pt idx="0">
                  <c:v>280.27999999999997</c:v>
                </c:pt>
                <c:pt idx="1">
                  <c:v>283.8</c:v>
                </c:pt>
                <c:pt idx="2">
                  <c:v>283.54000000000002</c:v>
                </c:pt>
                <c:pt idx="3">
                  <c:v>292.45</c:v>
                </c:pt>
                <c:pt idx="4">
                  <c:v>294.61</c:v>
                </c:pt>
                <c:pt idx="5">
                  <c:v>284.85000000000002</c:v>
                </c:pt>
                <c:pt idx="6">
                  <c:v>280.67</c:v>
                </c:pt>
                <c:pt idx="7">
                  <c:v>281.08</c:v>
                </c:pt>
                <c:pt idx="8">
                  <c:v>274.69</c:v>
                </c:pt>
                <c:pt idx="9">
                  <c:v>271.39</c:v>
                </c:pt>
                <c:pt idx="10">
                  <c:v>282.8</c:v>
                </c:pt>
                <c:pt idx="11">
                  <c:v>275.91000000000003</c:v>
                </c:pt>
                <c:pt idx="12">
                  <c:v>275.41000000000003</c:v>
                </c:pt>
                <c:pt idx="13">
                  <c:v>288.83999999999997</c:v>
                </c:pt>
                <c:pt idx="14">
                  <c:v>299.39999999999998</c:v>
                </c:pt>
                <c:pt idx="15">
                  <c:v>307.64</c:v>
                </c:pt>
                <c:pt idx="16">
                  <c:v>309.87</c:v>
                </c:pt>
                <c:pt idx="17">
                  <c:v>307.22000000000003</c:v>
                </c:pt>
                <c:pt idx="18">
                  <c:v>306.2</c:v>
                </c:pt>
                <c:pt idx="19">
                  <c:v>314.38</c:v>
                </c:pt>
                <c:pt idx="20">
                  <c:v>306</c:v>
                </c:pt>
                <c:pt idx="21">
                  <c:v>308.27999999999997</c:v>
                </c:pt>
                <c:pt idx="22">
                  <c:v>309.10000000000002</c:v>
                </c:pt>
                <c:pt idx="23">
                  <c:v>299.33</c:v>
                </c:pt>
                <c:pt idx="24">
                  <c:v>291.26</c:v>
                </c:pt>
                <c:pt idx="25">
                  <c:v>287.24</c:v>
                </c:pt>
                <c:pt idx="26">
                  <c:v>293.48</c:v>
                </c:pt>
                <c:pt idx="27">
                  <c:v>288.68</c:v>
                </c:pt>
                <c:pt idx="28">
                  <c:v>289.58</c:v>
                </c:pt>
                <c:pt idx="29">
                  <c:v>291.14</c:v>
                </c:pt>
                <c:pt idx="30">
                  <c:v>306.17</c:v>
                </c:pt>
                <c:pt idx="31">
                  <c:v>298.44</c:v>
                </c:pt>
                <c:pt idx="32">
                  <c:v>301.94</c:v>
                </c:pt>
                <c:pt idx="33">
                  <c:v>291.14999999999998</c:v>
                </c:pt>
                <c:pt idx="34">
                  <c:v>291.83999999999997</c:v>
                </c:pt>
                <c:pt idx="35">
                  <c:v>300.76</c:v>
                </c:pt>
                <c:pt idx="36">
                  <c:v>297.14999999999998</c:v>
                </c:pt>
                <c:pt idx="37">
                  <c:v>309.25</c:v>
                </c:pt>
                <c:pt idx="38">
                  <c:v>313</c:v>
                </c:pt>
                <c:pt idx="39">
                  <c:v>329.6</c:v>
                </c:pt>
                <c:pt idx="40">
                  <c:v>318.82</c:v>
                </c:pt>
                <c:pt idx="41">
                  <c:v>318.48</c:v>
                </c:pt>
                <c:pt idx="42">
                  <c:v>313.25</c:v>
                </c:pt>
                <c:pt idx="43">
                  <c:v>328.01</c:v>
                </c:pt>
                <c:pt idx="44">
                  <c:v>316.76</c:v>
                </c:pt>
                <c:pt idx="45">
                  <c:v>317.14</c:v>
                </c:pt>
                <c:pt idx="46">
                  <c:v>329.58</c:v>
                </c:pt>
                <c:pt idx="47">
                  <c:v>325.39999999999998</c:v>
                </c:pt>
                <c:pt idx="48">
                  <c:v>334.15</c:v>
                </c:pt>
                <c:pt idx="49">
                  <c:v>341.21</c:v>
                </c:pt>
                <c:pt idx="50">
                  <c:v>346.26</c:v>
                </c:pt>
                <c:pt idx="51">
                  <c:v>338.69</c:v>
                </c:pt>
                <c:pt idx="52">
                  <c:v>338.43</c:v>
                </c:pt>
                <c:pt idx="53">
                  <c:v>346.35</c:v>
                </c:pt>
                <c:pt idx="54">
                  <c:v>339.45</c:v>
                </c:pt>
                <c:pt idx="55">
                  <c:v>340.89</c:v>
                </c:pt>
                <c:pt idx="56">
                  <c:v>349.15</c:v>
                </c:pt>
                <c:pt idx="57">
                  <c:v>354.1</c:v>
                </c:pt>
                <c:pt idx="58">
                  <c:v>353.26</c:v>
                </c:pt>
                <c:pt idx="59">
                  <c:v>361.1</c:v>
                </c:pt>
                <c:pt idx="60">
                  <c:v>369.3</c:v>
                </c:pt>
                <c:pt idx="61">
                  <c:v>361.85</c:v>
                </c:pt>
                <c:pt idx="62">
                  <c:v>362.54</c:v>
                </c:pt>
                <c:pt idx="63">
                  <c:v>367.09</c:v>
                </c:pt>
                <c:pt idx="64">
                  <c:v>371.19</c:v>
                </c:pt>
                <c:pt idx="65">
                  <c:v>364.91</c:v>
                </c:pt>
                <c:pt idx="66">
                  <c:v>359.35</c:v>
                </c:pt>
                <c:pt idx="67">
                  <c:v>359.65</c:v>
                </c:pt>
                <c:pt idx="68">
                  <c:v>351.83</c:v>
                </c:pt>
                <c:pt idx="69">
                  <c:v>356.96</c:v>
                </c:pt>
                <c:pt idx="70">
                  <c:v>350.08</c:v>
                </c:pt>
                <c:pt idx="71">
                  <c:v>351.49</c:v>
                </c:pt>
                <c:pt idx="72">
                  <c:v>344.44</c:v>
                </c:pt>
                <c:pt idx="73">
                  <c:v>340.32</c:v>
                </c:pt>
                <c:pt idx="74">
                  <c:v>328.15</c:v>
                </c:pt>
                <c:pt idx="75">
                  <c:v>318.17</c:v>
                </c:pt>
                <c:pt idx="76">
                  <c:v>324.39999999999998</c:v>
                </c:pt>
                <c:pt idx="77">
                  <c:v>331.27</c:v>
                </c:pt>
                <c:pt idx="78">
                  <c:v>334.99</c:v>
                </c:pt>
                <c:pt idx="79">
                  <c:v>323.35000000000002</c:v>
                </c:pt>
                <c:pt idx="80">
                  <c:v>324.86</c:v>
                </c:pt>
                <c:pt idx="81">
                  <c:v>337.3</c:v>
                </c:pt>
                <c:pt idx="82">
                  <c:v>342.26</c:v>
                </c:pt>
                <c:pt idx="83">
                  <c:v>347.22</c:v>
                </c:pt>
                <c:pt idx="84">
                  <c:v>341.49</c:v>
                </c:pt>
                <c:pt idx="85">
                  <c:v>346.8</c:v>
                </c:pt>
                <c:pt idx="86">
                  <c:v>345.77</c:v>
                </c:pt>
                <c:pt idx="87">
                  <c:v>340.49</c:v>
                </c:pt>
                <c:pt idx="88">
                  <c:v>329.42</c:v>
                </c:pt>
                <c:pt idx="89">
                  <c:v>338.08</c:v>
                </c:pt>
                <c:pt idx="90">
                  <c:v>341.51</c:v>
                </c:pt>
                <c:pt idx="91">
                  <c:v>345.45</c:v>
                </c:pt>
                <c:pt idx="92">
                  <c:v>356.04</c:v>
                </c:pt>
                <c:pt idx="93">
                  <c:v>356.13</c:v>
                </c:pt>
                <c:pt idx="94">
                  <c:v>347.49</c:v>
                </c:pt>
                <c:pt idx="95">
                  <c:v>347.06</c:v>
                </c:pt>
                <c:pt idx="96">
                  <c:v>358.43</c:v>
                </c:pt>
                <c:pt idx="97">
                  <c:v>366.73</c:v>
                </c:pt>
                <c:pt idx="98">
                  <c:v>359.12</c:v>
                </c:pt>
                <c:pt idx="99">
                  <c:v>355.13</c:v>
                </c:pt>
                <c:pt idx="100">
                  <c:v>358.01</c:v>
                </c:pt>
                <c:pt idx="101">
                  <c:v>353.55</c:v>
                </c:pt>
                <c:pt idx="102">
                  <c:v>368.49</c:v>
                </c:pt>
                <c:pt idx="103">
                  <c:v>365.52</c:v>
                </c:pt>
                <c:pt idx="104">
                  <c:v>363.05</c:v>
                </c:pt>
                <c:pt idx="105">
                  <c:v>351.8</c:v>
                </c:pt>
                <c:pt idx="106">
                  <c:v>341.1</c:v>
                </c:pt>
                <c:pt idx="107">
                  <c:v>344.57</c:v>
                </c:pt>
                <c:pt idx="108">
                  <c:v>345.11</c:v>
                </c:pt>
                <c:pt idx="109">
                  <c:v>353.3</c:v>
                </c:pt>
                <c:pt idx="110">
                  <c:v>351.69</c:v>
                </c:pt>
                <c:pt idx="111">
                  <c:v>361.72</c:v>
                </c:pt>
                <c:pt idx="112">
                  <c:v>366.48</c:v>
                </c:pt>
                <c:pt idx="113">
                  <c:v>370.55</c:v>
                </c:pt>
                <c:pt idx="114">
                  <c:v>380.01</c:v>
                </c:pt>
                <c:pt idx="115">
                  <c:v>377.66</c:v>
                </c:pt>
                <c:pt idx="116">
                  <c:v>387.35</c:v>
                </c:pt>
                <c:pt idx="117">
                  <c:v>385.82</c:v>
                </c:pt>
                <c:pt idx="118">
                  <c:v>380.11</c:v>
                </c:pt>
                <c:pt idx="119">
                  <c:v>379.86</c:v>
                </c:pt>
                <c:pt idx="120">
                  <c:v>384.02</c:v>
                </c:pt>
                <c:pt idx="121">
                  <c:v>384.29</c:v>
                </c:pt>
                <c:pt idx="122">
                  <c:v>396.47</c:v>
                </c:pt>
                <c:pt idx="123">
                  <c:v>401.68</c:v>
                </c:pt>
              </c:numCache>
            </c:numRef>
          </c:val>
          <c:smooth val="0"/>
          <c:extLst>
            <c:ext xmlns:c16="http://schemas.microsoft.com/office/drawing/2014/chart" uri="{C3380CC4-5D6E-409C-BE32-E72D297353CC}">
              <c16:uniqueId val="{00000002-6B4F-4F69-9615-2AC031310E0D}"/>
            </c:ext>
          </c:extLst>
        </c:ser>
        <c:dLbls>
          <c:showLegendKey val="0"/>
          <c:showVal val="0"/>
          <c:showCatName val="0"/>
          <c:showSerName val="0"/>
          <c:showPercent val="0"/>
          <c:showBubbleSize val="0"/>
        </c:dLbls>
        <c:smooth val="0"/>
        <c:axId val="912527680"/>
        <c:axId val="912528008"/>
      </c:lineChart>
      <c:dateAx>
        <c:axId val="912527680"/>
        <c:scaling>
          <c:orientation val="minMax"/>
        </c:scaling>
        <c:delete val="0"/>
        <c:axPos val="b"/>
        <c:numFmt formatCode="m/d/yyyy" sourceLinked="1"/>
        <c:majorTickMark val="out"/>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12528008"/>
        <c:crosses val="autoZero"/>
        <c:auto val="1"/>
        <c:lblOffset val="100"/>
        <c:baseTimeUnit val="days"/>
      </c:dateAx>
      <c:valAx>
        <c:axId val="912528008"/>
        <c:scaling>
          <c:orientation val="minMax"/>
        </c:scaling>
        <c:delete val="0"/>
        <c:axPos val="l"/>
        <c:majorGridlines>
          <c:spPr>
            <a:ln w="9525" cap="flat" cmpd="sng" algn="ctr">
              <a:solidFill>
                <a:schemeClr val="lt1">
                  <a:lumMod val="95000"/>
                  <a:alpha val="10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12527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4562</Words>
  <Characters>26006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Zerger, Zachary Joe (Zach)</dc:creator>
  <cp:keywords/>
  <dc:description/>
  <cp:lastModifiedBy>Zerger, Zachary Joe (Zach)</cp:lastModifiedBy>
  <cp:revision>5</cp:revision>
  <dcterms:created xsi:type="dcterms:W3CDTF">2022-07-12T19:44:00Z</dcterms:created>
  <dcterms:modified xsi:type="dcterms:W3CDTF">2022-07-12T20:42:00Z</dcterms:modified>
</cp:coreProperties>
</file>