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97" w:rsidRDefault="00D4431A" w:rsidP="00D4431A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緩和</w:t>
      </w:r>
      <w:r>
        <w:rPr>
          <w:rFonts w:eastAsia="MS Mincho"/>
          <w:lang w:eastAsia="ja-JP"/>
        </w:rPr>
        <w:t>の出口探り始めた</w:t>
      </w:r>
      <w:r>
        <w:rPr>
          <w:rFonts w:eastAsia="MS Mincho"/>
          <w:lang w:eastAsia="ja-JP"/>
        </w:rPr>
        <w:t>ECB</w:t>
      </w:r>
    </w:p>
    <w:p w:rsidR="00D4431A" w:rsidRDefault="00D4431A" w:rsidP="00D4431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日銀</w:t>
      </w:r>
      <w:r>
        <w:rPr>
          <w:rFonts w:eastAsia="MS Mincho"/>
          <w:lang w:eastAsia="ja-JP"/>
        </w:rPr>
        <w:t>と同様、マイナス金利と</w:t>
      </w:r>
      <w:r>
        <w:rPr>
          <w:rFonts w:eastAsia="MS Mincho" w:hint="eastAsia"/>
          <w:lang w:eastAsia="ja-JP"/>
        </w:rPr>
        <w:t>量的</w:t>
      </w:r>
      <w:r>
        <w:rPr>
          <w:rFonts w:eastAsia="MS Mincho"/>
          <w:lang w:eastAsia="ja-JP"/>
        </w:rPr>
        <w:t>金融緩和政策を実施している欧州中央</w:t>
      </w:r>
      <w:r>
        <w:rPr>
          <w:rFonts w:eastAsia="MS Mincho" w:hint="eastAsia"/>
          <w:lang w:eastAsia="ja-JP"/>
        </w:rPr>
        <w:t>銀行</w:t>
      </w:r>
      <w:r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ECB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が金融政策の現状維持を決めた。</w:t>
      </w:r>
    </w:p>
    <w:p w:rsidR="00D4431A" w:rsidRDefault="00D4431A" w:rsidP="00D4431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ECB</w:t>
      </w:r>
      <w:r>
        <w:rPr>
          <w:rFonts w:eastAsia="MS Mincho"/>
          <w:lang w:eastAsia="ja-JP"/>
        </w:rPr>
        <w:t>が目標とする消費者</w:t>
      </w:r>
      <w:r>
        <w:rPr>
          <w:rFonts w:eastAsia="MS Mincho" w:hint="eastAsia"/>
          <w:lang w:eastAsia="ja-JP"/>
        </w:rPr>
        <w:t>物価</w:t>
      </w:r>
      <w:r>
        <w:rPr>
          <w:rFonts w:eastAsia="MS Mincho"/>
          <w:lang w:eastAsia="ja-JP"/>
        </w:rPr>
        <w:t>上昇率は「２％未満でその近辺」だが、２月の消費者</w:t>
      </w:r>
      <w:r>
        <w:rPr>
          <w:rFonts w:eastAsia="MS Mincho" w:hint="eastAsia"/>
          <w:lang w:eastAsia="ja-JP"/>
        </w:rPr>
        <w:t>物価</w:t>
      </w:r>
      <w:r>
        <w:rPr>
          <w:rFonts w:eastAsia="MS Mincho"/>
          <w:lang w:eastAsia="ja-JP"/>
        </w:rPr>
        <w:t>は前年同月比で２％に</w:t>
      </w:r>
      <w:r>
        <w:rPr>
          <w:rFonts w:eastAsia="MS Mincho" w:hint="eastAsia"/>
          <w:lang w:eastAsia="ja-JP"/>
        </w:rPr>
        <w:t>達した</w:t>
      </w:r>
      <w:r>
        <w:rPr>
          <w:rFonts w:eastAsia="MS Mincho"/>
          <w:lang w:eastAsia="ja-JP"/>
        </w:rPr>
        <w:t>。</w:t>
      </w:r>
    </w:p>
    <w:p w:rsidR="00D4431A" w:rsidRDefault="00D4431A" w:rsidP="00D4431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一方</w:t>
      </w:r>
      <w:r>
        <w:rPr>
          <w:rFonts w:eastAsia="MS Mincho"/>
          <w:lang w:eastAsia="ja-JP"/>
        </w:rPr>
        <w:t>で食料やエネルギーなどを除いた基調的な物価上昇率は０．９％にとどまる。全体の物価上昇圧力を見極めつつ、一先ず金融緩和の継続で経済や物価を</w:t>
      </w:r>
      <w:r>
        <w:rPr>
          <w:rFonts w:eastAsia="MS Mincho" w:hint="eastAsia"/>
          <w:lang w:eastAsia="ja-JP"/>
        </w:rPr>
        <w:t>下支え</w:t>
      </w:r>
      <w:r>
        <w:rPr>
          <w:rFonts w:eastAsia="MS Mincho"/>
          <w:lang w:eastAsia="ja-JP"/>
        </w:rPr>
        <w:t>しようという判断は妥当だ。</w:t>
      </w:r>
    </w:p>
    <w:p w:rsidR="00D4431A" w:rsidRDefault="00D4431A" w:rsidP="00D4431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注目</w:t>
      </w:r>
      <w:r>
        <w:rPr>
          <w:rFonts w:eastAsia="MS Mincho"/>
          <w:lang w:eastAsia="ja-JP"/>
        </w:rPr>
        <w:t>されるのは、</w:t>
      </w:r>
      <w:r>
        <w:rPr>
          <w:rFonts w:eastAsia="MS Mincho" w:hint="eastAsia"/>
          <w:lang w:eastAsia="ja-JP"/>
        </w:rPr>
        <w:t>ECB</w:t>
      </w:r>
      <w:r>
        <w:rPr>
          <w:rFonts w:eastAsia="MS Mincho" w:hint="eastAsia"/>
          <w:lang w:eastAsia="ja-JP"/>
        </w:rPr>
        <w:t>理事会</w:t>
      </w:r>
      <w:r>
        <w:rPr>
          <w:rFonts w:eastAsia="MS Mincho"/>
          <w:lang w:eastAsia="ja-JP"/>
        </w:rPr>
        <w:t>の声明文から、物価の安定に</w:t>
      </w:r>
      <w:r>
        <w:rPr>
          <w:rFonts w:eastAsia="MS Mincho" w:hint="eastAsia"/>
          <w:lang w:eastAsia="ja-JP"/>
        </w:rPr>
        <w:t>向け</w:t>
      </w:r>
      <w:r>
        <w:rPr>
          <w:rFonts w:eastAsia="MS Mincho"/>
          <w:lang w:eastAsia="ja-JP"/>
        </w:rPr>
        <w:t>「利用可能なあらゆる措置を用いる」との</w:t>
      </w:r>
      <w:r>
        <w:rPr>
          <w:rFonts w:eastAsia="MS Mincho" w:hint="eastAsia"/>
          <w:lang w:eastAsia="ja-JP"/>
        </w:rPr>
        <w:t>文言</w:t>
      </w:r>
      <w:r>
        <w:rPr>
          <w:rFonts w:eastAsia="MS Mincho"/>
          <w:lang w:eastAsia="ja-JP"/>
        </w:rPr>
        <w:t>を削除した</w:t>
      </w:r>
      <w:r>
        <w:rPr>
          <w:rFonts w:eastAsia="MS Mincho" w:hint="eastAsia"/>
          <w:lang w:eastAsia="ja-JP"/>
        </w:rPr>
        <w:t>点</w:t>
      </w:r>
      <w:r>
        <w:rPr>
          <w:rFonts w:eastAsia="MS Mincho"/>
          <w:lang w:eastAsia="ja-JP"/>
        </w:rPr>
        <w:t>だ。</w:t>
      </w:r>
    </w:p>
    <w:p w:rsidR="00D4431A" w:rsidRDefault="00D4431A" w:rsidP="00D4431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ドラギ</w:t>
      </w:r>
      <w:r>
        <w:rPr>
          <w:rFonts w:eastAsia="MS Mincho"/>
          <w:lang w:eastAsia="ja-JP"/>
        </w:rPr>
        <w:t>総裁はその理由として「（物価が持続的下落する）デフレのリスクは概ね消えた」「さらなる利下げの必要があるとは思わない」などと述べた。</w:t>
      </w:r>
    </w:p>
    <w:p w:rsidR="00D4431A" w:rsidRDefault="00D4431A" w:rsidP="00D4431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ECB</w:t>
      </w:r>
      <w:r>
        <w:rPr>
          <w:rFonts w:eastAsia="MS Mincho"/>
          <w:lang w:eastAsia="ja-JP"/>
        </w:rPr>
        <w:t>は今年４月から１２</w:t>
      </w:r>
      <w:r>
        <w:rPr>
          <w:rFonts w:eastAsia="MS Mincho" w:hint="eastAsia"/>
          <w:lang w:eastAsia="ja-JP"/>
        </w:rPr>
        <w:t>月末</w:t>
      </w:r>
      <w:r>
        <w:rPr>
          <w:rFonts w:eastAsia="MS Mincho"/>
          <w:lang w:eastAsia="ja-JP"/>
        </w:rPr>
        <w:t>まで、国際などの買い入れ</w:t>
      </w:r>
      <w:r>
        <w:rPr>
          <w:rFonts w:eastAsia="MS Mincho" w:hint="eastAsia"/>
          <w:lang w:eastAsia="ja-JP"/>
        </w:rPr>
        <w:t>額</w:t>
      </w:r>
      <w:r>
        <w:rPr>
          <w:rFonts w:eastAsia="MS Mincho"/>
          <w:lang w:eastAsia="ja-JP"/>
        </w:rPr>
        <w:t>を毎月６００億ユーロとする量的緩和を続ける方針だ。ドラギ氏の発言は来年以降の量的緩和の縮小や利上げなど、金融政策の軌道修正に</w:t>
      </w:r>
      <w:r>
        <w:rPr>
          <w:rFonts w:eastAsia="MS Mincho" w:hint="eastAsia"/>
          <w:lang w:eastAsia="ja-JP"/>
        </w:rPr>
        <w:t>向けた布石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打った</w:t>
      </w:r>
      <w:r>
        <w:rPr>
          <w:rFonts w:eastAsia="MS Mincho"/>
          <w:lang w:eastAsia="ja-JP"/>
        </w:rPr>
        <w:t>とも読める。</w:t>
      </w:r>
    </w:p>
    <w:p w:rsidR="00D4431A" w:rsidRDefault="00D4431A" w:rsidP="00D4431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ユーロ圏</w:t>
      </w:r>
      <w:r>
        <w:rPr>
          <w:rFonts w:eastAsia="MS Mincho"/>
          <w:lang w:eastAsia="ja-JP"/>
        </w:rPr>
        <w:t>の経済は</w:t>
      </w:r>
      <w:r>
        <w:rPr>
          <w:rFonts w:eastAsia="MS Mincho" w:hint="eastAsia"/>
          <w:lang w:eastAsia="ja-JP"/>
        </w:rPr>
        <w:t>堅調だ。</w:t>
      </w:r>
      <w:r>
        <w:rPr>
          <w:rFonts w:eastAsia="MS Mincho"/>
          <w:lang w:eastAsia="ja-JP"/>
        </w:rPr>
        <w:t>昨年後半の</w:t>
      </w:r>
      <w:r>
        <w:rPr>
          <w:rFonts w:eastAsia="MS Mincho" w:hint="eastAsia"/>
          <w:lang w:eastAsia="ja-JP"/>
        </w:rPr>
        <w:t>実質</w:t>
      </w:r>
      <w:r>
        <w:rPr>
          <w:rFonts w:eastAsia="MS Mincho"/>
          <w:lang w:eastAsia="ja-JP"/>
        </w:rPr>
        <w:t>成長率は１％</w:t>
      </w:r>
      <w:r>
        <w:rPr>
          <w:rFonts w:eastAsia="MS Mincho" w:hint="eastAsia"/>
          <w:lang w:eastAsia="ja-JP"/>
        </w:rPr>
        <w:t>台</w:t>
      </w:r>
      <w:r>
        <w:rPr>
          <w:rFonts w:eastAsia="MS Mincho"/>
          <w:lang w:eastAsia="ja-JP"/>
        </w:rPr>
        <w:t>後半で推移している。失業率は９％台となお高いもの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、２００９年</w:t>
      </w:r>
      <w:r w:rsidR="008322A1">
        <w:rPr>
          <w:rFonts w:eastAsia="MS Mincho" w:hint="eastAsia"/>
          <w:lang w:eastAsia="ja-JP"/>
        </w:rPr>
        <w:t>以来</w:t>
      </w:r>
      <w:r>
        <w:rPr>
          <w:rFonts w:eastAsia="MS Mincho"/>
          <w:lang w:eastAsia="ja-JP"/>
        </w:rPr>
        <w:t>の水準まで下がってきた。</w:t>
      </w:r>
    </w:p>
    <w:p w:rsidR="00D4431A" w:rsidRDefault="00D4431A" w:rsidP="00D4431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ただ</w:t>
      </w:r>
      <w:r>
        <w:rPr>
          <w:rFonts w:eastAsia="MS Mincho"/>
          <w:lang w:eastAsia="ja-JP"/>
        </w:rPr>
        <w:t>、イタリアなど南欧の金融機関の不良債権問題は</w:t>
      </w:r>
      <w:r>
        <w:rPr>
          <w:rFonts w:eastAsia="MS Mincho" w:hint="eastAsia"/>
          <w:lang w:eastAsia="ja-JP"/>
        </w:rPr>
        <w:t>未解決</w:t>
      </w:r>
      <w:r w:rsidR="008322A1">
        <w:rPr>
          <w:rFonts w:eastAsia="MS Mincho"/>
          <w:lang w:eastAsia="ja-JP"/>
        </w:rPr>
        <w:t>だ。域内の雇用</w:t>
      </w:r>
      <w:r>
        <w:rPr>
          <w:rFonts w:eastAsia="MS Mincho"/>
          <w:lang w:eastAsia="ja-JP"/>
        </w:rPr>
        <w:t>の改善が賃金上昇につながり、それが物価の基調を</w:t>
      </w:r>
      <w:r>
        <w:rPr>
          <w:rFonts w:eastAsia="MS Mincho" w:hint="eastAsia"/>
          <w:lang w:eastAsia="ja-JP"/>
        </w:rPr>
        <w:t>押し上げ</w:t>
      </w:r>
      <w:r>
        <w:rPr>
          <w:rFonts w:eastAsia="MS Mincho"/>
          <w:lang w:eastAsia="ja-JP"/>
        </w:rPr>
        <w:t>ていくかどうかを丹念に点検する必要がある。</w:t>
      </w:r>
    </w:p>
    <w:p w:rsidR="00D4431A" w:rsidRDefault="00D4431A" w:rsidP="00D4431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経済</w:t>
      </w:r>
      <w:r>
        <w:rPr>
          <w:rFonts w:eastAsia="MS Mincho"/>
          <w:lang w:eastAsia="ja-JP"/>
        </w:rPr>
        <w:t>は生き物だ。</w:t>
      </w:r>
      <w:r>
        <w:rPr>
          <w:rFonts w:eastAsia="MS Mincho" w:hint="eastAsia"/>
          <w:lang w:eastAsia="ja-JP"/>
        </w:rPr>
        <w:t>極右</w:t>
      </w:r>
      <w:r w:rsidR="008322A1">
        <w:rPr>
          <w:rFonts w:eastAsia="MS Mincho" w:hint="eastAsia"/>
          <w:lang w:eastAsia="ja-JP"/>
        </w:rPr>
        <w:t>政党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台頭</w:t>
      </w:r>
      <w:r>
        <w:rPr>
          <w:rFonts w:eastAsia="MS Mincho"/>
          <w:lang w:eastAsia="ja-JP"/>
        </w:rPr>
        <w:t>で域内各国の政治情勢が不安定になる事態も念頭に</w:t>
      </w:r>
      <w:r>
        <w:rPr>
          <w:rFonts w:eastAsia="MS Mincho" w:hint="eastAsia"/>
          <w:lang w:eastAsia="ja-JP"/>
        </w:rPr>
        <w:t>置き</w:t>
      </w:r>
      <w:r>
        <w:rPr>
          <w:rFonts w:eastAsia="MS Mincho"/>
          <w:lang w:eastAsia="ja-JP"/>
        </w:rPr>
        <w:t>、柔軟に金融政策を運営する構えが</w:t>
      </w:r>
      <w:r>
        <w:rPr>
          <w:rFonts w:eastAsia="MS Mincho"/>
          <w:lang w:eastAsia="ja-JP"/>
        </w:rPr>
        <w:t>ECB</w:t>
      </w:r>
      <w:r>
        <w:rPr>
          <w:rFonts w:eastAsia="MS Mincho"/>
          <w:lang w:eastAsia="ja-JP"/>
        </w:rPr>
        <w:t>に求められる。同時に、</w:t>
      </w:r>
      <w:r>
        <w:rPr>
          <w:rFonts w:eastAsia="MS Mincho" w:hint="eastAsia"/>
          <w:lang w:eastAsia="ja-JP"/>
        </w:rPr>
        <w:t>非常時</w:t>
      </w:r>
      <w:r>
        <w:rPr>
          <w:rFonts w:eastAsia="MS Mincho"/>
          <w:lang w:eastAsia="ja-JP"/>
        </w:rPr>
        <w:t>の金融政策を平時に移す「出口」戦略をしっかり準備してほしい。</w:t>
      </w:r>
    </w:p>
    <w:p w:rsidR="008322A1" w:rsidRDefault="00D4431A" w:rsidP="00D4431A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t>ECB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金融緩和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続けている</w:t>
      </w:r>
      <w:r w:rsidR="008322A1">
        <w:rPr>
          <w:rFonts w:eastAsia="MS Mincho" w:hint="eastAsia"/>
          <w:lang w:eastAsia="ja-JP"/>
        </w:rPr>
        <w:t>間</w:t>
      </w:r>
      <w:r>
        <w:rPr>
          <w:rFonts w:eastAsia="MS Mincho"/>
          <w:lang w:eastAsia="ja-JP"/>
        </w:rPr>
        <w:t>に、ユーロ圏各国や欧州連合（</w:t>
      </w:r>
      <w:r>
        <w:rPr>
          <w:rFonts w:eastAsia="MS Mincho"/>
          <w:lang w:eastAsia="ja-JP"/>
        </w:rPr>
        <w:t>EU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は労働市場改革、銀行同盟の取り組み、ギリシャ</w:t>
      </w:r>
      <w:r>
        <w:rPr>
          <w:rFonts w:eastAsia="MS Mincho" w:hint="eastAsia"/>
          <w:lang w:eastAsia="ja-JP"/>
        </w:rPr>
        <w:t>向け</w:t>
      </w:r>
      <w:r>
        <w:rPr>
          <w:rFonts w:eastAsia="MS Mincho"/>
          <w:lang w:eastAsia="ja-JP"/>
        </w:rPr>
        <w:t>金融支援を巡る</w:t>
      </w:r>
      <w:r>
        <w:rPr>
          <w:rFonts w:eastAsia="MS Mincho" w:hint="eastAsia"/>
          <w:lang w:eastAsia="ja-JP"/>
        </w:rPr>
        <w:t>協議</w:t>
      </w:r>
      <w:r>
        <w:rPr>
          <w:rFonts w:eastAsia="MS Mincho"/>
          <w:lang w:eastAsia="ja-JP"/>
        </w:rPr>
        <w:t>を着実に</w:t>
      </w:r>
      <w:r>
        <w:rPr>
          <w:rFonts w:eastAsia="MS Mincho" w:hint="eastAsia"/>
          <w:lang w:eastAsia="ja-JP"/>
        </w:rPr>
        <w:t>前進させなければならない</w:t>
      </w:r>
      <w:r>
        <w:rPr>
          <w:rFonts w:eastAsia="MS Mincho"/>
          <w:lang w:eastAsia="ja-JP"/>
        </w:rPr>
        <w:t>。</w:t>
      </w:r>
      <w:bookmarkStart w:id="0" w:name="_GoBack"/>
      <w:bookmarkEnd w:id="0"/>
    </w:p>
    <w:p w:rsidR="00D4431A" w:rsidRPr="00D4431A" w:rsidRDefault="00D4431A" w:rsidP="00D4431A">
      <w:pPr>
        <w:rPr>
          <w:rFonts w:eastAsia="MS Mincho" w:hint="eastAsia"/>
          <w:lang w:eastAsia="ja-JP"/>
        </w:rPr>
      </w:pPr>
    </w:p>
    <w:p w:rsidR="00D4431A" w:rsidRPr="00D4431A" w:rsidRDefault="00D4431A">
      <w:pPr>
        <w:rPr>
          <w:rFonts w:eastAsia="MS Mincho" w:hint="eastAsia"/>
          <w:lang w:eastAsia="ja-JP"/>
        </w:rPr>
      </w:pPr>
    </w:p>
    <w:sectPr w:rsidR="00D4431A" w:rsidRPr="00D443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1A"/>
    <w:rsid w:val="008322A1"/>
    <w:rsid w:val="00A9230E"/>
    <w:rsid w:val="00D4431A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DCCF8-9BF9-4672-B6C5-0642E02B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671</Characters>
  <Application>Microsoft Office Word</Application>
  <DocSecurity>0</DocSecurity>
  <Lines>5</Lines>
  <Paragraphs>1</Paragraphs>
  <ScaleCrop>false</ScaleCrop>
  <Company>HKIEd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2017-03-13T01:43:00Z</dcterms:created>
  <dcterms:modified xsi:type="dcterms:W3CDTF">2017-03-13T01:59:00Z</dcterms:modified>
</cp:coreProperties>
</file>