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rPr/>
      </w:pPr>
      <w:r>
        <w:rPr/>
      </w:r>
    </w:p>
    <w:p>
      <w:pPr>
        <w:pStyle w:val="Normal"/>
        <w:spacing w:before="0" w:after="60"/>
        <w:jc w:val="center"/>
        <w:rPr/>
      </w:pPr>
      <w:r>
        <w:rPr>
          <w:rFonts w:eastAsia="Arial" w:cs="Arial"/>
          <w:b/>
          <w:bCs/>
          <w:color w:val="5D6D7E"/>
          <w:sz w:val="22"/>
          <w:szCs w:val="22"/>
        </w:rPr>
        <w:t>TECHNICAL DESIGN DOCUMENT</w:t>
      </w:r>
    </w:p>
    <w:p>
      <w:pPr>
        <w:pStyle w:val="Normal"/>
        <w:spacing w:before="0" w:after="80"/>
        <w:jc w:val="center"/>
        <w:rPr/>
      </w:pPr>
      <w:r>
        <w:rPr>
          <w:rFonts w:eastAsia="Arial" w:cs="Arial"/>
          <w:b/>
          <w:bCs/>
          <w:color w:val="1A56DB"/>
          <w:sz w:val="72"/>
          <w:szCs w:val="72"/>
        </w:rPr>
        <w:t>ArbitrageIQ</w:t>
      </w:r>
    </w:p>
    <w:p>
      <w:pPr>
        <w:pStyle w:val="Normal"/>
        <w:spacing w:before="0" w:after="40"/>
        <w:jc w:val="center"/>
        <w:rPr/>
      </w:pPr>
      <w:r>
        <w:rPr>
          <w:rFonts w:eastAsia="Arial" w:cs="Arial"/>
          <w:color w:val="1A1A2E"/>
          <w:sz w:val="30"/>
          <w:szCs w:val="30"/>
        </w:rPr>
        <w:t>Retail Arbitrage SaaS Platform</w:t>
      </w:r>
    </w:p>
    <w:p>
      <w:pPr>
        <w:pStyle w:val="Normal"/>
        <w:spacing w:before="0" w:after="0"/>
        <w:rPr/>
      </w:pPr>
      <w:r>
        <w:rPr/>
      </w:r>
    </w:p>
    <w:tbl>
      <w:tblPr>
        <w:tblW w:w="5400" w:type="dxa"/>
        <w:jc w:val="start"/>
        <w:tblInd w:w="0" w:type="dxa"/>
        <w:tblLayout w:type="fixed"/>
        <w:tblCellMar>
          <w:top w:w="80" w:type="dxa"/>
          <w:start w:w="120" w:type="dxa"/>
          <w:bottom w:w="80" w:type="dxa"/>
          <w:end w:w="120" w:type="dxa"/>
        </w:tblCellMar>
      </w:tblPr>
      <w:tblGrid>
        <w:gridCol w:w="1798"/>
        <w:gridCol w:w="3602"/>
      </w:tblGrid>
      <w:tr>
        <w:trPr/>
        <w:tc>
          <w:tcPr>
            <w:tcW w:w="1798" w:type="dxa"/>
            <w:tcBorders>
              <w:top w:val="single" w:sz="2" w:space="0" w:color="1A56DB"/>
              <w:start w:val="single" w:sz="2" w:space="0" w:color="1A56DB"/>
              <w:bottom w:val="single" w:sz="2" w:space="0" w:color="1A56DB"/>
              <w:end w:val="single" w:sz="2" w:space="0" w:color="1A56DB"/>
            </w:tcBorders>
            <w:shd w:fill="1A56DB" w:val="clear"/>
          </w:tcPr>
          <w:p>
            <w:pPr>
              <w:pStyle w:val="Normal"/>
              <w:rPr/>
            </w:pPr>
            <w:r>
              <w:rPr>
                <w:rFonts w:eastAsia="Arial" w:cs="Arial"/>
                <w:b/>
                <w:bCs/>
                <w:color w:val="FFFFFF"/>
                <w:sz w:val="20"/>
                <w:szCs w:val="20"/>
              </w:rPr>
              <w:t>Version</w:t>
            </w:r>
          </w:p>
        </w:tc>
        <w:tc>
          <w:tcPr>
            <w:tcW w:w="3602" w:type="dxa"/>
            <w:tcBorders>
              <w:top w:val="single" w:sz="2" w:space="0" w:color="BDC3C7"/>
              <w:start w:val="single" w:sz="2" w:space="0" w:color="BDC3C7"/>
              <w:bottom w:val="single" w:sz="2" w:space="0" w:color="BDC3C7"/>
              <w:end w:val="single" w:sz="2" w:space="0" w:color="BDC3C7"/>
            </w:tcBorders>
            <w:shd w:fill="EBF5FF" w:val="clear"/>
          </w:tcPr>
          <w:p>
            <w:pPr>
              <w:pStyle w:val="Normal"/>
              <w:bidi w:val="0"/>
              <w:rPr/>
            </w:pPr>
            <w:r>
              <w:rPr/>
              <w:t>1.0.0</w:t>
            </w:r>
          </w:p>
        </w:tc>
      </w:tr>
      <w:tr>
        <w:trPr/>
        <w:tc>
          <w:tcPr>
            <w:tcW w:w="1798" w:type="dxa"/>
            <w:tcBorders>
              <w:top w:val="single" w:sz="2" w:space="0" w:color="1A56DB"/>
              <w:start w:val="single" w:sz="2" w:space="0" w:color="1A56DB"/>
              <w:bottom w:val="single" w:sz="2" w:space="0" w:color="1A56DB"/>
              <w:end w:val="single" w:sz="2" w:space="0" w:color="1A56DB"/>
            </w:tcBorders>
            <w:shd w:fill="1A56DB" w:val="clear"/>
          </w:tcPr>
          <w:p>
            <w:pPr>
              <w:pStyle w:val="Normal"/>
              <w:rPr/>
            </w:pPr>
            <w:r>
              <w:rPr>
                <w:rFonts w:eastAsia="Arial" w:cs="Arial"/>
                <w:b/>
                <w:bCs/>
                <w:color w:val="FFFFFF"/>
                <w:sz w:val="20"/>
                <w:szCs w:val="20"/>
              </w:rPr>
              <w:t>Date</w:t>
            </w:r>
          </w:p>
        </w:tc>
        <w:tc>
          <w:tcPr>
            <w:tcW w:w="3602" w:type="dxa"/>
            <w:tcBorders>
              <w:top w:val="single" w:sz="2" w:space="0" w:color="BDC3C7"/>
              <w:start w:val="single" w:sz="2" w:space="0" w:color="BDC3C7"/>
              <w:bottom w:val="single" w:sz="2" w:space="0" w:color="BDC3C7"/>
              <w:end w:val="single" w:sz="2" w:space="0" w:color="BDC3C7"/>
            </w:tcBorders>
            <w:shd w:fill="EBF5FF" w:val="clear"/>
          </w:tcPr>
          <w:p>
            <w:pPr>
              <w:pStyle w:val="Normal"/>
              <w:rPr/>
            </w:pPr>
            <w:r>
              <w:rPr>
                <w:rFonts w:eastAsia="Arial" w:cs="Arial"/>
                <w:color w:val="1A1A2E"/>
                <w:sz w:val="20"/>
                <w:szCs w:val="20"/>
              </w:rPr>
              <w:t>2 June 2026</w:t>
            </w:r>
          </w:p>
        </w:tc>
      </w:tr>
      <w:tr>
        <w:trPr/>
        <w:tc>
          <w:tcPr>
            <w:tcW w:w="1798" w:type="dxa"/>
            <w:tcBorders>
              <w:top w:val="single" w:sz="2" w:space="0" w:color="1A56DB"/>
              <w:start w:val="single" w:sz="2" w:space="0" w:color="1A56DB"/>
              <w:bottom w:val="single" w:sz="2" w:space="0" w:color="1A56DB"/>
              <w:end w:val="single" w:sz="2" w:space="0" w:color="1A56DB"/>
            </w:tcBorders>
            <w:shd w:fill="1A56DB" w:val="clear"/>
          </w:tcPr>
          <w:p>
            <w:pPr>
              <w:pStyle w:val="Normal"/>
              <w:rPr/>
            </w:pPr>
            <w:r>
              <w:rPr>
                <w:rFonts w:eastAsia="Arial" w:cs="Arial"/>
                <w:b/>
                <w:bCs/>
                <w:color w:val="FFFFFF"/>
                <w:sz w:val="20"/>
                <w:szCs w:val="20"/>
              </w:rPr>
              <w:t>Author</w:t>
            </w:r>
          </w:p>
        </w:tc>
        <w:tc>
          <w:tcPr>
            <w:tcW w:w="3602" w:type="dxa"/>
            <w:tcBorders>
              <w:top w:val="single" w:sz="2" w:space="0" w:color="BDC3C7"/>
              <w:start w:val="single" w:sz="2" w:space="0" w:color="BDC3C7"/>
              <w:bottom w:val="single" w:sz="2" w:space="0" w:color="BDC3C7"/>
              <w:end w:val="single" w:sz="2" w:space="0" w:color="BDC3C7"/>
            </w:tcBorders>
            <w:shd w:fill="EBF5FF" w:val="clear"/>
          </w:tcPr>
          <w:p>
            <w:pPr>
              <w:pStyle w:val="Normal"/>
              <w:rPr/>
            </w:pPr>
            <w:r>
              <w:rPr>
                <w:rFonts w:eastAsia="Arial" w:cs="Arial"/>
                <w:color w:val="1A1A2E"/>
                <w:sz w:val="20"/>
                <w:szCs w:val="20"/>
              </w:rPr>
              <w:t>Claude (Anthropic)</w:t>
            </w:r>
          </w:p>
        </w:tc>
      </w:tr>
      <w:tr>
        <w:trPr/>
        <w:tc>
          <w:tcPr>
            <w:tcW w:w="1798" w:type="dxa"/>
            <w:tcBorders>
              <w:top w:val="single" w:sz="2" w:space="0" w:color="1A56DB"/>
              <w:start w:val="single" w:sz="2" w:space="0" w:color="1A56DB"/>
              <w:bottom w:val="single" w:sz="2" w:space="0" w:color="1A56DB"/>
              <w:end w:val="single" w:sz="2" w:space="0" w:color="1A56DB"/>
            </w:tcBorders>
            <w:shd w:fill="1A56DB" w:val="clear"/>
          </w:tcPr>
          <w:p>
            <w:pPr>
              <w:pStyle w:val="Normal"/>
              <w:rPr/>
            </w:pPr>
            <w:r>
              <w:rPr>
                <w:rFonts w:eastAsia="Arial" w:cs="Arial"/>
                <w:b/>
                <w:bCs/>
                <w:color w:val="FFFFFF"/>
                <w:sz w:val="20"/>
                <w:szCs w:val="20"/>
              </w:rPr>
              <w:t>Status</w:t>
            </w:r>
          </w:p>
        </w:tc>
        <w:tc>
          <w:tcPr>
            <w:tcW w:w="3602" w:type="dxa"/>
            <w:tcBorders>
              <w:top w:val="single" w:sz="2" w:space="0" w:color="BDC3C7"/>
              <w:start w:val="single" w:sz="2" w:space="0" w:color="BDC3C7"/>
              <w:bottom w:val="single" w:sz="2" w:space="0" w:color="BDC3C7"/>
              <w:end w:val="single" w:sz="2" w:space="0" w:color="BDC3C7"/>
            </w:tcBorders>
            <w:shd w:fill="EBF5FF" w:val="clear"/>
          </w:tcPr>
          <w:p>
            <w:pPr>
              <w:pStyle w:val="Normal"/>
              <w:rPr/>
            </w:pPr>
            <w:r>
              <w:rPr>
                <w:rFonts w:eastAsia="Arial" w:cs="Arial"/>
                <w:color w:val="1A1A2E"/>
                <w:sz w:val="20"/>
                <w:szCs w:val="20"/>
              </w:rPr>
              <w:t>Signed Off</w:t>
            </w:r>
          </w:p>
        </w:tc>
      </w:tr>
      <w:tr>
        <w:trPr/>
        <w:tc>
          <w:tcPr>
            <w:tcW w:w="1798" w:type="dxa"/>
            <w:tcBorders>
              <w:top w:val="single" w:sz="2" w:space="0" w:color="1A56DB"/>
              <w:start w:val="single" w:sz="2" w:space="0" w:color="1A56DB"/>
              <w:bottom w:val="single" w:sz="2" w:space="0" w:color="1A56DB"/>
              <w:end w:val="single" w:sz="2" w:space="0" w:color="1A56DB"/>
            </w:tcBorders>
            <w:shd w:fill="1A56DB" w:val="clear"/>
          </w:tcPr>
          <w:p>
            <w:pPr>
              <w:pStyle w:val="Normal"/>
              <w:rPr/>
            </w:pPr>
            <w:r>
              <w:rPr>
                <w:rFonts w:eastAsia="Arial" w:cs="Arial"/>
                <w:b/>
                <w:bCs/>
                <w:color w:val="FFFFFF"/>
                <w:sz w:val="20"/>
                <w:szCs w:val="20"/>
              </w:rPr>
              <w:t>Document</w:t>
            </w:r>
          </w:p>
        </w:tc>
        <w:tc>
          <w:tcPr>
            <w:tcW w:w="3602" w:type="dxa"/>
            <w:tcBorders>
              <w:top w:val="single" w:sz="2" w:space="0" w:color="BDC3C7"/>
              <w:start w:val="single" w:sz="2" w:space="0" w:color="BDC3C7"/>
              <w:bottom w:val="single" w:sz="2" w:space="0" w:color="BDC3C7"/>
              <w:end w:val="single" w:sz="2" w:space="0" w:color="BDC3C7"/>
            </w:tcBorders>
            <w:shd w:fill="EBF5FF" w:val="clear"/>
          </w:tcPr>
          <w:p>
            <w:pPr>
              <w:pStyle w:val="Normal"/>
              <w:rPr/>
            </w:pPr>
            <w:r>
              <w:rPr>
                <w:rFonts w:eastAsia="Arial" w:cs="Arial"/>
                <w:color w:val="1A1A2E"/>
                <w:sz w:val="20"/>
                <w:szCs w:val="20"/>
              </w:rPr>
              <w:t>TDD-ARBIQ-001</w:t>
            </w:r>
          </w:p>
        </w:tc>
      </w:tr>
      <w:tr>
        <w:trPr/>
        <w:tc>
          <w:tcPr>
            <w:tcW w:w="1798" w:type="dxa"/>
            <w:tcBorders>
              <w:top w:val="single" w:sz="2" w:space="0" w:color="1A56DB"/>
              <w:start w:val="single" w:sz="2" w:space="0" w:color="1A56DB"/>
              <w:bottom w:val="single" w:sz="2" w:space="0" w:color="1A56DB"/>
              <w:end w:val="single" w:sz="2" w:space="0" w:color="1A56DB"/>
            </w:tcBorders>
            <w:shd w:fill="1A56DB" w:val="clear"/>
          </w:tcPr>
          <w:p>
            <w:pPr>
              <w:pStyle w:val="Normal"/>
              <w:rPr/>
            </w:pPr>
            <w:r>
              <w:rPr>
                <w:rFonts w:eastAsia="Arial" w:cs="Arial"/>
                <w:b/>
                <w:bCs/>
                <w:color w:val="FFFFFF"/>
                <w:sz w:val="20"/>
                <w:szCs w:val="20"/>
              </w:rPr>
              <w:t>PRD Ref</w:t>
            </w:r>
          </w:p>
        </w:tc>
        <w:tc>
          <w:tcPr>
            <w:tcW w:w="3602" w:type="dxa"/>
            <w:tcBorders>
              <w:top w:val="single" w:sz="2" w:space="0" w:color="BDC3C7"/>
              <w:start w:val="single" w:sz="2" w:space="0" w:color="BDC3C7"/>
              <w:bottom w:val="single" w:sz="2" w:space="0" w:color="BDC3C7"/>
              <w:end w:val="single" w:sz="2" w:space="0" w:color="BDC3C7"/>
            </w:tcBorders>
            <w:shd w:fill="EBF5FF" w:val="clear"/>
          </w:tcPr>
          <w:p>
            <w:pPr>
              <w:pStyle w:val="Normal"/>
              <w:rPr/>
            </w:pPr>
            <w:r>
              <w:rPr>
                <w:rFonts w:eastAsia="Arial" w:cs="Arial"/>
                <w:color w:val="1A1A2E"/>
                <w:sz w:val="20"/>
                <w:szCs w:val="20"/>
              </w:rPr>
              <w:t>PRD-ARBIQ-001 v1.0.0</w:t>
            </w:r>
          </w:p>
        </w:tc>
      </w:tr>
    </w:tbl>
    <w:p>
      <w:pPr>
        <w:pStyle w:val="Normal"/>
        <w:spacing w:before="0" w:after="0"/>
        <w:rPr/>
      </w:pPr>
      <w:r>
        <w:rPr/>
      </w:r>
    </w:p>
    <w:p>
      <w:pPr>
        <w:pStyle w:val="Normal"/>
        <w:pBdr>
          <w:top w:val="single" w:sz="4" w:space="6" w:color="1A56DB"/>
        </w:pBdr>
        <w:spacing w:before="60" w:after="30"/>
        <w:jc w:val="center"/>
        <w:rPr/>
      </w:pPr>
      <w:r>
        <w:rPr>
          <w:rFonts w:eastAsia="Arial" w:cs="Arial"/>
          <w:i/>
          <w:iCs/>
          <w:color w:val="5D6D7E"/>
          <w:sz w:val="18"/>
          <w:szCs w:val="18"/>
        </w:rPr>
        <w:t>CONFIDENTIAL — Engineering Use Only</w:t>
      </w:r>
    </w:p>
    <w:p>
      <w:pPr>
        <w:pStyle w:val="Normal"/>
        <w:rPr/>
      </w:pPr>
      <w:r>
        <w:rPr/>
      </w:r>
      <w:r>
        <w:br w:type="page"/>
      </w:r>
    </w:p>
    <w:p>
      <w:pPr>
        <w:pStyle w:val="Heading1"/>
        <w:pBdr>
          <w:bottom w:val="single" w:sz="8" w:space="6" w:color="1A56DB"/>
        </w:pBdr>
        <w:spacing w:before="0" w:after="160"/>
        <w:rPr/>
      </w:pPr>
      <w:r>
        <w:rPr>
          <w:rFonts w:eastAsia="Arial" w:cs="Arial"/>
          <w:b/>
          <w:bCs/>
          <w:color w:val="1A56DB"/>
          <w:sz w:val="32"/>
          <w:szCs w:val="32"/>
        </w:rPr>
        <w:t>Revision History</w:t>
      </w:r>
    </w:p>
    <w:tbl>
      <w:tblPr>
        <w:tblW w:w="9360" w:type="dxa"/>
        <w:jc w:val="start"/>
        <w:tblInd w:w="0" w:type="dxa"/>
        <w:tblLayout w:type="fixed"/>
        <w:tblCellMar>
          <w:top w:w="100" w:type="dxa"/>
          <w:start w:w="140" w:type="dxa"/>
          <w:bottom w:w="100" w:type="dxa"/>
          <w:end w:w="140" w:type="dxa"/>
        </w:tblCellMar>
      </w:tblPr>
      <w:tblGrid>
        <w:gridCol w:w="1199"/>
        <w:gridCol w:w="1599"/>
        <w:gridCol w:w="2000"/>
        <w:gridCol w:w="4562"/>
      </w:tblGrid>
      <w:tr>
        <w:trPr>
          <w:tblHeader w:val="true"/>
        </w:trPr>
        <w:tc>
          <w:tcPr>
            <w:tcW w:w="1199" w:type="dxa"/>
            <w:tcBorders>
              <w:top w:val="single" w:sz="2" w:space="0" w:color="1A56DB"/>
              <w:start w:val="single" w:sz="2" w:space="0" w:color="1A56DB"/>
              <w:bottom w:val="single" w:sz="2" w:space="0" w:color="1A56DB"/>
              <w:end w:val="single" w:sz="2" w:space="0" w:color="1A56DB"/>
            </w:tcBorders>
            <w:shd w:fill="1A56DB" w:val="clear"/>
            <w:vAlign w:val="center"/>
          </w:tcPr>
          <w:p>
            <w:pPr>
              <w:pStyle w:val="Normal"/>
              <w:jc w:val="center"/>
              <w:rPr/>
            </w:pPr>
            <w:r>
              <w:rPr>
                <w:rFonts w:eastAsia="Arial" w:cs="Arial"/>
                <w:b/>
                <w:bCs/>
                <w:color w:val="FFFFFF"/>
                <w:sz w:val="19"/>
                <w:szCs w:val="19"/>
              </w:rPr>
              <w:t>Version</w:t>
            </w:r>
          </w:p>
        </w:tc>
        <w:tc>
          <w:tcPr>
            <w:tcW w:w="1599" w:type="dxa"/>
            <w:tcBorders>
              <w:top w:val="single" w:sz="2" w:space="0" w:color="1A56DB"/>
              <w:start w:val="single" w:sz="2" w:space="0" w:color="1A56DB"/>
              <w:bottom w:val="single" w:sz="2" w:space="0" w:color="1A56DB"/>
              <w:end w:val="single" w:sz="2" w:space="0" w:color="1A56DB"/>
            </w:tcBorders>
            <w:shd w:fill="1A56DB" w:val="clear"/>
            <w:vAlign w:val="center"/>
          </w:tcPr>
          <w:p>
            <w:pPr>
              <w:pStyle w:val="Normal"/>
              <w:jc w:val="center"/>
              <w:rPr/>
            </w:pPr>
            <w:r>
              <w:rPr>
                <w:rFonts w:eastAsia="Arial" w:cs="Arial"/>
                <w:b/>
                <w:bCs/>
                <w:color w:val="FFFFFF"/>
                <w:sz w:val="19"/>
                <w:szCs w:val="19"/>
              </w:rPr>
              <w:t>Date</w:t>
            </w:r>
          </w:p>
        </w:tc>
        <w:tc>
          <w:tcPr>
            <w:tcW w:w="2000" w:type="dxa"/>
            <w:tcBorders>
              <w:top w:val="single" w:sz="2" w:space="0" w:color="1A56DB"/>
              <w:start w:val="single" w:sz="2" w:space="0" w:color="1A56DB"/>
              <w:bottom w:val="single" w:sz="2" w:space="0" w:color="1A56DB"/>
              <w:end w:val="single" w:sz="2" w:space="0" w:color="1A56DB"/>
            </w:tcBorders>
            <w:shd w:fill="1A56DB" w:val="clear"/>
            <w:vAlign w:val="center"/>
          </w:tcPr>
          <w:p>
            <w:pPr>
              <w:pStyle w:val="Normal"/>
              <w:jc w:val="center"/>
              <w:rPr/>
            </w:pPr>
            <w:r>
              <w:rPr>
                <w:rFonts w:eastAsia="Arial" w:cs="Arial"/>
                <w:b/>
                <w:bCs/>
                <w:color w:val="FFFFFF"/>
                <w:sz w:val="19"/>
                <w:szCs w:val="19"/>
              </w:rPr>
              <w:t>Author</w:t>
            </w:r>
          </w:p>
        </w:tc>
        <w:tc>
          <w:tcPr>
            <w:tcW w:w="4562" w:type="dxa"/>
            <w:tcBorders>
              <w:top w:val="single" w:sz="2" w:space="0" w:color="1A56DB"/>
              <w:start w:val="single" w:sz="2" w:space="0" w:color="1A56DB"/>
              <w:bottom w:val="single" w:sz="2" w:space="0" w:color="1A56DB"/>
              <w:end w:val="single" w:sz="2" w:space="0" w:color="1A56DB"/>
            </w:tcBorders>
            <w:shd w:fill="1A56DB" w:val="clear"/>
            <w:vAlign w:val="center"/>
          </w:tcPr>
          <w:p>
            <w:pPr>
              <w:pStyle w:val="Normal"/>
              <w:jc w:val="center"/>
              <w:rPr/>
            </w:pPr>
            <w:r>
              <w:rPr>
                <w:rFonts w:eastAsia="Arial" w:cs="Arial"/>
                <w:b/>
                <w:bCs/>
                <w:color w:val="FFFFFF"/>
                <w:sz w:val="19"/>
                <w:szCs w:val="19"/>
              </w:rPr>
              <w:t>Summary</w:t>
            </w:r>
          </w:p>
        </w:tc>
      </w:tr>
      <w:tr>
        <w:trPr/>
        <w:tc>
          <w:tcPr>
            <w:tcW w:w="1199"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0.1.0</w:t>
            </w:r>
          </w:p>
        </w:tc>
        <w:tc>
          <w:tcPr>
            <w:tcW w:w="1599"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2 Jun 2026</w:t>
            </w:r>
          </w:p>
        </w:tc>
        <w:tc>
          <w:tcPr>
            <w:tcW w:w="20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Claude (Anthropic)</w:t>
            </w:r>
          </w:p>
        </w:tc>
        <w:tc>
          <w:tcPr>
            <w:tcW w:w="4562"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Initial pre-release draft. All sections authored. Mirrors PRD-ARBIQ-001 v1.0.0. Pending first engineering review.</w:t>
            </w:r>
          </w:p>
        </w:tc>
      </w:tr>
      <w:tr>
        <w:trPr/>
        <w:tc>
          <w:tcPr>
            <w:tcW w:w="1199"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0.2.0</w:t>
            </w:r>
          </w:p>
        </w:tc>
        <w:tc>
          <w:tcPr>
            <w:tcW w:w="1599"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2 Jun 2026</w:t>
            </w:r>
          </w:p>
        </w:tc>
        <w:tc>
          <w:tcPr>
            <w:tcW w:w="20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Claude (Anthropic)</w:t>
            </w:r>
          </w:p>
        </w:tc>
        <w:tc>
          <w:tcPr>
            <w:tcW w:w="4562"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Upgraded all services from .NET 9 to .NET 10. Replaced Grafana/Prometheus/Loki/Tempo/Serilog/ArgoCD with .NET Aspire Dashboard (standalone) for observability and GitHub Actions for full CI/CD. Updated CI/CD pipeline table, observability table, scraper health bullets, error path metrics references, and glossary.</w:t>
            </w:r>
          </w:p>
        </w:tc>
      </w:tr>
      <w:tr>
        <w:trPr/>
        <w:tc>
          <w:tcPr>
            <w:tcW w:w="1199"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0.3.0</w:t>
            </w:r>
          </w:p>
        </w:tc>
        <w:tc>
          <w:tcPr>
            <w:tcW w:w="1599"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2 Jun 2026</w:t>
            </w:r>
          </w:p>
        </w:tc>
        <w:tc>
          <w:tcPr>
            <w:tcW w:w="20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Claude (Anthropic)</w:t>
            </w:r>
          </w:p>
        </w:tc>
        <w:tc>
          <w:tcPr>
            <w:tcW w:w="4562"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Upgraded frontend from React 18 + Vite to React 19 + Next.js (App Router). Updated shared infrastructure table and worker node description.</w:t>
            </w:r>
          </w:p>
        </w:tc>
      </w:tr>
      <w:tr>
        <w:trPr/>
        <w:tc>
          <w:tcPr>
            <w:tcW w:w="1199"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0.4.0</w:t>
            </w:r>
          </w:p>
        </w:tc>
        <w:tc>
          <w:tcPr>
            <w:tcW w:w="1599"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2 Jun 2026</w:t>
            </w:r>
          </w:p>
        </w:tc>
        <w:tc>
          <w:tcPr>
            <w:tcW w:w="20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Claude (Anthropic)</w:t>
            </w:r>
          </w:p>
        </w:tc>
        <w:tc>
          <w:tcPr>
            <w:tcW w:w="4562"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Fixed Section 7.3 onboarding table Step column width (400 DXA to 1000 DXA). Added Section 5.5.2: post-quantum hybrid encryption (ML-KEM-768 + X25519, NIST FIPS 203) with full encrypt/decrypt path and .NET 10 implementation notes. Added Section 5.8 with five state machines: Deal Discovery Pipeline, Scan Job Lifecycle, SKU/Catalogue Entry Lifecycle, Notification Delivery Lifecycle, OAuth Token Lifecycle. Added ADR-006 to ADR index.</w:t>
            </w:r>
          </w:p>
        </w:tc>
      </w:tr>
      <w:tr>
        <w:trPr/>
        <w:tc>
          <w:tcPr>
            <w:tcW w:w="1199" w:type="dxa"/>
            <w:tcBorders>
              <w:top w:val="single" w:sz="4" w:space="0" w:color="000000"/>
              <w:start w:val="single" w:sz="4" w:space="0" w:color="000000"/>
              <w:bottom w:val="single" w:sz="4" w:space="0" w:color="000000"/>
              <w:end w:val="single" w:sz="4" w:space="0" w:color="000000"/>
            </w:tcBorders>
            <w:tcMar>
              <w:top w:w="0" w:type="dxa"/>
              <w:start w:w="108" w:type="dxa"/>
              <w:bottom w:w="0" w:type="dxa"/>
              <w:end w:w="108" w:type="dxa"/>
            </w:tcMar>
          </w:tcPr>
          <w:p>
            <w:pPr>
              <w:pStyle w:val="Normal"/>
              <w:rPr/>
            </w:pPr>
            <w:r>
              <w:rPr/>
              <w:t>0.6.0</w:t>
            </w:r>
          </w:p>
        </w:tc>
        <w:tc>
          <w:tcPr>
            <w:tcW w:w="1599" w:type="dxa"/>
            <w:tcBorders>
              <w:top w:val="single" w:sz="4" w:space="0" w:color="000000"/>
              <w:start w:val="single" w:sz="4" w:space="0" w:color="000000"/>
              <w:bottom w:val="single" w:sz="4" w:space="0" w:color="000000"/>
              <w:end w:val="single" w:sz="4" w:space="0" w:color="000000"/>
            </w:tcBorders>
            <w:tcMar>
              <w:top w:w="0" w:type="dxa"/>
              <w:start w:w="108" w:type="dxa"/>
              <w:bottom w:w="0" w:type="dxa"/>
              <w:end w:w="108" w:type="dxa"/>
            </w:tcMar>
          </w:tcPr>
          <w:p>
            <w:pPr>
              <w:pStyle w:val="Normal"/>
              <w:rPr/>
            </w:pPr>
            <w:r>
              <w:rPr/>
              <w:t>3 Jun 2026</w:t>
            </w:r>
          </w:p>
        </w:tc>
        <w:tc>
          <w:tcPr>
            <w:tcW w:w="2000" w:type="dxa"/>
            <w:tcBorders>
              <w:top w:val="single" w:sz="4" w:space="0" w:color="000000"/>
              <w:start w:val="single" w:sz="4" w:space="0" w:color="000000"/>
              <w:bottom w:val="single" w:sz="4" w:space="0" w:color="000000"/>
              <w:end w:val="single" w:sz="4" w:space="0" w:color="000000"/>
            </w:tcBorders>
            <w:tcMar>
              <w:top w:w="0" w:type="dxa"/>
              <w:start w:w="108" w:type="dxa"/>
              <w:bottom w:w="0" w:type="dxa"/>
              <w:end w:w="108" w:type="dxa"/>
            </w:tcMar>
          </w:tcPr>
          <w:p>
            <w:pPr>
              <w:pStyle w:val="Normal"/>
              <w:rPr/>
            </w:pPr>
            <w:r>
              <w:rPr/>
              <w:t>Claude (Anthropic)</w:t>
            </w:r>
          </w:p>
        </w:tc>
        <w:tc>
          <w:tcPr>
            <w:tcW w:w="4562" w:type="dxa"/>
            <w:tcBorders>
              <w:top w:val="single" w:sz="4" w:space="0" w:color="000000"/>
              <w:start w:val="single" w:sz="4" w:space="0" w:color="000000"/>
              <w:bottom w:val="single" w:sz="4" w:space="0" w:color="000000"/>
              <w:end w:val="single" w:sz="4" w:space="0" w:color="000000"/>
            </w:tcBorders>
            <w:tcMar>
              <w:top w:w="0" w:type="dxa"/>
              <w:start w:w="108" w:type="dxa"/>
              <w:bottom w:w="0" w:type="dxa"/>
              <w:end w:w="108" w:type="dxa"/>
            </w:tcMar>
          </w:tcPr>
          <w:p>
            <w:pPr>
              <w:pStyle w:val="Normal"/>
              <w:rPr/>
            </w:pPr>
            <w:r>
              <w:rPr/>
              <w:t>Added RBAC matrix (5.6.3), complete API contracts (6.2), per-service event reference (3.2.1), deal_events entity (4.2), cross-schema ERD (4.1), SLOs/SLIs (8.4.1), sequence diagram (3.1), frontend hierarchy (5.9.5), out-of-scope list (1.2), dependency vulnerability policy (2.2), Playwright volume notes (8.5), performance budget (7.1.3), data-retention policies (4.3), Kafka migration criteria (3.5), local dev troubleshooting (8.7.4), complete env-var reference (Appendix B). Fixed duplicated Uptime Kuma row in 8.4.</w:t>
            </w:r>
          </w:p>
        </w:tc>
      </w:tr>
      <w:tr>
        <w:trPr/>
        <w:tc>
          <w:tcPr>
            <w:tcW w:w="1199"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0.5.0</w:t>
            </w:r>
          </w:p>
        </w:tc>
        <w:tc>
          <w:tcPr>
            <w:tcW w:w="1599"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2 Jun 2026</w:t>
            </w:r>
          </w:p>
        </w:tc>
        <w:tc>
          <w:tcPr>
            <w:tcW w:w="20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Claude (Anthropic)</w:t>
            </w:r>
          </w:p>
        </w:tc>
        <w:tc>
          <w:tcPr>
            <w:tcW w:w="4562"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Added 10 improvements: event schema versioning strategy (3.5), consumer group topology + idempotency (3.3.2), dead-letter stream handling (3.3.3), database indexing strategy (4.3), Approvals/Vault cross-reference (5.4), Python scoring HTTP contract (5.7.2), frontend Next.js technical spec (5.9), testing strategy (8.6), local development setup (8.7). Glossary: HKDF + ML-KEM-768 added. Env vars: ASPIRE_DASHBOARD_OTLP_ENDPOINT added. ADR-003/004 rationale expanded. NFR traceability note added to Section 5.</w:t>
            </w:r>
          </w:p>
        </w:tc>
      </w:tr>
      <w:tr>
        <w:trPr/>
        <w:tc>
          <w:tcPr>
            <w:tcW w:w="1199"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0.5.1</w:t>
            </w:r>
          </w:p>
        </w:tc>
        <w:tc>
          <w:tcPr>
            <w:tcW w:w="1599"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2 Jun 2026</w:t>
            </w:r>
          </w:p>
        </w:tc>
        <w:tc>
          <w:tcPr>
            <w:tcW w:w="20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Claude (Anthropic)</w:t>
            </w:r>
          </w:p>
        </w:tc>
        <w:tc>
          <w:tcPr>
            <w:tcW w:w="4562"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Fixed layout bug: Sections 5.9-5.9.4 (Frontend Next.js spec) were incorrectly placed inside the OAuth Token Lifecycle table cell (5.8.5). Extracted and repositioned after the closing table tag.</w:t>
            </w:r>
          </w:p>
        </w:tc>
      </w:tr>
      <w:tr>
        <w:trPr/>
        <w:tc>
          <w:tcPr>
            <w:tcW w:w="1199"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1.0.0</w:t>
            </w:r>
          </w:p>
        </w:tc>
        <w:tc>
          <w:tcPr>
            <w:tcW w:w="1599"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2 Jun 2026</w:t>
            </w:r>
          </w:p>
        </w:tc>
        <w:tc>
          <w:tcPr>
            <w:tcW w:w="20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Chris</w:t>
            </w:r>
          </w:p>
        </w:tc>
        <w:tc>
          <w:tcPr>
            <w:tcW w:w="4562"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Ratified and approved for sprint planning and implementation.</w:t>
            </w:r>
          </w:p>
        </w:tc>
      </w:tr>
    </w:tbl>
    <w:p>
      <w:pPr>
        <w:pStyle w:val="Normal"/>
        <w:spacing w:before="0" w:after="0"/>
        <w:rPr/>
      </w:pPr>
      <w:r>
        <w:rPr/>
      </w:r>
    </w:p>
    <w:p>
      <w:pPr>
        <w:pStyle w:val="Normal"/>
        <w:spacing w:before="40" w:after="40"/>
        <w:rPr/>
      </w:pPr>
      <w:r>
        <w:rPr>
          <w:rFonts w:eastAsia="Arial" w:cs="Arial"/>
          <w:i/>
          <w:iCs/>
          <w:color w:val="5D6D7E"/>
          <w:sz w:val="20"/>
          <w:szCs w:val="20"/>
        </w:rPr>
        <w:t>This document follows Semantic Versioning (SemVer). MAJOR increments signal ratified, breaking-scope changes. MINOR increments signal new sections or significant content additions. PATCH increments signal corrections and clarifications.</w:t>
      </w:r>
    </w:p>
    <w:p>
      <w:pPr>
        <w:pStyle w:val="Normal"/>
        <w:rPr/>
      </w:pPr>
      <w:r>
        <w:rPr/>
      </w:r>
      <w:r>
        <w:br w:type="page"/>
      </w:r>
    </w:p>
    <w:p>
      <w:pPr>
        <w:pStyle w:val="Heading1"/>
        <w:pBdr>
          <w:bottom w:val="single" w:sz="8" w:space="6" w:color="1A56DB"/>
        </w:pBdr>
        <w:spacing w:before="0" w:after="160"/>
        <w:rPr/>
      </w:pPr>
      <w:r>
        <w:rPr>
          <w:rFonts w:eastAsia="Arial" w:cs="Arial"/>
          <w:b/>
          <w:bCs/>
          <w:color w:val="1A56DB"/>
          <w:sz w:val="32"/>
          <w:szCs w:val="32"/>
        </w:rPr>
        <w:t>1. Purpose &amp; Scope</w:t>
      </w:r>
    </w:p>
    <w:p>
      <w:pPr>
        <w:pStyle w:val="Heading2"/>
        <w:spacing w:before="280" w:after="100"/>
        <w:rPr/>
      </w:pPr>
      <w:r>
        <w:rPr>
          <w:rFonts w:eastAsia="Arial" w:cs="Arial"/>
          <w:b/>
          <w:bCs/>
          <w:color w:val="1A1A2E"/>
          <w:sz w:val="26"/>
          <w:szCs w:val="26"/>
        </w:rPr>
        <w:t>1.1 Purpose</w:t>
      </w:r>
    </w:p>
    <w:p>
      <w:pPr>
        <w:pStyle w:val="Normal"/>
        <w:spacing w:before="60" w:after="60"/>
        <w:rPr/>
      </w:pPr>
      <w:r>
        <w:rPr>
          <w:rFonts w:eastAsia="Arial" w:cs="Arial"/>
          <w:color w:val="1A1A2E"/>
          <w:sz w:val="22"/>
          <w:szCs w:val="22"/>
        </w:rPr>
        <w:t>This Technical Design Document (TDD) defines the system architecture, service design, data models, API contracts, user flows, and infrastructure topology for ArbitrageIQ. It is the primary engineering reference document and the authoritative input to sprint planning, service development, and code review.</w:t>
      </w:r>
    </w:p>
    <w:p>
      <w:pPr>
        <w:pStyle w:val="Normal"/>
        <w:spacing w:before="0" w:after="0"/>
        <w:rPr/>
      </w:pPr>
      <w:r>
        <w:rPr/>
      </w:r>
    </w:p>
    <w:p>
      <w:pPr>
        <w:pStyle w:val="Heading2"/>
        <w:spacing w:before="280" w:after="100"/>
        <w:rPr/>
      </w:pPr>
      <w:r>
        <w:rPr>
          <w:rFonts w:eastAsia="Arial" w:cs="Arial"/>
          <w:b/>
          <w:bCs/>
          <w:color w:val="1A1A2E"/>
          <w:sz w:val="26"/>
          <w:szCs w:val="26"/>
        </w:rPr>
        <w:t>1.2 Scope</w:t>
      </w:r>
    </w:p>
    <w:p>
      <w:pPr>
        <w:pStyle w:val="Normal"/>
        <w:spacing w:before="60" w:after="60"/>
        <w:rPr/>
      </w:pPr>
      <w:r>
        <w:rPr>
          <w:rFonts w:eastAsia="Arial" w:cs="Arial"/>
          <w:color w:val="1A1A2E"/>
          <w:sz w:val="22"/>
          <w:szCs w:val="22"/>
        </w:rPr>
        <w:t>This document covers all thirteen platform services, the Event Bus topology, PostgreSQL and TimescaleDB data schema, REST API and webhook contracts, Playwright Stealth scraper architecture, infrastructure on Hetzner/k3s, CI/CD pipeline, observability stack, and technically-enriched user flows with state machines and error paths.</w:t>
      </w:r>
    </w:p>
    <w:p>
      <w:pPr>
        <w:pStyle w:val="Normal"/>
        <w:rPr/>
      </w:pPr>
      <w:r>
        <w:rPr/>
        <w:t>Out of scope for v1: native mobile applications (iOS/Android), machine-learning-based price prediction models, non-UK VAT regimes, multi-language UI localisation, wholesale or B2B retailer integrations, and real-time WebSocket deal streaming (deferred to v2).</w:t>
      </w:r>
    </w:p>
    <w:p>
      <w:pPr>
        <w:pStyle w:val="Normal"/>
        <w:spacing w:before="0" w:after="0"/>
        <w:rPr/>
      </w:pPr>
      <w:r>
        <w:rPr/>
      </w:r>
    </w:p>
    <w:p>
      <w:pPr>
        <w:pStyle w:val="Heading2"/>
        <w:spacing w:before="280" w:after="100"/>
        <w:rPr/>
      </w:pPr>
      <w:r>
        <w:rPr>
          <w:rFonts w:eastAsia="Arial" w:cs="Arial"/>
          <w:b/>
          <w:bCs/>
          <w:color w:val="1A1A2E"/>
          <w:sz w:val="26"/>
          <w:szCs w:val="26"/>
        </w:rPr>
        <w:t>1.3 Related Documents</w:t>
      </w:r>
    </w:p>
    <w:tbl>
      <w:tblPr>
        <w:tblW w:w="9360" w:type="dxa"/>
        <w:jc w:val="start"/>
        <w:tblInd w:w="0" w:type="dxa"/>
        <w:tblLayout w:type="fixed"/>
        <w:tblCellMar>
          <w:top w:w="100" w:type="dxa"/>
          <w:start w:w="140" w:type="dxa"/>
          <w:bottom w:w="100" w:type="dxa"/>
          <w:end w:w="140" w:type="dxa"/>
        </w:tblCellMar>
      </w:tblPr>
      <w:tblGrid>
        <w:gridCol w:w="2798"/>
        <w:gridCol w:w="322"/>
        <w:gridCol w:w="3120"/>
        <w:gridCol w:w="3120"/>
      </w:tblGrid>
      <w:tr>
        <w:trPr/>
        <w:tc>
          <w:tcPr>
            <w:tcW w:w="2798"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bCs/>
                <w:color w:val="1A1A2E"/>
                <w:sz w:val="19"/>
                <w:szCs w:val="19"/>
              </w:rPr>
              <w:t>PRD-ARBIQ-001 v1.0.0</w:t>
            </w:r>
          </w:p>
        </w:tc>
        <w:tc>
          <w:tcPr>
            <w:tcW w:w="6562" w:type="dxa"/>
            <w:gridSpan w:val="3"/>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Product Requirements Document — defines what the system must do and why.</w:t>
            </w:r>
          </w:p>
        </w:tc>
      </w:tr>
      <w:tr>
        <w:trPr/>
        <w:tc>
          <w:tcPr>
            <w:tcW w:w="2798"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bCs/>
                <w:color w:val="1A1A2E"/>
                <w:sz w:val="19"/>
                <w:szCs w:val="19"/>
              </w:rPr>
              <w:t>ArbitrageIQ Wireframes v0.1</w:t>
            </w:r>
          </w:p>
        </w:tc>
        <w:tc>
          <w:tcPr>
            <w:tcW w:w="6562" w:type="dxa"/>
            <w:gridSpan w:val="3"/>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FigJam board — https://www.figma.com/board/LNMMGYk6aEreXfJredvqW1</w:t>
            </w:r>
          </w:p>
        </w:tc>
      </w:tr>
      <w:tr>
        <w:trPr/>
        <w:tc>
          <w:tcPr>
            <w:tcW w:w="2798"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bCs/>
                <w:color w:val="1A1A2E"/>
                <w:sz w:val="19"/>
                <w:szCs w:val="19"/>
              </w:rPr>
              <w:t>ADR Series</w:t>
            </w:r>
          </w:p>
        </w:tc>
        <w:tc>
          <w:tcPr>
            <w:tcW w:w="6562" w:type="dxa"/>
            <w:gridSpan w:val="3"/>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Architecture Decision Records — individual design decisions with rationale (to be created alongside sprints).</w:t>
            </w:r>
          </w:p>
        </w:tc>
      </w:tr>
      <w:tr>
        <w:trPr/>
        <w:tc>
          <w:tcPr>
            <w:tcW w:w="3120" w:type="dxa"/>
            <w:gridSpan w:val="2"/>
            <w:tcBorders>
              <w:top w:val="single" w:sz="4" w:space="0" w:color="000000"/>
              <w:start w:val="single" w:sz="4" w:space="0" w:color="000000"/>
              <w:bottom w:val="single" w:sz="4" w:space="0" w:color="000000"/>
              <w:end w:val="single" w:sz="4" w:space="0" w:color="000000"/>
            </w:tcBorders>
            <w:tcMar>
              <w:top w:w="0" w:type="dxa"/>
              <w:start w:w="108" w:type="dxa"/>
              <w:bottom w:w="0" w:type="dxa"/>
              <w:end w:w="108" w:type="dxa"/>
            </w:tcMar>
          </w:tcPr>
          <w:p>
            <w:pPr>
              <w:pStyle w:val="Normal"/>
              <w:rPr/>
            </w:pPr>
            <w:r>
              <w:rPr/>
              <w:t>Dependency Scanning</w:t>
            </w:r>
          </w:p>
        </w:tc>
        <w:tc>
          <w:tcPr>
            <w:tcW w:w="3120" w:type="dxa"/>
            <w:tcBorders>
              <w:top w:val="single" w:sz="4" w:space="0" w:color="000000"/>
              <w:start w:val="single" w:sz="4" w:space="0" w:color="000000"/>
              <w:bottom w:val="single" w:sz="4" w:space="0" w:color="000000"/>
              <w:end w:val="single" w:sz="4" w:space="0" w:color="000000"/>
            </w:tcBorders>
            <w:tcMar>
              <w:top w:w="0" w:type="dxa"/>
              <w:start w:w="108" w:type="dxa"/>
              <w:bottom w:w="0" w:type="dxa"/>
              <w:end w:w="108" w:type="dxa"/>
            </w:tcMar>
          </w:tcPr>
          <w:p>
            <w:pPr>
              <w:pStyle w:val="Normal"/>
              <w:rPr/>
            </w:pPr>
            <w:r>
              <w:rPr/>
              <w:t>Dependabot + Snyk</w:t>
            </w:r>
          </w:p>
        </w:tc>
        <w:tc>
          <w:tcPr>
            <w:tcW w:w="3120" w:type="dxa"/>
            <w:tcBorders>
              <w:top w:val="single" w:sz="4" w:space="0" w:color="000000"/>
              <w:start w:val="single" w:sz="4" w:space="0" w:color="000000"/>
              <w:bottom w:val="single" w:sz="4" w:space="0" w:color="000000"/>
              <w:end w:val="single" w:sz="4" w:space="0" w:color="000000"/>
            </w:tcBorders>
            <w:tcMar>
              <w:top w:w="0" w:type="dxa"/>
              <w:start w:w="108" w:type="dxa"/>
              <w:bottom w:w="0" w:type="dxa"/>
              <w:end w:w="108" w:type="dxa"/>
            </w:tcMar>
          </w:tcPr>
          <w:p>
            <w:pPr>
              <w:pStyle w:val="Normal"/>
              <w:rPr/>
            </w:pPr>
            <w:r>
              <w:rPr/>
              <w:t>Dependabot enabled for NuGet, npm, and PyPI. Weekly digest. Snyk container scanning in CI pipeline. Critical CVEs block deployment. Moderate CVEs require engineering review within 48 hours.</w:t>
            </w:r>
          </w:p>
        </w:tc>
      </w:tr>
    </w:tbl>
    <w:p>
      <w:pPr>
        <w:pStyle w:val="Normal"/>
        <w:rPr/>
      </w:pPr>
      <w:r>
        <w:rPr/>
      </w:r>
      <w:r>
        <w:br w:type="page"/>
      </w:r>
    </w:p>
    <w:p>
      <w:pPr>
        <w:pStyle w:val="Heading1"/>
        <w:pBdr>
          <w:bottom w:val="single" w:sz="8" w:space="6" w:color="1A56DB"/>
        </w:pBdr>
        <w:spacing w:before="0" w:after="160"/>
        <w:rPr/>
      </w:pPr>
      <w:r>
        <w:rPr>
          <w:rFonts w:eastAsia="Arial" w:cs="Arial"/>
          <w:b/>
          <w:bCs/>
          <w:color w:val="1A56DB"/>
          <w:sz w:val="32"/>
          <w:szCs w:val="32"/>
        </w:rPr>
        <w:t>2. Technology Stack</w:t>
      </w:r>
    </w:p>
    <w:p>
      <w:pPr>
        <w:pStyle w:val="Heading2"/>
        <w:spacing w:before="280" w:after="100"/>
        <w:rPr/>
      </w:pPr>
      <w:r>
        <w:rPr>
          <w:rFonts w:eastAsia="Arial" w:cs="Arial"/>
          <w:b/>
          <w:bCs/>
          <w:color w:val="1A1A2E"/>
          <w:sz w:val="26"/>
          <w:szCs w:val="26"/>
        </w:rPr>
        <w:t>2.1 Language Decisions by Service</w:t>
      </w:r>
    </w:p>
    <w:p>
      <w:pPr>
        <w:pStyle w:val="Normal"/>
        <w:spacing w:before="60" w:after="60"/>
        <w:rPr/>
      </w:pPr>
      <w:r>
        <w:rPr>
          <w:rFonts w:eastAsia="Arial" w:cs="Arial"/>
          <w:color w:val="1A1A2E"/>
          <w:sz w:val="22"/>
          <w:szCs w:val="22"/>
        </w:rPr>
        <w:t>ArbitrageIQ is a C#-first platform with Python isolated to the Catalogue scoring jobs. This decision prioritises team coherence, strong .NET ecosystem tooling, and excellent async performance across all HTTP and Event Bus workloads.</w:t>
      </w:r>
    </w:p>
    <w:p>
      <w:pPr>
        <w:pStyle w:val="Normal"/>
        <w:spacing w:before="0" w:after="0"/>
        <w:rPr/>
      </w:pPr>
      <w:r>
        <w:rPr/>
      </w:r>
    </w:p>
    <w:tbl>
      <w:tblPr>
        <w:tblW w:w="9360" w:type="dxa"/>
        <w:jc w:val="start"/>
        <w:tblInd w:w="0" w:type="dxa"/>
        <w:tblLayout w:type="fixed"/>
        <w:tblCellMar>
          <w:top w:w="100" w:type="dxa"/>
          <w:start w:w="140" w:type="dxa"/>
          <w:bottom w:w="100" w:type="dxa"/>
          <w:end w:w="140" w:type="dxa"/>
        </w:tblCellMar>
      </w:tblPr>
      <w:tblGrid>
        <w:gridCol w:w="2198"/>
        <w:gridCol w:w="1602"/>
        <w:gridCol w:w="2760"/>
        <w:gridCol w:w="2800"/>
      </w:tblGrid>
      <w:tr>
        <w:trPr>
          <w:tblHeader w:val="true"/>
        </w:trPr>
        <w:tc>
          <w:tcPr>
            <w:tcW w:w="2198" w:type="dxa"/>
            <w:tcBorders>
              <w:top w:val="single" w:sz="2" w:space="0" w:color="1A56DB"/>
              <w:start w:val="single" w:sz="2" w:space="0" w:color="1A56DB"/>
              <w:bottom w:val="single" w:sz="2" w:space="0" w:color="1A56DB"/>
              <w:end w:val="single" w:sz="2" w:space="0" w:color="1A56DB"/>
            </w:tcBorders>
            <w:shd w:fill="1A56DB" w:val="clear"/>
            <w:vAlign w:val="center"/>
          </w:tcPr>
          <w:p>
            <w:pPr>
              <w:pStyle w:val="Normal"/>
              <w:jc w:val="center"/>
              <w:rPr/>
            </w:pPr>
            <w:r>
              <w:rPr>
                <w:rFonts w:eastAsia="Arial" w:cs="Arial"/>
                <w:b/>
                <w:bCs/>
                <w:color w:val="FFFFFF"/>
                <w:sz w:val="19"/>
                <w:szCs w:val="19"/>
              </w:rPr>
              <w:t>Service</w:t>
            </w:r>
          </w:p>
        </w:tc>
        <w:tc>
          <w:tcPr>
            <w:tcW w:w="1602" w:type="dxa"/>
            <w:tcBorders>
              <w:top w:val="single" w:sz="2" w:space="0" w:color="1A56DB"/>
              <w:start w:val="single" w:sz="2" w:space="0" w:color="1A56DB"/>
              <w:bottom w:val="single" w:sz="2" w:space="0" w:color="1A56DB"/>
              <w:end w:val="single" w:sz="2" w:space="0" w:color="1A56DB"/>
            </w:tcBorders>
            <w:shd w:fill="1A56DB" w:val="clear"/>
            <w:vAlign w:val="center"/>
          </w:tcPr>
          <w:p>
            <w:pPr>
              <w:pStyle w:val="Normal"/>
              <w:jc w:val="center"/>
              <w:rPr/>
            </w:pPr>
            <w:r>
              <w:rPr>
                <w:rFonts w:eastAsia="Arial" w:cs="Arial"/>
                <w:b/>
                <w:bCs/>
                <w:color w:val="FFFFFF"/>
                <w:sz w:val="19"/>
                <w:szCs w:val="19"/>
              </w:rPr>
              <w:t>Language / Runtime</w:t>
            </w:r>
          </w:p>
        </w:tc>
        <w:tc>
          <w:tcPr>
            <w:tcW w:w="2760" w:type="dxa"/>
            <w:tcBorders>
              <w:top w:val="single" w:sz="2" w:space="0" w:color="1A56DB"/>
              <w:start w:val="single" w:sz="2" w:space="0" w:color="1A56DB"/>
              <w:bottom w:val="single" w:sz="2" w:space="0" w:color="1A56DB"/>
              <w:end w:val="single" w:sz="2" w:space="0" w:color="1A56DB"/>
            </w:tcBorders>
            <w:shd w:fill="1A56DB" w:val="clear"/>
            <w:vAlign w:val="center"/>
          </w:tcPr>
          <w:p>
            <w:pPr>
              <w:pStyle w:val="Normal"/>
              <w:jc w:val="center"/>
              <w:rPr/>
            </w:pPr>
            <w:r>
              <w:rPr>
                <w:rFonts w:eastAsia="Arial" w:cs="Arial"/>
                <w:b/>
                <w:bCs/>
                <w:color w:val="FFFFFF"/>
                <w:sz w:val="19"/>
                <w:szCs w:val="19"/>
              </w:rPr>
              <w:t>Framework / Key Libraries</w:t>
            </w:r>
          </w:p>
        </w:tc>
        <w:tc>
          <w:tcPr>
            <w:tcW w:w="2800" w:type="dxa"/>
            <w:tcBorders>
              <w:top w:val="single" w:sz="2" w:space="0" w:color="1A56DB"/>
              <w:start w:val="single" w:sz="2" w:space="0" w:color="1A56DB"/>
              <w:bottom w:val="single" w:sz="2" w:space="0" w:color="1A56DB"/>
              <w:end w:val="single" w:sz="2" w:space="0" w:color="1A56DB"/>
            </w:tcBorders>
            <w:shd w:fill="1A56DB" w:val="clear"/>
            <w:vAlign w:val="center"/>
          </w:tcPr>
          <w:p>
            <w:pPr>
              <w:pStyle w:val="Normal"/>
              <w:jc w:val="center"/>
              <w:rPr/>
            </w:pPr>
            <w:r>
              <w:rPr>
                <w:rFonts w:eastAsia="Arial" w:cs="Arial"/>
                <w:b/>
                <w:bCs/>
                <w:color w:val="FFFFFF"/>
                <w:sz w:val="19"/>
                <w:szCs w:val="19"/>
              </w:rPr>
              <w:t>Rationale</w:t>
            </w:r>
          </w:p>
        </w:tc>
      </w:tr>
      <w:tr>
        <w:trPr/>
        <w:tc>
          <w:tcPr>
            <w:tcW w:w="2198"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bCs/>
                <w:color w:val="1A1A2E"/>
                <w:sz w:val="19"/>
                <w:szCs w:val="19"/>
              </w:rPr>
              <w:t>API Gateway</w:t>
            </w:r>
          </w:p>
        </w:tc>
        <w:tc>
          <w:tcPr>
            <w:tcW w:w="1602"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C# / .NET 10</w:t>
            </w:r>
          </w:p>
        </w:tc>
        <w:tc>
          <w:tcPr>
            <w:tcW w:w="276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YARP (Yet Another Reverse Proxy)</w:t>
            </w:r>
          </w:p>
        </w:tc>
        <w:tc>
          <w:tcPr>
            <w:tcW w:w="28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Native .NET reverse proxy; first-class auth middleware, rate limiting, and request routing without external dependency.</w:t>
            </w:r>
          </w:p>
        </w:tc>
      </w:tr>
      <w:tr>
        <w:trPr/>
        <w:tc>
          <w:tcPr>
            <w:tcW w:w="2198"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bCs/>
                <w:color w:val="1A1A2E"/>
                <w:sz w:val="19"/>
                <w:szCs w:val="19"/>
              </w:rPr>
              <w:t>Ingestion Service</w:t>
            </w:r>
          </w:p>
        </w:tc>
        <w:tc>
          <w:tcPr>
            <w:tcW w:w="1602"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C# / .NET 10</w:t>
            </w:r>
          </w:p>
        </w:tc>
        <w:tc>
          <w:tcPr>
            <w:tcW w:w="276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Playwright .NET, HttpClientFactory, Polly</w:t>
            </w:r>
          </w:p>
        </w:tc>
        <w:tc>
          <w:tcPr>
            <w:tcW w:w="28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Playwright .NET bindings; Polly for circuit breakers and retry policies.</w:t>
            </w:r>
          </w:p>
        </w:tc>
      </w:tr>
      <w:tr>
        <w:trPr/>
        <w:tc>
          <w:tcPr>
            <w:tcW w:w="2198"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bCs/>
                <w:color w:val="1A1A2E"/>
                <w:sz w:val="19"/>
                <w:szCs w:val="19"/>
              </w:rPr>
              <w:t>Opportunity Engine</w:t>
            </w:r>
          </w:p>
        </w:tc>
        <w:tc>
          <w:tcPr>
            <w:tcW w:w="1602"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C# / .NET 10</w:t>
            </w:r>
          </w:p>
        </w:tc>
        <w:tc>
          <w:tcPr>
            <w:tcW w:w="276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Redis Streams consumer, custom margin engine</w:t>
            </w:r>
          </w:p>
        </w:tc>
        <w:tc>
          <w:tcPr>
            <w:tcW w:w="28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Event-driven stream consumer; high-throughput margin calculation with minimal allocation.</w:t>
            </w:r>
          </w:p>
        </w:tc>
      </w:tr>
      <w:tr>
        <w:trPr/>
        <w:tc>
          <w:tcPr>
            <w:tcW w:w="2198"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bCs/>
                <w:color w:val="1A1A2E"/>
                <w:sz w:val="19"/>
                <w:szCs w:val="19"/>
              </w:rPr>
              <w:t>Catalogue Service (API)</w:t>
            </w:r>
          </w:p>
        </w:tc>
        <w:tc>
          <w:tcPr>
            <w:tcW w:w="1602"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C# / .NET 10</w:t>
            </w:r>
          </w:p>
        </w:tc>
        <w:tc>
          <w:tcPr>
            <w:tcW w:w="276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ASP.NET Core, EF Core, TimescaleDB</w:t>
            </w:r>
          </w:p>
        </w:tc>
        <w:tc>
          <w:tcPr>
            <w:tcW w:w="28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REST API over PostgreSQL + TimescaleDB for SKU price history hypertables.</w:t>
            </w:r>
          </w:p>
        </w:tc>
      </w:tr>
      <w:tr>
        <w:trPr/>
        <w:tc>
          <w:tcPr>
            <w:tcW w:w="2198"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bCs/>
                <w:color w:val="1A1A2E"/>
                <w:sz w:val="19"/>
                <w:szCs w:val="19"/>
              </w:rPr>
              <w:t>Catalogue Scoring Jobs</w:t>
            </w:r>
          </w:p>
        </w:tc>
        <w:tc>
          <w:tcPr>
            <w:tcW w:w="1602"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Python 3.12</w:t>
            </w:r>
          </w:p>
        </w:tc>
        <w:tc>
          <w:tcPr>
            <w:tcW w:w="276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pandas, scipy, numpy, psycopg2</w:t>
            </w:r>
          </w:p>
        </w:tc>
        <w:tc>
          <w:tcPr>
            <w:tcW w:w="28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Nightly batch scoring; pandas for time-series aggregation, scipy for log normalisation.</w:t>
            </w:r>
          </w:p>
        </w:tc>
      </w:tr>
      <w:tr>
        <w:trPr/>
        <w:tc>
          <w:tcPr>
            <w:tcW w:w="2198"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bCs/>
                <w:color w:val="1A1A2E"/>
                <w:sz w:val="19"/>
                <w:szCs w:val="19"/>
              </w:rPr>
              <w:t>Jobs Service</w:t>
            </w:r>
          </w:p>
        </w:tc>
        <w:tc>
          <w:tcPr>
            <w:tcW w:w="1602"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C# / .NET 10</w:t>
            </w:r>
          </w:p>
        </w:tc>
        <w:tc>
          <w:tcPr>
            <w:tcW w:w="276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Hangfire (PostgreSQL backend)</w:t>
            </w:r>
          </w:p>
        </w:tc>
        <w:tc>
          <w:tcPr>
            <w:tcW w:w="28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Durable job scheduling with retry, dead-letter, and dashboard built on PostgreSQL.</w:t>
            </w:r>
          </w:p>
        </w:tc>
      </w:tr>
      <w:tr>
        <w:trPr/>
        <w:tc>
          <w:tcPr>
            <w:tcW w:w="2198"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bCs/>
                <w:color w:val="1A1A2E"/>
                <w:sz w:val="19"/>
                <w:szCs w:val="19"/>
              </w:rPr>
              <w:t>Approvals Service</w:t>
            </w:r>
          </w:p>
        </w:tc>
        <w:tc>
          <w:tcPr>
            <w:tcW w:w="1602"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C# / .NET 10</w:t>
            </w:r>
          </w:p>
        </w:tc>
        <w:tc>
          <w:tcPr>
            <w:tcW w:w="276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ASP.NET Core, EF Core</w:t>
            </w:r>
          </w:p>
        </w:tc>
        <w:tc>
          <w:tcPr>
            <w:tcW w:w="28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Manages approval queue state machine; orchestrates Credential Vault and listing workflows.</w:t>
            </w:r>
          </w:p>
        </w:tc>
      </w:tr>
      <w:tr>
        <w:trPr/>
        <w:tc>
          <w:tcPr>
            <w:tcW w:w="2198"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bCs/>
                <w:color w:val="1A1A2E"/>
                <w:sz w:val="19"/>
                <w:szCs w:val="19"/>
              </w:rPr>
              <w:t>Credential Vault Service</w:t>
            </w:r>
          </w:p>
        </w:tc>
        <w:tc>
          <w:tcPr>
            <w:tcW w:w="1602"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C# / .NET 10</w:t>
            </w:r>
          </w:p>
        </w:tc>
        <w:tc>
          <w:tcPr>
            <w:tcW w:w="276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ASP.NET Core, AES-256-GCM, EF Core</w:t>
            </w:r>
          </w:p>
        </w:tc>
        <w:tc>
          <w:tcPr>
            <w:tcW w:w="28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Isolated security boundary; AES-256-GCM encryption with Kubernetes secret key management.</w:t>
            </w:r>
          </w:p>
        </w:tc>
      </w:tr>
      <w:tr>
        <w:trPr/>
        <w:tc>
          <w:tcPr>
            <w:tcW w:w="2198"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bCs/>
                <w:color w:val="1A1A2E"/>
                <w:sz w:val="19"/>
                <w:szCs w:val="19"/>
              </w:rPr>
              <w:t>Notification Service</w:t>
            </w:r>
          </w:p>
        </w:tc>
        <w:tc>
          <w:tcPr>
            <w:tcW w:w="1602"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C# / .NET 10</w:t>
            </w:r>
          </w:p>
        </w:tc>
        <w:tc>
          <w:tcPr>
            <w:tcW w:w="276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ASP.NET Core, SendGrid SDK, WebPush .NET</w:t>
            </w:r>
          </w:p>
        </w:tc>
        <w:tc>
          <w:tcPr>
            <w:tcW w:w="28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Fan-out to email and Web Push (VAPID); Redis Streams consumer.</w:t>
            </w:r>
          </w:p>
        </w:tc>
      </w:tr>
      <w:tr>
        <w:trPr/>
        <w:tc>
          <w:tcPr>
            <w:tcW w:w="2198"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bCs/>
                <w:color w:val="1A1A2E"/>
                <w:sz w:val="19"/>
                <w:szCs w:val="19"/>
              </w:rPr>
              <w:t>History Service</w:t>
            </w:r>
          </w:p>
        </w:tc>
        <w:tc>
          <w:tcPr>
            <w:tcW w:w="1602"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C# / .NET 10</w:t>
            </w:r>
          </w:p>
        </w:tc>
        <w:tc>
          <w:tcPr>
            <w:tcW w:w="276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ASP.NET Core, EF Core, append-only pattern</w:t>
            </w:r>
          </w:p>
        </w:tc>
        <w:tc>
          <w:tcPr>
            <w:tcW w:w="28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Write-optimised append-only store; no updates, only inserts.</w:t>
            </w:r>
          </w:p>
        </w:tc>
      </w:tr>
      <w:tr>
        <w:trPr/>
        <w:tc>
          <w:tcPr>
            <w:tcW w:w="2198"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bCs/>
                <w:color w:val="1A1A2E"/>
                <w:sz w:val="19"/>
                <w:szCs w:val="19"/>
              </w:rPr>
              <w:t>Analytics Service</w:t>
            </w:r>
          </w:p>
        </w:tc>
        <w:tc>
          <w:tcPr>
            <w:tcW w:w="1602"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C# / .NET 10</w:t>
            </w:r>
          </w:p>
        </w:tc>
        <w:tc>
          <w:tcPr>
            <w:tcW w:w="276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ASP.NET Core, EF Core, read replica</w:t>
            </w:r>
          </w:p>
        </w:tc>
        <w:tc>
          <w:tcPr>
            <w:tcW w:w="28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Query layer over History read replica; LINQ-based aggregations.</w:t>
            </w:r>
          </w:p>
        </w:tc>
      </w:tr>
      <w:tr>
        <w:trPr/>
        <w:tc>
          <w:tcPr>
            <w:tcW w:w="2198"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bCs/>
                <w:color w:val="1A1A2E"/>
                <w:sz w:val="19"/>
                <w:szCs w:val="19"/>
              </w:rPr>
              <w:t>Identity Service</w:t>
            </w:r>
          </w:p>
        </w:tc>
        <w:tc>
          <w:tcPr>
            <w:tcW w:w="1602"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C# / .NET 10</w:t>
            </w:r>
          </w:p>
        </w:tc>
        <w:tc>
          <w:tcPr>
            <w:tcW w:w="276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ASP.NET Core Identity, JWT Bearer, TOTP</w:t>
            </w:r>
          </w:p>
        </w:tc>
        <w:tc>
          <w:tcPr>
            <w:tcW w:w="28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JWT issuance, Argon2id hashing, TOTP/email OTP MFA.</w:t>
            </w:r>
          </w:p>
        </w:tc>
      </w:tr>
      <w:tr>
        <w:trPr/>
        <w:tc>
          <w:tcPr>
            <w:tcW w:w="2198"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bCs/>
                <w:color w:val="1A1A2E"/>
                <w:sz w:val="19"/>
                <w:szCs w:val="19"/>
              </w:rPr>
              <w:t>Billing Service</w:t>
            </w:r>
          </w:p>
        </w:tc>
        <w:tc>
          <w:tcPr>
            <w:tcW w:w="1602"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C# / .NET 10</w:t>
            </w:r>
          </w:p>
        </w:tc>
        <w:tc>
          <w:tcPr>
            <w:tcW w:w="276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ASP.NET Core, Stripe.net SDK</w:t>
            </w:r>
          </w:p>
        </w:tc>
        <w:tc>
          <w:tcPr>
            <w:tcW w:w="28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Stripe webhook consumer; subscription lifecycle and plan entitlement enforcement.</w:t>
            </w:r>
          </w:p>
        </w:tc>
      </w:tr>
    </w:tbl>
    <w:p>
      <w:pPr>
        <w:pStyle w:val="Normal"/>
        <w:spacing w:before="0" w:after="0"/>
        <w:rPr/>
      </w:pPr>
      <w:r>
        <w:rPr/>
      </w:r>
    </w:p>
    <w:p>
      <w:pPr>
        <w:pStyle w:val="Heading2"/>
        <w:spacing w:before="280" w:after="100"/>
        <w:rPr/>
      </w:pPr>
      <w:r>
        <w:rPr>
          <w:rFonts w:eastAsia="Arial" w:cs="Arial"/>
          <w:b/>
          <w:bCs/>
          <w:color w:val="1A1A2E"/>
          <w:sz w:val="26"/>
          <w:szCs w:val="26"/>
        </w:rPr>
        <w:t>2.2 Shared Infrastructure</w:t>
      </w:r>
    </w:p>
    <w:tbl>
      <w:tblPr>
        <w:tblW w:w="9360" w:type="dxa"/>
        <w:jc w:val="start"/>
        <w:tblInd w:w="0" w:type="dxa"/>
        <w:tblLayout w:type="fixed"/>
        <w:tblCellMar>
          <w:top w:w="100" w:type="dxa"/>
          <w:start w:w="140" w:type="dxa"/>
          <w:bottom w:w="100" w:type="dxa"/>
          <w:end w:w="140" w:type="dxa"/>
        </w:tblCellMar>
      </w:tblPr>
      <w:tblGrid>
        <w:gridCol w:w="2398"/>
        <w:gridCol w:w="3362"/>
        <w:gridCol w:w="3600"/>
      </w:tblGrid>
      <w:tr>
        <w:trPr>
          <w:tblHeader w:val="true"/>
        </w:trPr>
        <w:tc>
          <w:tcPr>
            <w:tcW w:w="2398" w:type="dxa"/>
            <w:tcBorders>
              <w:top w:val="single" w:sz="2" w:space="0" w:color="1A56DB"/>
              <w:start w:val="single" w:sz="2" w:space="0" w:color="1A56DB"/>
              <w:bottom w:val="single" w:sz="2" w:space="0" w:color="1A56DB"/>
              <w:end w:val="single" w:sz="2" w:space="0" w:color="1A56DB"/>
            </w:tcBorders>
            <w:shd w:fill="1A56DB" w:val="clear"/>
            <w:vAlign w:val="center"/>
          </w:tcPr>
          <w:p>
            <w:pPr>
              <w:pStyle w:val="Normal"/>
              <w:jc w:val="center"/>
              <w:rPr/>
            </w:pPr>
            <w:r>
              <w:rPr>
                <w:rFonts w:eastAsia="Arial" w:cs="Arial"/>
                <w:b/>
                <w:bCs/>
                <w:color w:val="FFFFFF"/>
                <w:sz w:val="19"/>
                <w:szCs w:val="19"/>
              </w:rPr>
              <w:t>Component</w:t>
            </w:r>
          </w:p>
        </w:tc>
        <w:tc>
          <w:tcPr>
            <w:tcW w:w="3362" w:type="dxa"/>
            <w:tcBorders>
              <w:top w:val="single" w:sz="2" w:space="0" w:color="1A56DB"/>
              <w:start w:val="single" w:sz="2" w:space="0" w:color="1A56DB"/>
              <w:bottom w:val="single" w:sz="2" w:space="0" w:color="1A56DB"/>
              <w:end w:val="single" w:sz="2" w:space="0" w:color="1A56DB"/>
            </w:tcBorders>
            <w:shd w:fill="1A56DB" w:val="clear"/>
            <w:vAlign w:val="center"/>
          </w:tcPr>
          <w:p>
            <w:pPr>
              <w:pStyle w:val="Normal"/>
              <w:jc w:val="center"/>
              <w:rPr/>
            </w:pPr>
            <w:r>
              <w:rPr>
                <w:rFonts w:eastAsia="Arial" w:cs="Arial"/>
                <w:b/>
                <w:bCs/>
                <w:color w:val="FFFFFF"/>
                <w:sz w:val="19"/>
                <w:szCs w:val="19"/>
              </w:rPr>
              <w:t>Technology</w:t>
            </w:r>
          </w:p>
        </w:tc>
        <w:tc>
          <w:tcPr>
            <w:tcW w:w="3600" w:type="dxa"/>
            <w:tcBorders>
              <w:top w:val="single" w:sz="2" w:space="0" w:color="1A56DB"/>
              <w:start w:val="single" w:sz="2" w:space="0" w:color="1A56DB"/>
              <w:bottom w:val="single" w:sz="2" w:space="0" w:color="1A56DB"/>
              <w:end w:val="single" w:sz="2" w:space="0" w:color="1A56DB"/>
            </w:tcBorders>
            <w:shd w:fill="1A56DB" w:val="clear"/>
            <w:vAlign w:val="center"/>
          </w:tcPr>
          <w:p>
            <w:pPr>
              <w:pStyle w:val="Normal"/>
              <w:jc w:val="center"/>
              <w:rPr/>
            </w:pPr>
            <w:r>
              <w:rPr>
                <w:rFonts w:eastAsia="Arial" w:cs="Arial"/>
                <w:b/>
                <w:bCs/>
                <w:color w:val="FFFFFF"/>
                <w:sz w:val="19"/>
                <w:szCs w:val="19"/>
              </w:rPr>
              <w:t>Version / Notes</w:t>
            </w:r>
          </w:p>
        </w:tc>
      </w:tr>
      <w:tr>
        <w:trPr/>
        <w:tc>
          <w:tcPr>
            <w:tcW w:w="2398"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bCs/>
                <w:color w:val="1A1A2E"/>
                <w:sz w:val="19"/>
                <w:szCs w:val="19"/>
              </w:rPr>
              <w:t>Event Bus</w:t>
            </w:r>
          </w:p>
        </w:tc>
        <w:tc>
          <w:tcPr>
            <w:tcW w:w="3362"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Redis Streams</w:t>
            </w:r>
          </w:p>
        </w:tc>
        <w:tc>
          <w:tcPr>
            <w:tcW w:w="36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Redis 7.x. All async inter-service communication. Migration path to Kafka at &gt;50k events/day.</w:t>
            </w:r>
          </w:p>
        </w:tc>
      </w:tr>
      <w:tr>
        <w:trPr/>
        <w:tc>
          <w:tcPr>
            <w:tcW w:w="2398"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bCs/>
                <w:color w:val="1A1A2E"/>
                <w:sz w:val="19"/>
                <w:szCs w:val="19"/>
              </w:rPr>
              <w:t>Job Queue</w:t>
            </w:r>
          </w:p>
        </w:tc>
        <w:tc>
          <w:tcPr>
            <w:tcW w:w="3362"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Hangfire on PostgreSQL</w:t>
            </w:r>
          </w:p>
        </w:tc>
        <w:tc>
          <w:tcPr>
            <w:tcW w:w="36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Persistent, durable. Replaces BullMQ (Node.js-specific). Dashboard at /hangfire (internal only).</w:t>
            </w:r>
          </w:p>
        </w:tc>
      </w:tr>
      <w:tr>
        <w:trPr/>
        <w:tc>
          <w:tcPr>
            <w:tcW w:w="2398"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bCs/>
                <w:color w:val="1A1A2E"/>
                <w:sz w:val="19"/>
                <w:szCs w:val="19"/>
              </w:rPr>
              <w:t>Primary Database</w:t>
            </w:r>
          </w:p>
        </w:tc>
        <w:tc>
          <w:tcPr>
            <w:tcW w:w="3362"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PostgreSQL 16</w:t>
            </w:r>
          </w:p>
        </w:tc>
        <w:tc>
          <w:tcPr>
            <w:tcW w:w="36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Shared cluster; each service has its own schema and connection pool. Row-level security enforced.</w:t>
            </w:r>
          </w:p>
        </w:tc>
      </w:tr>
      <w:tr>
        <w:trPr/>
        <w:tc>
          <w:tcPr>
            <w:tcW w:w="2398"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bCs/>
                <w:color w:val="1A1A2E"/>
                <w:sz w:val="19"/>
                <w:szCs w:val="19"/>
              </w:rPr>
              <w:t>Time-Series Extension</w:t>
            </w:r>
          </w:p>
        </w:tc>
        <w:tc>
          <w:tcPr>
            <w:tcW w:w="3362"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TimescaleDB 2.x</w:t>
            </w:r>
          </w:p>
        </w:tc>
        <w:tc>
          <w:tcPr>
            <w:tcW w:w="36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PostgreSQL extension on same cluster. Hypertables for price_events and deal_events tables.</w:t>
            </w:r>
          </w:p>
        </w:tc>
      </w:tr>
      <w:tr>
        <w:trPr/>
        <w:tc>
          <w:tcPr>
            <w:tcW w:w="2398"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bCs/>
                <w:color w:val="1A1A2E"/>
                <w:sz w:val="19"/>
                <w:szCs w:val="19"/>
              </w:rPr>
              <w:t>Cache / Session</w:t>
            </w:r>
          </w:p>
        </w:tc>
        <w:tc>
          <w:tcPr>
            <w:tcW w:w="3362"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Redis 7.x</w:t>
            </w:r>
          </w:p>
        </w:tc>
        <w:tc>
          <w:tcPr>
            <w:tcW w:w="36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Separate logical database from Streams. JWT session cache, rate limit counters.</w:t>
            </w:r>
          </w:p>
        </w:tc>
      </w:tr>
      <w:tr>
        <w:trPr/>
        <w:tc>
          <w:tcPr>
            <w:tcW w:w="2398"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bCs/>
                <w:color w:val="1A1A2E"/>
                <w:sz w:val="19"/>
                <w:szCs w:val="19"/>
              </w:rPr>
              <w:t>Container Runtime</w:t>
            </w:r>
          </w:p>
        </w:tc>
        <w:tc>
          <w:tcPr>
            <w:tcW w:w="3362"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Docker + k3s (Kubernetes)</w:t>
            </w:r>
          </w:p>
        </w:tc>
        <w:tc>
          <w:tcPr>
            <w:tcW w:w="36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Hetzner Cloud. Each service is an independent container. Horizontal Pod Autoscaler per service.</w:t>
            </w:r>
          </w:p>
        </w:tc>
      </w:tr>
      <w:tr>
        <w:trPr/>
        <w:tc>
          <w:tcPr>
            <w:tcW w:w="2398"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bCs/>
                <w:color w:val="1A1A2E"/>
                <w:sz w:val="19"/>
                <w:szCs w:val="19"/>
              </w:rPr>
              <w:t>Service Mesh</w:t>
            </w:r>
          </w:p>
        </w:tc>
        <w:tc>
          <w:tcPr>
            <w:tcW w:w="3362"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None (v1)</w:t>
            </w:r>
          </w:p>
        </w:tc>
        <w:tc>
          <w:tcPr>
            <w:tcW w:w="36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Direct pod-to-pod HTTP for sync calls. Consider Linkerd at v2 if observability gaps emerge.</w:t>
            </w:r>
          </w:p>
        </w:tc>
      </w:tr>
      <w:tr>
        <w:trPr/>
        <w:tc>
          <w:tcPr>
            <w:tcW w:w="2398"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bCs/>
                <w:color w:val="1A1A2E"/>
                <w:sz w:val="19"/>
                <w:szCs w:val="19"/>
              </w:rPr>
              <w:t>Frontend</w:t>
            </w:r>
          </w:p>
        </w:tc>
        <w:tc>
          <w:tcPr>
            <w:tcW w:w="3362"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React 19 + Next.js</w:t>
            </w:r>
          </w:p>
        </w:tc>
        <w:tc>
          <w:tcPr>
            <w:tcW w:w="36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TypeScript. Next.js App Router. shadcn/ui + Tailwind CSS. PWA with Service Worker for Web Push. Next.js replaces Vite; App Router provides server components, streaming, and built-in API routes.</w:t>
            </w:r>
          </w:p>
        </w:tc>
      </w:tr>
      <w:tr>
        <w:trPr/>
        <w:tc>
          <w:tcPr>
            <w:tcW w:w="2398"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bCs/>
                <w:color w:val="1A1A2E"/>
                <w:sz w:val="19"/>
                <w:szCs w:val="19"/>
              </w:rPr>
              <w:t>CDN / Edge</w:t>
            </w:r>
          </w:p>
        </w:tc>
        <w:tc>
          <w:tcPr>
            <w:tcW w:w="3362"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Cloudflare</w:t>
            </w:r>
          </w:p>
        </w:tc>
        <w:tc>
          <w:tcPr>
            <w:tcW w:w="36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DNS, DDoS protection, static asset caching. No Cloudflare Workers in v1.</w:t>
            </w:r>
          </w:p>
        </w:tc>
      </w:tr>
      <w:tr>
        <w:trPr/>
        <w:tc>
          <w:tcPr>
            <w:tcW w:w="2398"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bCs/>
                <w:color w:val="1A1A2E"/>
                <w:sz w:val="19"/>
                <w:szCs w:val="19"/>
              </w:rPr>
              <w:t>Secret Management</w:t>
            </w:r>
          </w:p>
        </w:tc>
        <w:tc>
          <w:tcPr>
            <w:tcW w:w="3362"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Kubernetes Secrets (encrypted at rest)</w:t>
            </w:r>
          </w:p>
        </w:tc>
        <w:tc>
          <w:tcPr>
            <w:tcW w:w="36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Hybrid ML-KEM-768 + X25519 key encapsulation for OAuth JWTs (NIST FIPS 203). AES-256-GCM for data encryption. Recipient key pairs stored as Kubernetes Secrets with cluster-level AES-CBC encryption at rest.</w:t>
            </w:r>
          </w:p>
        </w:tc>
      </w:tr>
      <w:tr>
        <w:trPr/>
        <w:tc>
          <w:tcPr>
            <w:tcW w:w="2398"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bCs/>
                <w:color w:val="1A1A2E"/>
                <w:sz w:val="19"/>
                <w:szCs w:val="19"/>
              </w:rPr>
              <w:t>Observability</w:t>
            </w:r>
          </w:p>
        </w:tc>
        <w:tc>
          <w:tcPr>
            <w:tcW w:w="3362"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.NET Aspire Dashboard (standalone)</w:t>
            </w:r>
          </w:p>
        </w:tc>
        <w:tc>
          <w:tcPr>
            <w:tcW w:w="36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.NET Aspire Dashboard in standalone mode provides unified logging, metrics, and distributed tracing via the OpenTelemetry Protocol (OTLP). All C# services emit structured logs, metrics, and traces to the Aspire Dashboard OTLP endpoint. No separate Grafana, Prometheus, Loki, or Tempo instances required.</w:t>
            </w:r>
          </w:p>
        </w:tc>
      </w:tr>
      <w:tr>
        <w:trPr/>
        <w:tc>
          <w:tcPr>
            <w:tcW w:w="2398"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bCs/>
                <w:color w:val="1A1A2E"/>
                <w:sz w:val="19"/>
                <w:szCs w:val="19"/>
              </w:rPr>
              <w:t>CI / CD</w:t>
            </w:r>
          </w:p>
        </w:tc>
        <w:tc>
          <w:tcPr>
            <w:tcW w:w="3362"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GitHub Actions</w:t>
            </w:r>
          </w:p>
        </w:tc>
        <w:tc>
          <w:tcPr>
            <w:tcW w:w="36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GitHub Actions for build, test, static analysis, container image build/push, and deployment to k3s via kubectl. Staging and production deploy jobs are separate workflows with a manual approval gate on production. No manual production deploys outside the pipeline.</w:t>
            </w:r>
          </w:p>
        </w:tc>
      </w:tr>
    </w:tbl>
    <w:p>
      <w:pPr>
        <w:pStyle w:val="Normal"/>
        <w:rPr/>
      </w:pPr>
      <w:r>
        <w:rPr/>
      </w:r>
      <w:r>
        <w:br w:type="page"/>
      </w:r>
    </w:p>
    <w:p>
      <w:pPr>
        <w:pStyle w:val="Heading1"/>
        <w:pBdr>
          <w:bottom w:val="single" w:sz="8" w:space="6" w:color="1A56DB"/>
        </w:pBdr>
        <w:spacing w:before="0" w:after="160"/>
        <w:rPr/>
      </w:pPr>
      <w:r>
        <w:rPr>
          <w:rFonts w:eastAsia="Arial" w:cs="Arial"/>
          <w:b/>
          <w:bCs/>
          <w:color w:val="1A56DB"/>
          <w:sz w:val="32"/>
          <w:szCs w:val="32"/>
        </w:rPr>
        <w:t>3. System Architecture</w:t>
      </w:r>
    </w:p>
    <w:p>
      <w:pPr>
        <w:pStyle w:val="Heading2"/>
        <w:spacing w:before="280" w:after="100"/>
        <w:rPr/>
      </w:pPr>
      <w:r>
        <w:rPr>
          <w:rFonts w:eastAsia="Arial" w:cs="Arial"/>
          <w:b/>
          <w:bCs/>
          <w:color w:val="1A1A2E"/>
          <w:sz w:val="26"/>
          <w:szCs w:val="26"/>
        </w:rPr>
        <w:t>3.1 Architecture Overview</w:t>
      </w:r>
    </w:p>
    <w:p>
      <w:pPr>
        <w:pStyle w:val="Normal"/>
        <w:rPr/>
      </w:pPr>
      <w:r>
        <w:rPr/>
        <w:t>Critical-path sequence — Deal Discovery (happy path):</w:t>
      </w:r>
    </w:p>
    <w:p>
      <w:pPr>
        <w:pStyle w:val="Normal"/>
        <w:rPr/>
      </w:pPr>
      <w:r>
        <w:rPr/>
        <w:t>Jobs Service   →  [job.fired]   →   Ingestion Service Ingestion      →  [price.ingested]  →  Opportunity Engine Opportunity    →  [deal.surfaced]   →  Notification Service Notification   →  (in-app / email / push)  →  User</w:t>
      </w:r>
    </w:p>
    <w:p>
      <w:pPr>
        <w:pStyle w:val="Normal"/>
        <w:spacing w:before="60" w:after="60"/>
        <w:rPr/>
      </w:pPr>
      <w:r>
        <w:rPr>
          <w:rFonts w:eastAsia="Arial" w:cs="Arial"/>
          <w:color w:val="1A1A2E"/>
          <w:sz w:val="22"/>
          <w:szCs w:val="22"/>
        </w:rPr>
        <w:t>ArbitrageIQ is a microservices platform deployed on Hetzner Cloud running k3s. Non-Functional Requirement identifiers (NFR-P1 through NFR-C1) from PRD-ARBIQ-001 Section 6 are referenced throughout this section in square brackets where engineering implementation decisions directly satisfy a stated NFR. All thirteen services are independently deployable containers communicating asynchronously via Redis Streams (Event Bus) for domain events and synchronously via direct HTTP for request/response interactions within the Approvals flow and the Credential Vault. External traffic enters exclusively through the YARP API Gateway.</w:t>
      </w:r>
    </w:p>
    <w:p>
      <w:pPr>
        <w:pStyle w:val="Normal"/>
        <w:spacing w:before="0" w:after="0"/>
        <w:rPr/>
      </w:pPr>
      <w:r>
        <w:rPr/>
      </w:r>
    </w:p>
    <w:p>
      <w:pPr>
        <w:pStyle w:val="Heading2"/>
        <w:spacing w:before="280" w:after="100"/>
        <w:rPr/>
      </w:pPr>
      <w:r>
        <w:rPr>
          <w:rFonts w:eastAsia="Arial" w:cs="Arial"/>
          <w:b/>
          <w:bCs/>
          <w:color w:val="1A1A2E"/>
          <w:sz w:val="26"/>
          <w:szCs w:val="26"/>
        </w:rPr>
        <w:t>3.2 Service Inventory and Responsibilities</w:t>
      </w:r>
    </w:p>
    <w:tbl>
      <w:tblPr>
        <w:tblW w:w="9360" w:type="dxa"/>
        <w:jc w:val="start"/>
        <w:tblInd w:w="0" w:type="dxa"/>
        <w:tblLayout w:type="fixed"/>
        <w:tblCellMar>
          <w:top w:w="100" w:type="dxa"/>
          <w:start w:w="140" w:type="dxa"/>
          <w:bottom w:w="100" w:type="dxa"/>
          <w:end w:w="140" w:type="dxa"/>
        </w:tblCellMar>
      </w:tblPr>
      <w:tblGrid>
        <w:gridCol w:w="1798"/>
        <w:gridCol w:w="902"/>
        <w:gridCol w:w="2400"/>
        <w:gridCol w:w="1398"/>
        <w:gridCol w:w="1430"/>
        <w:gridCol w:w="1432"/>
      </w:tblGrid>
      <w:tr>
        <w:trPr>
          <w:tblHeader w:val="true"/>
        </w:trPr>
        <w:tc>
          <w:tcPr>
            <w:tcW w:w="1798" w:type="dxa"/>
            <w:tcBorders>
              <w:top w:val="single" w:sz="2" w:space="0" w:color="1A56DB"/>
              <w:start w:val="single" w:sz="2" w:space="0" w:color="1A56DB"/>
              <w:bottom w:val="single" w:sz="2" w:space="0" w:color="1A56DB"/>
              <w:end w:val="single" w:sz="2" w:space="0" w:color="1A56DB"/>
            </w:tcBorders>
            <w:shd w:fill="1A56DB" w:val="clear"/>
            <w:vAlign w:val="center"/>
          </w:tcPr>
          <w:p>
            <w:pPr>
              <w:pStyle w:val="Normal"/>
              <w:jc w:val="center"/>
              <w:rPr/>
            </w:pPr>
            <w:r>
              <w:rPr>
                <w:rFonts w:eastAsia="Arial" w:cs="Arial"/>
                <w:b/>
                <w:bCs/>
                <w:color w:val="FFFFFF"/>
                <w:sz w:val="19"/>
                <w:szCs w:val="19"/>
              </w:rPr>
              <w:t>Service</w:t>
            </w:r>
          </w:p>
        </w:tc>
        <w:tc>
          <w:tcPr>
            <w:tcW w:w="902" w:type="dxa"/>
            <w:tcBorders>
              <w:top w:val="single" w:sz="2" w:space="0" w:color="1A56DB"/>
              <w:start w:val="single" w:sz="2" w:space="0" w:color="1A56DB"/>
              <w:bottom w:val="single" w:sz="2" w:space="0" w:color="1A56DB"/>
              <w:end w:val="single" w:sz="2" w:space="0" w:color="1A56DB"/>
            </w:tcBorders>
            <w:shd w:fill="1A56DB" w:val="clear"/>
            <w:vAlign w:val="center"/>
          </w:tcPr>
          <w:p>
            <w:pPr>
              <w:pStyle w:val="Normal"/>
              <w:jc w:val="center"/>
              <w:rPr/>
            </w:pPr>
            <w:r>
              <w:rPr>
                <w:rFonts w:eastAsia="Arial" w:cs="Arial"/>
                <w:b/>
                <w:bCs/>
                <w:color w:val="FFFFFF"/>
                <w:sz w:val="19"/>
                <w:szCs w:val="19"/>
              </w:rPr>
              <w:t>Language</w:t>
            </w:r>
          </w:p>
        </w:tc>
        <w:tc>
          <w:tcPr>
            <w:tcW w:w="2400" w:type="dxa"/>
            <w:tcBorders>
              <w:top w:val="single" w:sz="2" w:space="0" w:color="1A56DB"/>
              <w:start w:val="single" w:sz="2" w:space="0" w:color="1A56DB"/>
              <w:bottom w:val="single" w:sz="2" w:space="0" w:color="1A56DB"/>
              <w:end w:val="single" w:sz="2" w:space="0" w:color="1A56DB"/>
            </w:tcBorders>
            <w:shd w:fill="1A56DB" w:val="clear"/>
            <w:vAlign w:val="center"/>
          </w:tcPr>
          <w:p>
            <w:pPr>
              <w:pStyle w:val="Normal"/>
              <w:jc w:val="center"/>
              <w:rPr/>
            </w:pPr>
            <w:r>
              <w:rPr>
                <w:rFonts w:eastAsia="Arial" w:cs="Arial"/>
                <w:b/>
                <w:bCs/>
                <w:color w:val="FFFFFF"/>
                <w:sz w:val="19"/>
                <w:szCs w:val="19"/>
              </w:rPr>
              <w:t>Primary Responsibility</w:t>
            </w:r>
          </w:p>
        </w:tc>
        <w:tc>
          <w:tcPr>
            <w:tcW w:w="1398" w:type="dxa"/>
            <w:tcBorders>
              <w:top w:val="single" w:sz="2" w:space="0" w:color="1A56DB"/>
              <w:start w:val="single" w:sz="2" w:space="0" w:color="1A56DB"/>
              <w:bottom w:val="single" w:sz="2" w:space="0" w:color="1A56DB"/>
              <w:end w:val="single" w:sz="2" w:space="0" w:color="1A56DB"/>
            </w:tcBorders>
            <w:shd w:fill="1A56DB" w:val="clear"/>
            <w:vAlign w:val="center"/>
          </w:tcPr>
          <w:p>
            <w:pPr>
              <w:pStyle w:val="Normal"/>
              <w:jc w:val="center"/>
              <w:rPr/>
            </w:pPr>
            <w:r>
              <w:rPr>
                <w:rFonts w:eastAsia="Arial" w:cs="Arial"/>
                <w:b/>
                <w:bCs/>
                <w:color w:val="FFFFFF"/>
                <w:sz w:val="19"/>
                <w:szCs w:val="19"/>
              </w:rPr>
              <w:t>Owns Schema</w:t>
            </w:r>
          </w:p>
        </w:tc>
        <w:tc>
          <w:tcPr>
            <w:tcW w:w="1430" w:type="dxa"/>
            <w:tcBorders>
              <w:top w:val="single" w:sz="2" w:space="0" w:color="1A56DB"/>
              <w:start w:val="single" w:sz="2" w:space="0" w:color="1A56DB"/>
              <w:bottom w:val="single" w:sz="2" w:space="0" w:color="1A56DB"/>
              <w:end w:val="single" w:sz="2" w:space="0" w:color="1A56DB"/>
            </w:tcBorders>
            <w:shd w:fill="1A56DB" w:val="clear"/>
            <w:vAlign w:val="center"/>
          </w:tcPr>
          <w:p>
            <w:pPr>
              <w:pStyle w:val="Normal"/>
              <w:jc w:val="center"/>
              <w:rPr/>
            </w:pPr>
            <w:r>
              <w:rPr>
                <w:rFonts w:eastAsia="Arial" w:cs="Arial"/>
                <w:b/>
                <w:bCs/>
                <w:color w:val="FFFFFF"/>
                <w:sz w:val="19"/>
                <w:szCs w:val="19"/>
              </w:rPr>
              <w:t>Publishes Events</w:t>
            </w:r>
          </w:p>
        </w:tc>
        <w:tc>
          <w:tcPr>
            <w:tcW w:w="1432" w:type="dxa"/>
            <w:tcBorders>
              <w:top w:val="single" w:sz="2" w:space="0" w:color="1A56DB"/>
              <w:start w:val="single" w:sz="2" w:space="0" w:color="1A56DB"/>
              <w:bottom w:val="single" w:sz="2" w:space="0" w:color="1A56DB"/>
              <w:end w:val="single" w:sz="2" w:space="0" w:color="1A56DB"/>
            </w:tcBorders>
            <w:shd w:fill="1A56DB" w:val="clear"/>
            <w:vAlign w:val="center"/>
          </w:tcPr>
          <w:p>
            <w:pPr>
              <w:pStyle w:val="Normal"/>
              <w:jc w:val="center"/>
              <w:rPr/>
            </w:pPr>
            <w:r>
              <w:rPr>
                <w:rFonts w:eastAsia="Arial" w:cs="Arial"/>
                <w:b/>
                <w:bCs/>
                <w:color w:val="FFFFFF"/>
                <w:sz w:val="19"/>
                <w:szCs w:val="19"/>
              </w:rPr>
              <w:t>Consumes Events</w:t>
            </w:r>
          </w:p>
        </w:tc>
      </w:tr>
      <w:tr>
        <w:trPr/>
        <w:tc>
          <w:tcPr>
            <w:tcW w:w="1798"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bCs/>
                <w:color w:val="1A1A2E"/>
                <w:sz w:val="19"/>
                <w:szCs w:val="19"/>
              </w:rPr>
              <w:t>API Gateway</w:t>
            </w:r>
          </w:p>
        </w:tc>
        <w:tc>
          <w:tcPr>
            <w:tcW w:w="902"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C# YARP</w:t>
            </w:r>
          </w:p>
        </w:tc>
        <w:tc>
          <w:tcPr>
            <w:tcW w:w="24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Route external HTTP; enforce auth, rate limits, plan gates</w:t>
            </w:r>
          </w:p>
        </w:tc>
        <w:tc>
          <w:tcPr>
            <w:tcW w:w="1398"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None</w:t>
            </w:r>
          </w:p>
        </w:tc>
        <w:tc>
          <w:tcPr>
            <w:tcW w:w="143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None</w:t>
            </w:r>
          </w:p>
        </w:tc>
        <w:tc>
          <w:tcPr>
            <w:tcW w:w="1432"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None</w:t>
            </w:r>
          </w:p>
        </w:tc>
      </w:tr>
      <w:tr>
        <w:trPr/>
        <w:tc>
          <w:tcPr>
            <w:tcW w:w="1798"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bCs/>
                <w:color w:val="1A1A2E"/>
                <w:sz w:val="19"/>
                <w:szCs w:val="19"/>
              </w:rPr>
              <w:t>Ingestion Service</w:t>
            </w:r>
          </w:p>
        </w:tc>
        <w:tc>
          <w:tcPr>
            <w:tcW w:w="902"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C#</w:t>
            </w:r>
          </w:p>
        </w:tc>
        <w:tc>
          <w:tcPr>
            <w:tcW w:w="24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Fetch prices from retailers (API + Playwright Stealth); normalise; publish price events</w:t>
            </w:r>
          </w:p>
        </w:tc>
        <w:tc>
          <w:tcPr>
            <w:tcW w:w="1398"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ingestion.*</w:t>
            </w:r>
          </w:p>
        </w:tc>
        <w:tc>
          <w:tcPr>
            <w:tcW w:w="143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price.ingested</w:t>
            </w:r>
          </w:p>
        </w:tc>
        <w:tc>
          <w:tcPr>
            <w:tcW w:w="1432"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None</w:t>
            </w:r>
          </w:p>
        </w:tc>
      </w:tr>
      <w:tr>
        <w:trPr/>
        <w:tc>
          <w:tcPr>
            <w:tcW w:w="1798"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bCs/>
                <w:color w:val="1A1A2E"/>
                <w:sz w:val="19"/>
                <w:szCs w:val="19"/>
              </w:rPr>
              <w:t>Opportunity Engine</w:t>
            </w:r>
          </w:p>
        </w:tc>
        <w:tc>
          <w:tcPr>
            <w:tcW w:w="902"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C#</w:t>
            </w:r>
          </w:p>
        </w:tc>
        <w:tc>
          <w:tcPr>
            <w:tcW w:w="24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Consume price events; calculate net margin; emit deal events</w:t>
            </w:r>
          </w:p>
        </w:tc>
        <w:tc>
          <w:tcPr>
            <w:tcW w:w="1398"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None</w:t>
            </w:r>
          </w:p>
        </w:tc>
        <w:tc>
          <w:tcPr>
            <w:tcW w:w="143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deal.surfaced</w:t>
            </w:r>
          </w:p>
        </w:tc>
        <w:tc>
          <w:tcPr>
            <w:tcW w:w="1432"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price.ingested</w:t>
            </w:r>
          </w:p>
        </w:tc>
      </w:tr>
      <w:tr>
        <w:trPr/>
        <w:tc>
          <w:tcPr>
            <w:tcW w:w="1798"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bCs/>
                <w:color w:val="1A1A2E"/>
                <w:sz w:val="19"/>
                <w:szCs w:val="19"/>
              </w:rPr>
              <w:t>Catalogue Service</w:t>
            </w:r>
          </w:p>
        </w:tc>
        <w:tc>
          <w:tcPr>
            <w:tcW w:w="902"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C# + Python</w:t>
            </w:r>
          </w:p>
        </w:tc>
        <w:tc>
          <w:tcPr>
            <w:tcW w:w="24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Maintain SKU catalogue; nightly composite scoring; serve catalogue API</w:t>
            </w:r>
          </w:p>
        </w:tc>
        <w:tc>
          <w:tcPr>
            <w:tcW w:w="1398"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catalogue.*</w:t>
            </w:r>
          </w:p>
        </w:tc>
        <w:tc>
          <w:tcPr>
            <w:tcW w:w="143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catalogue.scored</w:t>
            </w:r>
          </w:p>
        </w:tc>
        <w:tc>
          <w:tcPr>
            <w:tcW w:w="1432"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price.ingested, deal.closed</w:t>
            </w:r>
          </w:p>
        </w:tc>
      </w:tr>
      <w:tr>
        <w:trPr/>
        <w:tc>
          <w:tcPr>
            <w:tcW w:w="1798"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bCs/>
                <w:color w:val="1A1A2E"/>
                <w:sz w:val="19"/>
                <w:szCs w:val="19"/>
              </w:rPr>
              <w:t>Jobs Service</w:t>
            </w:r>
          </w:p>
        </w:tc>
        <w:tc>
          <w:tcPr>
            <w:tcW w:w="902"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C# Hangfire</w:t>
            </w:r>
          </w:p>
        </w:tc>
        <w:tc>
          <w:tcPr>
            <w:tcW w:w="24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Schedule and dispatch all async workloads; manage retries</w:t>
            </w:r>
          </w:p>
        </w:tc>
        <w:tc>
          <w:tcPr>
            <w:tcW w:w="1398"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jobs.*</w:t>
            </w:r>
          </w:p>
        </w:tc>
        <w:tc>
          <w:tcPr>
            <w:tcW w:w="143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job.fired</w:t>
            </w:r>
          </w:p>
        </w:tc>
        <w:tc>
          <w:tcPr>
            <w:tcW w:w="1432"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None</w:t>
            </w:r>
          </w:p>
        </w:tc>
      </w:tr>
      <w:tr>
        <w:trPr/>
        <w:tc>
          <w:tcPr>
            <w:tcW w:w="1798"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bCs/>
                <w:color w:val="1A1A2E"/>
                <w:sz w:val="19"/>
                <w:szCs w:val="19"/>
              </w:rPr>
              <w:t>Approvals Service</w:t>
            </w:r>
          </w:p>
        </w:tc>
        <w:tc>
          <w:tcPr>
            <w:tcW w:w="902"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C#</w:t>
            </w:r>
          </w:p>
        </w:tc>
        <w:tc>
          <w:tcPr>
            <w:tcW w:w="24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Manage approval queue state machine; orchestrate purchase and listing</w:t>
            </w:r>
          </w:p>
        </w:tc>
        <w:tc>
          <w:tcPr>
            <w:tcW w:w="1398"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approvals.*</w:t>
            </w:r>
          </w:p>
        </w:tc>
        <w:tc>
          <w:tcPr>
            <w:tcW w:w="143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deal.approved, deal.purchased, deal.listed</w:t>
            </w:r>
          </w:p>
        </w:tc>
        <w:tc>
          <w:tcPr>
            <w:tcW w:w="1432"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deal.surfaced</w:t>
            </w:r>
          </w:p>
        </w:tc>
      </w:tr>
      <w:tr>
        <w:trPr/>
        <w:tc>
          <w:tcPr>
            <w:tcW w:w="1798"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bCs/>
                <w:color w:val="1A1A2E"/>
                <w:sz w:val="19"/>
                <w:szCs w:val="19"/>
              </w:rPr>
              <w:t>Credential Vault Service</w:t>
            </w:r>
          </w:p>
        </w:tc>
        <w:tc>
          <w:tcPr>
            <w:tcW w:w="902"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C#</w:t>
            </w:r>
          </w:p>
        </w:tc>
        <w:tc>
          <w:tcPr>
            <w:tcW w:w="24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Encrypt/decrypt OAuth JWTs; audit all access</w:t>
            </w:r>
          </w:p>
        </w:tc>
        <w:tc>
          <w:tcPr>
            <w:tcW w:w="1398"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vault.*</w:t>
            </w:r>
          </w:p>
        </w:tc>
        <w:tc>
          <w:tcPr>
            <w:tcW w:w="143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vault.accessed</w:t>
            </w:r>
          </w:p>
        </w:tc>
        <w:tc>
          <w:tcPr>
            <w:tcW w:w="1432"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None</w:t>
            </w:r>
          </w:p>
        </w:tc>
      </w:tr>
      <w:tr>
        <w:trPr/>
        <w:tc>
          <w:tcPr>
            <w:tcW w:w="1798"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bCs/>
                <w:color w:val="1A1A2E"/>
                <w:sz w:val="19"/>
                <w:szCs w:val="19"/>
              </w:rPr>
              <w:t>Notification Service</w:t>
            </w:r>
          </w:p>
        </w:tc>
        <w:tc>
          <w:tcPr>
            <w:tcW w:w="902"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C#</w:t>
            </w:r>
          </w:p>
        </w:tc>
        <w:tc>
          <w:tcPr>
            <w:tcW w:w="24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Fan-out alerts to in-app, email, Web Push</w:t>
            </w:r>
          </w:p>
        </w:tc>
        <w:tc>
          <w:tcPr>
            <w:tcW w:w="1398"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notifications.*</w:t>
            </w:r>
          </w:p>
        </w:tc>
        <w:tc>
          <w:tcPr>
            <w:tcW w:w="143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None</w:t>
            </w:r>
          </w:p>
        </w:tc>
        <w:tc>
          <w:tcPr>
            <w:tcW w:w="1432"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deal.surfaced, deal.approved, deal.purchased</w:t>
            </w:r>
          </w:p>
        </w:tc>
      </w:tr>
      <w:tr>
        <w:trPr/>
        <w:tc>
          <w:tcPr>
            <w:tcW w:w="1798"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bCs/>
                <w:color w:val="1A1A2E"/>
                <w:sz w:val="19"/>
                <w:szCs w:val="19"/>
              </w:rPr>
              <w:t>History Service</w:t>
            </w:r>
          </w:p>
        </w:tc>
        <w:tc>
          <w:tcPr>
            <w:tcW w:w="902"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C#</w:t>
            </w:r>
          </w:p>
        </w:tc>
        <w:tc>
          <w:tcPr>
            <w:tcW w:w="24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Append-only closed deal records</w:t>
            </w:r>
          </w:p>
        </w:tc>
        <w:tc>
          <w:tcPr>
            <w:tcW w:w="1398"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history.*</w:t>
            </w:r>
          </w:p>
        </w:tc>
        <w:tc>
          <w:tcPr>
            <w:tcW w:w="143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None</w:t>
            </w:r>
          </w:p>
        </w:tc>
        <w:tc>
          <w:tcPr>
            <w:tcW w:w="1432"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deal.closed</w:t>
            </w:r>
          </w:p>
        </w:tc>
      </w:tr>
      <w:tr>
        <w:trPr/>
        <w:tc>
          <w:tcPr>
            <w:tcW w:w="1798"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bCs/>
                <w:color w:val="1A1A2E"/>
                <w:sz w:val="19"/>
                <w:szCs w:val="19"/>
              </w:rPr>
              <w:t>Analytics Service</w:t>
            </w:r>
          </w:p>
        </w:tc>
        <w:tc>
          <w:tcPr>
            <w:tcW w:w="902"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C#</w:t>
            </w:r>
          </w:p>
        </w:tc>
        <w:tc>
          <w:tcPr>
            <w:tcW w:w="24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Read-only query layer over History; serve analytics API</w:t>
            </w:r>
          </w:p>
        </w:tc>
        <w:tc>
          <w:tcPr>
            <w:tcW w:w="1398"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None (read replica)</w:t>
            </w:r>
          </w:p>
        </w:tc>
        <w:tc>
          <w:tcPr>
            <w:tcW w:w="143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None</w:t>
            </w:r>
          </w:p>
        </w:tc>
        <w:tc>
          <w:tcPr>
            <w:tcW w:w="1432"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None</w:t>
            </w:r>
          </w:p>
        </w:tc>
      </w:tr>
      <w:tr>
        <w:trPr/>
        <w:tc>
          <w:tcPr>
            <w:tcW w:w="1798"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bCs/>
                <w:color w:val="1A1A2E"/>
                <w:sz w:val="19"/>
                <w:szCs w:val="19"/>
              </w:rPr>
              <w:t>Identity Service</w:t>
            </w:r>
          </w:p>
        </w:tc>
        <w:tc>
          <w:tcPr>
            <w:tcW w:w="902"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C#</w:t>
            </w:r>
          </w:p>
        </w:tc>
        <w:tc>
          <w:tcPr>
            <w:tcW w:w="24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Auth, JWT issuance, MFA, RBAC</w:t>
            </w:r>
          </w:p>
        </w:tc>
        <w:tc>
          <w:tcPr>
            <w:tcW w:w="1398"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identity.*</w:t>
            </w:r>
          </w:p>
        </w:tc>
        <w:tc>
          <w:tcPr>
            <w:tcW w:w="143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user.created, user.mfa_enrolled</w:t>
            </w:r>
          </w:p>
        </w:tc>
        <w:tc>
          <w:tcPr>
            <w:tcW w:w="1432"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None</w:t>
            </w:r>
          </w:p>
        </w:tc>
      </w:tr>
      <w:tr>
        <w:trPr/>
        <w:tc>
          <w:tcPr>
            <w:tcW w:w="1798"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bCs/>
                <w:color w:val="1A1A2E"/>
                <w:sz w:val="19"/>
                <w:szCs w:val="19"/>
              </w:rPr>
              <w:t>Billing Service</w:t>
            </w:r>
          </w:p>
        </w:tc>
        <w:tc>
          <w:tcPr>
            <w:tcW w:w="902"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C#</w:t>
            </w:r>
          </w:p>
        </w:tc>
        <w:tc>
          <w:tcPr>
            <w:tcW w:w="24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Stripe lifecycle; plan entitlements</w:t>
            </w:r>
          </w:p>
        </w:tc>
        <w:tc>
          <w:tcPr>
            <w:tcW w:w="1398"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billing.*</w:t>
            </w:r>
          </w:p>
        </w:tc>
        <w:tc>
          <w:tcPr>
            <w:tcW w:w="143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plan.changed</w:t>
            </w:r>
          </w:p>
        </w:tc>
        <w:tc>
          <w:tcPr>
            <w:tcW w:w="1432"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None</w:t>
            </w:r>
          </w:p>
        </w:tc>
      </w:tr>
      <w:tr>
        <w:trPr/>
        <w:tc>
          <w:tcPr>
            <w:tcW w:w="1798"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bCs/>
                <w:color w:val="1A1A2E"/>
                <w:sz w:val="19"/>
                <w:szCs w:val="19"/>
              </w:rPr>
              <w:t>Credential Vault Service</w:t>
            </w:r>
          </w:p>
        </w:tc>
        <w:tc>
          <w:tcPr>
            <w:tcW w:w="902"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C#</w:t>
            </w:r>
          </w:p>
        </w:tc>
        <w:tc>
          <w:tcPr>
            <w:tcW w:w="24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AES-256-GCM JWT storage; HSM-equivalent key via k8s secrets</w:t>
            </w:r>
          </w:p>
        </w:tc>
        <w:tc>
          <w:tcPr>
            <w:tcW w:w="1398"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vault.*</w:t>
            </w:r>
          </w:p>
        </w:tc>
        <w:tc>
          <w:tcPr>
            <w:tcW w:w="143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vault.accessed</w:t>
            </w:r>
          </w:p>
        </w:tc>
        <w:tc>
          <w:tcPr>
            <w:tcW w:w="1432"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None</w:t>
            </w:r>
          </w:p>
        </w:tc>
      </w:tr>
    </w:tbl>
    <w:p>
      <w:pPr>
        <w:pStyle w:val="Normal"/>
        <w:spacing w:before="0" w:after="0"/>
        <w:rPr/>
      </w:pPr>
      <w:r>
        <w:rPr/>
      </w:r>
    </w:p>
    <w:p>
      <w:pPr>
        <w:pStyle w:val="Heading3"/>
        <w:rPr/>
      </w:pPr>
      <w:r>
        <w:rPr/>
        <w:t>3.2.1  Per-Service Event Reference</w:t>
      </w:r>
    </w:p>
    <w:p>
      <w:pPr>
        <w:pStyle w:val="Normal"/>
        <w:rPr/>
      </w:pPr>
      <w:r>
        <w:rPr/>
        <w:t>The following table expands every event listed in the service inventory with its trigger condition, payload schema, and primary consumer actions.</w:t>
      </w:r>
    </w:p>
    <w:tbl>
      <w:tblPr>
        <w:tblStyle w:val="TableGrid"/>
        <w:tblW w:w="5000" w:type="pct"/>
        <w:jc w:val="start"/>
        <w:tblInd w:w="0" w:type="dxa"/>
        <w:tblLayout w:type="fixed"/>
        <w:tblCellMar>
          <w:top w:w="0" w:type="dxa"/>
          <w:start w:w="108" w:type="dxa"/>
          <w:bottom w:w="0" w:type="dxa"/>
          <w:end w:w="108" w:type="dxa"/>
        </w:tblCellMar>
      </w:tblPr>
      <w:tblGrid>
        <w:gridCol w:w="1872"/>
        <w:gridCol w:w="1872"/>
        <w:gridCol w:w="1872"/>
        <w:gridCol w:w="1872"/>
        <w:gridCol w:w="1872"/>
      </w:tblGrid>
      <w:tr>
        <w:trPr/>
        <w:tc>
          <w:tcPr>
            <w:tcW w:w="1872" w:type="dxa"/>
            <w:tcBorders/>
          </w:tcPr>
          <w:p>
            <w:pPr>
              <w:pStyle w:val="Normal"/>
              <w:rPr/>
            </w:pPr>
            <w:r>
              <w:rPr/>
              <w:t>Event Type</w:t>
            </w:r>
          </w:p>
        </w:tc>
        <w:tc>
          <w:tcPr>
            <w:tcW w:w="1872" w:type="dxa"/>
            <w:tcBorders/>
          </w:tcPr>
          <w:p>
            <w:pPr>
              <w:pStyle w:val="Normal"/>
              <w:rPr/>
            </w:pPr>
            <w:r>
              <w:rPr/>
              <w:t>Emitting Service</w:t>
            </w:r>
          </w:p>
        </w:tc>
        <w:tc>
          <w:tcPr>
            <w:tcW w:w="1872" w:type="dxa"/>
            <w:tcBorders/>
          </w:tcPr>
          <w:p>
            <w:pPr>
              <w:pStyle w:val="Normal"/>
              <w:rPr/>
            </w:pPr>
            <w:r>
              <w:rPr/>
              <w:t>Trigger Condition</w:t>
            </w:r>
          </w:p>
        </w:tc>
        <w:tc>
          <w:tcPr>
            <w:tcW w:w="1872" w:type="dxa"/>
            <w:tcBorders/>
          </w:tcPr>
          <w:p>
            <w:pPr>
              <w:pStyle w:val="Normal"/>
              <w:rPr/>
            </w:pPr>
            <w:r>
              <w:rPr/>
              <w:t>Payload (key fields)</w:t>
            </w:r>
          </w:p>
        </w:tc>
        <w:tc>
          <w:tcPr>
            <w:tcW w:w="1872" w:type="dxa"/>
            <w:tcBorders/>
          </w:tcPr>
          <w:p>
            <w:pPr>
              <w:pStyle w:val="Normal"/>
              <w:rPr/>
            </w:pPr>
            <w:r>
              <w:rPr/>
              <w:t>Primary Consumers / Action</w:t>
            </w:r>
          </w:p>
        </w:tc>
      </w:tr>
      <w:tr>
        <w:trPr/>
        <w:tc>
          <w:tcPr>
            <w:tcW w:w="1872" w:type="dxa"/>
            <w:tcBorders/>
          </w:tcPr>
          <w:p>
            <w:pPr>
              <w:pStyle w:val="Normal"/>
              <w:rPr/>
            </w:pPr>
            <w:r>
              <w:rPr/>
              <w:t>price.ingested</w:t>
            </w:r>
          </w:p>
        </w:tc>
        <w:tc>
          <w:tcPr>
            <w:tcW w:w="1872" w:type="dxa"/>
            <w:tcBorders/>
          </w:tcPr>
          <w:p>
            <w:pPr>
              <w:pStyle w:val="Normal"/>
              <w:rPr/>
            </w:pPr>
            <w:r>
              <w:rPr/>
              <w:t>Ingestion Service</w:t>
            </w:r>
          </w:p>
        </w:tc>
        <w:tc>
          <w:tcPr>
            <w:tcW w:w="1872" w:type="dxa"/>
            <w:tcBorders/>
          </w:tcPr>
          <w:p>
            <w:pPr>
              <w:pStyle w:val="Normal"/>
              <w:rPr/>
            </w:pPr>
            <w:r>
              <w:rPr/>
              <w:t>Raw price successfully normalised and validated</w:t>
            </w:r>
          </w:p>
        </w:tc>
        <w:tc>
          <w:tcPr>
            <w:tcW w:w="1872" w:type="dxa"/>
            <w:tcBorders/>
          </w:tcPr>
          <w:p>
            <w:pPr>
              <w:pStyle w:val="Normal"/>
              <w:rPr/>
            </w:pPr>
            <w:r>
              <w:rPr/>
              <w:t>{ sku_id, retailer_source_id, price_gbp, delivery_gbp, in_stock, source }</w:t>
            </w:r>
          </w:p>
        </w:tc>
        <w:tc>
          <w:tcPr>
            <w:tcW w:w="1872" w:type="dxa"/>
            <w:tcBorders/>
          </w:tcPr>
          <w:p>
            <w:pPr>
              <w:pStyle w:val="Normal"/>
              <w:rPr/>
            </w:pPr>
            <w:r>
              <w:rPr/>
              <w:t>Opportunity Engine (margin calc), Catalogue Service (price history)</w:t>
            </w:r>
          </w:p>
        </w:tc>
      </w:tr>
      <w:tr>
        <w:trPr/>
        <w:tc>
          <w:tcPr>
            <w:tcW w:w="1872" w:type="dxa"/>
            <w:tcBorders/>
          </w:tcPr>
          <w:p>
            <w:pPr>
              <w:pStyle w:val="Normal"/>
              <w:rPr/>
            </w:pPr>
            <w:r>
              <w:rPr/>
              <w:t>deal.surfaced</w:t>
            </w:r>
          </w:p>
        </w:tc>
        <w:tc>
          <w:tcPr>
            <w:tcW w:w="1872" w:type="dxa"/>
            <w:tcBorders/>
          </w:tcPr>
          <w:p>
            <w:pPr>
              <w:pStyle w:val="Normal"/>
              <w:rPr/>
            </w:pPr>
            <w:r>
              <w:rPr/>
              <w:t>Opportunity Engine</w:t>
            </w:r>
          </w:p>
        </w:tc>
        <w:tc>
          <w:tcPr>
            <w:tcW w:w="1872" w:type="dxa"/>
            <w:tcBorders/>
          </w:tcPr>
          <w:p>
            <w:pPr>
              <w:pStyle w:val="Normal"/>
              <w:rPr/>
            </w:pPr>
            <w:r>
              <w:rPr/>
              <w:t>Net margin &gt;= user threshold after price ingestion</w:t>
            </w:r>
          </w:p>
        </w:tc>
        <w:tc>
          <w:tcPr>
            <w:tcW w:w="1872" w:type="dxa"/>
            <w:tcBorders/>
          </w:tcPr>
          <w:p>
            <w:pPr>
              <w:pStyle w:val="Normal"/>
              <w:rPr/>
            </w:pPr>
            <w:r>
              <w:rPr/>
              <w:t>{ deal_id, user_id, sku, buy, sell, margin, surfaced_at }</w:t>
            </w:r>
          </w:p>
        </w:tc>
        <w:tc>
          <w:tcPr>
            <w:tcW w:w="1872" w:type="dxa"/>
            <w:tcBorders/>
          </w:tcPr>
          <w:p>
            <w:pPr>
              <w:pStyle w:val="Normal"/>
              <w:rPr/>
            </w:pPr>
            <w:r>
              <w:rPr/>
              <w:t>Notification Service (fanout), Approvals Service (queue build)</w:t>
            </w:r>
          </w:p>
        </w:tc>
      </w:tr>
      <w:tr>
        <w:trPr/>
        <w:tc>
          <w:tcPr>
            <w:tcW w:w="1872" w:type="dxa"/>
            <w:tcBorders/>
          </w:tcPr>
          <w:p>
            <w:pPr>
              <w:pStyle w:val="Normal"/>
              <w:rPr/>
            </w:pPr>
            <w:r>
              <w:rPr/>
              <w:t>deal.approved</w:t>
            </w:r>
          </w:p>
        </w:tc>
        <w:tc>
          <w:tcPr>
            <w:tcW w:w="1872" w:type="dxa"/>
            <w:tcBorders/>
          </w:tcPr>
          <w:p>
            <w:pPr>
              <w:pStyle w:val="Normal"/>
              <w:rPr/>
            </w:pPr>
            <w:r>
              <w:rPr/>
              <w:t>Approvals Service</w:t>
            </w:r>
          </w:p>
        </w:tc>
        <w:tc>
          <w:tcPr>
            <w:tcW w:w="1872" w:type="dxa"/>
            <w:tcBorders/>
          </w:tcPr>
          <w:p>
            <w:pPr>
              <w:pStyle w:val="Normal"/>
              <w:rPr/>
            </w:pPr>
            <w:r>
              <w:rPr/>
              <w:t>User approves a queued deal and margin re-check passes</w:t>
            </w:r>
          </w:p>
        </w:tc>
        <w:tc>
          <w:tcPr>
            <w:tcW w:w="1872" w:type="dxa"/>
            <w:tcBorders/>
          </w:tcPr>
          <w:p>
            <w:pPr>
              <w:pStyle w:val="Normal"/>
              <w:rPr/>
            </w:pPr>
            <w:r>
              <w:rPr/>
              <w:t>{ approval_id, user_id, sku_id, pre_execute_margin_pct }</w:t>
            </w:r>
          </w:p>
        </w:tc>
        <w:tc>
          <w:tcPr>
            <w:tcW w:w="1872" w:type="dxa"/>
            <w:tcBorders/>
          </w:tcPr>
          <w:p>
            <w:pPr>
              <w:pStyle w:val="Normal"/>
              <w:rPr/>
            </w:pPr>
            <w:r>
              <w:rPr/>
              <w:t>Notification Service (confirmation), History Service (pre-purchase audit)</w:t>
            </w:r>
          </w:p>
        </w:tc>
      </w:tr>
      <w:tr>
        <w:trPr/>
        <w:tc>
          <w:tcPr>
            <w:tcW w:w="1872" w:type="dxa"/>
            <w:tcBorders/>
          </w:tcPr>
          <w:p>
            <w:pPr>
              <w:pStyle w:val="Normal"/>
              <w:rPr/>
            </w:pPr>
            <w:r>
              <w:rPr/>
              <w:t>deal.purchased</w:t>
            </w:r>
          </w:p>
        </w:tc>
        <w:tc>
          <w:tcPr>
            <w:tcW w:w="1872" w:type="dxa"/>
            <w:tcBorders/>
          </w:tcPr>
          <w:p>
            <w:pPr>
              <w:pStyle w:val="Normal"/>
              <w:rPr/>
            </w:pPr>
            <w:r>
              <w:rPr/>
              <w:t>Approvals Service</w:t>
            </w:r>
          </w:p>
        </w:tc>
        <w:tc>
          <w:tcPr>
            <w:tcW w:w="1872" w:type="dxa"/>
            <w:tcBorders/>
          </w:tcPr>
          <w:p>
            <w:pPr>
              <w:pStyle w:val="Normal"/>
              <w:rPr/>
            </w:pPr>
            <w:r>
              <w:rPr/>
              <w:t>Purchase API call succeeds</w:t>
            </w:r>
          </w:p>
        </w:tc>
        <w:tc>
          <w:tcPr>
            <w:tcW w:w="1872" w:type="dxa"/>
            <w:tcBorders/>
          </w:tcPr>
          <w:p>
            <w:pPr>
              <w:pStyle w:val="Normal"/>
              <w:rPr/>
            </w:pPr>
            <w:r>
              <w:rPr/>
              <w:t>{ approval_id, user_id, actual_buy_price_gbp, order_reference }</w:t>
            </w:r>
          </w:p>
        </w:tc>
        <w:tc>
          <w:tcPr>
            <w:tcW w:w="1872" w:type="dxa"/>
            <w:tcBorders/>
          </w:tcPr>
          <w:p>
            <w:pPr>
              <w:pStyle w:val="Normal"/>
              <w:rPr/>
            </w:pPr>
            <w:r>
              <w:rPr/>
              <w:t>Notification Service (confirmation), History Service (audit)</w:t>
            </w:r>
          </w:p>
        </w:tc>
      </w:tr>
      <w:tr>
        <w:trPr/>
        <w:tc>
          <w:tcPr>
            <w:tcW w:w="1872" w:type="dxa"/>
            <w:tcBorders/>
          </w:tcPr>
          <w:p>
            <w:pPr>
              <w:pStyle w:val="Normal"/>
              <w:rPr/>
            </w:pPr>
            <w:r>
              <w:rPr/>
              <w:t>deal.listed</w:t>
            </w:r>
          </w:p>
        </w:tc>
        <w:tc>
          <w:tcPr>
            <w:tcW w:w="1872" w:type="dxa"/>
            <w:tcBorders/>
          </w:tcPr>
          <w:p>
            <w:pPr>
              <w:pStyle w:val="Normal"/>
              <w:rPr/>
            </w:pPr>
            <w:r>
              <w:rPr/>
              <w:t>Approvals Service</w:t>
            </w:r>
          </w:p>
        </w:tc>
        <w:tc>
          <w:tcPr>
            <w:tcW w:w="1872" w:type="dxa"/>
            <w:tcBorders/>
          </w:tcPr>
          <w:p>
            <w:pPr>
              <w:pStyle w:val="Normal"/>
              <w:rPr/>
            </w:pPr>
            <w:r>
              <w:rPr/>
              <w:t>All listing calls succeed (or partial with failed_channels)</w:t>
            </w:r>
          </w:p>
        </w:tc>
        <w:tc>
          <w:tcPr>
            <w:tcW w:w="1872" w:type="dxa"/>
            <w:tcBorders/>
          </w:tcPr>
          <w:p>
            <w:pPr>
              <w:pStyle w:val="Normal"/>
              <w:rPr/>
            </w:pPr>
            <w:r>
              <w:rPr/>
              <w:t>{ approval_id, user_id, sell_channel, failed_channels }</w:t>
            </w:r>
          </w:p>
        </w:tc>
        <w:tc>
          <w:tcPr>
            <w:tcW w:w="1872" w:type="dxa"/>
            <w:tcBorders/>
          </w:tcPr>
          <w:p>
            <w:pPr>
              <w:pStyle w:val="Normal"/>
              <w:rPr/>
            </w:pPr>
            <w:r>
              <w:rPr/>
              <w:t>Notification Service (listing confirmation)</w:t>
            </w:r>
          </w:p>
        </w:tc>
      </w:tr>
      <w:tr>
        <w:trPr/>
        <w:tc>
          <w:tcPr>
            <w:tcW w:w="1872" w:type="dxa"/>
            <w:tcBorders/>
          </w:tcPr>
          <w:p>
            <w:pPr>
              <w:pStyle w:val="Normal"/>
              <w:rPr/>
            </w:pPr>
            <w:r>
              <w:rPr/>
              <w:t>deal.closed</w:t>
            </w:r>
          </w:p>
        </w:tc>
        <w:tc>
          <w:tcPr>
            <w:tcW w:w="1872" w:type="dxa"/>
            <w:tcBorders/>
          </w:tcPr>
          <w:p>
            <w:pPr>
              <w:pStyle w:val="Normal"/>
              <w:rPr/>
            </w:pPr>
            <w:r>
              <w:rPr/>
              <w:t>Approvals Service</w:t>
            </w:r>
          </w:p>
        </w:tc>
        <w:tc>
          <w:tcPr>
            <w:tcW w:w="1872" w:type="dxa"/>
            <w:tcBorders/>
          </w:tcPr>
          <w:p>
            <w:pPr>
              <w:pStyle w:val="Normal"/>
              <w:rPr/>
            </w:pPr>
            <w:r>
              <w:rPr/>
              <w:t>User marks deal as sold or auto-detected</w:t>
            </w:r>
          </w:p>
        </w:tc>
        <w:tc>
          <w:tcPr>
            <w:tcW w:w="1872" w:type="dxa"/>
            <w:tcBorders/>
          </w:tcPr>
          <w:p>
            <w:pPr>
              <w:pStyle w:val="Normal"/>
              <w:rPr/>
            </w:pPr>
            <w:r>
              <w:rPr/>
              <w:t>{ approval_id, user_id, actual_sell_price_gbp, net_profit_gbp }</w:t>
            </w:r>
          </w:p>
        </w:tc>
        <w:tc>
          <w:tcPr>
            <w:tcW w:w="1872" w:type="dxa"/>
            <w:tcBorders/>
          </w:tcPr>
          <w:p>
            <w:pPr>
              <w:pStyle w:val="Normal"/>
              <w:rPr/>
            </w:pPr>
            <w:r>
              <w:rPr/>
              <w:t>History Service (immutable record), Catalogue Service (score update)</w:t>
            </w:r>
          </w:p>
        </w:tc>
      </w:tr>
      <w:tr>
        <w:trPr/>
        <w:tc>
          <w:tcPr>
            <w:tcW w:w="1872" w:type="dxa"/>
            <w:tcBorders/>
          </w:tcPr>
          <w:p>
            <w:pPr>
              <w:pStyle w:val="Normal"/>
              <w:rPr/>
            </w:pPr>
            <w:r>
              <w:rPr/>
              <w:t>deal.failed</w:t>
            </w:r>
          </w:p>
        </w:tc>
        <w:tc>
          <w:tcPr>
            <w:tcW w:w="1872" w:type="dxa"/>
            <w:tcBorders/>
          </w:tcPr>
          <w:p>
            <w:pPr>
              <w:pStyle w:val="Normal"/>
              <w:rPr/>
            </w:pPr>
            <w:r>
              <w:rPr/>
              <w:t>Approvals Service</w:t>
            </w:r>
          </w:p>
        </w:tc>
        <w:tc>
          <w:tcPr>
            <w:tcW w:w="1872" w:type="dxa"/>
            <w:tcBorders/>
          </w:tcPr>
          <w:p>
            <w:pPr>
              <w:pStyle w:val="Normal"/>
              <w:rPr/>
            </w:pPr>
            <w:r>
              <w:rPr/>
              <w:t>Purchase or listing fails irrecoverably</w:t>
            </w:r>
          </w:p>
        </w:tc>
        <w:tc>
          <w:tcPr>
            <w:tcW w:w="1872" w:type="dxa"/>
            <w:tcBorders/>
          </w:tcPr>
          <w:p>
            <w:pPr>
              <w:pStyle w:val="Normal"/>
              <w:rPr/>
            </w:pPr>
            <w:r>
              <w:rPr/>
              <w:t>{ approval_id, user_id, failure_reason }</w:t>
            </w:r>
          </w:p>
        </w:tc>
        <w:tc>
          <w:tcPr>
            <w:tcW w:w="1872" w:type="dxa"/>
            <w:tcBorders/>
          </w:tcPr>
          <w:p>
            <w:pPr>
              <w:pStyle w:val="Normal"/>
              <w:rPr/>
            </w:pPr>
            <w:r>
              <w:rPr/>
              <w:t>Notification Service (alert), History Service (failure audit)</w:t>
            </w:r>
          </w:p>
        </w:tc>
      </w:tr>
      <w:tr>
        <w:trPr/>
        <w:tc>
          <w:tcPr>
            <w:tcW w:w="1872" w:type="dxa"/>
            <w:tcBorders/>
          </w:tcPr>
          <w:p>
            <w:pPr>
              <w:pStyle w:val="Normal"/>
              <w:rPr/>
            </w:pPr>
            <w:r>
              <w:rPr/>
              <w:t>catalogue.scored</w:t>
            </w:r>
          </w:p>
        </w:tc>
        <w:tc>
          <w:tcPr>
            <w:tcW w:w="1872" w:type="dxa"/>
            <w:tcBorders/>
          </w:tcPr>
          <w:p>
            <w:pPr>
              <w:pStyle w:val="Normal"/>
              <w:rPr/>
            </w:pPr>
            <w:r>
              <w:rPr/>
              <w:t>Catalogue Service</w:t>
            </w:r>
          </w:p>
        </w:tc>
        <w:tc>
          <w:tcPr>
            <w:tcW w:w="1872" w:type="dxa"/>
            <w:tcBorders/>
          </w:tcPr>
          <w:p>
            <w:pPr>
              <w:pStyle w:val="Normal"/>
              <w:rPr/>
            </w:pPr>
            <w:r>
              <w:rPr/>
              <w:t>Nightly scoring job completes</w:t>
            </w:r>
          </w:p>
        </w:tc>
        <w:tc>
          <w:tcPr>
            <w:tcW w:w="1872" w:type="dxa"/>
            <w:tcBorders/>
          </w:tcPr>
          <w:p>
            <w:pPr>
              <w:pStyle w:val="Normal"/>
              <w:rPr/>
            </w:pPr>
            <w:r>
              <w:rPr/>
              <w:t>{ run_id, sku_count, high_opportunity_count }</w:t>
            </w:r>
          </w:p>
        </w:tc>
        <w:tc>
          <w:tcPr>
            <w:tcW w:w="1872" w:type="dxa"/>
            <w:tcBorders/>
          </w:tcPr>
          <w:p>
            <w:pPr>
              <w:pStyle w:val="Normal"/>
              <w:rPr/>
            </w:pPr>
            <w:r>
              <w:rPr/>
              <w:t>None (read via API)</w:t>
            </w:r>
          </w:p>
        </w:tc>
      </w:tr>
      <w:tr>
        <w:trPr/>
        <w:tc>
          <w:tcPr>
            <w:tcW w:w="1872" w:type="dxa"/>
            <w:tcBorders/>
          </w:tcPr>
          <w:p>
            <w:pPr>
              <w:pStyle w:val="Normal"/>
              <w:rPr/>
            </w:pPr>
            <w:r>
              <w:rPr/>
              <w:t>plan.changed</w:t>
            </w:r>
          </w:p>
        </w:tc>
        <w:tc>
          <w:tcPr>
            <w:tcW w:w="1872" w:type="dxa"/>
            <w:tcBorders/>
          </w:tcPr>
          <w:p>
            <w:pPr>
              <w:pStyle w:val="Normal"/>
              <w:rPr/>
            </w:pPr>
            <w:r>
              <w:rPr/>
              <w:t>Billing Service</w:t>
            </w:r>
          </w:p>
        </w:tc>
        <w:tc>
          <w:tcPr>
            <w:tcW w:w="1872" w:type="dxa"/>
            <w:tcBorders/>
          </w:tcPr>
          <w:p>
            <w:pPr>
              <w:pStyle w:val="Normal"/>
              <w:rPr/>
            </w:pPr>
            <w:r>
              <w:rPr/>
              <w:t>Stripe webhook fires subscription update</w:t>
            </w:r>
          </w:p>
        </w:tc>
        <w:tc>
          <w:tcPr>
            <w:tcW w:w="1872" w:type="dxa"/>
            <w:tcBorders/>
          </w:tcPr>
          <w:p>
            <w:pPr>
              <w:pStyle w:val="Normal"/>
              <w:rPr/>
            </w:pPr>
            <w:r>
              <w:rPr/>
              <w:t>{ user_id, old_plan_id, new_plan_id, change_reason }</w:t>
            </w:r>
          </w:p>
        </w:tc>
        <w:tc>
          <w:tcPr>
            <w:tcW w:w="1872" w:type="dxa"/>
            <w:tcBorders/>
          </w:tcPr>
          <w:p>
            <w:pPr>
              <w:pStyle w:val="Normal"/>
              <w:rPr/>
            </w:pPr>
            <w:r>
              <w:rPr/>
              <w:t>API Gateway (entitlement cache refresh)</w:t>
            </w:r>
          </w:p>
        </w:tc>
      </w:tr>
      <w:tr>
        <w:trPr/>
        <w:tc>
          <w:tcPr>
            <w:tcW w:w="1872" w:type="dxa"/>
            <w:tcBorders/>
          </w:tcPr>
          <w:p>
            <w:pPr>
              <w:pStyle w:val="Normal"/>
              <w:rPr/>
            </w:pPr>
            <w:r>
              <w:rPr/>
              <w:t>user.created</w:t>
            </w:r>
          </w:p>
        </w:tc>
        <w:tc>
          <w:tcPr>
            <w:tcW w:w="1872" w:type="dxa"/>
            <w:tcBorders/>
          </w:tcPr>
          <w:p>
            <w:pPr>
              <w:pStyle w:val="Normal"/>
              <w:rPr/>
            </w:pPr>
            <w:r>
              <w:rPr/>
              <w:t>Identity Service</w:t>
            </w:r>
          </w:p>
        </w:tc>
        <w:tc>
          <w:tcPr>
            <w:tcW w:w="1872" w:type="dxa"/>
            <w:tcBorders/>
          </w:tcPr>
          <w:p>
            <w:pPr>
              <w:pStyle w:val="Normal"/>
              <w:rPr/>
            </w:pPr>
            <w:r>
              <w:rPr/>
              <w:t>Registration completes and email is verified</w:t>
            </w:r>
          </w:p>
        </w:tc>
        <w:tc>
          <w:tcPr>
            <w:tcW w:w="1872" w:type="dxa"/>
            <w:tcBorders/>
          </w:tcPr>
          <w:p>
            <w:pPr>
              <w:pStyle w:val="Normal"/>
              <w:rPr/>
            </w:pPr>
            <w:r>
              <w:rPr/>
              <w:t>{ user_id, email, plan_id, created_at }</w:t>
            </w:r>
          </w:p>
        </w:tc>
        <w:tc>
          <w:tcPr>
            <w:tcW w:w="1872" w:type="dxa"/>
            <w:tcBorders/>
          </w:tcPr>
          <w:p>
            <w:pPr>
              <w:pStyle w:val="Normal"/>
              <w:rPr/>
            </w:pPr>
            <w:r>
              <w:rPr/>
              <w:t>Notification Service (welcome email), Billing Service (free-trial enrolment)</w:t>
            </w:r>
          </w:p>
        </w:tc>
      </w:tr>
      <w:tr>
        <w:trPr/>
        <w:tc>
          <w:tcPr>
            <w:tcW w:w="1872" w:type="dxa"/>
            <w:tcBorders/>
          </w:tcPr>
          <w:p>
            <w:pPr>
              <w:pStyle w:val="Normal"/>
              <w:rPr/>
            </w:pPr>
            <w:r>
              <w:rPr/>
              <w:t>user.mfa_enrolled</w:t>
            </w:r>
          </w:p>
        </w:tc>
        <w:tc>
          <w:tcPr>
            <w:tcW w:w="1872" w:type="dxa"/>
            <w:tcBorders/>
          </w:tcPr>
          <w:p>
            <w:pPr>
              <w:pStyle w:val="Normal"/>
              <w:rPr/>
            </w:pPr>
            <w:r>
              <w:rPr/>
              <w:t>Identity Service</w:t>
            </w:r>
          </w:p>
        </w:tc>
        <w:tc>
          <w:tcPr>
            <w:tcW w:w="1872" w:type="dxa"/>
            <w:tcBorders/>
          </w:tcPr>
          <w:p>
            <w:pPr>
              <w:pStyle w:val="Normal"/>
              <w:rPr/>
            </w:pPr>
            <w:r>
              <w:rPr/>
              <w:t>TOTP or email OTP enrolment completes</w:t>
            </w:r>
          </w:p>
        </w:tc>
        <w:tc>
          <w:tcPr>
            <w:tcW w:w="1872" w:type="dxa"/>
            <w:tcBorders/>
          </w:tcPr>
          <w:p>
            <w:pPr>
              <w:pStyle w:val="Normal"/>
              <w:rPr/>
            </w:pPr>
            <w:r>
              <w:rPr/>
              <w:t>{ user_id, mfa_type, enrolled_at }</w:t>
            </w:r>
          </w:p>
        </w:tc>
        <w:tc>
          <w:tcPr>
            <w:tcW w:w="1872" w:type="dxa"/>
            <w:tcBorders/>
          </w:tcPr>
          <w:p>
            <w:pPr>
              <w:pStyle w:val="Normal"/>
              <w:rPr/>
            </w:pPr>
            <w:r>
              <w:rPr/>
              <w:t>Notification Service (confirmation)</w:t>
            </w:r>
          </w:p>
        </w:tc>
      </w:tr>
      <w:tr>
        <w:trPr/>
        <w:tc>
          <w:tcPr>
            <w:tcW w:w="1872" w:type="dxa"/>
            <w:tcBorders/>
          </w:tcPr>
          <w:p>
            <w:pPr>
              <w:pStyle w:val="Normal"/>
              <w:rPr/>
            </w:pPr>
            <w:r>
              <w:rPr/>
              <w:t>user.deleted</w:t>
            </w:r>
          </w:p>
        </w:tc>
        <w:tc>
          <w:tcPr>
            <w:tcW w:w="1872" w:type="dxa"/>
            <w:tcBorders/>
          </w:tcPr>
          <w:p>
            <w:pPr>
              <w:pStyle w:val="Normal"/>
              <w:rPr/>
            </w:pPr>
            <w:r>
              <w:rPr/>
              <w:t>Identity Service</w:t>
            </w:r>
          </w:p>
        </w:tc>
        <w:tc>
          <w:tcPr>
            <w:tcW w:w="1872" w:type="dxa"/>
            <w:tcBorders/>
          </w:tcPr>
          <w:p>
            <w:pPr>
              <w:pStyle w:val="Normal"/>
              <w:rPr/>
            </w:pPr>
            <w:r>
              <w:rPr/>
              <w:t>GDPR erasure endpoint executed</w:t>
            </w:r>
          </w:p>
        </w:tc>
        <w:tc>
          <w:tcPr>
            <w:tcW w:w="1872" w:type="dxa"/>
            <w:tcBorders/>
          </w:tcPr>
          <w:p>
            <w:pPr>
              <w:pStyle w:val="Normal"/>
              <w:rPr/>
            </w:pPr>
            <w:r>
              <w:rPr/>
              <w:t>{ user_id, anonymised_user_token, deleted_at }</w:t>
            </w:r>
          </w:p>
        </w:tc>
        <w:tc>
          <w:tcPr>
            <w:tcW w:w="1872" w:type="dxa"/>
            <w:tcBorders/>
          </w:tcPr>
          <w:p>
            <w:pPr>
              <w:pStyle w:val="Normal"/>
              <w:rPr/>
            </w:pPr>
            <w:r>
              <w:rPr/>
              <w:t>History Service (anonymise), Catalogue Service (purge watchlist), Billing Service (cancel subscription)</w:t>
            </w:r>
          </w:p>
        </w:tc>
      </w:tr>
      <w:tr>
        <w:trPr/>
        <w:tc>
          <w:tcPr>
            <w:tcW w:w="1872" w:type="dxa"/>
            <w:tcBorders/>
          </w:tcPr>
          <w:p>
            <w:pPr>
              <w:pStyle w:val="Normal"/>
              <w:rPr/>
            </w:pPr>
            <w:r>
              <w:rPr/>
              <w:t>session.revoked</w:t>
            </w:r>
          </w:p>
        </w:tc>
        <w:tc>
          <w:tcPr>
            <w:tcW w:w="1872" w:type="dxa"/>
            <w:tcBorders/>
          </w:tcPr>
          <w:p>
            <w:pPr>
              <w:pStyle w:val="Normal"/>
              <w:rPr/>
            </w:pPr>
            <w:r>
              <w:rPr/>
              <w:t>Identity Service</w:t>
            </w:r>
          </w:p>
        </w:tc>
        <w:tc>
          <w:tcPr>
            <w:tcW w:w="1872" w:type="dxa"/>
            <w:tcBorders/>
          </w:tcPr>
          <w:p>
            <w:pPr>
              <w:pStyle w:val="Normal"/>
              <w:rPr/>
            </w:pPr>
            <w:r>
              <w:rPr/>
              <w:t>User signs out all sessions or admin forces logout</w:t>
            </w:r>
          </w:p>
        </w:tc>
        <w:tc>
          <w:tcPr>
            <w:tcW w:w="1872" w:type="dxa"/>
            <w:tcBorders/>
          </w:tcPr>
          <w:p>
            <w:pPr>
              <w:pStyle w:val="Normal"/>
              <w:rPr/>
            </w:pPr>
            <w:r>
              <w:rPr/>
              <w:t>{ user_id, session_id, revoked_at, reason }</w:t>
            </w:r>
          </w:p>
        </w:tc>
        <w:tc>
          <w:tcPr>
            <w:tcW w:w="1872" w:type="dxa"/>
            <w:tcBorders/>
          </w:tcPr>
          <w:p>
            <w:pPr>
              <w:pStyle w:val="Normal"/>
              <w:rPr/>
            </w:pPr>
            <w:r>
              <w:rPr/>
              <w:t>API Gateway (invalidate Redis cache)</w:t>
            </w:r>
          </w:p>
        </w:tc>
      </w:tr>
      <w:tr>
        <w:trPr/>
        <w:tc>
          <w:tcPr>
            <w:tcW w:w="1872" w:type="dxa"/>
            <w:tcBorders/>
          </w:tcPr>
          <w:p>
            <w:pPr>
              <w:pStyle w:val="Normal"/>
              <w:rPr/>
            </w:pPr>
            <w:r>
              <w:rPr/>
              <w:t>vault.accessed</w:t>
            </w:r>
          </w:p>
        </w:tc>
        <w:tc>
          <w:tcPr>
            <w:tcW w:w="1872" w:type="dxa"/>
            <w:tcBorders/>
          </w:tcPr>
          <w:p>
            <w:pPr>
              <w:pStyle w:val="Normal"/>
              <w:rPr/>
            </w:pPr>
            <w:r>
              <w:rPr/>
              <w:t>Credential Vault Service</w:t>
            </w:r>
          </w:p>
        </w:tc>
        <w:tc>
          <w:tcPr>
            <w:tcW w:w="1872" w:type="dxa"/>
            <w:tcBorders/>
          </w:tcPr>
          <w:p>
            <w:pPr>
              <w:pStyle w:val="Normal"/>
              <w:rPr/>
            </w:pPr>
            <w:r>
              <w:rPr/>
              <w:t>Token retrieved by Approvals Service</w:t>
            </w:r>
          </w:p>
        </w:tc>
        <w:tc>
          <w:tcPr>
            <w:tcW w:w="1872" w:type="dxa"/>
            <w:tcBorders/>
          </w:tcPr>
          <w:p>
            <w:pPr>
              <w:pStyle w:val="Normal"/>
              <w:rPr/>
            </w:pPr>
            <w:r>
              <w:rPr/>
              <w:t>{ user_id, sell_channel, requesting_service, accessed_at }</w:t>
            </w:r>
          </w:p>
        </w:tc>
        <w:tc>
          <w:tcPr>
            <w:tcW w:w="1872" w:type="dxa"/>
            <w:tcBorders/>
          </w:tcPr>
          <w:p>
            <w:pPr>
              <w:pStyle w:val="Normal"/>
              <w:rPr/>
            </w:pPr>
            <w:r>
              <w:rPr/>
              <w:t>Audit log only</w:t>
            </w:r>
          </w:p>
        </w:tc>
      </w:tr>
      <w:tr>
        <w:trPr/>
        <w:tc>
          <w:tcPr>
            <w:tcW w:w="1872" w:type="dxa"/>
            <w:tcBorders/>
          </w:tcPr>
          <w:p>
            <w:pPr>
              <w:pStyle w:val="Normal"/>
              <w:rPr/>
            </w:pPr>
            <w:r>
              <w:rPr/>
              <w:t>job.fired</w:t>
            </w:r>
          </w:p>
        </w:tc>
        <w:tc>
          <w:tcPr>
            <w:tcW w:w="1872" w:type="dxa"/>
            <w:tcBorders/>
          </w:tcPr>
          <w:p>
            <w:pPr>
              <w:pStyle w:val="Normal"/>
              <w:rPr/>
            </w:pPr>
            <w:r>
              <w:rPr/>
              <w:t>Jobs Service</w:t>
            </w:r>
          </w:p>
        </w:tc>
        <w:tc>
          <w:tcPr>
            <w:tcW w:w="1872" w:type="dxa"/>
            <w:tcBorders/>
          </w:tcPr>
          <w:p>
            <w:pPr>
              <w:pStyle w:val="Normal"/>
              <w:rPr/>
            </w:pPr>
            <w:r>
              <w:rPr/>
              <w:t>Hangfire dispatches a scheduled job</w:t>
            </w:r>
          </w:p>
        </w:tc>
        <w:tc>
          <w:tcPr>
            <w:tcW w:w="1872" w:type="dxa"/>
            <w:tcBorders/>
          </w:tcPr>
          <w:p>
            <w:pPr>
              <w:pStyle w:val="Normal"/>
              <w:rPr/>
            </w:pPr>
            <w:r>
              <w:rPr/>
              <w:t>{ job_id, job_type, triggered_at, retry_count }</w:t>
            </w:r>
          </w:p>
        </w:tc>
        <w:tc>
          <w:tcPr>
            <w:tcW w:w="1872" w:type="dxa"/>
            <w:tcBorders/>
          </w:tcPr>
          <w:p>
            <w:pPr>
              <w:pStyle w:val="Normal"/>
              <w:rPr/>
            </w:pPr>
            <w:r>
              <w:rPr/>
              <w:t>All services (observability)</w:t>
            </w:r>
          </w:p>
        </w:tc>
      </w:tr>
      <w:tr>
        <w:trPr/>
        <w:tc>
          <w:tcPr>
            <w:tcW w:w="1872" w:type="dxa"/>
            <w:tcBorders/>
          </w:tcPr>
          <w:p>
            <w:pPr>
              <w:pStyle w:val="Normal"/>
              <w:rPr/>
            </w:pPr>
            <w:r>
              <w:rPr/>
              <w:t>job.completed</w:t>
            </w:r>
          </w:p>
        </w:tc>
        <w:tc>
          <w:tcPr>
            <w:tcW w:w="1872" w:type="dxa"/>
            <w:tcBorders/>
          </w:tcPr>
          <w:p>
            <w:pPr>
              <w:pStyle w:val="Normal"/>
              <w:rPr/>
            </w:pPr>
            <w:r>
              <w:rPr/>
              <w:t>Jobs Service</w:t>
            </w:r>
          </w:p>
        </w:tc>
        <w:tc>
          <w:tcPr>
            <w:tcW w:w="1872" w:type="dxa"/>
            <w:tcBorders/>
          </w:tcPr>
          <w:p>
            <w:pPr>
              <w:pStyle w:val="Normal"/>
              <w:rPr/>
            </w:pPr>
            <w:r>
              <w:rPr/>
              <w:t>Job finishes successfully</w:t>
            </w:r>
          </w:p>
        </w:tc>
        <w:tc>
          <w:tcPr>
            <w:tcW w:w="1872" w:type="dxa"/>
            <w:tcBorders/>
          </w:tcPr>
          <w:p>
            <w:pPr>
              <w:pStyle w:val="Normal"/>
              <w:rPr/>
            </w:pPr>
            <w:r>
              <w:rPr/>
              <w:t>{ job_id, completed_at, duration_ms }</w:t>
            </w:r>
          </w:p>
        </w:tc>
        <w:tc>
          <w:tcPr>
            <w:tcW w:w="1872" w:type="dxa"/>
            <w:tcBorders/>
          </w:tcPr>
          <w:p>
            <w:pPr>
              <w:pStyle w:val="Normal"/>
              <w:rPr/>
            </w:pPr>
            <w:r>
              <w:rPr/>
              <w:t>All services (observability)</w:t>
            </w:r>
          </w:p>
        </w:tc>
      </w:tr>
      <w:tr>
        <w:trPr/>
        <w:tc>
          <w:tcPr>
            <w:tcW w:w="1872" w:type="dxa"/>
            <w:tcBorders/>
          </w:tcPr>
          <w:p>
            <w:pPr>
              <w:pStyle w:val="Normal"/>
              <w:rPr/>
            </w:pPr>
            <w:r>
              <w:rPr/>
              <w:t>job.failed</w:t>
            </w:r>
          </w:p>
        </w:tc>
        <w:tc>
          <w:tcPr>
            <w:tcW w:w="1872" w:type="dxa"/>
            <w:tcBorders/>
          </w:tcPr>
          <w:p>
            <w:pPr>
              <w:pStyle w:val="Normal"/>
              <w:rPr/>
            </w:pPr>
            <w:r>
              <w:rPr/>
              <w:t>Jobs Service</w:t>
            </w:r>
          </w:p>
        </w:tc>
        <w:tc>
          <w:tcPr>
            <w:tcW w:w="1872" w:type="dxa"/>
            <w:tcBorders/>
          </w:tcPr>
          <w:p>
            <w:pPr>
              <w:pStyle w:val="Normal"/>
              <w:rPr/>
            </w:pPr>
            <w:r>
              <w:rPr/>
              <w:t>Job fails after max retries</w:t>
            </w:r>
          </w:p>
        </w:tc>
        <w:tc>
          <w:tcPr>
            <w:tcW w:w="1872" w:type="dxa"/>
            <w:tcBorders/>
          </w:tcPr>
          <w:p>
            <w:pPr>
              <w:pStyle w:val="Normal"/>
              <w:rPr/>
            </w:pPr>
            <w:r>
              <w:rPr/>
              <w:t>{ job_id, last_error, retry_count }</w:t>
            </w:r>
          </w:p>
        </w:tc>
        <w:tc>
          <w:tcPr>
            <w:tcW w:w="1872" w:type="dxa"/>
            <w:tcBorders/>
          </w:tcPr>
          <w:p>
            <w:pPr>
              <w:pStyle w:val="Normal"/>
              <w:rPr/>
            </w:pPr>
            <w:r>
              <w:rPr/>
              <w:t>All services (alerting)</w:t>
            </w:r>
          </w:p>
        </w:tc>
      </w:tr>
      <w:tr>
        <w:trPr/>
        <w:tc>
          <w:tcPr>
            <w:tcW w:w="1872" w:type="dxa"/>
            <w:tcBorders/>
          </w:tcPr>
          <w:p>
            <w:pPr>
              <w:pStyle w:val="Normal"/>
              <w:rPr/>
            </w:pPr>
            <w:r>
              <w:rPr/>
              <w:t>system.scraper_circuit_open</w:t>
            </w:r>
          </w:p>
        </w:tc>
        <w:tc>
          <w:tcPr>
            <w:tcW w:w="1872" w:type="dxa"/>
            <w:tcBorders/>
          </w:tcPr>
          <w:p>
            <w:pPr>
              <w:pStyle w:val="Normal"/>
              <w:rPr/>
            </w:pPr>
            <w:r>
              <w:rPr/>
              <w:t>Ingestion Service</w:t>
            </w:r>
          </w:p>
        </w:tc>
        <w:tc>
          <w:tcPr>
            <w:tcW w:w="1872" w:type="dxa"/>
            <w:tcBorders/>
          </w:tcPr>
          <w:p>
            <w:pPr>
              <w:pStyle w:val="Normal"/>
              <w:rPr/>
            </w:pPr>
            <w:r>
              <w:rPr/>
              <w:t>Circuit breaker threshold breached for a retailer</w:t>
            </w:r>
          </w:p>
        </w:tc>
        <w:tc>
          <w:tcPr>
            <w:tcW w:w="1872" w:type="dxa"/>
            <w:tcBorders/>
          </w:tcPr>
          <w:p>
            <w:pPr>
              <w:pStyle w:val="Normal"/>
              <w:rPr/>
            </w:pPr>
            <w:r>
              <w:rPr/>
              <w:t>{ retailer, failure_rate, threshold_breached_at }</w:t>
            </w:r>
          </w:p>
        </w:tc>
        <w:tc>
          <w:tcPr>
            <w:tcW w:w="1872" w:type="dxa"/>
            <w:tcBorders/>
          </w:tcPr>
          <w:p>
            <w:pPr>
              <w:pStyle w:val="Normal"/>
              <w:rPr/>
            </w:pPr>
            <w:r>
              <w:rPr/>
              <w:t>Notification Service (warning), Jobs Service (suspend scan jobs)</w:t>
            </w:r>
          </w:p>
        </w:tc>
      </w:tr>
    </w:tbl>
    <w:p>
      <w:pPr>
        <w:pStyle w:val="Heading2"/>
        <w:spacing w:before="280" w:after="100"/>
        <w:rPr/>
      </w:pPr>
      <w:r>
        <w:rPr>
          <w:rFonts w:eastAsia="Arial" w:cs="Arial"/>
          <w:b/>
          <w:bCs/>
          <w:color w:val="1A1A2E"/>
          <w:sz w:val="26"/>
          <w:szCs w:val="26"/>
        </w:rPr>
        <w:t>3.3 Event Bus Schema</w:t>
      </w:r>
    </w:p>
    <w:p>
      <w:pPr>
        <w:pStyle w:val="Normal"/>
        <w:spacing w:before="60" w:after="60"/>
        <w:rPr/>
      </w:pPr>
      <w:r>
        <w:rPr>
          <w:rFonts w:eastAsia="Arial" w:cs="Arial"/>
          <w:color w:val="1A1A2E"/>
          <w:sz w:val="22"/>
          <w:szCs w:val="22"/>
        </w:rPr>
        <w:t>All inter-service events flow through Redis Streams. Each stream is named by domain. Events carry a standard envelope plus domain-specific payload.</w:t>
      </w:r>
    </w:p>
    <w:p>
      <w:pPr>
        <w:pStyle w:val="Normal"/>
        <w:spacing w:before="0" w:after="0"/>
        <w:rPr/>
      </w:pPr>
      <w:r>
        <w:rPr/>
      </w:r>
    </w:p>
    <w:p>
      <w:pPr>
        <w:pStyle w:val="Heading3"/>
        <w:spacing w:before="200" w:after="80"/>
        <w:rPr/>
      </w:pPr>
      <w:r>
        <w:rPr>
          <w:rFonts w:eastAsia="Arial" w:cs="Arial"/>
          <w:b/>
          <w:bCs/>
          <w:color w:val="1A56DB"/>
          <w:sz w:val="22"/>
          <w:szCs w:val="22"/>
        </w:rPr>
        <w:t>Standard Event Envelope</w:t>
      </w:r>
    </w:p>
    <w:p>
      <w:pPr>
        <w:pStyle w:val="Normal"/>
        <w:shd w:val="clear" w:fill="F4F6F9"/>
        <w:spacing w:before="60" w:after="60"/>
        <w:ind w:start="720"/>
        <w:rPr/>
      </w:pPr>
      <w:r>
        <w:rPr>
          <w:rFonts w:eastAsia="Courier New" w:cs="Courier New" w:ascii="Courier New" w:hAnsi="Courier New"/>
          <w:color w:val="1A56DB"/>
          <w:sz w:val="20"/>
          <w:szCs w:val="20"/>
        </w:rPr>
        <w:t>{ "event_id": "uuid-v4", "event_type": "deal.surfaced", "schema_version": "1.0",</w:t>
      </w:r>
    </w:p>
    <w:p>
      <w:pPr>
        <w:pStyle w:val="Normal"/>
        <w:shd w:val="clear" w:fill="F4F6F9"/>
        <w:spacing w:before="60" w:after="60"/>
        <w:ind w:start="720"/>
        <w:rPr/>
      </w:pPr>
      <w:r>
        <w:rPr>
          <w:rFonts w:eastAsia="Courier New" w:cs="Courier New" w:ascii="Courier New" w:hAnsi="Courier New"/>
          <w:color w:val="1A56DB"/>
          <w:sz w:val="20"/>
          <w:szCs w:val="20"/>
        </w:rPr>
        <w:t xml:space="preserve">  </w:t>
      </w:r>
      <w:r>
        <w:rPr>
          <w:rFonts w:eastAsia="Courier New" w:cs="Courier New" w:ascii="Courier New" w:hAnsi="Courier New"/>
          <w:color w:val="1A56DB"/>
          <w:sz w:val="20"/>
          <w:szCs w:val="20"/>
        </w:rPr>
        <w:t>"timestamp": "2026-06-02T09:47:12Z", "source_service": "opportunity-engine",</w:t>
      </w:r>
    </w:p>
    <w:p>
      <w:pPr>
        <w:pStyle w:val="Normal"/>
        <w:shd w:val="clear" w:fill="F4F6F9"/>
        <w:spacing w:before="60" w:after="60"/>
        <w:ind w:start="720"/>
        <w:rPr/>
      </w:pPr>
      <w:r>
        <w:rPr>
          <w:rFonts w:eastAsia="Courier New" w:cs="Courier New" w:ascii="Courier New" w:hAnsi="Courier New"/>
          <w:color w:val="1A56DB"/>
          <w:sz w:val="20"/>
          <w:szCs w:val="20"/>
        </w:rPr>
        <w:t xml:space="preserve">  </w:t>
      </w:r>
      <w:r>
        <w:rPr>
          <w:rFonts w:eastAsia="Courier New" w:cs="Courier New" w:ascii="Courier New" w:hAnsi="Courier New"/>
          <w:color w:val="1A56DB"/>
          <w:sz w:val="20"/>
          <w:szCs w:val="20"/>
        </w:rPr>
        <w:t>"correlation_id": "uuid-v4", "payload": { ... } }</w:t>
      </w:r>
    </w:p>
    <w:p>
      <w:pPr>
        <w:pStyle w:val="Normal"/>
        <w:spacing w:before="0" w:after="0"/>
        <w:rPr/>
      </w:pPr>
      <w:r>
        <w:rPr/>
      </w:r>
    </w:p>
    <w:tbl>
      <w:tblPr>
        <w:tblW w:w="9360" w:type="dxa"/>
        <w:jc w:val="start"/>
        <w:tblInd w:w="0" w:type="dxa"/>
        <w:tblLayout w:type="fixed"/>
        <w:tblCellMar>
          <w:top w:w="100" w:type="dxa"/>
          <w:start w:w="140" w:type="dxa"/>
          <w:bottom w:w="100" w:type="dxa"/>
          <w:end w:w="140" w:type="dxa"/>
        </w:tblCellMar>
      </w:tblPr>
      <w:tblGrid>
        <w:gridCol w:w="2398"/>
        <w:gridCol w:w="2400"/>
        <w:gridCol w:w="2002"/>
        <w:gridCol w:w="2560"/>
      </w:tblGrid>
      <w:tr>
        <w:trPr>
          <w:tblHeader w:val="true"/>
        </w:trPr>
        <w:tc>
          <w:tcPr>
            <w:tcW w:w="2398" w:type="dxa"/>
            <w:tcBorders>
              <w:top w:val="single" w:sz="2" w:space="0" w:color="1A56DB"/>
              <w:start w:val="single" w:sz="2" w:space="0" w:color="1A56DB"/>
              <w:bottom w:val="single" w:sz="2" w:space="0" w:color="1A56DB"/>
              <w:end w:val="single" w:sz="2" w:space="0" w:color="1A56DB"/>
            </w:tcBorders>
            <w:shd w:fill="1A56DB" w:val="clear"/>
            <w:vAlign w:val="center"/>
          </w:tcPr>
          <w:p>
            <w:pPr>
              <w:pStyle w:val="Normal"/>
              <w:jc w:val="center"/>
              <w:rPr/>
            </w:pPr>
            <w:r>
              <w:rPr>
                <w:rFonts w:eastAsia="Arial" w:cs="Arial"/>
                <w:b/>
                <w:bCs/>
                <w:color w:val="FFFFFF"/>
                <w:sz w:val="19"/>
                <w:szCs w:val="19"/>
              </w:rPr>
              <w:t>Stream Name</w:t>
            </w:r>
          </w:p>
        </w:tc>
        <w:tc>
          <w:tcPr>
            <w:tcW w:w="2400" w:type="dxa"/>
            <w:tcBorders>
              <w:top w:val="single" w:sz="2" w:space="0" w:color="1A56DB"/>
              <w:start w:val="single" w:sz="2" w:space="0" w:color="1A56DB"/>
              <w:bottom w:val="single" w:sz="2" w:space="0" w:color="1A56DB"/>
              <w:end w:val="single" w:sz="2" w:space="0" w:color="1A56DB"/>
            </w:tcBorders>
            <w:shd w:fill="1A56DB" w:val="clear"/>
            <w:vAlign w:val="center"/>
          </w:tcPr>
          <w:p>
            <w:pPr>
              <w:pStyle w:val="Normal"/>
              <w:jc w:val="center"/>
              <w:rPr/>
            </w:pPr>
            <w:r>
              <w:rPr>
                <w:rFonts w:eastAsia="Arial" w:cs="Arial"/>
                <w:b/>
                <w:bCs/>
                <w:color w:val="FFFFFF"/>
                <w:sz w:val="19"/>
                <w:szCs w:val="19"/>
              </w:rPr>
              <w:t>Events Published</w:t>
            </w:r>
          </w:p>
        </w:tc>
        <w:tc>
          <w:tcPr>
            <w:tcW w:w="2002" w:type="dxa"/>
            <w:tcBorders>
              <w:top w:val="single" w:sz="2" w:space="0" w:color="1A56DB"/>
              <w:start w:val="single" w:sz="2" w:space="0" w:color="1A56DB"/>
              <w:bottom w:val="single" w:sz="2" w:space="0" w:color="1A56DB"/>
              <w:end w:val="single" w:sz="2" w:space="0" w:color="1A56DB"/>
            </w:tcBorders>
            <w:shd w:fill="1A56DB" w:val="clear"/>
            <w:vAlign w:val="center"/>
          </w:tcPr>
          <w:p>
            <w:pPr>
              <w:pStyle w:val="Normal"/>
              <w:jc w:val="center"/>
              <w:rPr/>
            </w:pPr>
            <w:r>
              <w:rPr>
                <w:rFonts w:eastAsia="Arial" w:cs="Arial"/>
                <w:b/>
                <w:bCs/>
                <w:color w:val="FFFFFF"/>
                <w:sz w:val="19"/>
                <w:szCs w:val="19"/>
              </w:rPr>
              <w:t>Producer</w:t>
            </w:r>
          </w:p>
        </w:tc>
        <w:tc>
          <w:tcPr>
            <w:tcW w:w="2560" w:type="dxa"/>
            <w:tcBorders>
              <w:top w:val="single" w:sz="2" w:space="0" w:color="1A56DB"/>
              <w:start w:val="single" w:sz="2" w:space="0" w:color="1A56DB"/>
              <w:bottom w:val="single" w:sz="2" w:space="0" w:color="1A56DB"/>
              <w:end w:val="single" w:sz="2" w:space="0" w:color="1A56DB"/>
            </w:tcBorders>
            <w:shd w:fill="1A56DB" w:val="clear"/>
            <w:vAlign w:val="center"/>
          </w:tcPr>
          <w:p>
            <w:pPr>
              <w:pStyle w:val="Normal"/>
              <w:jc w:val="center"/>
              <w:rPr/>
            </w:pPr>
            <w:r>
              <w:rPr>
                <w:rFonts w:eastAsia="Arial" w:cs="Arial"/>
                <w:b/>
                <w:bCs/>
                <w:color w:val="FFFFFF"/>
                <w:sz w:val="19"/>
                <w:szCs w:val="19"/>
              </w:rPr>
              <w:t>Primary Consumers</w:t>
            </w:r>
          </w:p>
        </w:tc>
      </w:tr>
      <w:tr>
        <w:trPr/>
        <w:tc>
          <w:tcPr>
            <w:tcW w:w="2398"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bCs/>
                <w:color w:val="1A1A2E"/>
                <w:sz w:val="19"/>
                <w:szCs w:val="19"/>
              </w:rPr>
              <w:t>arbitrageiq:prices</w:t>
            </w:r>
          </w:p>
        </w:tc>
        <w:tc>
          <w:tcPr>
            <w:tcW w:w="24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price.ingested</w:t>
            </w:r>
          </w:p>
        </w:tc>
        <w:tc>
          <w:tcPr>
            <w:tcW w:w="2002"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Ingestion Service</w:t>
            </w:r>
          </w:p>
        </w:tc>
        <w:tc>
          <w:tcPr>
            <w:tcW w:w="256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Opportunity Engine, Catalogue Service</w:t>
            </w:r>
          </w:p>
        </w:tc>
      </w:tr>
      <w:tr>
        <w:trPr/>
        <w:tc>
          <w:tcPr>
            <w:tcW w:w="2398"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bCs/>
                <w:color w:val="1A1A2E"/>
                <w:sz w:val="19"/>
                <w:szCs w:val="19"/>
              </w:rPr>
              <w:t>arbitrageiq:deals</w:t>
            </w:r>
          </w:p>
        </w:tc>
        <w:tc>
          <w:tcPr>
            <w:tcW w:w="24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deal.surfaced, deal.approved, deal.purchased, deal.listed, deal.closed</w:t>
            </w:r>
          </w:p>
        </w:tc>
        <w:tc>
          <w:tcPr>
            <w:tcW w:w="2002"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Opportunity Engine, Approvals Service</w:t>
            </w:r>
          </w:p>
        </w:tc>
        <w:tc>
          <w:tcPr>
            <w:tcW w:w="256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Notification Service, History Service, Catalogue Service, Approvals Service</w:t>
            </w:r>
          </w:p>
        </w:tc>
      </w:tr>
      <w:tr>
        <w:trPr/>
        <w:tc>
          <w:tcPr>
            <w:tcW w:w="2398"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bCs/>
                <w:color w:val="1A1A2E"/>
                <w:sz w:val="19"/>
                <w:szCs w:val="19"/>
              </w:rPr>
              <w:t>arbitrageiq:catalogue</w:t>
            </w:r>
          </w:p>
        </w:tc>
        <w:tc>
          <w:tcPr>
            <w:tcW w:w="24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catalogue.scored</w:t>
            </w:r>
          </w:p>
        </w:tc>
        <w:tc>
          <w:tcPr>
            <w:tcW w:w="2002"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Catalogue Service</w:t>
            </w:r>
          </w:p>
        </w:tc>
        <w:tc>
          <w:tcPr>
            <w:tcW w:w="256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None (read via API)</w:t>
            </w:r>
          </w:p>
        </w:tc>
      </w:tr>
      <w:tr>
        <w:trPr/>
        <w:tc>
          <w:tcPr>
            <w:tcW w:w="2398"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bCs/>
                <w:color w:val="1A1A2E"/>
                <w:sz w:val="19"/>
                <w:szCs w:val="19"/>
              </w:rPr>
              <w:t>arbitrageiq:billing</w:t>
            </w:r>
          </w:p>
        </w:tc>
        <w:tc>
          <w:tcPr>
            <w:tcW w:w="24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plan.changed</w:t>
            </w:r>
          </w:p>
        </w:tc>
        <w:tc>
          <w:tcPr>
            <w:tcW w:w="2002"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Billing Service</w:t>
            </w:r>
          </w:p>
        </w:tc>
        <w:tc>
          <w:tcPr>
            <w:tcW w:w="256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API Gateway (entitlement cache refresh)</w:t>
            </w:r>
          </w:p>
        </w:tc>
      </w:tr>
      <w:tr>
        <w:trPr/>
        <w:tc>
          <w:tcPr>
            <w:tcW w:w="2398"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bCs/>
                <w:color w:val="1A1A2E"/>
                <w:sz w:val="19"/>
                <w:szCs w:val="19"/>
              </w:rPr>
              <w:t>arbitrageiq:identity</w:t>
            </w:r>
          </w:p>
        </w:tc>
        <w:tc>
          <w:tcPr>
            <w:tcW w:w="24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user.created, user.mfa_enrolled</w:t>
            </w:r>
          </w:p>
        </w:tc>
        <w:tc>
          <w:tcPr>
            <w:tcW w:w="2002"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Identity Service</w:t>
            </w:r>
          </w:p>
        </w:tc>
        <w:tc>
          <w:tcPr>
            <w:tcW w:w="256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Notification Service, Billing Service</w:t>
            </w:r>
          </w:p>
        </w:tc>
      </w:tr>
      <w:tr>
        <w:trPr/>
        <w:tc>
          <w:tcPr>
            <w:tcW w:w="2398"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bCs/>
                <w:color w:val="1A1A2E"/>
                <w:sz w:val="19"/>
                <w:szCs w:val="19"/>
              </w:rPr>
              <w:t>arbitrageiq:vault</w:t>
            </w:r>
          </w:p>
        </w:tc>
        <w:tc>
          <w:tcPr>
            <w:tcW w:w="24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vault.accessed</w:t>
            </w:r>
          </w:p>
        </w:tc>
        <w:tc>
          <w:tcPr>
            <w:tcW w:w="2002"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Credential Vault Service</w:t>
            </w:r>
          </w:p>
        </w:tc>
        <w:tc>
          <w:tcPr>
            <w:tcW w:w="256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Audit log only</w:t>
            </w:r>
          </w:p>
        </w:tc>
      </w:tr>
      <w:tr>
        <w:trPr/>
        <w:tc>
          <w:tcPr>
            <w:tcW w:w="2398"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bCs/>
                <w:color w:val="1A1A2E"/>
                <w:sz w:val="19"/>
                <w:szCs w:val="19"/>
              </w:rPr>
              <w:t>arbitrageiq:jobs</w:t>
            </w:r>
          </w:p>
        </w:tc>
        <w:tc>
          <w:tcPr>
            <w:tcW w:w="24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job.fired, job.completed, job.failed</w:t>
            </w:r>
          </w:p>
        </w:tc>
        <w:tc>
          <w:tcPr>
            <w:tcW w:w="2002"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Jobs Service</w:t>
            </w:r>
          </w:p>
        </w:tc>
        <w:tc>
          <w:tcPr>
            <w:tcW w:w="256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All services (observability)</w:t>
            </w:r>
          </w:p>
        </w:tc>
      </w:tr>
    </w:tbl>
    <w:p>
      <w:pPr>
        <w:pStyle w:val="Heading3"/>
        <w:spacing w:before="200" w:after="80"/>
        <w:rPr/>
      </w:pPr>
      <w:r>
        <w:rPr>
          <w:rFonts w:eastAsia="Arial" w:cs="Arial"/>
          <w:b/>
          <w:bCs/>
          <w:color w:val="1A56DB"/>
          <w:sz w:val="22"/>
          <w:szCs w:val="22"/>
        </w:rPr>
        <w:t>3.3.2  Consumer Group Topology</w:t>
      </w:r>
    </w:p>
    <w:p>
      <w:pPr>
        <w:pStyle w:val="Normal"/>
        <w:spacing w:before="60" w:after="60"/>
        <w:rPr/>
      </w:pPr>
      <w:r>
        <w:rPr>
          <w:rFonts w:eastAsia="Arial" w:cs="Arial"/>
          <w:color w:val="1A1A2E"/>
          <w:sz w:val="22"/>
          <w:szCs w:val="22"/>
        </w:rPr>
        <w:t>Redis Streams uses consumer groups to manage event delivery. The topology determines whether each consumer receives every event (independent groups) or whether consumers share the load (competing consumers within a single group). The correct pattern depends on whether the consuming service needs to process every event or just needs one processing.</w:t>
      </w:r>
    </w:p>
    <w:p>
      <w:pPr>
        <w:pStyle w:val="Normal"/>
        <w:spacing w:before="0" w:after="0"/>
        <w:rPr/>
      </w:pPr>
      <w:r>
        <w:rPr/>
      </w:r>
    </w:p>
    <w:tbl>
      <w:tblPr>
        <w:tblW w:w="9360" w:type="dxa"/>
        <w:jc w:val="start"/>
        <w:tblInd w:w="0" w:type="dxa"/>
        <w:tblLayout w:type="fixed"/>
        <w:tblCellMar>
          <w:top w:w="100" w:type="dxa"/>
          <w:start w:w="140" w:type="dxa"/>
          <w:bottom w:w="100" w:type="dxa"/>
          <w:end w:w="140" w:type="dxa"/>
        </w:tblCellMar>
      </w:tblPr>
      <w:tblGrid>
        <w:gridCol w:w="2000"/>
        <w:gridCol w:w="2000"/>
        <w:gridCol w:w="2200"/>
        <w:gridCol w:w="1560"/>
        <w:gridCol w:w="1600"/>
      </w:tblGrid>
      <w:tr>
        <w:trPr>
          <w:tblHeader w:val="true"/>
        </w:trPr>
        <w:tc>
          <w:tcPr>
            <w:tcW w:w="2000" w:type="dxa"/>
            <w:tcBorders>
              <w:top w:val="single" w:sz="2" w:space="0" w:color="1A56DB"/>
              <w:start w:val="single" w:sz="2" w:space="0" w:color="1A56DB"/>
              <w:bottom w:val="single" w:sz="2" w:space="0" w:color="1A56DB"/>
              <w:end w:val="single" w:sz="2" w:space="0" w:color="1A56DB"/>
            </w:tcBorders>
            <w:shd w:fill="1A56DB" w:val="clear"/>
            <w:vAlign w:val="center"/>
          </w:tcPr>
          <w:p>
            <w:pPr>
              <w:pStyle w:val="Normal"/>
              <w:jc w:val="center"/>
              <w:rPr/>
            </w:pPr>
            <w:r>
              <w:rPr>
                <w:rFonts w:eastAsia="Arial" w:cs="Arial"/>
                <w:b/>
                <w:bCs/>
                <w:color w:val="FFFFFF"/>
                <w:sz w:val="19"/>
                <w:szCs w:val="19"/>
              </w:rPr>
              <w:t>Stream</w:t>
            </w:r>
          </w:p>
        </w:tc>
        <w:tc>
          <w:tcPr>
            <w:tcW w:w="2000" w:type="dxa"/>
            <w:tcBorders>
              <w:top w:val="single" w:sz="2" w:space="0" w:color="1A56DB"/>
              <w:start w:val="single" w:sz="2" w:space="0" w:color="1A56DB"/>
              <w:bottom w:val="single" w:sz="2" w:space="0" w:color="1A56DB"/>
              <w:end w:val="single" w:sz="2" w:space="0" w:color="1A56DB"/>
            </w:tcBorders>
            <w:shd w:fill="1A56DB" w:val="clear"/>
            <w:vAlign w:val="center"/>
          </w:tcPr>
          <w:p>
            <w:pPr>
              <w:pStyle w:val="Normal"/>
              <w:jc w:val="center"/>
              <w:rPr/>
            </w:pPr>
            <w:r>
              <w:rPr>
                <w:rFonts w:eastAsia="Arial" w:cs="Arial"/>
                <w:b/>
                <w:bCs/>
                <w:color w:val="FFFFFF"/>
                <w:sz w:val="19"/>
                <w:szCs w:val="19"/>
              </w:rPr>
              <w:t>Consumer Group</w:t>
            </w:r>
          </w:p>
        </w:tc>
        <w:tc>
          <w:tcPr>
            <w:tcW w:w="2200" w:type="dxa"/>
            <w:tcBorders>
              <w:top w:val="single" w:sz="2" w:space="0" w:color="1A56DB"/>
              <w:start w:val="single" w:sz="2" w:space="0" w:color="1A56DB"/>
              <w:bottom w:val="single" w:sz="2" w:space="0" w:color="1A56DB"/>
              <w:end w:val="single" w:sz="2" w:space="0" w:color="1A56DB"/>
            </w:tcBorders>
            <w:shd w:fill="1A56DB" w:val="clear"/>
            <w:vAlign w:val="center"/>
          </w:tcPr>
          <w:p>
            <w:pPr>
              <w:pStyle w:val="Normal"/>
              <w:jc w:val="center"/>
              <w:rPr/>
            </w:pPr>
            <w:r>
              <w:rPr>
                <w:rFonts w:eastAsia="Arial" w:cs="Arial"/>
                <w:b/>
                <w:bCs/>
                <w:color w:val="FFFFFF"/>
                <w:sz w:val="19"/>
                <w:szCs w:val="19"/>
              </w:rPr>
              <w:t>Members</w:t>
            </w:r>
          </w:p>
        </w:tc>
        <w:tc>
          <w:tcPr>
            <w:tcW w:w="1560" w:type="dxa"/>
            <w:tcBorders>
              <w:top w:val="single" w:sz="2" w:space="0" w:color="1A56DB"/>
              <w:start w:val="single" w:sz="2" w:space="0" w:color="1A56DB"/>
              <w:bottom w:val="single" w:sz="2" w:space="0" w:color="1A56DB"/>
              <w:end w:val="single" w:sz="2" w:space="0" w:color="1A56DB"/>
            </w:tcBorders>
            <w:shd w:fill="1A56DB" w:val="clear"/>
            <w:vAlign w:val="center"/>
          </w:tcPr>
          <w:p>
            <w:pPr>
              <w:pStyle w:val="Normal"/>
              <w:jc w:val="center"/>
              <w:rPr/>
            </w:pPr>
            <w:r>
              <w:rPr>
                <w:rFonts w:eastAsia="Arial" w:cs="Arial"/>
                <w:b/>
                <w:bCs/>
                <w:color w:val="FFFFFF"/>
                <w:sz w:val="19"/>
                <w:szCs w:val="19"/>
              </w:rPr>
              <w:t>Pattern</w:t>
            </w:r>
          </w:p>
        </w:tc>
        <w:tc>
          <w:tcPr>
            <w:tcW w:w="1600" w:type="dxa"/>
            <w:tcBorders>
              <w:top w:val="single" w:sz="2" w:space="0" w:color="1A56DB"/>
              <w:start w:val="single" w:sz="2" w:space="0" w:color="1A56DB"/>
              <w:bottom w:val="single" w:sz="2" w:space="0" w:color="1A56DB"/>
              <w:end w:val="single" w:sz="2" w:space="0" w:color="1A56DB"/>
            </w:tcBorders>
            <w:shd w:fill="1A56DB" w:val="clear"/>
            <w:vAlign w:val="center"/>
          </w:tcPr>
          <w:p>
            <w:pPr>
              <w:pStyle w:val="Normal"/>
              <w:jc w:val="center"/>
              <w:rPr/>
            </w:pPr>
            <w:r>
              <w:rPr>
                <w:rFonts w:eastAsia="Arial" w:cs="Arial"/>
                <w:b/>
                <w:bCs/>
                <w:color w:val="FFFFFF"/>
                <w:sz w:val="19"/>
                <w:szCs w:val="19"/>
              </w:rPr>
              <w:t>Rationale</w:t>
            </w:r>
          </w:p>
        </w:tc>
      </w:tr>
      <w:tr>
        <w:trPr/>
        <w:tc>
          <w:tcPr>
            <w:tcW w:w="20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bCs/>
                <w:color w:val="1A1A2E"/>
                <w:sz w:val="19"/>
                <w:szCs w:val="19"/>
              </w:rPr>
              <w:t>arbitrageiq:prices</w:t>
            </w:r>
          </w:p>
        </w:tc>
        <w:tc>
          <w:tcPr>
            <w:tcW w:w="20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prices-opportunity</w:t>
            </w:r>
          </w:p>
        </w:tc>
        <w:tc>
          <w:tcPr>
            <w:tcW w:w="22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Opportunity Engine pods</w:t>
            </w:r>
          </w:p>
        </w:tc>
        <w:tc>
          <w:tcPr>
            <w:tcW w:w="156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Competing</w:t>
            </w:r>
          </w:p>
        </w:tc>
        <w:tc>
          <w:tcPr>
            <w:tcW w:w="16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Each price event need only be processed once. Multiple pods share load.</w:t>
            </w:r>
          </w:p>
        </w:tc>
      </w:tr>
      <w:tr>
        <w:trPr/>
        <w:tc>
          <w:tcPr>
            <w:tcW w:w="20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bCs/>
                <w:color w:val="1A1A2E"/>
                <w:sz w:val="19"/>
                <w:szCs w:val="19"/>
              </w:rPr>
              <w:t>arbitrageiq:prices</w:t>
            </w:r>
          </w:p>
        </w:tc>
        <w:tc>
          <w:tcPr>
            <w:tcW w:w="20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color w:val="1A1A2E"/>
                <w:sz w:val="19"/>
                <w:szCs w:val="19"/>
              </w:rPr>
              <w:t>prices-catalogue</w:t>
            </w:r>
          </w:p>
        </w:tc>
        <w:tc>
          <w:tcPr>
            <w:tcW w:w="22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color w:val="1A1A2E"/>
                <w:sz w:val="19"/>
                <w:szCs w:val="19"/>
              </w:rPr>
              <w:t>Catalogue Service pods</w:t>
            </w:r>
          </w:p>
        </w:tc>
        <w:tc>
          <w:tcPr>
            <w:tcW w:w="156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color w:val="1A1A2E"/>
                <w:sz w:val="19"/>
                <w:szCs w:val="19"/>
              </w:rPr>
              <w:t>Competing</w:t>
            </w:r>
          </w:p>
        </w:tc>
        <w:tc>
          <w:tcPr>
            <w:tcW w:w="16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color w:val="1A1A2E"/>
                <w:sz w:val="19"/>
                <w:szCs w:val="19"/>
              </w:rPr>
              <w:t>Catalogue also needs every price event, but independently of Opportunity Engine.</w:t>
            </w:r>
          </w:p>
        </w:tc>
      </w:tr>
      <w:tr>
        <w:trPr/>
        <w:tc>
          <w:tcPr>
            <w:tcW w:w="20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bCs/>
                <w:color w:val="1A1A2E"/>
                <w:sz w:val="19"/>
                <w:szCs w:val="19"/>
              </w:rPr>
              <w:t>arbitrageiq:deals</w:t>
            </w:r>
          </w:p>
        </w:tc>
        <w:tc>
          <w:tcPr>
            <w:tcW w:w="20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deals-notifications</w:t>
            </w:r>
          </w:p>
        </w:tc>
        <w:tc>
          <w:tcPr>
            <w:tcW w:w="22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Notification Service pods</w:t>
            </w:r>
          </w:p>
        </w:tc>
        <w:tc>
          <w:tcPr>
            <w:tcW w:w="156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Competing</w:t>
            </w:r>
          </w:p>
        </w:tc>
        <w:tc>
          <w:tcPr>
            <w:tcW w:w="16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Each deal.surfaced event triggers one notification fanout.</w:t>
            </w:r>
          </w:p>
        </w:tc>
      </w:tr>
      <w:tr>
        <w:trPr/>
        <w:tc>
          <w:tcPr>
            <w:tcW w:w="20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bCs/>
                <w:color w:val="1A1A2E"/>
                <w:sz w:val="19"/>
                <w:szCs w:val="19"/>
              </w:rPr>
              <w:t>arbitrageiq:deals</w:t>
            </w:r>
          </w:p>
        </w:tc>
        <w:tc>
          <w:tcPr>
            <w:tcW w:w="20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color w:val="1A1A2E"/>
                <w:sz w:val="19"/>
                <w:szCs w:val="19"/>
              </w:rPr>
              <w:t>deals-history</w:t>
            </w:r>
          </w:p>
        </w:tc>
        <w:tc>
          <w:tcPr>
            <w:tcW w:w="22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color w:val="1A1A2E"/>
                <w:sz w:val="19"/>
                <w:szCs w:val="19"/>
              </w:rPr>
              <w:t>History Service pods</w:t>
            </w:r>
          </w:p>
        </w:tc>
        <w:tc>
          <w:tcPr>
            <w:tcW w:w="156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color w:val="1A1A2E"/>
                <w:sz w:val="19"/>
                <w:szCs w:val="19"/>
              </w:rPr>
              <w:t>Competing</w:t>
            </w:r>
          </w:p>
        </w:tc>
        <w:tc>
          <w:tcPr>
            <w:tcW w:w="16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color w:val="1A1A2E"/>
                <w:sz w:val="19"/>
                <w:szCs w:val="19"/>
              </w:rPr>
              <w:t>Each deal.closed event writes one record.</w:t>
            </w:r>
          </w:p>
        </w:tc>
      </w:tr>
      <w:tr>
        <w:trPr/>
        <w:tc>
          <w:tcPr>
            <w:tcW w:w="20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bCs/>
                <w:color w:val="1A1A2E"/>
                <w:sz w:val="19"/>
                <w:szCs w:val="19"/>
              </w:rPr>
              <w:t>arbitrageiq:deals</w:t>
            </w:r>
          </w:p>
        </w:tc>
        <w:tc>
          <w:tcPr>
            <w:tcW w:w="20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deals-catalogue</w:t>
            </w:r>
          </w:p>
        </w:tc>
        <w:tc>
          <w:tcPr>
            <w:tcW w:w="22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Catalogue Service pods</w:t>
            </w:r>
          </w:p>
        </w:tc>
        <w:tc>
          <w:tcPr>
            <w:tcW w:w="156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Competing</w:t>
            </w:r>
          </w:p>
        </w:tc>
        <w:tc>
          <w:tcPr>
            <w:tcW w:w="16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deal.closed updates SKU composite score. Independent of History group.</w:t>
            </w:r>
          </w:p>
        </w:tc>
      </w:tr>
      <w:tr>
        <w:trPr/>
        <w:tc>
          <w:tcPr>
            <w:tcW w:w="20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bCs/>
                <w:color w:val="1A1A2E"/>
                <w:sz w:val="19"/>
                <w:szCs w:val="19"/>
              </w:rPr>
              <w:t>arbitrageiq:deals</w:t>
            </w:r>
          </w:p>
        </w:tc>
        <w:tc>
          <w:tcPr>
            <w:tcW w:w="20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color w:val="1A1A2E"/>
                <w:sz w:val="19"/>
                <w:szCs w:val="19"/>
              </w:rPr>
              <w:t>deals-approvals</w:t>
            </w:r>
          </w:p>
        </w:tc>
        <w:tc>
          <w:tcPr>
            <w:tcW w:w="22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color w:val="1A1A2E"/>
                <w:sz w:val="19"/>
                <w:szCs w:val="19"/>
              </w:rPr>
              <w:t>Approvals Service pods</w:t>
            </w:r>
          </w:p>
        </w:tc>
        <w:tc>
          <w:tcPr>
            <w:tcW w:w="156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color w:val="1A1A2E"/>
                <w:sz w:val="19"/>
                <w:szCs w:val="19"/>
              </w:rPr>
              <w:t>Competing</w:t>
            </w:r>
          </w:p>
        </w:tc>
        <w:tc>
          <w:tcPr>
            <w:tcW w:w="16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color w:val="1A1A2E"/>
                <w:sz w:val="19"/>
                <w:szCs w:val="19"/>
              </w:rPr>
              <w:t>Approvals consumes deal.surfaced to build the queue item.</w:t>
            </w:r>
          </w:p>
        </w:tc>
      </w:tr>
      <w:tr>
        <w:trPr/>
        <w:tc>
          <w:tcPr>
            <w:tcW w:w="20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bCs/>
                <w:color w:val="1A1A2E"/>
                <w:sz w:val="19"/>
                <w:szCs w:val="19"/>
              </w:rPr>
              <w:t>arbitrageiq:billing</w:t>
            </w:r>
          </w:p>
        </w:tc>
        <w:tc>
          <w:tcPr>
            <w:tcW w:w="20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billing-gateway</w:t>
            </w:r>
          </w:p>
        </w:tc>
        <w:tc>
          <w:tcPr>
            <w:tcW w:w="22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API Gateway pods</w:t>
            </w:r>
          </w:p>
        </w:tc>
        <w:tc>
          <w:tcPr>
            <w:tcW w:w="156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Competing</w:t>
            </w:r>
          </w:p>
        </w:tc>
        <w:tc>
          <w:tcPr>
            <w:tcW w:w="16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plan.changed events refresh the rate-limit entitlement cache.</w:t>
            </w:r>
          </w:p>
        </w:tc>
      </w:tr>
      <w:tr>
        <w:trPr/>
        <w:tc>
          <w:tcPr>
            <w:tcW w:w="20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bCs/>
                <w:color w:val="1A1A2E"/>
                <w:sz w:val="19"/>
                <w:szCs w:val="19"/>
              </w:rPr>
              <w:t>arbitrageiq:identity</w:t>
            </w:r>
          </w:p>
        </w:tc>
        <w:tc>
          <w:tcPr>
            <w:tcW w:w="20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color w:val="1A1A2E"/>
                <w:sz w:val="19"/>
                <w:szCs w:val="19"/>
              </w:rPr>
              <w:t>identity-notifications</w:t>
            </w:r>
          </w:p>
        </w:tc>
        <w:tc>
          <w:tcPr>
            <w:tcW w:w="22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color w:val="1A1A2E"/>
                <w:sz w:val="19"/>
                <w:szCs w:val="19"/>
              </w:rPr>
              <w:t>Notification Service pods</w:t>
            </w:r>
          </w:p>
        </w:tc>
        <w:tc>
          <w:tcPr>
            <w:tcW w:w="156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color w:val="1A1A2E"/>
                <w:sz w:val="19"/>
                <w:szCs w:val="19"/>
              </w:rPr>
              <w:t>Competing</w:t>
            </w:r>
          </w:p>
        </w:tc>
        <w:tc>
          <w:tcPr>
            <w:tcW w:w="16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color w:val="1A1A2E"/>
                <w:sz w:val="19"/>
                <w:szCs w:val="19"/>
              </w:rPr>
              <w:t>user.created triggers welcome email. Independent consumer group.</w:t>
            </w:r>
          </w:p>
        </w:tc>
      </w:tr>
    </w:tbl>
    <w:p>
      <w:pPr>
        <w:pStyle w:val="Normal"/>
        <w:spacing w:before="0" w:after="0"/>
        <w:rPr/>
      </w:pPr>
      <w:r>
        <w:rPr/>
      </w:r>
    </w:p>
    <w:p>
      <w:pPr>
        <w:pStyle w:val="Normal"/>
        <w:spacing w:before="40" w:after="40"/>
        <w:rPr/>
      </w:pPr>
      <w:r>
        <w:rPr>
          <w:rFonts w:eastAsia="Arial" w:cs="Arial"/>
          <w:i/>
          <w:iCs/>
          <w:color w:val="5D6D7E"/>
          <w:sz w:val="20"/>
          <w:szCs w:val="20"/>
        </w:rPr>
        <w:t>Competing consumers within a group: Redis delivers each message to exactly one consumer in the group. Independent groups: each group receives a full copy of every message. This topology ensures deal.closed is processed by both History Service and Catalogue Service without either blocking the other.</w:t>
      </w:r>
    </w:p>
    <w:p>
      <w:pPr>
        <w:pStyle w:val="Normal"/>
        <w:spacing w:before="0" w:after="0"/>
        <w:rPr/>
      </w:pPr>
      <w:r>
        <w:rPr/>
      </w:r>
    </w:p>
    <w:p>
      <w:pPr>
        <w:pStyle w:val="Normal"/>
        <w:spacing w:before="160" w:after="60"/>
        <w:rPr/>
      </w:pPr>
      <w:r>
        <w:rPr>
          <w:rFonts w:eastAsia="Arial" w:cs="Arial"/>
          <w:b/>
          <w:bCs/>
          <w:color w:val="1A1A2E"/>
          <w:sz w:val="22"/>
          <w:szCs w:val="22"/>
        </w:rPr>
        <w:t>Idempotency and At-Least-Once Delivery</w:t>
      </w:r>
    </w:p>
    <w:p>
      <w:pPr>
        <w:pStyle w:val="Normal"/>
        <w:spacing w:before="60" w:after="60"/>
        <w:rPr/>
      </w:pPr>
      <w:r>
        <w:rPr>
          <w:rFonts w:eastAsia="Arial" w:cs="Arial"/>
          <w:color w:val="1A1A2E"/>
          <w:sz w:val="22"/>
          <w:szCs w:val="22"/>
        </w:rPr>
        <w:t>Redis Streams guarantees at-least-once delivery. Consumers must be idempotent — processing the same event twice must produce the same result as processing it once. Implementation requirements per service:</w:t>
      </w:r>
    </w:p>
    <w:p>
      <w:pPr>
        <w:pStyle w:val="ListParagraph"/>
        <w:numPr>
          <w:ilvl w:val="0"/>
          <w:numId w:val="4"/>
        </w:numPr>
        <w:spacing w:before="40" w:after="40"/>
        <w:rPr/>
      </w:pPr>
      <w:r>
        <w:rPr>
          <w:rFonts w:eastAsia="Arial" w:cs="Arial"/>
          <w:color w:val="1A1A2E"/>
          <w:sz w:val="22"/>
          <w:szCs w:val="22"/>
        </w:rPr>
        <w:t>Opportunity Engine: deal events are keyed on sku_id + user_id + price_event_time. A duplicate price event for the same key within the same cadence window is discarded (Redis SETNX with TTL = cadence_minutes).</w:t>
      </w:r>
    </w:p>
    <w:p>
      <w:pPr>
        <w:pStyle w:val="ListParagraph"/>
        <w:numPr>
          <w:ilvl w:val="0"/>
          <w:numId w:val="2"/>
        </w:numPr>
        <w:spacing w:before="40" w:after="40"/>
        <w:rPr/>
      </w:pPr>
      <w:r>
        <w:rPr>
          <w:rFonts w:eastAsia="Arial" w:cs="Arial"/>
          <w:color w:val="1A1A2E"/>
          <w:sz w:val="22"/>
          <w:szCs w:val="22"/>
        </w:rPr>
        <w:t>Notification Service: notification_log uses a UNIQUE constraint on (user_id, deal_id, channel). Duplicate insert is silently ignored (ON CONFLICT DO NOTHING).</w:t>
      </w:r>
    </w:p>
    <w:p>
      <w:pPr>
        <w:pStyle w:val="ListParagraph"/>
        <w:numPr>
          <w:ilvl w:val="0"/>
          <w:numId w:val="2"/>
        </w:numPr>
        <w:spacing w:before="40" w:after="40"/>
        <w:rPr/>
      </w:pPr>
      <w:r>
        <w:rPr>
          <w:rFonts w:eastAsia="Arial" w:cs="Arial"/>
          <w:color w:val="1A1A2E"/>
          <w:sz w:val="22"/>
          <w:szCs w:val="22"/>
        </w:rPr>
        <w:t>History Service: deal_records uses a UNIQUE constraint on approval_queue_item_id. Duplicate insert raises a conflict that is caught and logged as a warning, not an error.</w:t>
      </w:r>
    </w:p>
    <w:p>
      <w:pPr>
        <w:pStyle w:val="ListParagraph"/>
        <w:numPr>
          <w:ilvl w:val="0"/>
          <w:numId w:val="2"/>
        </w:numPr>
        <w:spacing w:before="40" w:after="40"/>
        <w:rPr/>
      </w:pPr>
      <w:r>
        <w:rPr>
          <w:rFonts w:eastAsia="Arial" w:cs="Arial"/>
          <w:color w:val="1A1A2E"/>
          <w:sz w:val="22"/>
          <w:szCs w:val="22"/>
        </w:rPr>
        <w:t>Catalogue Service score updates: score writes use INSERT ... ON CONFLICT DO UPDATE with a last-write-wins strategy on last_scored_at. Idempotent by design.</w:t>
      </w:r>
    </w:p>
    <w:p>
      <w:pPr>
        <w:pStyle w:val="ListParagraph"/>
        <w:numPr>
          <w:ilvl w:val="0"/>
          <w:numId w:val="2"/>
        </w:numPr>
        <w:spacing w:before="40" w:after="40"/>
        <w:rPr/>
      </w:pPr>
      <w:r>
        <w:rPr>
          <w:rFonts w:eastAsia="Arial" w:cs="Arial"/>
          <w:color w:val="1A1A2E"/>
          <w:sz w:val="22"/>
          <w:szCs w:val="22"/>
        </w:rPr>
        <w:t>All consumers acknowledge events to Redis (XACK) only after successful processing and database commit. Unacknowledged events are re-delivered after the consumer group visibility timeout (30 seconds).</w:t>
      </w:r>
    </w:p>
    <w:p>
      <w:pPr>
        <w:pStyle w:val="Heading3"/>
        <w:spacing w:before="200" w:after="80"/>
        <w:rPr/>
      </w:pPr>
      <w:r>
        <w:rPr>
          <w:rFonts w:eastAsia="Arial" w:cs="Arial"/>
          <w:b/>
          <w:bCs/>
          <w:color w:val="1A56DB"/>
          <w:sz w:val="22"/>
          <w:szCs w:val="22"/>
        </w:rPr>
        <w:t>3.3.3  Dead-Letter Stream Handling</w:t>
      </w:r>
    </w:p>
    <w:p>
      <w:pPr>
        <w:pStyle w:val="Normal"/>
        <w:spacing w:before="60" w:after="60"/>
        <w:rPr/>
      </w:pPr>
      <w:r>
        <w:rPr>
          <w:rFonts w:eastAsia="Arial" w:cs="Arial"/>
          <w:color w:val="1A1A2E"/>
          <w:sz w:val="22"/>
          <w:szCs w:val="22"/>
        </w:rPr>
        <w:t>The arbitrageiq:quarantine stream receives events that cannot be processed: price anomalies, malformed payloads, and events that exceed the maximum retry count. This stream must not be a black hole — it has defined consumers and a retry path.</w:t>
      </w:r>
    </w:p>
    <w:p>
      <w:pPr>
        <w:pStyle w:val="Normal"/>
        <w:spacing w:before="0" w:after="0"/>
        <w:rPr/>
      </w:pPr>
      <w:r>
        <w:rPr/>
      </w:r>
    </w:p>
    <w:tbl>
      <w:tblPr>
        <w:tblW w:w="9360" w:type="dxa"/>
        <w:jc w:val="start"/>
        <w:tblInd w:w="0" w:type="dxa"/>
        <w:tblLayout w:type="fixed"/>
        <w:tblCellMar>
          <w:top w:w="100" w:type="dxa"/>
          <w:start w:w="140" w:type="dxa"/>
          <w:bottom w:w="100" w:type="dxa"/>
          <w:end w:w="140" w:type="dxa"/>
        </w:tblCellMar>
      </w:tblPr>
      <w:tblGrid>
        <w:gridCol w:w="2198"/>
        <w:gridCol w:w="1802"/>
        <w:gridCol w:w="2758"/>
        <w:gridCol w:w="2602"/>
      </w:tblGrid>
      <w:tr>
        <w:trPr>
          <w:tblHeader w:val="true"/>
        </w:trPr>
        <w:tc>
          <w:tcPr>
            <w:tcW w:w="2198" w:type="dxa"/>
            <w:tcBorders>
              <w:top w:val="single" w:sz="2" w:space="0" w:color="1A56DB"/>
              <w:start w:val="single" w:sz="2" w:space="0" w:color="1A56DB"/>
              <w:bottom w:val="single" w:sz="2" w:space="0" w:color="1A56DB"/>
              <w:end w:val="single" w:sz="2" w:space="0" w:color="1A56DB"/>
            </w:tcBorders>
            <w:shd w:fill="1A56DB" w:val="clear"/>
            <w:vAlign w:val="center"/>
          </w:tcPr>
          <w:p>
            <w:pPr>
              <w:pStyle w:val="Normal"/>
              <w:jc w:val="center"/>
              <w:rPr/>
            </w:pPr>
            <w:r>
              <w:rPr>
                <w:rFonts w:eastAsia="Arial" w:cs="Arial"/>
                <w:b/>
                <w:bCs/>
                <w:color w:val="FFFFFF"/>
                <w:sz w:val="19"/>
                <w:szCs w:val="19"/>
              </w:rPr>
              <w:t>Scenario</w:t>
            </w:r>
          </w:p>
        </w:tc>
        <w:tc>
          <w:tcPr>
            <w:tcW w:w="1802" w:type="dxa"/>
            <w:tcBorders>
              <w:top w:val="single" w:sz="2" w:space="0" w:color="1A56DB"/>
              <w:start w:val="single" w:sz="2" w:space="0" w:color="1A56DB"/>
              <w:bottom w:val="single" w:sz="2" w:space="0" w:color="1A56DB"/>
              <w:end w:val="single" w:sz="2" w:space="0" w:color="1A56DB"/>
            </w:tcBorders>
            <w:shd w:fill="1A56DB" w:val="clear"/>
            <w:vAlign w:val="center"/>
          </w:tcPr>
          <w:p>
            <w:pPr>
              <w:pStyle w:val="Normal"/>
              <w:jc w:val="center"/>
              <w:rPr/>
            </w:pPr>
            <w:r>
              <w:rPr>
                <w:rFonts w:eastAsia="Arial" w:cs="Arial"/>
                <w:b/>
                <w:bCs/>
                <w:color w:val="FFFFFF"/>
                <w:sz w:val="19"/>
                <w:szCs w:val="19"/>
              </w:rPr>
              <w:t>Producer</w:t>
            </w:r>
          </w:p>
        </w:tc>
        <w:tc>
          <w:tcPr>
            <w:tcW w:w="2758" w:type="dxa"/>
            <w:tcBorders>
              <w:top w:val="single" w:sz="2" w:space="0" w:color="1A56DB"/>
              <w:start w:val="single" w:sz="2" w:space="0" w:color="1A56DB"/>
              <w:bottom w:val="single" w:sz="2" w:space="0" w:color="1A56DB"/>
              <w:end w:val="single" w:sz="2" w:space="0" w:color="1A56DB"/>
            </w:tcBorders>
            <w:shd w:fill="1A56DB" w:val="clear"/>
            <w:vAlign w:val="center"/>
          </w:tcPr>
          <w:p>
            <w:pPr>
              <w:pStyle w:val="Normal"/>
              <w:jc w:val="center"/>
              <w:rPr/>
            </w:pPr>
            <w:r>
              <w:rPr>
                <w:rFonts w:eastAsia="Arial" w:cs="Arial"/>
                <w:b/>
                <w:bCs/>
                <w:color w:val="FFFFFF"/>
                <w:sz w:val="19"/>
                <w:szCs w:val="19"/>
              </w:rPr>
              <w:t>DLQ Entry Contains</w:t>
            </w:r>
          </w:p>
        </w:tc>
        <w:tc>
          <w:tcPr>
            <w:tcW w:w="2602" w:type="dxa"/>
            <w:tcBorders>
              <w:top w:val="single" w:sz="2" w:space="0" w:color="1A56DB"/>
              <w:start w:val="single" w:sz="2" w:space="0" w:color="1A56DB"/>
              <w:bottom w:val="single" w:sz="2" w:space="0" w:color="1A56DB"/>
              <w:end w:val="single" w:sz="2" w:space="0" w:color="1A56DB"/>
            </w:tcBorders>
            <w:shd w:fill="1A56DB" w:val="clear"/>
            <w:vAlign w:val="center"/>
          </w:tcPr>
          <w:p>
            <w:pPr>
              <w:pStyle w:val="Normal"/>
              <w:jc w:val="center"/>
              <w:rPr/>
            </w:pPr>
            <w:r>
              <w:rPr>
                <w:rFonts w:eastAsia="Arial" w:cs="Arial"/>
                <w:b/>
                <w:bCs/>
                <w:color w:val="FFFFFF"/>
                <w:sz w:val="19"/>
                <w:szCs w:val="19"/>
              </w:rPr>
              <w:t>Ops Action</w:t>
            </w:r>
          </w:p>
        </w:tc>
      </w:tr>
      <w:tr>
        <w:trPr/>
        <w:tc>
          <w:tcPr>
            <w:tcW w:w="2198"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bCs/>
                <w:color w:val="1A1A2E"/>
                <w:sz w:val="19"/>
                <w:szCs w:val="19"/>
              </w:rPr>
              <w:t>Price anomaly (&lt; £0.01 or &gt; £10,000)</w:t>
            </w:r>
          </w:p>
        </w:tc>
        <w:tc>
          <w:tcPr>
            <w:tcW w:w="1802"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Ingestion Service</w:t>
            </w:r>
          </w:p>
        </w:tc>
        <w:tc>
          <w:tcPr>
            <w:tcW w:w="2758"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Original event + anomaly_reason + sku_id + retailer</w:t>
            </w:r>
          </w:p>
        </w:tc>
        <w:tc>
          <w:tcPr>
            <w:tcW w:w="2602"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Review in Aspire Dashboard. If genuine price (e.g. luxury item), update anomaly threshold in config. Auto-purge after 7 days.</w:t>
            </w:r>
          </w:p>
        </w:tc>
      </w:tr>
      <w:tr>
        <w:trPr/>
        <w:tc>
          <w:tcPr>
            <w:tcW w:w="2198"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bCs/>
                <w:color w:val="1A1A2E"/>
                <w:sz w:val="19"/>
                <w:szCs w:val="19"/>
              </w:rPr>
              <w:t>Malformed event payload (schema validation failure)</w:t>
            </w:r>
          </w:p>
        </w:tc>
        <w:tc>
          <w:tcPr>
            <w:tcW w:w="1802"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color w:val="1A1A2E"/>
                <w:sz w:val="19"/>
                <w:szCs w:val="19"/>
              </w:rPr>
              <w:t>Any service</w:t>
            </w:r>
          </w:p>
        </w:tc>
        <w:tc>
          <w:tcPr>
            <w:tcW w:w="2758"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color w:val="1A1A2E"/>
                <w:sz w:val="19"/>
                <w:szCs w:val="19"/>
              </w:rPr>
              <w:t>Original event bytes + validation_error + source_service</w:t>
            </w:r>
          </w:p>
        </w:tc>
        <w:tc>
          <w:tcPr>
            <w:tcW w:w="2602"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color w:val="1A1A2E"/>
                <w:sz w:val="19"/>
                <w:szCs w:val="19"/>
              </w:rPr>
              <w:t>Engineering alert fires. Indicates a schema mismatch. Investigate producer. Manual re-process or discard.</w:t>
            </w:r>
          </w:p>
        </w:tc>
      </w:tr>
      <w:tr>
        <w:trPr/>
        <w:tc>
          <w:tcPr>
            <w:tcW w:w="2198"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bCs/>
                <w:color w:val="1A1A2E"/>
                <w:sz w:val="19"/>
                <w:szCs w:val="19"/>
              </w:rPr>
              <w:t>Consumer processing failure after max retries (3)</w:t>
            </w:r>
          </w:p>
        </w:tc>
        <w:tc>
          <w:tcPr>
            <w:tcW w:w="1802"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Any consumer</w:t>
            </w:r>
          </w:p>
        </w:tc>
        <w:tc>
          <w:tcPr>
            <w:tcW w:w="2758"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Original event + last_error + retry_count + consumer_group</w:t>
            </w:r>
          </w:p>
        </w:tc>
        <w:tc>
          <w:tcPr>
            <w:tcW w:w="2602"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Engineering alert fires (PagerDuty). Manual investigation required. Re-process via ops CLI tool or discard.</w:t>
            </w:r>
          </w:p>
        </w:tc>
      </w:tr>
      <w:tr>
        <w:trPr/>
        <w:tc>
          <w:tcPr>
            <w:tcW w:w="2198"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bCs/>
                <w:color w:val="1A1A2E"/>
                <w:sz w:val="19"/>
                <w:szCs w:val="19"/>
              </w:rPr>
              <w:t>Circuit-open price event (retailer scraper down)</w:t>
            </w:r>
          </w:p>
        </w:tc>
        <w:tc>
          <w:tcPr>
            <w:tcW w:w="1802"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color w:val="1A1A2E"/>
                <w:sz w:val="19"/>
                <w:szCs w:val="19"/>
              </w:rPr>
              <w:t>Ingestion Service</w:t>
            </w:r>
          </w:p>
        </w:tc>
        <w:tc>
          <w:tcPr>
            <w:tcW w:w="2758"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color w:val="1A1A2E"/>
                <w:sz w:val="19"/>
                <w:szCs w:val="19"/>
              </w:rPr>
              <w:t>Original scan job parameters + retailer + circuit_open_at</w:t>
            </w:r>
          </w:p>
        </w:tc>
        <w:tc>
          <w:tcPr>
            <w:tcW w:w="2602"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color w:val="1A1A2E"/>
                <w:sz w:val="19"/>
                <w:szCs w:val="19"/>
              </w:rPr>
              <w:t>Auto-reprocessed when circuit closes. Hangfire job polls quarantine stream on circuit recovery and re-queues events younger than 1 cadence window.</w:t>
            </w:r>
          </w:p>
        </w:tc>
      </w:tr>
    </w:tbl>
    <w:p>
      <w:pPr>
        <w:pStyle w:val="Normal"/>
        <w:spacing w:before="0" w:after="0"/>
        <w:rPr/>
      </w:pPr>
      <w:r>
        <w:rPr/>
      </w:r>
    </w:p>
    <w:p>
      <w:pPr>
        <w:pStyle w:val="ListParagraph"/>
        <w:numPr>
          <w:ilvl w:val="0"/>
          <w:numId w:val="2"/>
        </w:numPr>
        <w:spacing w:before="40" w:after="40"/>
        <w:rPr/>
      </w:pPr>
      <w:r>
        <w:rPr>
          <w:rFonts w:eastAsia="Arial" w:cs="Arial"/>
          <w:color w:val="1A1A2E"/>
          <w:sz w:val="22"/>
          <w:szCs w:val="22"/>
        </w:rPr>
        <w:t>Quarantine stream retention: 7 days. Events older than 7 days are purged automatically by a nightly Hangfire job.</w:t>
      </w:r>
    </w:p>
    <w:p>
      <w:pPr>
        <w:pStyle w:val="ListParagraph"/>
        <w:numPr>
          <w:ilvl w:val="0"/>
          <w:numId w:val="2"/>
        </w:numPr>
        <w:spacing w:before="40" w:after="40"/>
        <w:rPr/>
      </w:pPr>
      <w:r>
        <w:rPr>
          <w:rFonts w:eastAsia="Arial" w:cs="Arial"/>
          <w:color w:val="1A1A2E"/>
          <w:sz w:val="22"/>
          <w:szCs w:val="22"/>
        </w:rPr>
        <w:t>Ops CLI tool: a dotnet tool (arb-ops) with commands: arb-ops dlq list, arb-ops dlq replay &lt;event-id&gt;, arb-ops dlq discard &lt;event-id&gt;. To be built in Sprint 2 alongside the Jobs Service.</w:t>
      </w:r>
    </w:p>
    <w:p>
      <w:pPr>
        <w:pStyle w:val="ListParagraph"/>
        <w:numPr>
          <w:ilvl w:val="0"/>
          <w:numId w:val="2"/>
        </w:numPr>
        <w:spacing w:before="40" w:after="40"/>
        <w:rPr/>
      </w:pPr>
      <w:r>
        <w:rPr>
          <w:rFonts w:eastAsia="Arial" w:cs="Arial"/>
          <w:color w:val="1A1A2E"/>
          <w:sz w:val="22"/>
          <w:szCs w:val="22"/>
        </w:rPr>
        <w:t>Aspire Dashboard surfaces quarantine stream depth as a metric. Alert threshold: &gt; 100 events in quarantine triggers a warning.</w:t>
      </w:r>
    </w:p>
    <w:p>
      <w:pPr>
        <w:pStyle w:val="Normal"/>
        <w:spacing w:before="0" w:after="0"/>
        <w:rPr/>
      </w:pPr>
      <w:r>
        <w:rPr/>
      </w:r>
    </w:p>
    <w:p>
      <w:pPr>
        <w:pStyle w:val="Normal"/>
        <w:spacing w:before="0" w:after="0"/>
        <w:rPr/>
      </w:pPr>
      <w:r>
        <w:rPr/>
      </w:r>
    </w:p>
    <w:p>
      <w:pPr>
        <w:pStyle w:val="Normal"/>
        <w:spacing w:before="160" w:after="60"/>
        <w:rPr/>
      </w:pPr>
      <w:r>
        <w:rPr>
          <w:rFonts w:eastAsia="Arial" w:cs="Arial"/>
          <w:b/>
          <w:bCs/>
          <w:color w:val="1A1A2E"/>
          <w:sz w:val="22"/>
          <w:szCs w:val="22"/>
        </w:rPr>
        <w:t>Rules for Backward-Compatible Changes (allowed without version bump)</w:t>
      </w:r>
    </w:p>
    <w:p>
      <w:pPr>
        <w:pStyle w:val="ListParagraph"/>
        <w:numPr>
          <w:ilvl w:val="0"/>
          <w:numId w:val="2"/>
        </w:numPr>
        <w:spacing w:before="40" w:after="40"/>
        <w:rPr/>
      </w:pPr>
      <w:r>
        <w:rPr>
          <w:rFonts w:eastAsia="Arial" w:cs="Arial"/>
          <w:color w:val="1A1A2E"/>
          <w:sz w:val="22"/>
          <w:szCs w:val="22"/>
        </w:rPr>
        <w:t>Adding a new optional field to the payload. Consumers MUST ignore unknown fields (tolerant reader pattern).</w:t>
      </w:r>
    </w:p>
    <w:p>
      <w:pPr>
        <w:pStyle w:val="ListParagraph"/>
        <w:numPr>
          <w:ilvl w:val="0"/>
          <w:numId w:val="2"/>
        </w:numPr>
        <w:spacing w:before="40" w:after="40"/>
        <w:rPr/>
      </w:pPr>
      <w:r>
        <w:rPr>
          <w:rFonts w:eastAsia="Arial" w:cs="Arial"/>
          <w:color w:val="1A1A2E"/>
          <w:sz w:val="22"/>
          <w:szCs w:val="22"/>
        </w:rPr>
        <w:t>Adding a new event type to an existing stream. Existing consumers MUST handle unknown event_type values gracefully (no-op, no crash).</w:t>
      </w:r>
    </w:p>
    <w:p>
      <w:pPr>
        <w:pStyle w:val="ListParagraph"/>
        <w:numPr>
          <w:ilvl w:val="0"/>
          <w:numId w:val="2"/>
        </w:numPr>
        <w:spacing w:before="40" w:after="40"/>
        <w:rPr/>
      </w:pPr>
      <w:r>
        <w:rPr>
          <w:rFonts w:eastAsia="Arial" w:cs="Arial"/>
          <w:color w:val="1A1A2E"/>
          <w:sz w:val="22"/>
          <w:szCs w:val="22"/>
        </w:rPr>
        <w:t>Widening a field type (e.g. int32 to int64, string length increase).</w:t>
      </w:r>
    </w:p>
    <w:p>
      <w:pPr>
        <w:pStyle w:val="Normal"/>
        <w:spacing w:before="0" w:after="0"/>
        <w:rPr/>
      </w:pPr>
      <w:r>
        <w:rPr/>
      </w:r>
    </w:p>
    <w:p>
      <w:pPr>
        <w:pStyle w:val="Normal"/>
        <w:spacing w:before="160" w:after="60"/>
        <w:rPr/>
      </w:pPr>
      <w:r>
        <w:rPr>
          <w:rFonts w:eastAsia="Arial" w:cs="Arial"/>
          <w:b/>
          <w:bCs/>
          <w:color w:val="1A1A2E"/>
          <w:sz w:val="22"/>
          <w:szCs w:val="22"/>
        </w:rPr>
        <w:t>Breaking Changes (require schema_version increment)</w:t>
      </w:r>
    </w:p>
    <w:p>
      <w:pPr>
        <w:pStyle w:val="ListParagraph"/>
        <w:numPr>
          <w:ilvl w:val="0"/>
          <w:numId w:val="2"/>
        </w:numPr>
        <w:spacing w:before="40" w:after="40"/>
        <w:rPr/>
      </w:pPr>
      <w:r>
        <w:rPr>
          <w:rFonts w:eastAsia="Arial" w:cs="Arial"/>
          <w:color w:val="1A1A2E"/>
          <w:sz w:val="22"/>
          <w:szCs w:val="22"/>
        </w:rPr>
        <w:t>Removing or renaming an existing field.</w:t>
      </w:r>
    </w:p>
    <w:p>
      <w:pPr>
        <w:pStyle w:val="ListParagraph"/>
        <w:numPr>
          <w:ilvl w:val="0"/>
          <w:numId w:val="2"/>
        </w:numPr>
        <w:spacing w:before="40" w:after="40"/>
        <w:rPr/>
      </w:pPr>
      <w:r>
        <w:rPr>
          <w:rFonts w:eastAsia="Arial" w:cs="Arial"/>
          <w:color w:val="1A1A2E"/>
          <w:sz w:val="22"/>
          <w:szCs w:val="22"/>
        </w:rPr>
        <w:t>Changing a field type in a non-widening way (e.g. string to number).</w:t>
      </w:r>
    </w:p>
    <w:p>
      <w:pPr>
        <w:pStyle w:val="ListParagraph"/>
        <w:numPr>
          <w:ilvl w:val="0"/>
          <w:numId w:val="2"/>
        </w:numPr>
        <w:spacing w:before="40" w:after="40"/>
        <w:rPr/>
      </w:pPr>
      <w:r>
        <w:rPr>
          <w:rFonts w:eastAsia="Arial" w:cs="Arial"/>
          <w:color w:val="1A1A2E"/>
          <w:sz w:val="22"/>
          <w:szCs w:val="22"/>
        </w:rPr>
        <w:t>Changing the semantic meaning of an existing field.</w:t>
      </w:r>
    </w:p>
    <w:p>
      <w:pPr>
        <w:pStyle w:val="Normal"/>
        <w:spacing w:before="0" w:after="0"/>
        <w:rPr/>
      </w:pPr>
      <w:r>
        <w:rPr/>
      </w:r>
    </w:p>
    <w:p>
      <w:pPr>
        <w:pStyle w:val="Normal"/>
        <w:spacing w:before="160" w:after="60"/>
        <w:rPr/>
      </w:pPr>
      <w:r>
        <w:rPr>
          <w:rFonts w:eastAsia="Arial" w:cs="Arial"/>
          <w:b/>
          <w:bCs/>
          <w:color w:val="1A1A2E"/>
          <w:sz w:val="22"/>
          <w:szCs w:val="22"/>
        </w:rPr>
        <w:t>Version Increment Protocol</w:t>
      </w:r>
    </w:p>
    <w:p>
      <w:pPr>
        <w:pStyle w:val="ListParagraph"/>
        <w:numPr>
          <w:ilvl w:val="0"/>
          <w:numId w:val="2"/>
        </w:numPr>
        <w:spacing w:before="40" w:after="40"/>
        <w:rPr/>
      </w:pPr>
      <w:r>
        <w:rPr>
          <w:rFonts w:eastAsia="Arial" w:cs="Arial"/>
          <w:color w:val="1A1A2E"/>
          <w:sz w:val="22"/>
          <w:szCs w:val="22"/>
        </w:rPr>
        <w:t>Schema version is a monotonically incrementing integer (e.g. "1.0", "2.0"). Patch versions are not used.</w:t>
      </w:r>
    </w:p>
    <w:p>
      <w:pPr>
        <w:pStyle w:val="ListParagraph"/>
        <w:numPr>
          <w:ilvl w:val="0"/>
          <w:numId w:val="2"/>
        </w:numPr>
        <w:spacing w:before="40" w:after="40"/>
        <w:rPr/>
      </w:pPr>
      <w:r>
        <w:rPr>
          <w:rFonts w:eastAsia="Arial" w:cs="Arial"/>
          <w:color w:val="1A1A2E"/>
          <w:sz w:val="22"/>
          <w:szCs w:val="22"/>
        </w:rPr>
        <w:t>On a breaking change: the producer publishes events with the new schema_version. The old consumer version must be updated before the producer is deployed (consumer-first deployment).</w:t>
      </w:r>
    </w:p>
    <w:p>
      <w:pPr>
        <w:pStyle w:val="ListParagraph"/>
        <w:numPr>
          <w:ilvl w:val="0"/>
          <w:numId w:val="2"/>
        </w:numPr>
        <w:spacing w:before="40" w:after="40"/>
        <w:rPr/>
      </w:pPr>
      <w:r>
        <w:rPr>
          <w:rFonts w:eastAsia="Arial" w:cs="Arial"/>
          <w:color w:val="1A1A2E"/>
          <w:sz w:val="22"/>
          <w:szCs w:val="22"/>
        </w:rPr>
        <w:t>A consumer compatibility guarantee of 30 days applies: producers must support the previous schema version for 30 days after a breaking change is released. This window allows teams to update consumers without an emergency deploy.</w:t>
      </w:r>
    </w:p>
    <w:p>
      <w:pPr>
        <w:pStyle w:val="ListParagraph"/>
        <w:numPr>
          <w:ilvl w:val="0"/>
          <w:numId w:val="2"/>
        </w:numPr>
        <w:spacing w:before="40" w:after="40"/>
        <w:rPr/>
      </w:pPr>
      <w:r>
        <w:rPr>
          <w:rFonts w:eastAsia="Arial" w:cs="Arial"/>
          <w:color w:val="1A1A2E"/>
          <w:sz w:val="22"/>
          <w:szCs w:val="22"/>
        </w:rPr>
        <w:t>Breaking changes must be announced in the engineering changelog at least one sprint before deployment.</w:t>
      </w:r>
    </w:p>
    <w:p>
      <w:pPr>
        <w:pStyle w:val="Normal"/>
        <w:spacing w:before="0" w:after="0"/>
        <w:rPr/>
      </w:pPr>
      <w:r>
        <w:rPr/>
      </w:r>
    </w:p>
    <w:p>
      <w:pPr>
        <w:pStyle w:val="Normal"/>
        <w:spacing w:before="160" w:after="60"/>
        <w:rPr/>
      </w:pPr>
      <w:r>
        <w:rPr>
          <w:rFonts w:eastAsia="Arial" w:cs="Arial"/>
          <w:b/>
          <w:bCs/>
          <w:color w:val="1A1A2E"/>
          <w:sz w:val="22"/>
          <w:szCs w:val="22"/>
        </w:rPr>
        <w:t>Schema Registry</w:t>
      </w:r>
    </w:p>
    <w:p>
      <w:pPr>
        <w:pStyle w:val="Normal"/>
        <w:spacing w:before="60" w:after="60"/>
        <w:rPr/>
      </w:pPr>
      <w:r>
        <w:rPr>
          <w:rFonts w:eastAsia="Arial" w:cs="Arial"/>
          <w:color w:val="1A1A2E"/>
          <w:sz w:val="22"/>
          <w:szCs w:val="22"/>
        </w:rPr>
        <w:t>Event schemas are defined as JSON Schema files in the repository under /docs/events/. Each event type has a versioned schema file (e.g. deal.surfaced.v1.json, deal.surfaced.v2.json). CI pipeline validates that all published event payloads conform to their declared schema version.</w:t>
      </w:r>
    </w:p>
    <w:p>
      <w:pPr>
        <w:pStyle w:val="Normal"/>
        <w:rPr/>
      </w:pPr>
      <w:r>
        <w:rPr/>
        <w:t>Kafka migration triggers (concrete criteria for migration from Redis Streams):</w:t>
      </w:r>
    </w:p>
    <w:p>
      <w:pPr>
        <w:pStyle w:val="ListParagraph"/>
        <w:rPr/>
      </w:pPr>
      <w:r>
        <w:rPr/>
        <w:t>Sustained event throughput &gt; 50,000 events/day for 7 consecutive days.</w:t>
      </w:r>
    </w:p>
    <w:p>
      <w:pPr>
        <w:pStyle w:val="ListParagraph"/>
        <w:rPr/>
      </w:pPr>
      <w:r>
        <w:rPr/>
        <w:t>Redis Streams consumer lag &gt; 10,000 unacknowledged messages for &gt; 1 hour.</w:t>
      </w:r>
    </w:p>
    <w:p>
      <w:pPr>
        <w:pStyle w:val="ListParagraph"/>
        <w:rPr/>
      </w:pPr>
      <w:r>
        <w:rPr/>
        <w:t>Any single stream reaches &gt; 10 MB/s throughput.</w:t>
      </w:r>
    </w:p>
    <w:p>
      <w:pPr>
        <w:pStyle w:val="ListParagraph"/>
        <w:rPr/>
      </w:pPr>
      <w:r>
        <w:rPr/>
        <w:t>Redis memory usage exceeds 80% of allocated capacity for &gt; 24 hours.</w:t>
      </w:r>
    </w:p>
    <w:p>
      <w:pPr>
        <w:pStyle w:val="Normal"/>
        <w:spacing w:before="0" w:after="0"/>
        <w:rPr/>
      </w:pPr>
      <w:r>
        <w:rPr/>
      </w:r>
    </w:p>
    <w:p>
      <w:pPr>
        <w:pStyle w:val="Normal"/>
        <w:spacing w:before="0" w:after="0"/>
        <w:rPr/>
      </w:pPr>
      <w:r>
        <w:rPr/>
      </w:r>
    </w:p>
    <w:p>
      <w:pPr>
        <w:pStyle w:val="Heading2"/>
        <w:spacing w:before="280" w:after="100"/>
        <w:rPr/>
      </w:pPr>
      <w:r>
        <w:rPr>
          <w:rFonts w:eastAsia="Arial" w:cs="Arial"/>
          <w:b/>
          <w:bCs/>
          <w:color w:val="1A1A2E"/>
          <w:sz w:val="26"/>
          <w:szCs w:val="26"/>
        </w:rPr>
        <w:t>3.4 Request Routing — API Gateway (YARP)</w:t>
      </w:r>
    </w:p>
    <w:p>
      <w:pPr>
        <w:pStyle w:val="Normal"/>
        <w:spacing w:before="60" w:after="60"/>
        <w:rPr/>
      </w:pPr>
      <w:r>
        <w:rPr>
          <w:rFonts w:eastAsia="Arial" w:cs="Arial"/>
          <w:color w:val="1A1A2E"/>
          <w:sz w:val="22"/>
          <w:szCs w:val="22"/>
        </w:rPr>
        <w:t>The YARP gateway is the single ingress point for all external traffic. It handles JWT/API key validation by calling the Identity Service, enforces per-plan rate limits using Redis counters, and routes to downstream services. It never touches business logic.</w:t>
      </w:r>
    </w:p>
    <w:p>
      <w:pPr>
        <w:pStyle w:val="Normal"/>
        <w:spacing w:before="0" w:after="0"/>
        <w:rPr/>
      </w:pPr>
      <w:r>
        <w:rPr/>
      </w:r>
    </w:p>
    <w:tbl>
      <w:tblPr>
        <w:tblW w:w="9360" w:type="dxa"/>
        <w:jc w:val="start"/>
        <w:tblInd w:w="0" w:type="dxa"/>
        <w:tblLayout w:type="fixed"/>
        <w:tblCellMar>
          <w:top w:w="100" w:type="dxa"/>
          <w:start w:w="140" w:type="dxa"/>
          <w:bottom w:w="100" w:type="dxa"/>
          <w:end w:w="140" w:type="dxa"/>
        </w:tblCellMar>
      </w:tblPr>
      <w:tblGrid>
        <w:gridCol w:w="2452"/>
        <w:gridCol w:w="2451"/>
        <w:gridCol w:w="1594"/>
        <w:gridCol w:w="2863"/>
      </w:tblGrid>
      <w:tr>
        <w:trPr>
          <w:tblHeader w:val="true"/>
        </w:trPr>
        <w:tc>
          <w:tcPr>
            <w:tcW w:w="2452" w:type="dxa"/>
            <w:tcBorders>
              <w:top w:val="single" w:sz="2" w:space="0" w:color="1A56DB"/>
              <w:start w:val="single" w:sz="2" w:space="0" w:color="1A56DB"/>
              <w:bottom w:val="single" w:sz="2" w:space="0" w:color="1A56DB"/>
              <w:end w:val="single" w:sz="2" w:space="0" w:color="1A56DB"/>
            </w:tcBorders>
            <w:shd w:fill="1A56DB" w:val="clear"/>
            <w:vAlign w:val="center"/>
          </w:tcPr>
          <w:p>
            <w:pPr>
              <w:pStyle w:val="Normal"/>
              <w:jc w:val="center"/>
              <w:rPr/>
            </w:pPr>
            <w:r>
              <w:rPr>
                <w:rFonts w:eastAsia="Arial" w:cs="Arial"/>
                <w:b/>
                <w:bCs/>
                <w:color w:val="FFFFFF"/>
                <w:sz w:val="19"/>
                <w:szCs w:val="19"/>
              </w:rPr>
              <w:t>Route Pattern</w:t>
            </w:r>
          </w:p>
        </w:tc>
        <w:tc>
          <w:tcPr>
            <w:tcW w:w="2451" w:type="dxa"/>
            <w:tcBorders>
              <w:top w:val="single" w:sz="2" w:space="0" w:color="1A56DB"/>
              <w:start w:val="single" w:sz="2" w:space="0" w:color="1A56DB"/>
              <w:bottom w:val="single" w:sz="2" w:space="0" w:color="1A56DB"/>
              <w:end w:val="single" w:sz="2" w:space="0" w:color="1A56DB"/>
            </w:tcBorders>
            <w:shd w:fill="1A56DB" w:val="clear"/>
            <w:vAlign w:val="center"/>
          </w:tcPr>
          <w:p>
            <w:pPr>
              <w:pStyle w:val="Normal"/>
              <w:jc w:val="center"/>
              <w:rPr/>
            </w:pPr>
            <w:r>
              <w:rPr>
                <w:rFonts w:eastAsia="Arial" w:cs="Arial"/>
                <w:b/>
                <w:bCs/>
                <w:color w:val="FFFFFF"/>
                <w:sz w:val="19"/>
                <w:szCs w:val="19"/>
              </w:rPr>
              <w:t>Upstream Service</w:t>
            </w:r>
          </w:p>
        </w:tc>
        <w:tc>
          <w:tcPr>
            <w:tcW w:w="1594" w:type="dxa"/>
            <w:tcBorders>
              <w:top w:val="single" w:sz="2" w:space="0" w:color="1A56DB"/>
              <w:start w:val="single" w:sz="2" w:space="0" w:color="1A56DB"/>
              <w:bottom w:val="single" w:sz="2" w:space="0" w:color="1A56DB"/>
              <w:end w:val="single" w:sz="2" w:space="0" w:color="1A56DB"/>
            </w:tcBorders>
            <w:shd w:fill="1A56DB" w:val="clear"/>
            <w:vAlign w:val="center"/>
          </w:tcPr>
          <w:p>
            <w:pPr>
              <w:pStyle w:val="Normal"/>
              <w:jc w:val="center"/>
              <w:rPr/>
            </w:pPr>
            <w:r>
              <w:rPr>
                <w:rFonts w:eastAsia="Arial" w:cs="Arial"/>
                <w:b/>
                <w:bCs/>
                <w:color w:val="FFFFFF"/>
                <w:sz w:val="19"/>
                <w:szCs w:val="19"/>
              </w:rPr>
              <w:t>Auth Required</w:t>
            </w:r>
          </w:p>
        </w:tc>
        <w:tc>
          <w:tcPr>
            <w:tcW w:w="2863" w:type="dxa"/>
            <w:tcBorders>
              <w:top w:val="single" w:sz="2" w:space="0" w:color="1A56DB"/>
              <w:start w:val="single" w:sz="2" w:space="0" w:color="1A56DB"/>
              <w:bottom w:val="single" w:sz="2" w:space="0" w:color="1A56DB"/>
              <w:end w:val="single" w:sz="2" w:space="0" w:color="1A56DB"/>
            </w:tcBorders>
            <w:shd w:fill="1A56DB" w:val="clear"/>
            <w:vAlign w:val="center"/>
          </w:tcPr>
          <w:p>
            <w:pPr>
              <w:pStyle w:val="Normal"/>
              <w:jc w:val="center"/>
              <w:rPr/>
            </w:pPr>
            <w:r>
              <w:rPr>
                <w:rFonts w:eastAsia="Arial" w:cs="Arial"/>
                <w:b/>
                <w:bCs/>
                <w:color w:val="FFFFFF"/>
                <w:sz w:val="19"/>
                <w:szCs w:val="19"/>
              </w:rPr>
              <w:t>Rate Limit (Business/Pro/Starter)</w:t>
            </w:r>
          </w:p>
        </w:tc>
      </w:tr>
      <w:tr>
        <w:trPr/>
        <w:tc>
          <w:tcPr>
            <w:tcW w:w="2452"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bCs/>
                <w:color w:val="1A1A2E"/>
                <w:sz w:val="19"/>
                <w:szCs w:val="19"/>
              </w:rPr>
              <w:t>GET /api/v1/deals/**</w:t>
            </w:r>
          </w:p>
        </w:tc>
        <w:tc>
          <w:tcPr>
            <w:tcW w:w="2451"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Opportunity Engine</w:t>
            </w:r>
          </w:p>
        </w:tc>
        <w:tc>
          <w:tcPr>
            <w:tcW w:w="1594"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JWT or API Key</w:t>
            </w:r>
          </w:p>
        </w:tc>
        <w:tc>
          <w:tcPr>
            <w:tcW w:w="2863"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10,000 / 2,000 / 0 per day</w:t>
            </w:r>
          </w:p>
        </w:tc>
      </w:tr>
      <w:tr>
        <w:trPr/>
        <w:tc>
          <w:tcPr>
            <w:tcW w:w="2452"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bCs/>
                <w:color w:val="1A1A2E"/>
                <w:sz w:val="19"/>
                <w:szCs w:val="19"/>
              </w:rPr>
              <w:t>POST /api/v1/approvals/**</w:t>
            </w:r>
          </w:p>
        </w:tc>
        <w:tc>
          <w:tcPr>
            <w:tcW w:w="2451"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Approvals Service</w:t>
            </w:r>
          </w:p>
        </w:tc>
        <w:tc>
          <w:tcPr>
            <w:tcW w:w="1594"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JWT or API Key</w:t>
            </w:r>
          </w:p>
        </w:tc>
        <w:tc>
          <w:tcPr>
            <w:tcW w:w="2863"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Full + Webhooks / Read-only / None</w:t>
            </w:r>
          </w:p>
        </w:tc>
      </w:tr>
      <w:tr>
        <w:trPr/>
        <w:tc>
          <w:tcPr>
            <w:tcW w:w="2452"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bCs/>
                <w:color w:val="1A1A2E"/>
                <w:sz w:val="19"/>
                <w:szCs w:val="19"/>
              </w:rPr>
              <w:t>GET /api/v1/catalogue/**</w:t>
            </w:r>
          </w:p>
        </w:tc>
        <w:tc>
          <w:tcPr>
            <w:tcW w:w="2451"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Catalogue Service</w:t>
            </w:r>
          </w:p>
        </w:tc>
        <w:tc>
          <w:tcPr>
            <w:tcW w:w="1594"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JWT or API Key</w:t>
            </w:r>
          </w:p>
        </w:tc>
        <w:tc>
          <w:tcPr>
            <w:tcW w:w="2863"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10,000 / 2,000 / 500 per day</w:t>
            </w:r>
          </w:p>
        </w:tc>
      </w:tr>
      <w:tr>
        <w:trPr/>
        <w:tc>
          <w:tcPr>
            <w:tcW w:w="2452"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bCs/>
                <w:color w:val="1A1A2E"/>
                <w:sz w:val="19"/>
                <w:szCs w:val="19"/>
              </w:rPr>
              <w:t>GET /api/v1/analytics/**</w:t>
            </w:r>
          </w:p>
        </w:tc>
        <w:tc>
          <w:tcPr>
            <w:tcW w:w="2451"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Analytics Service</w:t>
            </w:r>
          </w:p>
        </w:tc>
        <w:tc>
          <w:tcPr>
            <w:tcW w:w="1594"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JWT</w:t>
            </w:r>
          </w:p>
        </w:tc>
        <w:tc>
          <w:tcPr>
            <w:tcW w:w="2863"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No API key access</w:t>
            </w:r>
          </w:p>
        </w:tc>
      </w:tr>
      <w:tr>
        <w:trPr/>
        <w:tc>
          <w:tcPr>
            <w:tcW w:w="2452"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bCs/>
                <w:color w:val="1A1A2E"/>
                <w:sz w:val="19"/>
                <w:szCs w:val="19"/>
              </w:rPr>
              <w:t>GET /api/v1/history/**</w:t>
            </w:r>
          </w:p>
        </w:tc>
        <w:tc>
          <w:tcPr>
            <w:tcW w:w="2451"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History Service</w:t>
            </w:r>
          </w:p>
        </w:tc>
        <w:tc>
          <w:tcPr>
            <w:tcW w:w="1594"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JWT or API Key</w:t>
            </w:r>
          </w:p>
        </w:tc>
        <w:tc>
          <w:tcPr>
            <w:tcW w:w="2863"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10,000 / 2,000 / 0 per day</w:t>
            </w:r>
          </w:p>
        </w:tc>
      </w:tr>
      <w:tr>
        <w:trPr/>
        <w:tc>
          <w:tcPr>
            <w:tcW w:w="2452"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bCs/>
                <w:color w:val="1A1A2E"/>
                <w:sz w:val="19"/>
                <w:szCs w:val="19"/>
              </w:rPr>
              <w:t>POST /auth/**</w:t>
            </w:r>
          </w:p>
        </w:tc>
        <w:tc>
          <w:tcPr>
            <w:tcW w:w="2451"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Identity Service</w:t>
            </w:r>
          </w:p>
        </w:tc>
        <w:tc>
          <w:tcPr>
            <w:tcW w:w="1594"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None</w:t>
            </w:r>
          </w:p>
        </w:tc>
        <w:tc>
          <w:tcPr>
            <w:tcW w:w="2863"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5 per minute per IP (brute-force protection)</w:t>
            </w:r>
          </w:p>
        </w:tc>
      </w:tr>
      <w:tr>
        <w:trPr/>
        <w:tc>
          <w:tcPr>
            <w:tcW w:w="2452"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bCs/>
                <w:color w:val="1A1A2E"/>
                <w:sz w:val="19"/>
                <w:szCs w:val="19"/>
              </w:rPr>
              <w:t>POST /billing/**</w:t>
            </w:r>
          </w:p>
        </w:tc>
        <w:tc>
          <w:tcPr>
            <w:tcW w:w="2451"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Billing Service</w:t>
            </w:r>
          </w:p>
        </w:tc>
        <w:tc>
          <w:tcPr>
            <w:tcW w:w="1594"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Stripe-Signature header</w:t>
            </w:r>
          </w:p>
        </w:tc>
        <w:tc>
          <w:tcPr>
            <w:tcW w:w="2863"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Stripe webhook only</w:t>
            </w:r>
          </w:p>
        </w:tc>
      </w:tr>
      <w:tr>
        <w:trPr/>
        <w:tc>
          <w:tcPr>
            <w:tcW w:w="2452"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bCs/>
                <w:color w:val="1A1A2E"/>
                <w:sz w:val="19"/>
                <w:szCs w:val="19"/>
              </w:rPr>
              <w:t>GET /api/v1/health</w:t>
            </w:r>
          </w:p>
        </w:tc>
        <w:tc>
          <w:tcPr>
            <w:tcW w:w="2451"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All services (aggregated)</w:t>
            </w:r>
          </w:p>
        </w:tc>
        <w:tc>
          <w:tcPr>
            <w:tcW w:w="1594"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None</w:t>
            </w:r>
          </w:p>
        </w:tc>
        <w:tc>
          <w:tcPr>
            <w:tcW w:w="2863"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Unlimited</w:t>
            </w:r>
          </w:p>
        </w:tc>
      </w:tr>
    </w:tbl>
    <w:p>
      <w:pPr>
        <w:pStyle w:val="Normal"/>
        <w:rPr/>
      </w:pPr>
      <w:r>
        <w:rPr/>
      </w:r>
    </w:p>
    <w:p>
      <w:pPr>
        <w:pStyle w:val="Heading2"/>
        <w:spacing w:before="280" w:after="100"/>
        <w:rPr/>
      </w:pPr>
      <w:r>
        <w:rPr>
          <w:rFonts w:eastAsia="Arial" w:cs="Arial"/>
          <w:b/>
          <w:bCs/>
          <w:color w:val="1A1A2E"/>
          <w:sz w:val="26"/>
          <w:szCs w:val="26"/>
        </w:rPr>
        <w:t>3.5  Event Schema Versioning Strategy</w:t>
      </w:r>
    </w:p>
    <w:p>
      <w:pPr>
        <w:pStyle w:val="Normal"/>
        <w:spacing w:before="60" w:after="60"/>
        <w:rPr/>
      </w:pPr>
      <w:r>
        <w:rPr>
          <w:rFonts w:eastAsia="Arial" w:cs="Arial"/>
          <w:color w:val="1A1A2E"/>
          <w:sz w:val="22"/>
          <w:szCs w:val="22"/>
        </w:rPr>
        <w:t>All events carry a schema_version field in the standard envelope (Section 3.2). The following rules govern schema evolution to ensure backward compatibility across services.</w:t>
      </w:r>
      <w:r>
        <w:br w:type="page"/>
      </w:r>
    </w:p>
    <w:p>
      <w:pPr>
        <w:pStyle w:val="Heading1"/>
        <w:pBdr>
          <w:bottom w:val="single" w:sz="8" w:space="6" w:color="1A56DB"/>
        </w:pBdr>
        <w:spacing w:before="0" w:after="160"/>
        <w:rPr/>
      </w:pPr>
      <w:r>
        <w:rPr>
          <w:rFonts w:eastAsia="Arial" w:cs="Arial"/>
          <w:b/>
          <w:bCs/>
          <w:color w:val="1A56DB"/>
          <w:sz w:val="32"/>
          <w:szCs w:val="32"/>
        </w:rPr>
        <w:t>4. Data Models</w:t>
      </w:r>
    </w:p>
    <w:p>
      <w:pPr>
        <w:pStyle w:val="Heading2"/>
        <w:spacing w:before="280" w:after="100"/>
        <w:rPr/>
      </w:pPr>
      <w:r>
        <w:rPr>
          <w:rFonts w:eastAsia="Arial" w:cs="Arial"/>
          <w:b/>
          <w:bCs/>
          <w:color w:val="1A1A2E"/>
          <w:sz w:val="26"/>
          <w:szCs w:val="26"/>
        </w:rPr>
        <w:t>4.1 Database Structure</w:t>
      </w:r>
    </w:p>
    <w:p>
      <w:pPr>
        <w:pStyle w:val="Normal"/>
        <w:spacing w:before="60" w:after="60"/>
        <w:rPr/>
      </w:pPr>
      <w:r>
        <w:rPr>
          <w:rFonts w:eastAsia="Arial" w:cs="Arial"/>
          <w:color w:val="1A1A2E"/>
          <w:sz w:val="22"/>
          <w:szCs w:val="22"/>
        </w:rPr>
        <w:t>All services share a single PostgreSQL 16 cluster with TimescaleDB extension. Each service owns one or more schemas; cross-schema queries are prohibited. Services connect via dedicated connection pools (pgBouncer). TimescaleDB hypertables are used for price_events and deal_events.</w:t>
      </w:r>
    </w:p>
    <w:p>
      <w:pPr>
        <w:pStyle w:val="Normal"/>
        <w:spacing w:before="0" w:after="0"/>
        <w:rPr/>
      </w:pPr>
      <w:r>
        <w:rPr/>
      </w:r>
    </w:p>
    <w:tbl>
      <w:tblPr>
        <w:tblW w:w="9360" w:type="dxa"/>
        <w:jc w:val="start"/>
        <w:tblInd w:w="0" w:type="dxa"/>
        <w:tblLayout w:type="fixed"/>
        <w:tblCellMar>
          <w:top w:w="100" w:type="dxa"/>
          <w:start w:w="140" w:type="dxa"/>
          <w:bottom w:w="100" w:type="dxa"/>
          <w:end w:w="140" w:type="dxa"/>
        </w:tblCellMar>
      </w:tblPr>
      <w:tblGrid>
        <w:gridCol w:w="2000"/>
        <w:gridCol w:w="2400"/>
        <w:gridCol w:w="4960"/>
      </w:tblGrid>
      <w:tr>
        <w:trPr>
          <w:tblHeader w:val="true"/>
        </w:trPr>
        <w:tc>
          <w:tcPr>
            <w:tcW w:w="2000" w:type="dxa"/>
            <w:tcBorders>
              <w:top w:val="single" w:sz="2" w:space="0" w:color="1A56DB"/>
              <w:start w:val="single" w:sz="2" w:space="0" w:color="1A56DB"/>
              <w:bottom w:val="single" w:sz="2" w:space="0" w:color="1A56DB"/>
              <w:end w:val="single" w:sz="2" w:space="0" w:color="1A56DB"/>
            </w:tcBorders>
            <w:shd w:fill="1A56DB" w:val="clear"/>
            <w:vAlign w:val="center"/>
          </w:tcPr>
          <w:p>
            <w:pPr>
              <w:pStyle w:val="Normal"/>
              <w:jc w:val="center"/>
              <w:rPr/>
            </w:pPr>
            <w:r>
              <w:rPr>
                <w:rFonts w:eastAsia="Arial" w:cs="Arial"/>
                <w:b/>
                <w:bCs/>
                <w:color w:val="FFFFFF"/>
                <w:sz w:val="19"/>
                <w:szCs w:val="19"/>
              </w:rPr>
              <w:t>Schema</w:t>
            </w:r>
          </w:p>
        </w:tc>
        <w:tc>
          <w:tcPr>
            <w:tcW w:w="2400" w:type="dxa"/>
            <w:tcBorders>
              <w:top w:val="single" w:sz="2" w:space="0" w:color="1A56DB"/>
              <w:start w:val="single" w:sz="2" w:space="0" w:color="1A56DB"/>
              <w:bottom w:val="single" w:sz="2" w:space="0" w:color="1A56DB"/>
              <w:end w:val="single" w:sz="2" w:space="0" w:color="1A56DB"/>
            </w:tcBorders>
            <w:shd w:fill="1A56DB" w:val="clear"/>
            <w:vAlign w:val="center"/>
          </w:tcPr>
          <w:p>
            <w:pPr>
              <w:pStyle w:val="Normal"/>
              <w:jc w:val="center"/>
              <w:rPr/>
            </w:pPr>
            <w:r>
              <w:rPr>
                <w:rFonts w:eastAsia="Arial" w:cs="Arial"/>
                <w:b/>
                <w:bCs/>
                <w:color w:val="FFFFFF"/>
                <w:sz w:val="19"/>
                <w:szCs w:val="19"/>
              </w:rPr>
              <w:t>Owned By</w:t>
            </w:r>
          </w:p>
        </w:tc>
        <w:tc>
          <w:tcPr>
            <w:tcW w:w="4960" w:type="dxa"/>
            <w:tcBorders>
              <w:top w:val="single" w:sz="2" w:space="0" w:color="1A56DB"/>
              <w:start w:val="single" w:sz="2" w:space="0" w:color="1A56DB"/>
              <w:bottom w:val="single" w:sz="2" w:space="0" w:color="1A56DB"/>
              <w:end w:val="single" w:sz="2" w:space="0" w:color="1A56DB"/>
            </w:tcBorders>
            <w:shd w:fill="1A56DB" w:val="clear"/>
            <w:vAlign w:val="center"/>
          </w:tcPr>
          <w:p>
            <w:pPr>
              <w:pStyle w:val="Normal"/>
              <w:jc w:val="center"/>
              <w:rPr/>
            </w:pPr>
            <w:r>
              <w:rPr>
                <w:rFonts w:eastAsia="Arial" w:cs="Arial"/>
                <w:b/>
                <w:bCs/>
                <w:color w:val="FFFFFF"/>
                <w:sz w:val="19"/>
                <w:szCs w:val="19"/>
              </w:rPr>
              <w:t>Key Tables</w:t>
            </w:r>
          </w:p>
        </w:tc>
      </w:tr>
      <w:tr>
        <w:trPr/>
        <w:tc>
          <w:tcPr>
            <w:tcW w:w="20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bCs/>
                <w:color w:val="1A1A2E"/>
                <w:sz w:val="19"/>
                <w:szCs w:val="19"/>
              </w:rPr>
              <w:t>identity</w:t>
            </w:r>
          </w:p>
        </w:tc>
        <w:tc>
          <w:tcPr>
            <w:tcW w:w="24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Identity Service</w:t>
            </w:r>
          </w:p>
        </w:tc>
        <w:tc>
          <w:tcPr>
            <w:tcW w:w="496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users, sessions, mfa_devices, api_keys, roles, user_roles</w:t>
            </w:r>
          </w:p>
        </w:tc>
      </w:tr>
      <w:tr>
        <w:trPr/>
        <w:tc>
          <w:tcPr>
            <w:tcW w:w="20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bCs/>
                <w:color w:val="1A1A2E"/>
                <w:sz w:val="19"/>
                <w:szCs w:val="19"/>
              </w:rPr>
              <w:t>billing</w:t>
            </w:r>
          </w:p>
        </w:tc>
        <w:tc>
          <w:tcPr>
            <w:tcW w:w="24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Billing Service</w:t>
            </w:r>
          </w:p>
        </w:tc>
        <w:tc>
          <w:tcPr>
            <w:tcW w:w="496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subscriptions, plans, invoices, entitlements</w:t>
            </w:r>
          </w:p>
        </w:tc>
      </w:tr>
      <w:tr>
        <w:trPr/>
        <w:tc>
          <w:tcPr>
            <w:tcW w:w="20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bCs/>
                <w:color w:val="1A1A2E"/>
                <w:sz w:val="19"/>
                <w:szCs w:val="19"/>
              </w:rPr>
              <w:t>ingestion</w:t>
            </w:r>
          </w:p>
        </w:tc>
        <w:tc>
          <w:tcPr>
            <w:tcW w:w="24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Ingestion Service</w:t>
            </w:r>
          </w:p>
        </w:tc>
        <w:tc>
          <w:tcPr>
            <w:tcW w:w="496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retailer_sources, scan_jobs, ingestion_runs, scraper_health</w:t>
            </w:r>
          </w:p>
        </w:tc>
      </w:tr>
      <w:tr>
        <w:trPr/>
        <w:tc>
          <w:tcPr>
            <w:tcW w:w="20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bCs/>
                <w:color w:val="1A1A2E"/>
                <w:sz w:val="19"/>
                <w:szCs w:val="19"/>
              </w:rPr>
              <w:t>catalogue</w:t>
            </w:r>
          </w:p>
        </w:tc>
        <w:tc>
          <w:tcPr>
            <w:tcW w:w="24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Catalogue Service</w:t>
            </w:r>
          </w:p>
        </w:tc>
        <w:tc>
          <w:tcPr>
            <w:tcW w:w="496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skus, sku_sources, price_events (hypertable), profitability_scores, watchlist_items</w:t>
            </w:r>
          </w:p>
        </w:tc>
      </w:tr>
      <w:tr>
        <w:trPr/>
        <w:tc>
          <w:tcPr>
            <w:tcW w:w="20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bCs/>
                <w:color w:val="1A1A2E"/>
                <w:sz w:val="19"/>
                <w:szCs w:val="19"/>
              </w:rPr>
              <w:t>approvals</w:t>
            </w:r>
          </w:p>
        </w:tc>
        <w:tc>
          <w:tcPr>
            <w:tcW w:w="24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Approvals Service</w:t>
            </w:r>
          </w:p>
        </w:tc>
        <w:tc>
          <w:tcPr>
            <w:tcW w:w="496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approval_queue_items, purchase_records, listing_records, audit_log</w:t>
            </w:r>
          </w:p>
        </w:tc>
      </w:tr>
      <w:tr>
        <w:trPr/>
        <w:tc>
          <w:tcPr>
            <w:tcW w:w="20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bCs/>
                <w:color w:val="1A1A2E"/>
                <w:sz w:val="19"/>
                <w:szCs w:val="19"/>
              </w:rPr>
              <w:t>vault</w:t>
            </w:r>
          </w:p>
        </w:tc>
        <w:tc>
          <w:tcPr>
            <w:tcW w:w="24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Credential Vault Service</w:t>
            </w:r>
          </w:p>
        </w:tc>
        <w:tc>
          <w:tcPr>
            <w:tcW w:w="496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oauth_tokens, vault_access_log</w:t>
            </w:r>
          </w:p>
        </w:tc>
      </w:tr>
      <w:tr>
        <w:trPr/>
        <w:tc>
          <w:tcPr>
            <w:tcW w:w="20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bCs/>
                <w:color w:val="1A1A2E"/>
                <w:sz w:val="19"/>
                <w:szCs w:val="19"/>
              </w:rPr>
              <w:t>notifications</w:t>
            </w:r>
          </w:p>
        </w:tc>
        <w:tc>
          <w:tcPr>
            <w:tcW w:w="24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Notification Service</w:t>
            </w:r>
          </w:p>
        </w:tc>
        <w:tc>
          <w:tcPr>
            <w:tcW w:w="496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notification_preferences, push_subscriptions, notification_log</w:t>
            </w:r>
          </w:p>
        </w:tc>
      </w:tr>
      <w:tr>
        <w:trPr/>
        <w:tc>
          <w:tcPr>
            <w:tcW w:w="20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bCs/>
                <w:color w:val="1A1A2E"/>
                <w:sz w:val="19"/>
                <w:szCs w:val="19"/>
              </w:rPr>
              <w:t>history</w:t>
            </w:r>
          </w:p>
        </w:tc>
        <w:tc>
          <w:tcPr>
            <w:tcW w:w="24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History Service</w:t>
            </w:r>
          </w:p>
        </w:tc>
        <w:tc>
          <w:tcPr>
            <w:tcW w:w="496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deal_records (append-only), deal_financials</w:t>
            </w:r>
          </w:p>
        </w:tc>
      </w:tr>
      <w:tr>
        <w:trPr/>
        <w:tc>
          <w:tcPr>
            <w:tcW w:w="20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bCs/>
                <w:color w:val="1A1A2E"/>
                <w:sz w:val="19"/>
                <w:szCs w:val="19"/>
              </w:rPr>
              <w:t>jobs</w:t>
            </w:r>
          </w:p>
        </w:tc>
        <w:tc>
          <w:tcPr>
            <w:tcW w:w="24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Jobs Service</w:t>
            </w:r>
          </w:p>
        </w:tc>
        <w:tc>
          <w:tcPr>
            <w:tcW w:w="496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Hangfire tables (hangfire.job, hangfire.state, hangfire.set, etc.)</w:t>
            </w:r>
          </w:p>
        </w:tc>
      </w:tr>
    </w:tbl>
    <w:p>
      <w:pPr>
        <w:pStyle w:val="Normal"/>
        <w:spacing w:before="0" w:after="0"/>
        <w:rPr/>
      </w:pPr>
      <w:r>
        <w:rPr/>
      </w:r>
    </w:p>
    <w:p>
      <w:pPr>
        <w:pStyle w:val="Normal"/>
        <w:rPr/>
      </w:pPr>
      <w:r>
        <w:rPr/>
        <w:t>Key cross-schema relationships: approval_queue_items.sku_id references catalogue.skus.id. approval_queue_items.retailer_source_id references ingestion.retailer_sources.id. deal_records.approval_queue_item_id references approvals.approval_queue_items.id (denormalised for independent retention). deal_records.user_id is denormalised with no FK to allow History Service independent retention. price_events.sku_id and price_events.retailer_source_id reference catalogue.skus and ingestion.retailer_sources respectively. vault.oauth_tokens.user_id references identity.users.id. billing.subscriptions.user_id references identity.users.id. Cross-schema queries are prohibited at the application layer; services communicate via API or Event Bus for cross-domain data.</w:t>
      </w:r>
    </w:p>
    <w:p>
      <w:pPr>
        <w:pStyle w:val="Heading2"/>
        <w:spacing w:before="280" w:after="100"/>
        <w:rPr/>
      </w:pPr>
      <w:r>
        <w:rPr>
          <w:rFonts w:eastAsia="Arial" w:cs="Arial"/>
          <w:b/>
          <w:bCs/>
          <w:color w:val="1A1A2E"/>
          <w:sz w:val="26"/>
          <w:szCs w:val="26"/>
        </w:rPr>
        <w:t>4.2 Core Entity Definitions</w:t>
      </w:r>
    </w:p>
    <w:p>
      <w:pPr>
        <w:pStyle w:val="Normal"/>
        <w:spacing w:before="0" w:after="0"/>
        <w:rPr/>
      </w:pPr>
      <w:r>
        <w:rPr/>
      </w:r>
    </w:p>
    <w:p>
      <w:pPr>
        <w:pStyle w:val="Heading3"/>
        <w:spacing w:before="200" w:after="80"/>
        <w:rPr/>
      </w:pPr>
      <w:r>
        <w:rPr>
          <w:rFonts w:eastAsia="Arial" w:cs="Arial"/>
          <w:b/>
          <w:bCs/>
          <w:color w:val="1A56DB"/>
          <w:sz w:val="22"/>
          <w:szCs w:val="22"/>
        </w:rPr>
        <w:t>users (identity schema)</w:t>
      </w:r>
    </w:p>
    <w:tbl>
      <w:tblPr>
        <w:tblW w:w="9360" w:type="dxa"/>
        <w:jc w:val="start"/>
        <w:tblInd w:w="0" w:type="dxa"/>
        <w:tblLayout w:type="fixed"/>
        <w:tblCellMar>
          <w:top w:w="100" w:type="dxa"/>
          <w:start w:w="140" w:type="dxa"/>
          <w:bottom w:w="100" w:type="dxa"/>
          <w:end w:w="140" w:type="dxa"/>
        </w:tblCellMar>
      </w:tblPr>
      <w:tblGrid>
        <w:gridCol w:w="2000"/>
        <w:gridCol w:w="1598"/>
        <w:gridCol w:w="2162"/>
        <w:gridCol w:w="3600"/>
      </w:tblGrid>
      <w:tr>
        <w:trPr>
          <w:tblHeader w:val="true"/>
        </w:trPr>
        <w:tc>
          <w:tcPr>
            <w:tcW w:w="2000" w:type="dxa"/>
            <w:tcBorders>
              <w:top w:val="single" w:sz="2" w:space="0" w:color="1A56DB"/>
              <w:start w:val="single" w:sz="2" w:space="0" w:color="1A56DB"/>
              <w:bottom w:val="single" w:sz="2" w:space="0" w:color="1A56DB"/>
              <w:end w:val="single" w:sz="2" w:space="0" w:color="1A56DB"/>
            </w:tcBorders>
            <w:shd w:fill="1A56DB" w:val="clear"/>
            <w:vAlign w:val="center"/>
          </w:tcPr>
          <w:p>
            <w:pPr>
              <w:pStyle w:val="Normal"/>
              <w:jc w:val="center"/>
              <w:rPr/>
            </w:pPr>
            <w:r>
              <w:rPr>
                <w:rFonts w:eastAsia="Arial" w:cs="Arial"/>
                <w:b/>
                <w:bCs/>
                <w:color w:val="FFFFFF"/>
                <w:sz w:val="19"/>
                <w:szCs w:val="19"/>
              </w:rPr>
              <w:t>Column</w:t>
            </w:r>
          </w:p>
        </w:tc>
        <w:tc>
          <w:tcPr>
            <w:tcW w:w="1598" w:type="dxa"/>
            <w:tcBorders>
              <w:top w:val="single" w:sz="2" w:space="0" w:color="1A56DB"/>
              <w:start w:val="single" w:sz="2" w:space="0" w:color="1A56DB"/>
              <w:bottom w:val="single" w:sz="2" w:space="0" w:color="1A56DB"/>
              <w:end w:val="single" w:sz="2" w:space="0" w:color="1A56DB"/>
            </w:tcBorders>
            <w:shd w:fill="1A56DB" w:val="clear"/>
            <w:vAlign w:val="center"/>
          </w:tcPr>
          <w:p>
            <w:pPr>
              <w:pStyle w:val="Normal"/>
              <w:jc w:val="center"/>
              <w:rPr/>
            </w:pPr>
            <w:r>
              <w:rPr>
                <w:rFonts w:eastAsia="Arial" w:cs="Arial"/>
                <w:b/>
                <w:bCs/>
                <w:color w:val="FFFFFF"/>
                <w:sz w:val="19"/>
                <w:szCs w:val="19"/>
              </w:rPr>
              <w:t>Type</w:t>
            </w:r>
          </w:p>
        </w:tc>
        <w:tc>
          <w:tcPr>
            <w:tcW w:w="2162" w:type="dxa"/>
            <w:tcBorders>
              <w:top w:val="single" w:sz="2" w:space="0" w:color="1A56DB"/>
              <w:start w:val="single" w:sz="2" w:space="0" w:color="1A56DB"/>
              <w:bottom w:val="single" w:sz="2" w:space="0" w:color="1A56DB"/>
              <w:end w:val="single" w:sz="2" w:space="0" w:color="1A56DB"/>
            </w:tcBorders>
            <w:shd w:fill="1A56DB" w:val="clear"/>
            <w:vAlign w:val="center"/>
          </w:tcPr>
          <w:p>
            <w:pPr>
              <w:pStyle w:val="Normal"/>
              <w:jc w:val="center"/>
              <w:rPr/>
            </w:pPr>
            <w:r>
              <w:rPr>
                <w:rFonts w:eastAsia="Arial" w:cs="Arial"/>
                <w:b/>
                <w:bCs/>
                <w:color w:val="FFFFFF"/>
                <w:sz w:val="19"/>
                <w:szCs w:val="19"/>
              </w:rPr>
              <w:t>Constraints</w:t>
            </w:r>
          </w:p>
        </w:tc>
        <w:tc>
          <w:tcPr>
            <w:tcW w:w="3600" w:type="dxa"/>
            <w:tcBorders>
              <w:top w:val="single" w:sz="2" w:space="0" w:color="1A56DB"/>
              <w:start w:val="single" w:sz="2" w:space="0" w:color="1A56DB"/>
              <w:bottom w:val="single" w:sz="2" w:space="0" w:color="1A56DB"/>
              <w:end w:val="single" w:sz="2" w:space="0" w:color="1A56DB"/>
            </w:tcBorders>
            <w:shd w:fill="1A56DB" w:val="clear"/>
            <w:vAlign w:val="center"/>
          </w:tcPr>
          <w:p>
            <w:pPr>
              <w:pStyle w:val="Normal"/>
              <w:jc w:val="center"/>
              <w:rPr/>
            </w:pPr>
            <w:r>
              <w:rPr>
                <w:rFonts w:eastAsia="Arial" w:cs="Arial"/>
                <w:b/>
                <w:bCs/>
                <w:color w:val="FFFFFF"/>
                <w:sz w:val="19"/>
                <w:szCs w:val="19"/>
              </w:rPr>
              <w:t>Notes</w:t>
            </w:r>
          </w:p>
        </w:tc>
      </w:tr>
      <w:tr>
        <w:trPr/>
        <w:tc>
          <w:tcPr>
            <w:tcW w:w="20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bCs/>
                <w:color w:val="1A1A2E"/>
                <w:sz w:val="19"/>
                <w:szCs w:val="19"/>
              </w:rPr>
              <w:t>id</w:t>
            </w:r>
          </w:p>
        </w:tc>
        <w:tc>
          <w:tcPr>
            <w:tcW w:w="1598"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uuid</w:t>
            </w:r>
          </w:p>
        </w:tc>
        <w:tc>
          <w:tcPr>
            <w:tcW w:w="2162"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PK, DEFAULT gen_random_uuid()</w:t>
            </w:r>
          </w:p>
        </w:tc>
        <w:tc>
          <w:tcPr>
            <w:tcW w:w="36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Immutable user identifier.</w:t>
            </w:r>
          </w:p>
        </w:tc>
      </w:tr>
      <w:tr>
        <w:trPr/>
        <w:tc>
          <w:tcPr>
            <w:tcW w:w="20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bCs/>
                <w:color w:val="1A1A2E"/>
                <w:sz w:val="19"/>
                <w:szCs w:val="19"/>
              </w:rPr>
              <w:t>email</w:t>
            </w:r>
          </w:p>
        </w:tc>
        <w:tc>
          <w:tcPr>
            <w:tcW w:w="1598"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varchar(255)</w:t>
            </w:r>
          </w:p>
        </w:tc>
        <w:tc>
          <w:tcPr>
            <w:tcW w:w="2162"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UNIQUE NOT NULL</w:t>
            </w:r>
          </w:p>
        </w:tc>
        <w:tc>
          <w:tcPr>
            <w:tcW w:w="36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Lowercased on insert. Used for login and notifications.</w:t>
            </w:r>
          </w:p>
        </w:tc>
      </w:tr>
      <w:tr>
        <w:trPr/>
        <w:tc>
          <w:tcPr>
            <w:tcW w:w="20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bCs/>
                <w:color w:val="1A1A2E"/>
                <w:sz w:val="19"/>
                <w:szCs w:val="19"/>
              </w:rPr>
              <w:t>password_hash</w:t>
            </w:r>
          </w:p>
        </w:tc>
        <w:tc>
          <w:tcPr>
            <w:tcW w:w="1598"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varchar(255)</w:t>
            </w:r>
          </w:p>
        </w:tc>
        <w:tc>
          <w:tcPr>
            <w:tcW w:w="2162"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NOT NULL</w:t>
            </w:r>
          </w:p>
        </w:tc>
        <w:tc>
          <w:tcPr>
            <w:tcW w:w="36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Argon2id hash. Never stored in logs.</w:t>
            </w:r>
          </w:p>
        </w:tc>
      </w:tr>
      <w:tr>
        <w:trPr/>
        <w:tc>
          <w:tcPr>
            <w:tcW w:w="20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bCs/>
                <w:color w:val="1A1A2E"/>
                <w:sz w:val="19"/>
                <w:szCs w:val="19"/>
              </w:rPr>
              <w:t>mfa_enabled</w:t>
            </w:r>
          </w:p>
        </w:tc>
        <w:tc>
          <w:tcPr>
            <w:tcW w:w="1598"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boolean</w:t>
            </w:r>
          </w:p>
        </w:tc>
        <w:tc>
          <w:tcPr>
            <w:tcW w:w="2162"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NOT NULL DEFAULT false</w:t>
            </w:r>
          </w:p>
        </w:tc>
        <w:tc>
          <w:tcPr>
            <w:tcW w:w="36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True once TOTP or email OTP enrolled.</w:t>
            </w:r>
          </w:p>
        </w:tc>
      </w:tr>
      <w:tr>
        <w:trPr/>
        <w:tc>
          <w:tcPr>
            <w:tcW w:w="20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bCs/>
                <w:color w:val="1A1A2E"/>
                <w:sz w:val="19"/>
                <w:szCs w:val="19"/>
              </w:rPr>
              <w:t>vat_registered</w:t>
            </w:r>
          </w:p>
        </w:tc>
        <w:tc>
          <w:tcPr>
            <w:tcW w:w="1598"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boolean</w:t>
            </w:r>
          </w:p>
        </w:tc>
        <w:tc>
          <w:tcPr>
            <w:tcW w:w="2162"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NOT NULL DEFAULT false</w:t>
            </w:r>
          </w:p>
        </w:tc>
        <w:tc>
          <w:tcPr>
            <w:tcW w:w="36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Drives VAT treatment in margin calculator.</w:t>
            </w:r>
          </w:p>
        </w:tc>
      </w:tr>
      <w:tr>
        <w:trPr/>
        <w:tc>
          <w:tcPr>
            <w:tcW w:w="20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bCs/>
                <w:color w:val="1A1A2E"/>
                <w:sz w:val="19"/>
                <w:szCs w:val="19"/>
              </w:rPr>
              <w:t>plan_id</w:t>
            </w:r>
          </w:p>
        </w:tc>
        <w:tc>
          <w:tcPr>
            <w:tcW w:w="1598"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uuid</w:t>
            </w:r>
          </w:p>
        </w:tc>
        <w:tc>
          <w:tcPr>
            <w:tcW w:w="2162"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FK billing.plans.id</w:t>
            </w:r>
          </w:p>
        </w:tc>
        <w:tc>
          <w:tcPr>
            <w:tcW w:w="36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Current active plan. Updated on Stripe webhook.</w:t>
            </w:r>
          </w:p>
        </w:tc>
      </w:tr>
      <w:tr>
        <w:trPr/>
        <w:tc>
          <w:tcPr>
            <w:tcW w:w="20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bCs/>
                <w:color w:val="1A1A2E"/>
                <w:sz w:val="19"/>
                <w:szCs w:val="19"/>
              </w:rPr>
              <w:t>created_at</w:t>
            </w:r>
          </w:p>
        </w:tc>
        <w:tc>
          <w:tcPr>
            <w:tcW w:w="1598"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timestamptz</w:t>
            </w:r>
          </w:p>
        </w:tc>
        <w:tc>
          <w:tcPr>
            <w:tcW w:w="2162"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NOT NULL DEFAULT now()</w:t>
            </w:r>
          </w:p>
        </w:tc>
        <w:tc>
          <w:tcPr>
            <w:tcW w:w="36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
          </w:p>
        </w:tc>
      </w:tr>
      <w:tr>
        <w:trPr/>
        <w:tc>
          <w:tcPr>
            <w:tcW w:w="20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bCs/>
                <w:color w:val="1A1A2E"/>
                <w:sz w:val="19"/>
                <w:szCs w:val="19"/>
              </w:rPr>
              <w:t>deleted_at</w:t>
            </w:r>
          </w:p>
        </w:tc>
        <w:tc>
          <w:tcPr>
            <w:tcW w:w="1598"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timestamptz</w:t>
            </w:r>
          </w:p>
        </w:tc>
        <w:tc>
          <w:tcPr>
            <w:tcW w:w="2162"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NULLABLE</w:t>
            </w:r>
          </w:p>
        </w:tc>
        <w:tc>
          <w:tcPr>
            <w:tcW w:w="36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Soft delete for GDPR erasure. NULLed PII on set.</w:t>
            </w:r>
          </w:p>
        </w:tc>
      </w:tr>
    </w:tbl>
    <w:p>
      <w:pPr>
        <w:pStyle w:val="Normal"/>
        <w:spacing w:before="0" w:after="0"/>
        <w:rPr/>
      </w:pPr>
      <w:r>
        <w:rPr/>
      </w:r>
    </w:p>
    <w:p>
      <w:pPr>
        <w:pStyle w:val="Heading3"/>
        <w:spacing w:before="200" w:after="80"/>
        <w:rPr/>
      </w:pPr>
      <w:r>
        <w:rPr>
          <w:rFonts w:eastAsia="Arial" w:cs="Arial"/>
          <w:b/>
          <w:bCs/>
          <w:color w:val="1A56DB"/>
          <w:sz w:val="22"/>
          <w:szCs w:val="22"/>
        </w:rPr>
        <w:t>scan_jobs (ingestion schema)</w:t>
      </w:r>
    </w:p>
    <w:tbl>
      <w:tblPr>
        <w:tblW w:w="9360" w:type="dxa"/>
        <w:jc w:val="start"/>
        <w:tblInd w:w="0" w:type="dxa"/>
        <w:tblLayout w:type="fixed"/>
        <w:tblCellMar>
          <w:top w:w="100" w:type="dxa"/>
          <w:start w:w="140" w:type="dxa"/>
          <w:bottom w:w="100" w:type="dxa"/>
          <w:end w:w="140" w:type="dxa"/>
        </w:tblCellMar>
      </w:tblPr>
      <w:tblGrid>
        <w:gridCol w:w="2000"/>
        <w:gridCol w:w="1598"/>
        <w:gridCol w:w="2162"/>
        <w:gridCol w:w="3600"/>
      </w:tblGrid>
      <w:tr>
        <w:trPr>
          <w:tblHeader w:val="true"/>
        </w:trPr>
        <w:tc>
          <w:tcPr>
            <w:tcW w:w="2000" w:type="dxa"/>
            <w:tcBorders>
              <w:top w:val="single" w:sz="2" w:space="0" w:color="1A56DB"/>
              <w:start w:val="single" w:sz="2" w:space="0" w:color="1A56DB"/>
              <w:bottom w:val="single" w:sz="2" w:space="0" w:color="1A56DB"/>
              <w:end w:val="single" w:sz="2" w:space="0" w:color="1A56DB"/>
            </w:tcBorders>
            <w:shd w:fill="1A56DB" w:val="clear"/>
            <w:vAlign w:val="center"/>
          </w:tcPr>
          <w:p>
            <w:pPr>
              <w:pStyle w:val="Normal"/>
              <w:jc w:val="center"/>
              <w:rPr/>
            </w:pPr>
            <w:r>
              <w:rPr>
                <w:rFonts w:eastAsia="Arial" w:cs="Arial"/>
                <w:b/>
                <w:bCs/>
                <w:color w:val="FFFFFF"/>
                <w:sz w:val="19"/>
                <w:szCs w:val="19"/>
              </w:rPr>
              <w:t>Column</w:t>
            </w:r>
          </w:p>
        </w:tc>
        <w:tc>
          <w:tcPr>
            <w:tcW w:w="1598" w:type="dxa"/>
            <w:tcBorders>
              <w:top w:val="single" w:sz="2" w:space="0" w:color="1A56DB"/>
              <w:start w:val="single" w:sz="2" w:space="0" w:color="1A56DB"/>
              <w:bottom w:val="single" w:sz="2" w:space="0" w:color="1A56DB"/>
              <w:end w:val="single" w:sz="2" w:space="0" w:color="1A56DB"/>
            </w:tcBorders>
            <w:shd w:fill="1A56DB" w:val="clear"/>
            <w:vAlign w:val="center"/>
          </w:tcPr>
          <w:p>
            <w:pPr>
              <w:pStyle w:val="Normal"/>
              <w:jc w:val="center"/>
              <w:rPr/>
            </w:pPr>
            <w:r>
              <w:rPr>
                <w:rFonts w:eastAsia="Arial" w:cs="Arial"/>
                <w:b/>
                <w:bCs/>
                <w:color w:val="FFFFFF"/>
                <w:sz w:val="19"/>
                <w:szCs w:val="19"/>
              </w:rPr>
              <w:t>Type</w:t>
            </w:r>
          </w:p>
        </w:tc>
        <w:tc>
          <w:tcPr>
            <w:tcW w:w="2162" w:type="dxa"/>
            <w:tcBorders>
              <w:top w:val="single" w:sz="2" w:space="0" w:color="1A56DB"/>
              <w:start w:val="single" w:sz="2" w:space="0" w:color="1A56DB"/>
              <w:bottom w:val="single" w:sz="2" w:space="0" w:color="1A56DB"/>
              <w:end w:val="single" w:sz="2" w:space="0" w:color="1A56DB"/>
            </w:tcBorders>
            <w:shd w:fill="1A56DB" w:val="clear"/>
            <w:vAlign w:val="center"/>
          </w:tcPr>
          <w:p>
            <w:pPr>
              <w:pStyle w:val="Normal"/>
              <w:jc w:val="center"/>
              <w:rPr/>
            </w:pPr>
            <w:r>
              <w:rPr>
                <w:rFonts w:eastAsia="Arial" w:cs="Arial"/>
                <w:b/>
                <w:bCs/>
                <w:color w:val="FFFFFF"/>
                <w:sz w:val="19"/>
                <w:szCs w:val="19"/>
              </w:rPr>
              <w:t>Constraints</w:t>
            </w:r>
          </w:p>
        </w:tc>
        <w:tc>
          <w:tcPr>
            <w:tcW w:w="3600" w:type="dxa"/>
            <w:tcBorders>
              <w:top w:val="single" w:sz="2" w:space="0" w:color="1A56DB"/>
              <w:start w:val="single" w:sz="2" w:space="0" w:color="1A56DB"/>
              <w:bottom w:val="single" w:sz="2" w:space="0" w:color="1A56DB"/>
              <w:end w:val="single" w:sz="2" w:space="0" w:color="1A56DB"/>
            </w:tcBorders>
            <w:shd w:fill="1A56DB" w:val="clear"/>
            <w:vAlign w:val="center"/>
          </w:tcPr>
          <w:p>
            <w:pPr>
              <w:pStyle w:val="Normal"/>
              <w:jc w:val="center"/>
              <w:rPr/>
            </w:pPr>
            <w:r>
              <w:rPr>
                <w:rFonts w:eastAsia="Arial" w:cs="Arial"/>
                <w:b/>
                <w:bCs/>
                <w:color w:val="FFFFFF"/>
                <w:sz w:val="19"/>
                <w:szCs w:val="19"/>
              </w:rPr>
              <w:t>Notes</w:t>
            </w:r>
          </w:p>
        </w:tc>
      </w:tr>
      <w:tr>
        <w:trPr/>
        <w:tc>
          <w:tcPr>
            <w:tcW w:w="20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bCs/>
                <w:color w:val="1A1A2E"/>
                <w:sz w:val="19"/>
                <w:szCs w:val="19"/>
              </w:rPr>
              <w:t>id</w:t>
            </w:r>
          </w:p>
        </w:tc>
        <w:tc>
          <w:tcPr>
            <w:tcW w:w="1598"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uuid</w:t>
            </w:r>
          </w:p>
        </w:tc>
        <w:tc>
          <w:tcPr>
            <w:tcW w:w="2162"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PK</w:t>
            </w:r>
          </w:p>
        </w:tc>
        <w:tc>
          <w:tcPr>
            <w:tcW w:w="36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
          </w:p>
        </w:tc>
      </w:tr>
      <w:tr>
        <w:trPr/>
        <w:tc>
          <w:tcPr>
            <w:tcW w:w="20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bCs/>
                <w:color w:val="1A1A2E"/>
                <w:sz w:val="19"/>
                <w:szCs w:val="19"/>
              </w:rPr>
              <w:t>user_id</w:t>
            </w:r>
          </w:p>
        </w:tc>
        <w:tc>
          <w:tcPr>
            <w:tcW w:w="1598"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uuid</w:t>
            </w:r>
          </w:p>
        </w:tc>
        <w:tc>
          <w:tcPr>
            <w:tcW w:w="2162"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FK identity.users.id NOT NULL</w:t>
            </w:r>
          </w:p>
        </w:tc>
        <w:tc>
          <w:tcPr>
            <w:tcW w:w="36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Owner of this scan job.</w:t>
            </w:r>
          </w:p>
        </w:tc>
      </w:tr>
      <w:tr>
        <w:trPr/>
        <w:tc>
          <w:tcPr>
            <w:tcW w:w="20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bCs/>
                <w:color w:val="1A1A2E"/>
                <w:sz w:val="19"/>
                <w:szCs w:val="19"/>
              </w:rPr>
              <w:t>retailer_source_id</w:t>
            </w:r>
          </w:p>
        </w:tc>
        <w:tc>
          <w:tcPr>
            <w:tcW w:w="1598"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uuid</w:t>
            </w:r>
          </w:p>
        </w:tc>
        <w:tc>
          <w:tcPr>
            <w:tcW w:w="2162"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FK ingestion.retailer_sources.id</w:t>
            </w:r>
          </w:p>
        </w:tc>
        <w:tc>
          <w:tcPr>
            <w:tcW w:w="36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Target retailer.</w:t>
            </w:r>
          </w:p>
        </w:tc>
      </w:tr>
      <w:tr>
        <w:trPr/>
        <w:tc>
          <w:tcPr>
            <w:tcW w:w="20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bCs/>
                <w:color w:val="1A1A2E"/>
                <w:sz w:val="19"/>
                <w:szCs w:val="19"/>
              </w:rPr>
              <w:t>category</w:t>
            </w:r>
          </w:p>
        </w:tc>
        <w:tc>
          <w:tcPr>
            <w:tcW w:w="1598"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varchar(255)</w:t>
            </w:r>
          </w:p>
        </w:tc>
        <w:tc>
          <w:tcPr>
            <w:tcW w:w="2162"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NOT NULL</w:t>
            </w:r>
          </w:p>
        </w:tc>
        <w:tc>
          <w:tcPr>
            <w:tcW w:w="36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e.g. 'Electronics &gt; Headphones'</w:t>
            </w:r>
          </w:p>
        </w:tc>
      </w:tr>
      <w:tr>
        <w:trPr/>
        <w:tc>
          <w:tcPr>
            <w:tcW w:w="20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bCs/>
                <w:color w:val="1A1A2E"/>
                <w:sz w:val="19"/>
                <w:szCs w:val="19"/>
              </w:rPr>
              <w:t>keywords</w:t>
            </w:r>
          </w:p>
        </w:tc>
        <w:tc>
          <w:tcPr>
            <w:tcW w:w="1598"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text[]</w:t>
            </w:r>
          </w:p>
        </w:tc>
        <w:tc>
          <w:tcPr>
            <w:tcW w:w="2162"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NULLABLE</w:t>
            </w:r>
          </w:p>
        </w:tc>
        <w:tc>
          <w:tcPr>
            <w:tcW w:w="36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Additional keyword filters.</w:t>
            </w:r>
          </w:p>
        </w:tc>
      </w:tr>
      <w:tr>
        <w:trPr/>
        <w:tc>
          <w:tcPr>
            <w:tcW w:w="20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bCs/>
                <w:color w:val="1A1A2E"/>
                <w:sz w:val="19"/>
                <w:szCs w:val="19"/>
              </w:rPr>
              <w:t>min_margin_pct</w:t>
            </w:r>
          </w:p>
        </w:tc>
        <w:tc>
          <w:tcPr>
            <w:tcW w:w="1598"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numeric(5,2)</w:t>
            </w:r>
          </w:p>
        </w:tc>
        <w:tc>
          <w:tcPr>
            <w:tcW w:w="2162"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NOT NULL DEFAULT 20.00</w:t>
            </w:r>
          </w:p>
        </w:tc>
        <w:tc>
          <w:tcPr>
            <w:tcW w:w="36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User-configured threshold.</w:t>
            </w:r>
          </w:p>
        </w:tc>
      </w:tr>
      <w:tr>
        <w:trPr/>
        <w:tc>
          <w:tcPr>
            <w:tcW w:w="20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bCs/>
                <w:color w:val="1A1A2E"/>
                <w:sz w:val="19"/>
                <w:szCs w:val="19"/>
              </w:rPr>
              <w:t>cadence_minutes</w:t>
            </w:r>
          </w:p>
        </w:tc>
        <w:tc>
          <w:tcPr>
            <w:tcW w:w="1598"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integer</w:t>
            </w:r>
          </w:p>
        </w:tc>
        <w:tc>
          <w:tcPr>
            <w:tcW w:w="2162"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NOT NULL</w:t>
            </w:r>
          </w:p>
        </w:tc>
        <w:tc>
          <w:tcPr>
            <w:tcW w:w="36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Enforced from plan entitlements (15/60/360).</w:t>
            </w:r>
          </w:p>
        </w:tc>
      </w:tr>
      <w:tr>
        <w:trPr/>
        <w:tc>
          <w:tcPr>
            <w:tcW w:w="20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bCs/>
                <w:color w:val="1A1A2E"/>
                <w:sz w:val="19"/>
                <w:szCs w:val="19"/>
              </w:rPr>
              <w:t>is_active</w:t>
            </w:r>
          </w:p>
        </w:tc>
        <w:tc>
          <w:tcPr>
            <w:tcW w:w="1598"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boolean</w:t>
            </w:r>
          </w:p>
        </w:tc>
        <w:tc>
          <w:tcPr>
            <w:tcW w:w="2162"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NOT NULL DEFAULT true</w:t>
            </w:r>
          </w:p>
        </w:tc>
        <w:tc>
          <w:tcPr>
            <w:tcW w:w="36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
          </w:p>
        </w:tc>
      </w:tr>
      <w:tr>
        <w:trPr/>
        <w:tc>
          <w:tcPr>
            <w:tcW w:w="20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bCs/>
                <w:color w:val="1A1A2E"/>
                <w:sz w:val="19"/>
                <w:szCs w:val="19"/>
              </w:rPr>
              <w:t>last_run_at</w:t>
            </w:r>
          </w:p>
        </w:tc>
        <w:tc>
          <w:tcPr>
            <w:tcW w:w="1598"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timestamptz</w:t>
            </w:r>
          </w:p>
        </w:tc>
        <w:tc>
          <w:tcPr>
            <w:tcW w:w="2162"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NULLABLE</w:t>
            </w:r>
          </w:p>
        </w:tc>
        <w:tc>
          <w:tcPr>
            <w:tcW w:w="36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Updated by Jobs Service on each run.</w:t>
            </w:r>
          </w:p>
        </w:tc>
      </w:tr>
      <w:tr>
        <w:trPr/>
        <w:tc>
          <w:tcPr>
            <w:tcW w:w="20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bCs/>
                <w:color w:val="1A1A2E"/>
                <w:sz w:val="19"/>
                <w:szCs w:val="19"/>
              </w:rPr>
              <w:t>created_at</w:t>
            </w:r>
          </w:p>
        </w:tc>
        <w:tc>
          <w:tcPr>
            <w:tcW w:w="1598"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timestamptz</w:t>
            </w:r>
          </w:p>
        </w:tc>
        <w:tc>
          <w:tcPr>
            <w:tcW w:w="2162"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NOT NULL DEFAULT now()</w:t>
            </w:r>
          </w:p>
        </w:tc>
        <w:tc>
          <w:tcPr>
            <w:tcW w:w="36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
          </w:p>
        </w:tc>
      </w:tr>
    </w:tbl>
    <w:p>
      <w:pPr>
        <w:pStyle w:val="Normal"/>
        <w:spacing w:before="0" w:after="0"/>
        <w:rPr/>
      </w:pPr>
      <w:r>
        <w:rPr/>
      </w:r>
    </w:p>
    <w:p>
      <w:pPr>
        <w:pStyle w:val="Heading3"/>
        <w:spacing w:before="200" w:after="80"/>
        <w:rPr/>
      </w:pPr>
      <w:r>
        <w:rPr>
          <w:rFonts w:eastAsia="Arial" w:cs="Arial"/>
          <w:b/>
          <w:bCs/>
          <w:color w:val="1A56DB"/>
          <w:sz w:val="22"/>
          <w:szCs w:val="22"/>
        </w:rPr>
        <w:t>skus (catalogue schema)</w:t>
      </w:r>
    </w:p>
    <w:tbl>
      <w:tblPr>
        <w:tblW w:w="9360" w:type="dxa"/>
        <w:jc w:val="start"/>
        <w:tblInd w:w="0" w:type="dxa"/>
        <w:tblLayout w:type="fixed"/>
        <w:tblCellMar>
          <w:top w:w="100" w:type="dxa"/>
          <w:start w:w="140" w:type="dxa"/>
          <w:bottom w:w="100" w:type="dxa"/>
          <w:end w:w="140" w:type="dxa"/>
        </w:tblCellMar>
      </w:tblPr>
      <w:tblGrid>
        <w:gridCol w:w="2000"/>
        <w:gridCol w:w="1598"/>
        <w:gridCol w:w="2162"/>
        <w:gridCol w:w="3600"/>
      </w:tblGrid>
      <w:tr>
        <w:trPr>
          <w:tblHeader w:val="true"/>
        </w:trPr>
        <w:tc>
          <w:tcPr>
            <w:tcW w:w="2000" w:type="dxa"/>
            <w:tcBorders>
              <w:top w:val="single" w:sz="2" w:space="0" w:color="1A56DB"/>
              <w:start w:val="single" w:sz="2" w:space="0" w:color="1A56DB"/>
              <w:bottom w:val="single" w:sz="2" w:space="0" w:color="1A56DB"/>
              <w:end w:val="single" w:sz="2" w:space="0" w:color="1A56DB"/>
            </w:tcBorders>
            <w:shd w:fill="1A56DB" w:val="clear"/>
            <w:vAlign w:val="center"/>
          </w:tcPr>
          <w:p>
            <w:pPr>
              <w:pStyle w:val="Normal"/>
              <w:jc w:val="center"/>
              <w:rPr/>
            </w:pPr>
            <w:r>
              <w:rPr>
                <w:rFonts w:eastAsia="Arial" w:cs="Arial"/>
                <w:b/>
                <w:bCs/>
                <w:color w:val="FFFFFF"/>
                <w:sz w:val="19"/>
                <w:szCs w:val="19"/>
              </w:rPr>
              <w:t>Column</w:t>
            </w:r>
          </w:p>
        </w:tc>
        <w:tc>
          <w:tcPr>
            <w:tcW w:w="1598" w:type="dxa"/>
            <w:tcBorders>
              <w:top w:val="single" w:sz="2" w:space="0" w:color="1A56DB"/>
              <w:start w:val="single" w:sz="2" w:space="0" w:color="1A56DB"/>
              <w:bottom w:val="single" w:sz="2" w:space="0" w:color="1A56DB"/>
              <w:end w:val="single" w:sz="2" w:space="0" w:color="1A56DB"/>
            </w:tcBorders>
            <w:shd w:fill="1A56DB" w:val="clear"/>
            <w:vAlign w:val="center"/>
          </w:tcPr>
          <w:p>
            <w:pPr>
              <w:pStyle w:val="Normal"/>
              <w:jc w:val="center"/>
              <w:rPr/>
            </w:pPr>
            <w:r>
              <w:rPr>
                <w:rFonts w:eastAsia="Arial" w:cs="Arial"/>
                <w:b/>
                <w:bCs/>
                <w:color w:val="FFFFFF"/>
                <w:sz w:val="19"/>
                <w:szCs w:val="19"/>
              </w:rPr>
              <w:t>Type</w:t>
            </w:r>
          </w:p>
        </w:tc>
        <w:tc>
          <w:tcPr>
            <w:tcW w:w="2162" w:type="dxa"/>
            <w:tcBorders>
              <w:top w:val="single" w:sz="2" w:space="0" w:color="1A56DB"/>
              <w:start w:val="single" w:sz="2" w:space="0" w:color="1A56DB"/>
              <w:bottom w:val="single" w:sz="2" w:space="0" w:color="1A56DB"/>
              <w:end w:val="single" w:sz="2" w:space="0" w:color="1A56DB"/>
            </w:tcBorders>
            <w:shd w:fill="1A56DB" w:val="clear"/>
            <w:vAlign w:val="center"/>
          </w:tcPr>
          <w:p>
            <w:pPr>
              <w:pStyle w:val="Normal"/>
              <w:jc w:val="center"/>
              <w:rPr/>
            </w:pPr>
            <w:r>
              <w:rPr>
                <w:rFonts w:eastAsia="Arial" w:cs="Arial"/>
                <w:b/>
                <w:bCs/>
                <w:color w:val="FFFFFF"/>
                <w:sz w:val="19"/>
                <w:szCs w:val="19"/>
              </w:rPr>
              <w:t>Constraints</w:t>
            </w:r>
          </w:p>
        </w:tc>
        <w:tc>
          <w:tcPr>
            <w:tcW w:w="3600" w:type="dxa"/>
            <w:tcBorders>
              <w:top w:val="single" w:sz="2" w:space="0" w:color="1A56DB"/>
              <w:start w:val="single" w:sz="2" w:space="0" w:color="1A56DB"/>
              <w:bottom w:val="single" w:sz="2" w:space="0" w:color="1A56DB"/>
              <w:end w:val="single" w:sz="2" w:space="0" w:color="1A56DB"/>
            </w:tcBorders>
            <w:shd w:fill="1A56DB" w:val="clear"/>
            <w:vAlign w:val="center"/>
          </w:tcPr>
          <w:p>
            <w:pPr>
              <w:pStyle w:val="Normal"/>
              <w:jc w:val="center"/>
              <w:rPr/>
            </w:pPr>
            <w:r>
              <w:rPr>
                <w:rFonts w:eastAsia="Arial" w:cs="Arial"/>
                <w:b/>
                <w:bCs/>
                <w:color w:val="FFFFFF"/>
                <w:sz w:val="19"/>
                <w:szCs w:val="19"/>
              </w:rPr>
              <w:t>Notes</w:t>
            </w:r>
          </w:p>
        </w:tc>
      </w:tr>
      <w:tr>
        <w:trPr/>
        <w:tc>
          <w:tcPr>
            <w:tcW w:w="20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bCs/>
                <w:color w:val="1A1A2E"/>
                <w:sz w:val="19"/>
                <w:szCs w:val="19"/>
              </w:rPr>
              <w:t>id</w:t>
            </w:r>
          </w:p>
        </w:tc>
        <w:tc>
          <w:tcPr>
            <w:tcW w:w="1598"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uuid</w:t>
            </w:r>
          </w:p>
        </w:tc>
        <w:tc>
          <w:tcPr>
            <w:tcW w:w="2162"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PK</w:t>
            </w:r>
          </w:p>
        </w:tc>
        <w:tc>
          <w:tcPr>
            <w:tcW w:w="36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
          </w:p>
        </w:tc>
      </w:tr>
      <w:tr>
        <w:trPr/>
        <w:tc>
          <w:tcPr>
            <w:tcW w:w="20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bCs/>
                <w:color w:val="1A1A2E"/>
                <w:sz w:val="19"/>
                <w:szCs w:val="19"/>
              </w:rPr>
              <w:t>asin</w:t>
            </w:r>
          </w:p>
        </w:tc>
        <w:tc>
          <w:tcPr>
            <w:tcW w:w="1598"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varchar(20)</w:t>
            </w:r>
          </w:p>
        </w:tc>
        <w:tc>
          <w:tcPr>
            <w:tcW w:w="2162"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NULLABLE, UNIQUE</w:t>
            </w:r>
          </w:p>
        </w:tc>
        <w:tc>
          <w:tcPr>
            <w:tcW w:w="36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Amazon ASIN where known.</w:t>
            </w:r>
          </w:p>
        </w:tc>
      </w:tr>
      <w:tr>
        <w:trPr/>
        <w:tc>
          <w:tcPr>
            <w:tcW w:w="20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bCs/>
                <w:color w:val="1A1A2E"/>
                <w:sz w:val="19"/>
                <w:szCs w:val="19"/>
              </w:rPr>
              <w:t>ean</w:t>
            </w:r>
          </w:p>
        </w:tc>
        <w:tc>
          <w:tcPr>
            <w:tcW w:w="1598"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varchar(20)</w:t>
            </w:r>
          </w:p>
        </w:tc>
        <w:tc>
          <w:tcPr>
            <w:tcW w:w="2162"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NULLABLE</w:t>
            </w:r>
          </w:p>
        </w:tc>
        <w:tc>
          <w:tcPr>
            <w:tcW w:w="36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EAN-13 barcode.</w:t>
            </w:r>
          </w:p>
        </w:tc>
      </w:tr>
      <w:tr>
        <w:trPr/>
        <w:tc>
          <w:tcPr>
            <w:tcW w:w="20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bCs/>
                <w:color w:val="1A1A2E"/>
                <w:sz w:val="19"/>
                <w:szCs w:val="19"/>
              </w:rPr>
              <w:t>title</w:t>
            </w:r>
          </w:p>
        </w:tc>
        <w:tc>
          <w:tcPr>
            <w:tcW w:w="1598"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varchar(500)</w:t>
            </w:r>
          </w:p>
        </w:tc>
        <w:tc>
          <w:tcPr>
            <w:tcW w:w="2162"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NOT NULL</w:t>
            </w:r>
          </w:p>
        </w:tc>
        <w:tc>
          <w:tcPr>
            <w:tcW w:w="36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Canonical product title (normalised).</w:t>
            </w:r>
          </w:p>
        </w:tc>
      </w:tr>
      <w:tr>
        <w:trPr/>
        <w:tc>
          <w:tcPr>
            <w:tcW w:w="20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bCs/>
                <w:color w:val="1A1A2E"/>
                <w:sz w:val="19"/>
                <w:szCs w:val="19"/>
              </w:rPr>
              <w:t>brand</w:t>
            </w:r>
          </w:p>
        </w:tc>
        <w:tc>
          <w:tcPr>
            <w:tcW w:w="1598"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varchar(255)</w:t>
            </w:r>
          </w:p>
        </w:tc>
        <w:tc>
          <w:tcPr>
            <w:tcW w:w="2162"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NULLABLE</w:t>
            </w:r>
          </w:p>
        </w:tc>
        <w:tc>
          <w:tcPr>
            <w:tcW w:w="36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
          </w:p>
        </w:tc>
      </w:tr>
      <w:tr>
        <w:trPr/>
        <w:tc>
          <w:tcPr>
            <w:tcW w:w="20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bCs/>
                <w:color w:val="1A1A2E"/>
                <w:sz w:val="19"/>
                <w:szCs w:val="19"/>
              </w:rPr>
              <w:t>category</w:t>
            </w:r>
          </w:p>
        </w:tc>
        <w:tc>
          <w:tcPr>
            <w:tcW w:w="1598"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varchar(255)</w:t>
            </w:r>
          </w:p>
        </w:tc>
        <w:tc>
          <w:tcPr>
            <w:tcW w:w="2162"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NOT NULL</w:t>
            </w:r>
          </w:p>
        </w:tc>
        <w:tc>
          <w:tcPr>
            <w:tcW w:w="36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Primary category string.</w:t>
            </w:r>
          </w:p>
        </w:tc>
      </w:tr>
      <w:tr>
        <w:trPr/>
        <w:tc>
          <w:tcPr>
            <w:tcW w:w="20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bCs/>
                <w:color w:val="1A1A2E"/>
                <w:sz w:val="19"/>
                <w:szCs w:val="19"/>
              </w:rPr>
              <w:t>image_url</w:t>
            </w:r>
          </w:p>
        </w:tc>
        <w:tc>
          <w:tcPr>
            <w:tcW w:w="1598"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text</w:t>
            </w:r>
          </w:p>
        </w:tc>
        <w:tc>
          <w:tcPr>
            <w:tcW w:w="2162"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NULLABLE</w:t>
            </w:r>
          </w:p>
        </w:tc>
        <w:tc>
          <w:tcPr>
            <w:tcW w:w="36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Primary product image from source retailer.</w:t>
            </w:r>
          </w:p>
        </w:tc>
      </w:tr>
      <w:tr>
        <w:trPr/>
        <w:tc>
          <w:tcPr>
            <w:tcW w:w="20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bCs/>
                <w:color w:val="1A1A2E"/>
                <w:sz w:val="19"/>
                <w:szCs w:val="19"/>
              </w:rPr>
              <w:t>composite_score</w:t>
            </w:r>
          </w:p>
        </w:tc>
        <w:tc>
          <w:tcPr>
            <w:tcW w:w="1598"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numeric(5,2)</w:t>
            </w:r>
          </w:p>
        </w:tc>
        <w:tc>
          <w:tcPr>
            <w:tcW w:w="2162"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NULLABLE</w:t>
            </w:r>
          </w:p>
        </w:tc>
        <w:tc>
          <w:tcPr>
            <w:tcW w:w="36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0-100. NULL until first scoring run.</w:t>
            </w:r>
          </w:p>
        </w:tc>
      </w:tr>
      <w:tr>
        <w:trPr/>
        <w:tc>
          <w:tcPr>
            <w:tcW w:w="20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bCs/>
                <w:color w:val="1A1A2E"/>
                <w:sz w:val="19"/>
                <w:szCs w:val="19"/>
              </w:rPr>
              <w:t>score_confidence</w:t>
            </w:r>
          </w:p>
        </w:tc>
        <w:tc>
          <w:tcPr>
            <w:tcW w:w="1598"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varchar(20)</w:t>
            </w:r>
          </w:p>
        </w:tc>
        <w:tc>
          <w:tcPr>
            <w:tcW w:w="2162"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NOT NULL DEFAULT 'insufficient'</w:t>
            </w:r>
          </w:p>
        </w:tc>
        <w:tc>
          <w:tcPr>
            <w:tcW w:w="36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high|medium|low|insufficient</w:t>
            </w:r>
          </w:p>
        </w:tc>
      </w:tr>
      <w:tr>
        <w:trPr/>
        <w:tc>
          <w:tcPr>
            <w:tcW w:w="20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bCs/>
                <w:color w:val="1A1A2E"/>
                <w:sz w:val="19"/>
                <w:szCs w:val="19"/>
              </w:rPr>
              <w:t>deal_event_count</w:t>
            </w:r>
          </w:p>
        </w:tc>
        <w:tc>
          <w:tcPr>
            <w:tcW w:w="1598"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integer</w:t>
            </w:r>
          </w:p>
        </w:tc>
        <w:tc>
          <w:tcPr>
            <w:tcW w:w="2162"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NOT NULL DEFAULT 0</w:t>
            </w:r>
          </w:p>
        </w:tc>
        <w:tc>
          <w:tcPr>
            <w:tcW w:w="36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Trailing 90-day counter. Drives confidence band.</w:t>
            </w:r>
          </w:p>
        </w:tc>
      </w:tr>
      <w:tr>
        <w:trPr/>
        <w:tc>
          <w:tcPr>
            <w:tcW w:w="20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bCs/>
                <w:color w:val="1A1A2E"/>
                <w:sz w:val="19"/>
                <w:szCs w:val="19"/>
              </w:rPr>
              <w:t>high_opportunity</w:t>
            </w:r>
          </w:p>
        </w:tc>
        <w:tc>
          <w:tcPr>
            <w:tcW w:w="1598"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boolean</w:t>
            </w:r>
          </w:p>
        </w:tc>
        <w:tc>
          <w:tcPr>
            <w:tcW w:w="2162"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NOT NULL DEFAULT false</w:t>
            </w:r>
          </w:p>
        </w:tc>
        <w:tc>
          <w:tcPr>
            <w:tcW w:w="36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True if score &gt;= 80th pct for 3 consecutive runs.</w:t>
            </w:r>
          </w:p>
        </w:tc>
      </w:tr>
      <w:tr>
        <w:trPr/>
        <w:tc>
          <w:tcPr>
            <w:tcW w:w="20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bCs/>
                <w:color w:val="1A1A2E"/>
                <w:sz w:val="19"/>
                <w:szCs w:val="19"/>
              </w:rPr>
              <w:t>is_stale</w:t>
            </w:r>
          </w:p>
        </w:tc>
        <w:tc>
          <w:tcPr>
            <w:tcW w:w="1598"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boolean</w:t>
            </w:r>
          </w:p>
        </w:tc>
        <w:tc>
          <w:tcPr>
            <w:tcW w:w="2162"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NOT NULL DEFAULT false</w:t>
            </w:r>
          </w:p>
        </w:tc>
        <w:tc>
          <w:tcPr>
            <w:tcW w:w="36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True if no deal event in 30 days.</w:t>
            </w:r>
          </w:p>
        </w:tc>
      </w:tr>
      <w:tr>
        <w:trPr/>
        <w:tc>
          <w:tcPr>
            <w:tcW w:w="20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bCs/>
                <w:color w:val="1A1A2E"/>
                <w:sz w:val="19"/>
                <w:szCs w:val="19"/>
              </w:rPr>
              <w:t>last_scored_at</w:t>
            </w:r>
          </w:p>
        </w:tc>
        <w:tc>
          <w:tcPr>
            <w:tcW w:w="1598"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timestamptz</w:t>
            </w:r>
          </w:p>
        </w:tc>
        <w:tc>
          <w:tcPr>
            <w:tcW w:w="2162"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NULLABLE</w:t>
            </w:r>
          </w:p>
        </w:tc>
        <w:tc>
          <w:tcPr>
            <w:tcW w:w="36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
          </w:p>
        </w:tc>
      </w:tr>
      <w:tr>
        <w:trPr/>
        <w:tc>
          <w:tcPr>
            <w:tcW w:w="20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bCs/>
                <w:color w:val="1A1A2E"/>
                <w:sz w:val="19"/>
                <w:szCs w:val="19"/>
              </w:rPr>
              <w:t>created_at</w:t>
            </w:r>
          </w:p>
        </w:tc>
        <w:tc>
          <w:tcPr>
            <w:tcW w:w="1598"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timestamptz</w:t>
            </w:r>
          </w:p>
        </w:tc>
        <w:tc>
          <w:tcPr>
            <w:tcW w:w="2162"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NOT NULL DEFAULT now()</w:t>
            </w:r>
          </w:p>
        </w:tc>
        <w:tc>
          <w:tcPr>
            <w:tcW w:w="36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
          </w:p>
        </w:tc>
      </w:tr>
    </w:tbl>
    <w:p>
      <w:pPr>
        <w:pStyle w:val="Normal"/>
        <w:spacing w:before="0" w:after="0"/>
        <w:rPr/>
      </w:pPr>
      <w:r>
        <w:rPr/>
      </w:r>
    </w:p>
    <w:p>
      <w:pPr>
        <w:pStyle w:val="Heading3"/>
        <w:spacing w:before="200" w:after="80"/>
        <w:rPr/>
      </w:pPr>
      <w:r>
        <w:rPr>
          <w:rFonts w:eastAsia="Arial" w:cs="Arial"/>
          <w:b/>
          <w:bCs/>
          <w:color w:val="1A56DB"/>
          <w:sz w:val="22"/>
          <w:szCs w:val="22"/>
        </w:rPr>
        <w:t>price_events (catalogue schema — TimescaleDB hypertable)</w:t>
      </w:r>
    </w:p>
    <w:tbl>
      <w:tblPr>
        <w:tblW w:w="9360" w:type="dxa"/>
        <w:jc w:val="start"/>
        <w:tblInd w:w="0" w:type="dxa"/>
        <w:tblLayout w:type="fixed"/>
        <w:tblCellMar>
          <w:top w:w="100" w:type="dxa"/>
          <w:start w:w="140" w:type="dxa"/>
          <w:bottom w:w="100" w:type="dxa"/>
          <w:end w:w="140" w:type="dxa"/>
        </w:tblCellMar>
      </w:tblPr>
      <w:tblGrid>
        <w:gridCol w:w="2000"/>
        <w:gridCol w:w="1598"/>
        <w:gridCol w:w="2162"/>
        <w:gridCol w:w="3600"/>
      </w:tblGrid>
      <w:tr>
        <w:trPr>
          <w:tblHeader w:val="true"/>
        </w:trPr>
        <w:tc>
          <w:tcPr>
            <w:tcW w:w="2000" w:type="dxa"/>
            <w:tcBorders>
              <w:top w:val="single" w:sz="2" w:space="0" w:color="1A56DB"/>
              <w:start w:val="single" w:sz="2" w:space="0" w:color="1A56DB"/>
              <w:bottom w:val="single" w:sz="2" w:space="0" w:color="1A56DB"/>
              <w:end w:val="single" w:sz="2" w:space="0" w:color="1A56DB"/>
            </w:tcBorders>
            <w:shd w:fill="1A56DB" w:val="clear"/>
            <w:vAlign w:val="center"/>
          </w:tcPr>
          <w:p>
            <w:pPr>
              <w:pStyle w:val="Normal"/>
              <w:jc w:val="center"/>
              <w:rPr/>
            </w:pPr>
            <w:r>
              <w:rPr>
                <w:rFonts w:eastAsia="Arial" w:cs="Arial"/>
                <w:b/>
                <w:bCs/>
                <w:color w:val="FFFFFF"/>
                <w:sz w:val="19"/>
                <w:szCs w:val="19"/>
              </w:rPr>
              <w:t>Column</w:t>
            </w:r>
          </w:p>
        </w:tc>
        <w:tc>
          <w:tcPr>
            <w:tcW w:w="1598" w:type="dxa"/>
            <w:tcBorders>
              <w:top w:val="single" w:sz="2" w:space="0" w:color="1A56DB"/>
              <w:start w:val="single" w:sz="2" w:space="0" w:color="1A56DB"/>
              <w:bottom w:val="single" w:sz="2" w:space="0" w:color="1A56DB"/>
              <w:end w:val="single" w:sz="2" w:space="0" w:color="1A56DB"/>
            </w:tcBorders>
            <w:shd w:fill="1A56DB" w:val="clear"/>
            <w:vAlign w:val="center"/>
          </w:tcPr>
          <w:p>
            <w:pPr>
              <w:pStyle w:val="Normal"/>
              <w:jc w:val="center"/>
              <w:rPr/>
            </w:pPr>
            <w:r>
              <w:rPr>
                <w:rFonts w:eastAsia="Arial" w:cs="Arial"/>
                <w:b/>
                <w:bCs/>
                <w:color w:val="FFFFFF"/>
                <w:sz w:val="19"/>
                <w:szCs w:val="19"/>
              </w:rPr>
              <w:t>Type</w:t>
            </w:r>
          </w:p>
        </w:tc>
        <w:tc>
          <w:tcPr>
            <w:tcW w:w="2162" w:type="dxa"/>
            <w:tcBorders>
              <w:top w:val="single" w:sz="2" w:space="0" w:color="1A56DB"/>
              <w:start w:val="single" w:sz="2" w:space="0" w:color="1A56DB"/>
              <w:bottom w:val="single" w:sz="2" w:space="0" w:color="1A56DB"/>
              <w:end w:val="single" w:sz="2" w:space="0" w:color="1A56DB"/>
            </w:tcBorders>
            <w:shd w:fill="1A56DB" w:val="clear"/>
            <w:vAlign w:val="center"/>
          </w:tcPr>
          <w:p>
            <w:pPr>
              <w:pStyle w:val="Normal"/>
              <w:jc w:val="center"/>
              <w:rPr/>
            </w:pPr>
            <w:r>
              <w:rPr>
                <w:rFonts w:eastAsia="Arial" w:cs="Arial"/>
                <w:b/>
                <w:bCs/>
                <w:color w:val="FFFFFF"/>
                <w:sz w:val="19"/>
                <w:szCs w:val="19"/>
              </w:rPr>
              <w:t>Constraints</w:t>
            </w:r>
          </w:p>
        </w:tc>
        <w:tc>
          <w:tcPr>
            <w:tcW w:w="3600" w:type="dxa"/>
            <w:tcBorders>
              <w:top w:val="single" w:sz="2" w:space="0" w:color="1A56DB"/>
              <w:start w:val="single" w:sz="2" w:space="0" w:color="1A56DB"/>
              <w:bottom w:val="single" w:sz="2" w:space="0" w:color="1A56DB"/>
              <w:end w:val="single" w:sz="2" w:space="0" w:color="1A56DB"/>
            </w:tcBorders>
            <w:shd w:fill="1A56DB" w:val="clear"/>
            <w:vAlign w:val="center"/>
          </w:tcPr>
          <w:p>
            <w:pPr>
              <w:pStyle w:val="Normal"/>
              <w:jc w:val="center"/>
              <w:rPr/>
            </w:pPr>
            <w:r>
              <w:rPr>
                <w:rFonts w:eastAsia="Arial" w:cs="Arial"/>
                <w:b/>
                <w:bCs/>
                <w:color w:val="FFFFFF"/>
                <w:sz w:val="19"/>
                <w:szCs w:val="19"/>
              </w:rPr>
              <w:t>Notes</w:t>
            </w:r>
          </w:p>
        </w:tc>
      </w:tr>
      <w:tr>
        <w:trPr/>
        <w:tc>
          <w:tcPr>
            <w:tcW w:w="20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bCs/>
                <w:color w:val="1A1A2E"/>
                <w:sz w:val="19"/>
                <w:szCs w:val="19"/>
              </w:rPr>
              <w:t>time</w:t>
            </w:r>
          </w:p>
        </w:tc>
        <w:tc>
          <w:tcPr>
            <w:tcW w:w="1598"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timestamptz</w:t>
            </w:r>
          </w:p>
        </w:tc>
        <w:tc>
          <w:tcPr>
            <w:tcW w:w="2162"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NOT NULL</w:t>
            </w:r>
          </w:p>
        </w:tc>
        <w:tc>
          <w:tcPr>
            <w:tcW w:w="36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Hypertable partition key. Chunk interval: 7 days.</w:t>
            </w:r>
          </w:p>
        </w:tc>
      </w:tr>
      <w:tr>
        <w:trPr/>
        <w:tc>
          <w:tcPr>
            <w:tcW w:w="20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bCs/>
                <w:color w:val="1A1A2E"/>
                <w:sz w:val="19"/>
                <w:szCs w:val="19"/>
              </w:rPr>
              <w:t>sku_id</w:t>
            </w:r>
          </w:p>
        </w:tc>
        <w:tc>
          <w:tcPr>
            <w:tcW w:w="1598"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uuid</w:t>
            </w:r>
          </w:p>
        </w:tc>
        <w:tc>
          <w:tcPr>
            <w:tcW w:w="2162"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FK catalogue.skus.id NOT NULL</w:t>
            </w:r>
          </w:p>
        </w:tc>
        <w:tc>
          <w:tcPr>
            <w:tcW w:w="36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
          </w:p>
        </w:tc>
      </w:tr>
      <w:tr>
        <w:trPr/>
        <w:tc>
          <w:tcPr>
            <w:tcW w:w="20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bCs/>
                <w:color w:val="1A1A2E"/>
                <w:sz w:val="19"/>
                <w:szCs w:val="19"/>
              </w:rPr>
              <w:t>retailer_source_id</w:t>
            </w:r>
          </w:p>
        </w:tc>
        <w:tc>
          <w:tcPr>
            <w:tcW w:w="1598"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uuid</w:t>
            </w:r>
          </w:p>
        </w:tc>
        <w:tc>
          <w:tcPr>
            <w:tcW w:w="2162"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FK ingestion.retailer_sources.id NOT NULL</w:t>
            </w:r>
          </w:p>
        </w:tc>
        <w:tc>
          <w:tcPr>
            <w:tcW w:w="36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
          </w:p>
        </w:tc>
      </w:tr>
      <w:tr>
        <w:trPr/>
        <w:tc>
          <w:tcPr>
            <w:tcW w:w="20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bCs/>
                <w:color w:val="1A1A2E"/>
                <w:sz w:val="19"/>
                <w:szCs w:val="19"/>
              </w:rPr>
              <w:t>price_gbp</w:t>
            </w:r>
          </w:p>
        </w:tc>
        <w:tc>
          <w:tcPr>
            <w:tcW w:w="1598"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numeric(10,2)</w:t>
            </w:r>
          </w:p>
        </w:tc>
        <w:tc>
          <w:tcPr>
            <w:tcW w:w="2162"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NOT NULL</w:t>
            </w:r>
          </w:p>
        </w:tc>
        <w:tc>
          <w:tcPr>
            <w:tcW w:w="36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Raw price including VAT.</w:t>
            </w:r>
          </w:p>
        </w:tc>
      </w:tr>
      <w:tr>
        <w:trPr/>
        <w:tc>
          <w:tcPr>
            <w:tcW w:w="20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bCs/>
                <w:color w:val="1A1A2E"/>
                <w:sz w:val="19"/>
                <w:szCs w:val="19"/>
              </w:rPr>
              <w:t>delivery_gbp</w:t>
            </w:r>
          </w:p>
        </w:tc>
        <w:tc>
          <w:tcPr>
            <w:tcW w:w="1598"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numeric(10,2)</w:t>
            </w:r>
          </w:p>
        </w:tc>
        <w:tc>
          <w:tcPr>
            <w:tcW w:w="2162"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NOT NULL DEFAULT 0</w:t>
            </w:r>
          </w:p>
        </w:tc>
        <w:tc>
          <w:tcPr>
            <w:tcW w:w="36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Stated delivery charge.</w:t>
            </w:r>
          </w:p>
        </w:tc>
      </w:tr>
      <w:tr>
        <w:trPr/>
        <w:tc>
          <w:tcPr>
            <w:tcW w:w="20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bCs/>
                <w:color w:val="1A1A2E"/>
                <w:sz w:val="19"/>
                <w:szCs w:val="19"/>
              </w:rPr>
              <w:t>in_stock</w:t>
            </w:r>
          </w:p>
        </w:tc>
        <w:tc>
          <w:tcPr>
            <w:tcW w:w="1598"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boolean</w:t>
            </w:r>
          </w:p>
        </w:tc>
        <w:tc>
          <w:tcPr>
            <w:tcW w:w="2162"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NOT NULL DEFAULT true</w:t>
            </w:r>
          </w:p>
        </w:tc>
        <w:tc>
          <w:tcPr>
            <w:tcW w:w="36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
          </w:p>
        </w:tc>
      </w:tr>
      <w:tr>
        <w:trPr/>
        <w:tc>
          <w:tcPr>
            <w:tcW w:w="20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bCs/>
                <w:color w:val="1A1A2E"/>
                <w:sz w:val="19"/>
                <w:szCs w:val="19"/>
              </w:rPr>
              <w:t>source</w:t>
            </w:r>
          </w:p>
        </w:tc>
        <w:tc>
          <w:tcPr>
            <w:tcW w:w="1598"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varchar(20)</w:t>
            </w:r>
          </w:p>
        </w:tc>
        <w:tc>
          <w:tcPr>
            <w:tcW w:w="2162"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NOT NULL</w:t>
            </w:r>
          </w:p>
        </w:tc>
        <w:tc>
          <w:tcPr>
            <w:tcW w:w="36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api|scraper|aggregator</w:t>
            </w:r>
          </w:p>
        </w:tc>
      </w:tr>
    </w:tbl>
    <w:p>
      <w:pPr>
        <w:pStyle w:val="Normal"/>
        <w:spacing w:before="40" w:after="40"/>
        <w:rPr/>
      </w:pPr>
      <w:r>
        <w:rPr>
          <w:rFonts w:eastAsia="Arial" w:cs="Arial"/>
          <w:i/>
          <w:iCs/>
          <w:color w:val="5D6D7E"/>
          <w:sz w:val="20"/>
          <w:szCs w:val="20"/>
        </w:rPr>
        <w:t>Retention: 12 months rolling. TimescaleDB compression enabled after 30 days. Continuous aggregate: daily_price_summary (min, max, avg per SKU per retailer).</w:t>
      </w:r>
    </w:p>
    <w:p>
      <w:pPr>
        <w:pStyle w:val="Normal"/>
        <w:spacing w:before="0" w:after="0"/>
        <w:rPr/>
      </w:pPr>
      <w:r>
        <w:rPr/>
      </w:r>
    </w:p>
    <w:p>
      <w:pPr>
        <w:pStyle w:val="Heading3"/>
        <w:spacing w:before="200" w:after="80"/>
        <w:rPr/>
      </w:pPr>
      <w:r>
        <w:rPr>
          <w:rFonts w:eastAsia="Arial" w:cs="Arial"/>
          <w:b/>
          <w:bCs/>
          <w:color w:val="1A56DB"/>
          <w:sz w:val="22"/>
          <w:szCs w:val="22"/>
        </w:rPr>
        <w:t>approval_queue_items (approvals schema)</w:t>
      </w:r>
    </w:p>
    <w:tbl>
      <w:tblPr>
        <w:tblW w:w="9360" w:type="dxa"/>
        <w:jc w:val="start"/>
        <w:tblInd w:w="0" w:type="dxa"/>
        <w:tblLayout w:type="fixed"/>
        <w:tblCellMar>
          <w:top w:w="100" w:type="dxa"/>
          <w:start w:w="140" w:type="dxa"/>
          <w:bottom w:w="100" w:type="dxa"/>
          <w:end w:w="140" w:type="dxa"/>
        </w:tblCellMar>
      </w:tblPr>
      <w:tblGrid>
        <w:gridCol w:w="2000"/>
        <w:gridCol w:w="1598"/>
        <w:gridCol w:w="2162"/>
        <w:gridCol w:w="3600"/>
      </w:tblGrid>
      <w:tr>
        <w:trPr>
          <w:tblHeader w:val="true"/>
        </w:trPr>
        <w:tc>
          <w:tcPr>
            <w:tcW w:w="2000" w:type="dxa"/>
            <w:tcBorders>
              <w:top w:val="single" w:sz="2" w:space="0" w:color="1A56DB"/>
              <w:start w:val="single" w:sz="2" w:space="0" w:color="1A56DB"/>
              <w:bottom w:val="single" w:sz="2" w:space="0" w:color="1A56DB"/>
              <w:end w:val="single" w:sz="2" w:space="0" w:color="1A56DB"/>
            </w:tcBorders>
            <w:shd w:fill="1A56DB" w:val="clear"/>
            <w:vAlign w:val="center"/>
          </w:tcPr>
          <w:p>
            <w:pPr>
              <w:pStyle w:val="Normal"/>
              <w:jc w:val="center"/>
              <w:rPr/>
            </w:pPr>
            <w:r>
              <w:rPr>
                <w:rFonts w:eastAsia="Arial" w:cs="Arial"/>
                <w:b/>
                <w:bCs/>
                <w:color w:val="FFFFFF"/>
                <w:sz w:val="19"/>
                <w:szCs w:val="19"/>
              </w:rPr>
              <w:t>Column</w:t>
            </w:r>
          </w:p>
        </w:tc>
        <w:tc>
          <w:tcPr>
            <w:tcW w:w="1598" w:type="dxa"/>
            <w:tcBorders>
              <w:top w:val="single" w:sz="2" w:space="0" w:color="1A56DB"/>
              <w:start w:val="single" w:sz="2" w:space="0" w:color="1A56DB"/>
              <w:bottom w:val="single" w:sz="2" w:space="0" w:color="1A56DB"/>
              <w:end w:val="single" w:sz="2" w:space="0" w:color="1A56DB"/>
            </w:tcBorders>
            <w:shd w:fill="1A56DB" w:val="clear"/>
            <w:vAlign w:val="center"/>
          </w:tcPr>
          <w:p>
            <w:pPr>
              <w:pStyle w:val="Normal"/>
              <w:jc w:val="center"/>
              <w:rPr/>
            </w:pPr>
            <w:r>
              <w:rPr>
                <w:rFonts w:eastAsia="Arial" w:cs="Arial"/>
                <w:b/>
                <w:bCs/>
                <w:color w:val="FFFFFF"/>
                <w:sz w:val="19"/>
                <w:szCs w:val="19"/>
              </w:rPr>
              <w:t>Type</w:t>
            </w:r>
          </w:p>
        </w:tc>
        <w:tc>
          <w:tcPr>
            <w:tcW w:w="2162" w:type="dxa"/>
            <w:tcBorders>
              <w:top w:val="single" w:sz="2" w:space="0" w:color="1A56DB"/>
              <w:start w:val="single" w:sz="2" w:space="0" w:color="1A56DB"/>
              <w:bottom w:val="single" w:sz="2" w:space="0" w:color="1A56DB"/>
              <w:end w:val="single" w:sz="2" w:space="0" w:color="1A56DB"/>
            </w:tcBorders>
            <w:shd w:fill="1A56DB" w:val="clear"/>
            <w:vAlign w:val="center"/>
          </w:tcPr>
          <w:p>
            <w:pPr>
              <w:pStyle w:val="Normal"/>
              <w:jc w:val="center"/>
              <w:rPr/>
            </w:pPr>
            <w:r>
              <w:rPr>
                <w:rFonts w:eastAsia="Arial" w:cs="Arial"/>
                <w:b/>
                <w:bCs/>
                <w:color w:val="FFFFFF"/>
                <w:sz w:val="19"/>
                <w:szCs w:val="19"/>
              </w:rPr>
              <w:t>Constraints</w:t>
            </w:r>
          </w:p>
        </w:tc>
        <w:tc>
          <w:tcPr>
            <w:tcW w:w="3600" w:type="dxa"/>
            <w:tcBorders>
              <w:top w:val="single" w:sz="2" w:space="0" w:color="1A56DB"/>
              <w:start w:val="single" w:sz="2" w:space="0" w:color="1A56DB"/>
              <w:bottom w:val="single" w:sz="2" w:space="0" w:color="1A56DB"/>
              <w:end w:val="single" w:sz="2" w:space="0" w:color="1A56DB"/>
            </w:tcBorders>
            <w:shd w:fill="1A56DB" w:val="clear"/>
            <w:vAlign w:val="center"/>
          </w:tcPr>
          <w:p>
            <w:pPr>
              <w:pStyle w:val="Normal"/>
              <w:jc w:val="center"/>
              <w:rPr/>
            </w:pPr>
            <w:r>
              <w:rPr>
                <w:rFonts w:eastAsia="Arial" w:cs="Arial"/>
                <w:b/>
                <w:bCs/>
                <w:color w:val="FFFFFF"/>
                <w:sz w:val="19"/>
                <w:szCs w:val="19"/>
              </w:rPr>
              <w:t>Notes</w:t>
            </w:r>
          </w:p>
        </w:tc>
      </w:tr>
      <w:tr>
        <w:trPr/>
        <w:tc>
          <w:tcPr>
            <w:tcW w:w="20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bCs/>
                <w:color w:val="1A1A2E"/>
                <w:sz w:val="19"/>
                <w:szCs w:val="19"/>
              </w:rPr>
              <w:t>id</w:t>
            </w:r>
          </w:p>
        </w:tc>
        <w:tc>
          <w:tcPr>
            <w:tcW w:w="1598"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uuid</w:t>
            </w:r>
          </w:p>
        </w:tc>
        <w:tc>
          <w:tcPr>
            <w:tcW w:w="2162"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PK</w:t>
            </w:r>
          </w:p>
        </w:tc>
        <w:tc>
          <w:tcPr>
            <w:tcW w:w="36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
          </w:p>
        </w:tc>
      </w:tr>
      <w:tr>
        <w:trPr/>
        <w:tc>
          <w:tcPr>
            <w:tcW w:w="20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bCs/>
                <w:color w:val="1A1A2E"/>
                <w:sz w:val="19"/>
                <w:szCs w:val="19"/>
              </w:rPr>
              <w:t>user_id</w:t>
            </w:r>
          </w:p>
        </w:tc>
        <w:tc>
          <w:tcPr>
            <w:tcW w:w="1598"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uuid</w:t>
            </w:r>
          </w:p>
        </w:tc>
        <w:tc>
          <w:tcPr>
            <w:tcW w:w="2162"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FK identity.users.id NOT NULL</w:t>
            </w:r>
          </w:p>
        </w:tc>
        <w:tc>
          <w:tcPr>
            <w:tcW w:w="36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
          </w:p>
        </w:tc>
      </w:tr>
      <w:tr>
        <w:trPr/>
        <w:tc>
          <w:tcPr>
            <w:tcW w:w="20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bCs/>
                <w:color w:val="1A1A2E"/>
                <w:sz w:val="19"/>
                <w:szCs w:val="19"/>
              </w:rPr>
              <w:t>sku_id</w:t>
            </w:r>
          </w:p>
        </w:tc>
        <w:tc>
          <w:tcPr>
            <w:tcW w:w="1598"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uuid</w:t>
            </w:r>
          </w:p>
        </w:tc>
        <w:tc>
          <w:tcPr>
            <w:tcW w:w="2162"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FK catalogue.skus.id NOT NULL</w:t>
            </w:r>
          </w:p>
        </w:tc>
        <w:tc>
          <w:tcPr>
            <w:tcW w:w="36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
          </w:p>
        </w:tc>
      </w:tr>
      <w:tr>
        <w:trPr/>
        <w:tc>
          <w:tcPr>
            <w:tcW w:w="20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bCs/>
                <w:color w:val="1A1A2E"/>
                <w:sz w:val="19"/>
                <w:szCs w:val="19"/>
              </w:rPr>
              <w:t>retailer_source_id</w:t>
            </w:r>
          </w:p>
        </w:tc>
        <w:tc>
          <w:tcPr>
            <w:tcW w:w="1598"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uuid</w:t>
            </w:r>
          </w:p>
        </w:tc>
        <w:tc>
          <w:tcPr>
            <w:tcW w:w="2162"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FK ingestion.retailer_sources.id NOT NULL</w:t>
            </w:r>
          </w:p>
        </w:tc>
        <w:tc>
          <w:tcPr>
            <w:tcW w:w="36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Buy source.</w:t>
            </w:r>
          </w:p>
        </w:tc>
      </w:tr>
      <w:tr>
        <w:trPr/>
        <w:tc>
          <w:tcPr>
            <w:tcW w:w="20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bCs/>
                <w:color w:val="1A1A2E"/>
                <w:sz w:val="19"/>
                <w:szCs w:val="19"/>
              </w:rPr>
              <w:t>sell_channel</w:t>
            </w:r>
          </w:p>
        </w:tc>
        <w:tc>
          <w:tcPr>
            <w:tcW w:w="1598"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varchar(50)</w:t>
            </w:r>
          </w:p>
        </w:tc>
        <w:tc>
          <w:tcPr>
            <w:tcW w:w="2162"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NOT NULL</w:t>
            </w:r>
          </w:p>
        </w:tc>
        <w:tc>
          <w:tcPr>
            <w:tcW w:w="36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amazon_fba|amazon_fbm|ebay|shopify|facebook|gumtree</w:t>
            </w:r>
          </w:p>
        </w:tc>
      </w:tr>
      <w:tr>
        <w:trPr/>
        <w:tc>
          <w:tcPr>
            <w:tcW w:w="20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bCs/>
                <w:color w:val="1A1A2E"/>
                <w:sz w:val="19"/>
                <w:szCs w:val="19"/>
              </w:rPr>
              <w:t>buy_price_gbp</w:t>
            </w:r>
          </w:p>
        </w:tc>
        <w:tc>
          <w:tcPr>
            <w:tcW w:w="1598"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numeric(10,2)</w:t>
            </w:r>
          </w:p>
        </w:tc>
        <w:tc>
          <w:tcPr>
            <w:tcW w:w="2162"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NOT NULL</w:t>
            </w:r>
          </w:p>
        </w:tc>
        <w:tc>
          <w:tcPr>
            <w:tcW w:w="36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Price at time of queuing.</w:t>
            </w:r>
          </w:p>
        </w:tc>
      </w:tr>
      <w:tr>
        <w:trPr/>
        <w:tc>
          <w:tcPr>
            <w:tcW w:w="20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bCs/>
                <w:color w:val="1A1A2E"/>
                <w:sz w:val="19"/>
                <w:szCs w:val="19"/>
              </w:rPr>
              <w:t>sell_price_gbp</w:t>
            </w:r>
          </w:p>
        </w:tc>
        <w:tc>
          <w:tcPr>
            <w:tcW w:w="1598"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numeric(10,2)</w:t>
            </w:r>
          </w:p>
        </w:tc>
        <w:tc>
          <w:tcPr>
            <w:tcW w:w="2162"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NOT NULL</w:t>
            </w:r>
          </w:p>
        </w:tc>
        <w:tc>
          <w:tcPr>
            <w:tcW w:w="36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Sell price at time of queuing.</w:t>
            </w:r>
          </w:p>
        </w:tc>
      </w:tr>
      <w:tr>
        <w:trPr/>
        <w:tc>
          <w:tcPr>
            <w:tcW w:w="20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bCs/>
                <w:color w:val="1A1A2E"/>
                <w:sz w:val="19"/>
                <w:szCs w:val="19"/>
              </w:rPr>
              <w:t>estimated_net_margin_pct</w:t>
            </w:r>
          </w:p>
        </w:tc>
        <w:tc>
          <w:tcPr>
            <w:tcW w:w="1598"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numeric(5,2)</w:t>
            </w:r>
          </w:p>
        </w:tc>
        <w:tc>
          <w:tcPr>
            <w:tcW w:w="2162"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NOT NULL</w:t>
            </w:r>
          </w:p>
        </w:tc>
        <w:tc>
          <w:tcPr>
            <w:tcW w:w="36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Calculated at queue time.</w:t>
            </w:r>
          </w:p>
        </w:tc>
      </w:tr>
      <w:tr>
        <w:trPr/>
        <w:tc>
          <w:tcPr>
            <w:tcW w:w="20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bCs/>
                <w:color w:val="1A1A2E"/>
                <w:sz w:val="19"/>
                <w:szCs w:val="19"/>
              </w:rPr>
              <w:t>quantity</w:t>
            </w:r>
          </w:p>
        </w:tc>
        <w:tc>
          <w:tcPr>
            <w:tcW w:w="1598"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integer</w:t>
            </w:r>
          </w:p>
        </w:tc>
        <w:tc>
          <w:tcPr>
            <w:tcW w:w="2162"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NOT NULL DEFAULT 1</w:t>
            </w:r>
          </w:p>
        </w:tc>
        <w:tc>
          <w:tcPr>
            <w:tcW w:w="36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
          </w:p>
        </w:tc>
      </w:tr>
      <w:tr>
        <w:trPr/>
        <w:tc>
          <w:tcPr>
            <w:tcW w:w="20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bCs/>
                <w:color w:val="1A1A2E"/>
                <w:sz w:val="19"/>
                <w:szCs w:val="19"/>
              </w:rPr>
              <w:t>status</w:t>
            </w:r>
          </w:p>
        </w:tc>
        <w:tc>
          <w:tcPr>
            <w:tcW w:w="1598"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varchar(30)</w:t>
            </w:r>
          </w:p>
        </w:tc>
        <w:tc>
          <w:tcPr>
            <w:tcW w:w="2162"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NOT NULL DEFAULT 'pending'</w:t>
            </w:r>
          </w:p>
        </w:tc>
        <w:tc>
          <w:tcPr>
            <w:tcW w:w="36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pending|approved|executing|purchased|listed|failed|removed</w:t>
            </w:r>
          </w:p>
        </w:tc>
      </w:tr>
      <w:tr>
        <w:trPr/>
        <w:tc>
          <w:tcPr>
            <w:tcW w:w="20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bCs/>
                <w:color w:val="1A1A2E"/>
                <w:sz w:val="19"/>
                <w:szCs w:val="19"/>
              </w:rPr>
              <w:t>queued_at</w:t>
            </w:r>
          </w:p>
        </w:tc>
        <w:tc>
          <w:tcPr>
            <w:tcW w:w="1598"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timestamptz</w:t>
            </w:r>
          </w:p>
        </w:tc>
        <w:tc>
          <w:tcPr>
            <w:tcW w:w="2162"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NOT NULL DEFAULT now()</w:t>
            </w:r>
          </w:p>
        </w:tc>
        <w:tc>
          <w:tcPr>
            <w:tcW w:w="36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
          </w:p>
        </w:tc>
      </w:tr>
      <w:tr>
        <w:trPr/>
        <w:tc>
          <w:tcPr>
            <w:tcW w:w="20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bCs/>
                <w:color w:val="1A1A2E"/>
                <w:sz w:val="19"/>
                <w:szCs w:val="19"/>
              </w:rPr>
              <w:t>approved_at</w:t>
            </w:r>
          </w:p>
        </w:tc>
        <w:tc>
          <w:tcPr>
            <w:tcW w:w="1598"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timestamptz</w:t>
            </w:r>
          </w:p>
        </w:tc>
        <w:tc>
          <w:tcPr>
            <w:tcW w:w="2162"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NULLABLE</w:t>
            </w:r>
          </w:p>
        </w:tc>
        <w:tc>
          <w:tcPr>
            <w:tcW w:w="36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
          </w:p>
        </w:tc>
      </w:tr>
      <w:tr>
        <w:trPr/>
        <w:tc>
          <w:tcPr>
            <w:tcW w:w="20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bCs/>
                <w:color w:val="1A1A2E"/>
                <w:sz w:val="19"/>
                <w:szCs w:val="19"/>
              </w:rPr>
              <w:t>executed_at</w:t>
            </w:r>
          </w:p>
        </w:tc>
        <w:tc>
          <w:tcPr>
            <w:tcW w:w="1598"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timestamptz</w:t>
            </w:r>
          </w:p>
        </w:tc>
        <w:tc>
          <w:tcPr>
            <w:tcW w:w="2162"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NULLABLE</w:t>
            </w:r>
          </w:p>
        </w:tc>
        <w:tc>
          <w:tcPr>
            <w:tcW w:w="36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
          </w:p>
        </w:tc>
      </w:tr>
      <w:tr>
        <w:trPr/>
        <w:tc>
          <w:tcPr>
            <w:tcW w:w="20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bCs/>
                <w:color w:val="1A1A2E"/>
                <w:sz w:val="19"/>
                <w:szCs w:val="19"/>
              </w:rPr>
              <w:t>failure_reason</w:t>
            </w:r>
          </w:p>
        </w:tc>
        <w:tc>
          <w:tcPr>
            <w:tcW w:w="1598"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text</w:t>
            </w:r>
          </w:p>
        </w:tc>
        <w:tc>
          <w:tcPr>
            <w:tcW w:w="2162"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NULLABLE</w:t>
            </w:r>
          </w:p>
        </w:tc>
        <w:tc>
          <w:tcPr>
            <w:tcW w:w="36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
          </w:p>
        </w:tc>
      </w:tr>
      <w:tr>
        <w:trPr/>
        <w:tc>
          <w:tcPr>
            <w:tcW w:w="20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bCs/>
                <w:color w:val="1A1A2E"/>
                <w:sz w:val="19"/>
                <w:szCs w:val="19"/>
              </w:rPr>
              <w:t>pre_execute_margin_pct</w:t>
            </w:r>
          </w:p>
        </w:tc>
        <w:tc>
          <w:tcPr>
            <w:tcW w:w="1598"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numeric(5,2)</w:t>
            </w:r>
          </w:p>
        </w:tc>
        <w:tc>
          <w:tcPr>
            <w:tcW w:w="2162"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NULLABLE</w:t>
            </w:r>
          </w:p>
        </w:tc>
        <w:tc>
          <w:tcPr>
            <w:tcW w:w="36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Margin recalculated immediately before purchase.</w:t>
            </w:r>
          </w:p>
        </w:tc>
      </w:tr>
    </w:tbl>
    <w:p>
      <w:pPr>
        <w:pStyle w:val="Normal"/>
        <w:spacing w:before="0" w:after="0"/>
        <w:rPr/>
      </w:pPr>
      <w:r>
        <w:rPr/>
      </w:r>
    </w:p>
    <w:p>
      <w:pPr>
        <w:pStyle w:val="Heading3"/>
        <w:spacing w:before="200" w:after="80"/>
        <w:rPr/>
      </w:pPr>
      <w:r>
        <w:rPr>
          <w:rFonts w:eastAsia="Arial" w:cs="Arial"/>
          <w:b/>
          <w:bCs/>
          <w:color w:val="1A56DB"/>
          <w:sz w:val="22"/>
          <w:szCs w:val="22"/>
        </w:rPr>
        <w:t>deal_records (history schema — append-only)</w:t>
      </w:r>
    </w:p>
    <w:tbl>
      <w:tblPr>
        <w:tblW w:w="9360" w:type="dxa"/>
        <w:jc w:val="start"/>
        <w:tblInd w:w="0" w:type="dxa"/>
        <w:tblLayout w:type="fixed"/>
        <w:tblCellMar>
          <w:top w:w="100" w:type="dxa"/>
          <w:start w:w="140" w:type="dxa"/>
          <w:bottom w:w="100" w:type="dxa"/>
          <w:end w:w="140" w:type="dxa"/>
        </w:tblCellMar>
      </w:tblPr>
      <w:tblGrid>
        <w:gridCol w:w="2000"/>
        <w:gridCol w:w="1598"/>
        <w:gridCol w:w="2162"/>
        <w:gridCol w:w="3600"/>
      </w:tblGrid>
      <w:tr>
        <w:trPr>
          <w:tblHeader w:val="true"/>
        </w:trPr>
        <w:tc>
          <w:tcPr>
            <w:tcW w:w="2000" w:type="dxa"/>
            <w:tcBorders>
              <w:top w:val="single" w:sz="2" w:space="0" w:color="1A56DB"/>
              <w:start w:val="single" w:sz="2" w:space="0" w:color="1A56DB"/>
              <w:bottom w:val="single" w:sz="2" w:space="0" w:color="1A56DB"/>
              <w:end w:val="single" w:sz="2" w:space="0" w:color="1A56DB"/>
            </w:tcBorders>
            <w:shd w:fill="1A56DB" w:val="clear"/>
            <w:vAlign w:val="center"/>
          </w:tcPr>
          <w:p>
            <w:pPr>
              <w:pStyle w:val="Normal"/>
              <w:jc w:val="center"/>
              <w:rPr/>
            </w:pPr>
            <w:r>
              <w:rPr>
                <w:rFonts w:eastAsia="Arial" w:cs="Arial"/>
                <w:b/>
                <w:bCs/>
                <w:color w:val="FFFFFF"/>
                <w:sz w:val="19"/>
                <w:szCs w:val="19"/>
              </w:rPr>
              <w:t>Column</w:t>
            </w:r>
          </w:p>
        </w:tc>
        <w:tc>
          <w:tcPr>
            <w:tcW w:w="1598" w:type="dxa"/>
            <w:tcBorders>
              <w:top w:val="single" w:sz="2" w:space="0" w:color="1A56DB"/>
              <w:start w:val="single" w:sz="2" w:space="0" w:color="1A56DB"/>
              <w:bottom w:val="single" w:sz="2" w:space="0" w:color="1A56DB"/>
              <w:end w:val="single" w:sz="2" w:space="0" w:color="1A56DB"/>
            </w:tcBorders>
            <w:shd w:fill="1A56DB" w:val="clear"/>
            <w:vAlign w:val="center"/>
          </w:tcPr>
          <w:p>
            <w:pPr>
              <w:pStyle w:val="Normal"/>
              <w:jc w:val="center"/>
              <w:rPr/>
            </w:pPr>
            <w:r>
              <w:rPr>
                <w:rFonts w:eastAsia="Arial" w:cs="Arial"/>
                <w:b/>
                <w:bCs/>
                <w:color w:val="FFFFFF"/>
                <w:sz w:val="19"/>
                <w:szCs w:val="19"/>
              </w:rPr>
              <w:t>Type</w:t>
            </w:r>
          </w:p>
        </w:tc>
        <w:tc>
          <w:tcPr>
            <w:tcW w:w="2162" w:type="dxa"/>
            <w:tcBorders>
              <w:top w:val="single" w:sz="2" w:space="0" w:color="1A56DB"/>
              <w:start w:val="single" w:sz="2" w:space="0" w:color="1A56DB"/>
              <w:bottom w:val="single" w:sz="2" w:space="0" w:color="1A56DB"/>
              <w:end w:val="single" w:sz="2" w:space="0" w:color="1A56DB"/>
            </w:tcBorders>
            <w:shd w:fill="1A56DB" w:val="clear"/>
            <w:vAlign w:val="center"/>
          </w:tcPr>
          <w:p>
            <w:pPr>
              <w:pStyle w:val="Normal"/>
              <w:jc w:val="center"/>
              <w:rPr/>
            </w:pPr>
            <w:r>
              <w:rPr>
                <w:rFonts w:eastAsia="Arial" w:cs="Arial"/>
                <w:b/>
                <w:bCs/>
                <w:color w:val="FFFFFF"/>
                <w:sz w:val="19"/>
                <w:szCs w:val="19"/>
              </w:rPr>
              <w:t>Constraints</w:t>
            </w:r>
          </w:p>
        </w:tc>
        <w:tc>
          <w:tcPr>
            <w:tcW w:w="3600" w:type="dxa"/>
            <w:tcBorders>
              <w:top w:val="single" w:sz="2" w:space="0" w:color="1A56DB"/>
              <w:start w:val="single" w:sz="2" w:space="0" w:color="1A56DB"/>
              <w:bottom w:val="single" w:sz="2" w:space="0" w:color="1A56DB"/>
              <w:end w:val="single" w:sz="2" w:space="0" w:color="1A56DB"/>
            </w:tcBorders>
            <w:shd w:fill="1A56DB" w:val="clear"/>
            <w:vAlign w:val="center"/>
          </w:tcPr>
          <w:p>
            <w:pPr>
              <w:pStyle w:val="Normal"/>
              <w:jc w:val="center"/>
              <w:rPr/>
            </w:pPr>
            <w:r>
              <w:rPr>
                <w:rFonts w:eastAsia="Arial" w:cs="Arial"/>
                <w:b/>
                <w:bCs/>
                <w:color w:val="FFFFFF"/>
                <w:sz w:val="19"/>
                <w:szCs w:val="19"/>
              </w:rPr>
              <w:t>Notes</w:t>
            </w:r>
          </w:p>
        </w:tc>
      </w:tr>
      <w:tr>
        <w:trPr/>
        <w:tc>
          <w:tcPr>
            <w:tcW w:w="20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bCs/>
                <w:color w:val="1A1A2E"/>
                <w:sz w:val="19"/>
                <w:szCs w:val="19"/>
              </w:rPr>
              <w:t>id</w:t>
            </w:r>
          </w:p>
        </w:tc>
        <w:tc>
          <w:tcPr>
            <w:tcW w:w="1598"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uuid</w:t>
            </w:r>
          </w:p>
        </w:tc>
        <w:tc>
          <w:tcPr>
            <w:tcW w:w="2162"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PK</w:t>
            </w:r>
          </w:p>
        </w:tc>
        <w:tc>
          <w:tcPr>
            <w:tcW w:w="36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
          </w:p>
        </w:tc>
      </w:tr>
      <w:tr>
        <w:trPr/>
        <w:tc>
          <w:tcPr>
            <w:tcW w:w="20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bCs/>
                <w:color w:val="1A1A2E"/>
                <w:sz w:val="19"/>
                <w:szCs w:val="19"/>
              </w:rPr>
              <w:t>user_id</w:t>
            </w:r>
          </w:p>
        </w:tc>
        <w:tc>
          <w:tcPr>
            <w:tcW w:w="1598"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uuid</w:t>
            </w:r>
          </w:p>
        </w:tc>
        <w:tc>
          <w:tcPr>
            <w:tcW w:w="2162"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NOT NULL</w:t>
            </w:r>
          </w:p>
        </w:tc>
        <w:tc>
          <w:tcPr>
            <w:tcW w:w="36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Denormalised — no FK to allow independent retention.</w:t>
            </w:r>
          </w:p>
        </w:tc>
      </w:tr>
      <w:tr>
        <w:trPr/>
        <w:tc>
          <w:tcPr>
            <w:tcW w:w="20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bCs/>
                <w:color w:val="1A1A2E"/>
                <w:sz w:val="19"/>
                <w:szCs w:val="19"/>
              </w:rPr>
              <w:t>sku_id</w:t>
            </w:r>
          </w:p>
        </w:tc>
        <w:tc>
          <w:tcPr>
            <w:tcW w:w="1598"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uuid</w:t>
            </w:r>
          </w:p>
        </w:tc>
        <w:tc>
          <w:tcPr>
            <w:tcW w:w="2162"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NOT NULL</w:t>
            </w:r>
          </w:p>
        </w:tc>
        <w:tc>
          <w:tcPr>
            <w:tcW w:w="36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
          </w:p>
        </w:tc>
      </w:tr>
      <w:tr>
        <w:trPr/>
        <w:tc>
          <w:tcPr>
            <w:tcW w:w="20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bCs/>
                <w:color w:val="1A1A2E"/>
                <w:sz w:val="19"/>
                <w:szCs w:val="19"/>
              </w:rPr>
              <w:t>approval_queue_item_id</w:t>
            </w:r>
          </w:p>
        </w:tc>
        <w:tc>
          <w:tcPr>
            <w:tcW w:w="1598"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uuid</w:t>
            </w:r>
          </w:p>
        </w:tc>
        <w:tc>
          <w:tcPr>
            <w:tcW w:w="2162"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UNIQUE NOT NULL</w:t>
            </w:r>
          </w:p>
        </w:tc>
        <w:tc>
          <w:tcPr>
            <w:tcW w:w="36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Source approval record.</w:t>
            </w:r>
          </w:p>
        </w:tc>
      </w:tr>
      <w:tr>
        <w:trPr/>
        <w:tc>
          <w:tcPr>
            <w:tcW w:w="20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bCs/>
                <w:color w:val="1A1A2E"/>
                <w:sz w:val="19"/>
                <w:szCs w:val="19"/>
              </w:rPr>
              <w:t>buy_retailer</w:t>
            </w:r>
          </w:p>
        </w:tc>
        <w:tc>
          <w:tcPr>
            <w:tcW w:w="1598"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varchar(100)</w:t>
            </w:r>
          </w:p>
        </w:tc>
        <w:tc>
          <w:tcPr>
            <w:tcW w:w="2162"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NOT NULL</w:t>
            </w:r>
          </w:p>
        </w:tc>
        <w:tc>
          <w:tcPr>
            <w:tcW w:w="36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
          </w:p>
        </w:tc>
      </w:tr>
      <w:tr>
        <w:trPr/>
        <w:tc>
          <w:tcPr>
            <w:tcW w:w="20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bCs/>
                <w:color w:val="1A1A2E"/>
                <w:sz w:val="19"/>
                <w:szCs w:val="19"/>
              </w:rPr>
              <w:t>sell_channel</w:t>
            </w:r>
          </w:p>
        </w:tc>
        <w:tc>
          <w:tcPr>
            <w:tcW w:w="1598"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varchar(50)</w:t>
            </w:r>
          </w:p>
        </w:tc>
        <w:tc>
          <w:tcPr>
            <w:tcW w:w="2162"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NOT NULL</w:t>
            </w:r>
          </w:p>
        </w:tc>
        <w:tc>
          <w:tcPr>
            <w:tcW w:w="36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
          </w:p>
        </w:tc>
      </w:tr>
      <w:tr>
        <w:trPr/>
        <w:tc>
          <w:tcPr>
            <w:tcW w:w="20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bCs/>
                <w:color w:val="1A1A2E"/>
                <w:sz w:val="19"/>
                <w:szCs w:val="19"/>
              </w:rPr>
              <w:t>buy_price_gbp</w:t>
            </w:r>
          </w:p>
        </w:tc>
        <w:tc>
          <w:tcPr>
            <w:tcW w:w="1598"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numeric(10,2)</w:t>
            </w:r>
          </w:p>
        </w:tc>
        <w:tc>
          <w:tcPr>
            <w:tcW w:w="2162"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NOT NULL</w:t>
            </w:r>
          </w:p>
        </w:tc>
        <w:tc>
          <w:tcPr>
            <w:tcW w:w="36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
          </w:p>
        </w:tc>
      </w:tr>
      <w:tr>
        <w:trPr/>
        <w:tc>
          <w:tcPr>
            <w:tcW w:w="20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bCs/>
                <w:color w:val="1A1A2E"/>
                <w:sz w:val="19"/>
                <w:szCs w:val="19"/>
              </w:rPr>
              <w:t>sell_price_gbp</w:t>
            </w:r>
          </w:p>
        </w:tc>
        <w:tc>
          <w:tcPr>
            <w:tcW w:w="1598"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numeric(10,2)</w:t>
            </w:r>
          </w:p>
        </w:tc>
        <w:tc>
          <w:tcPr>
            <w:tcW w:w="2162"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NOT NULL</w:t>
            </w:r>
          </w:p>
        </w:tc>
        <w:tc>
          <w:tcPr>
            <w:tcW w:w="36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Actual final sale price.</w:t>
            </w:r>
          </w:p>
        </w:tc>
      </w:tr>
      <w:tr>
        <w:trPr/>
        <w:tc>
          <w:tcPr>
            <w:tcW w:w="20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bCs/>
                <w:color w:val="1A1A2E"/>
                <w:sz w:val="19"/>
                <w:szCs w:val="19"/>
              </w:rPr>
              <w:t>referral_fee_gbp</w:t>
            </w:r>
          </w:p>
        </w:tc>
        <w:tc>
          <w:tcPr>
            <w:tcW w:w="1598"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numeric(10,2)</w:t>
            </w:r>
          </w:p>
        </w:tc>
        <w:tc>
          <w:tcPr>
            <w:tcW w:w="2162"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NOT NULL</w:t>
            </w:r>
          </w:p>
        </w:tc>
        <w:tc>
          <w:tcPr>
            <w:tcW w:w="36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
          </w:p>
        </w:tc>
      </w:tr>
      <w:tr>
        <w:trPr/>
        <w:tc>
          <w:tcPr>
            <w:tcW w:w="20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bCs/>
                <w:color w:val="1A1A2E"/>
                <w:sz w:val="19"/>
                <w:szCs w:val="19"/>
              </w:rPr>
              <w:t>fulfilment_fee_gbp</w:t>
            </w:r>
          </w:p>
        </w:tc>
        <w:tc>
          <w:tcPr>
            <w:tcW w:w="1598"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numeric(10,2)</w:t>
            </w:r>
          </w:p>
        </w:tc>
        <w:tc>
          <w:tcPr>
            <w:tcW w:w="2162"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NOT NULL</w:t>
            </w:r>
          </w:p>
        </w:tc>
        <w:tc>
          <w:tcPr>
            <w:tcW w:w="36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
          </w:p>
        </w:tc>
      </w:tr>
      <w:tr>
        <w:trPr/>
        <w:tc>
          <w:tcPr>
            <w:tcW w:w="20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bCs/>
                <w:color w:val="1A1A2E"/>
                <w:sz w:val="19"/>
                <w:szCs w:val="19"/>
              </w:rPr>
              <w:t>shipping_buy_gbp</w:t>
            </w:r>
          </w:p>
        </w:tc>
        <w:tc>
          <w:tcPr>
            <w:tcW w:w="1598"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numeric(10,2)</w:t>
            </w:r>
          </w:p>
        </w:tc>
        <w:tc>
          <w:tcPr>
            <w:tcW w:w="2162"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NOT NULL DEFAULT 0</w:t>
            </w:r>
          </w:p>
        </w:tc>
        <w:tc>
          <w:tcPr>
            <w:tcW w:w="36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
          </w:p>
        </w:tc>
      </w:tr>
      <w:tr>
        <w:trPr/>
        <w:tc>
          <w:tcPr>
            <w:tcW w:w="20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bCs/>
                <w:color w:val="1A1A2E"/>
                <w:sz w:val="19"/>
                <w:szCs w:val="19"/>
              </w:rPr>
              <w:t>vat_adjustment_gbp</w:t>
            </w:r>
          </w:p>
        </w:tc>
        <w:tc>
          <w:tcPr>
            <w:tcW w:w="1598"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numeric(10,2)</w:t>
            </w:r>
          </w:p>
        </w:tc>
        <w:tc>
          <w:tcPr>
            <w:tcW w:w="2162"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NOT NULL DEFAULT 0</w:t>
            </w:r>
          </w:p>
        </w:tc>
        <w:tc>
          <w:tcPr>
            <w:tcW w:w="36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
          </w:p>
        </w:tc>
      </w:tr>
      <w:tr>
        <w:trPr/>
        <w:tc>
          <w:tcPr>
            <w:tcW w:w="20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bCs/>
                <w:color w:val="1A1A2E"/>
                <w:sz w:val="19"/>
                <w:szCs w:val="19"/>
              </w:rPr>
              <w:t>net_profit_gbp</w:t>
            </w:r>
          </w:p>
        </w:tc>
        <w:tc>
          <w:tcPr>
            <w:tcW w:w="1598"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numeric(10,2)</w:t>
            </w:r>
          </w:p>
        </w:tc>
        <w:tc>
          <w:tcPr>
            <w:tcW w:w="2162"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NOT NULL</w:t>
            </w:r>
          </w:p>
        </w:tc>
        <w:tc>
          <w:tcPr>
            <w:tcW w:w="36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Computed and stored at close.</w:t>
            </w:r>
          </w:p>
        </w:tc>
      </w:tr>
      <w:tr>
        <w:trPr/>
        <w:tc>
          <w:tcPr>
            <w:tcW w:w="20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bCs/>
                <w:color w:val="1A1A2E"/>
                <w:sz w:val="19"/>
                <w:szCs w:val="19"/>
              </w:rPr>
              <w:t>net_margin_pct</w:t>
            </w:r>
          </w:p>
        </w:tc>
        <w:tc>
          <w:tcPr>
            <w:tcW w:w="1598"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numeric(5,2)</w:t>
            </w:r>
          </w:p>
        </w:tc>
        <w:tc>
          <w:tcPr>
            <w:tcW w:w="2162"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NOT NULL</w:t>
            </w:r>
          </w:p>
        </w:tc>
        <w:tc>
          <w:tcPr>
            <w:tcW w:w="36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
          </w:p>
        </w:tc>
      </w:tr>
      <w:tr>
        <w:trPr/>
        <w:tc>
          <w:tcPr>
            <w:tcW w:w="20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bCs/>
                <w:color w:val="1A1A2E"/>
                <w:sz w:val="19"/>
                <w:szCs w:val="19"/>
              </w:rPr>
              <w:t>closed_at</w:t>
            </w:r>
          </w:p>
        </w:tc>
        <w:tc>
          <w:tcPr>
            <w:tcW w:w="1598"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timestamptz</w:t>
            </w:r>
          </w:p>
        </w:tc>
        <w:tc>
          <w:tcPr>
            <w:tcW w:w="2162"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NOT NULL DEFAULT now()</w:t>
            </w:r>
          </w:p>
        </w:tc>
        <w:tc>
          <w:tcPr>
            <w:tcW w:w="36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Immutable once written.</w:t>
            </w:r>
          </w:p>
        </w:tc>
      </w:tr>
    </w:tbl>
    <w:p>
      <w:pPr>
        <w:pStyle w:val="Normal"/>
        <w:spacing w:before="40" w:after="40"/>
        <w:rPr/>
      </w:pPr>
      <w:r>
        <w:rPr>
          <w:rFonts w:eastAsia="Arial" w:cs="Arial"/>
          <w:i/>
          <w:iCs/>
          <w:color w:val="5D6D7E"/>
          <w:sz w:val="20"/>
          <w:szCs w:val="20"/>
        </w:rPr>
        <w:t>Retention: 7 years (tax compliance). Table is INSERT-only; no UPDATE or DELETE permitted at application layer. Row-level security: user_id = current_user_id().</w:t>
      </w:r>
    </w:p>
    <w:p>
      <w:pPr>
        <w:pStyle w:val="Heading3"/>
        <w:rPr/>
      </w:pPr>
      <w:r>
        <w:rPr/>
        <w:t>deal_events (catalogue schema — TimescaleDB hypertable)</w:t>
      </w:r>
    </w:p>
    <w:tbl>
      <w:tblPr>
        <w:tblStyle w:val="TableGrid"/>
        <w:tblW w:w="5000" w:type="pct"/>
        <w:jc w:val="start"/>
        <w:tblInd w:w="0" w:type="dxa"/>
        <w:tblLayout w:type="fixed"/>
        <w:tblCellMar>
          <w:top w:w="0" w:type="dxa"/>
          <w:start w:w="108" w:type="dxa"/>
          <w:bottom w:w="0" w:type="dxa"/>
          <w:end w:w="108" w:type="dxa"/>
        </w:tblCellMar>
      </w:tblPr>
      <w:tblGrid>
        <w:gridCol w:w="2339"/>
        <w:gridCol w:w="2340"/>
        <w:gridCol w:w="2340"/>
        <w:gridCol w:w="2341"/>
      </w:tblGrid>
      <w:tr>
        <w:trPr/>
        <w:tc>
          <w:tcPr>
            <w:tcW w:w="2339" w:type="dxa"/>
            <w:tcBorders/>
          </w:tcPr>
          <w:p>
            <w:pPr>
              <w:pStyle w:val="Normal"/>
              <w:rPr/>
            </w:pPr>
            <w:r>
              <w:rPr/>
              <w:t>Column</w:t>
            </w:r>
          </w:p>
        </w:tc>
        <w:tc>
          <w:tcPr>
            <w:tcW w:w="2340" w:type="dxa"/>
            <w:tcBorders/>
          </w:tcPr>
          <w:p>
            <w:pPr>
              <w:pStyle w:val="Normal"/>
              <w:rPr/>
            </w:pPr>
            <w:r>
              <w:rPr/>
              <w:t>Type</w:t>
            </w:r>
          </w:p>
        </w:tc>
        <w:tc>
          <w:tcPr>
            <w:tcW w:w="2340" w:type="dxa"/>
            <w:tcBorders/>
          </w:tcPr>
          <w:p>
            <w:pPr>
              <w:pStyle w:val="Normal"/>
              <w:rPr/>
            </w:pPr>
            <w:r>
              <w:rPr/>
              <w:t>Constraints</w:t>
            </w:r>
          </w:p>
        </w:tc>
        <w:tc>
          <w:tcPr>
            <w:tcW w:w="2341" w:type="dxa"/>
            <w:tcBorders/>
          </w:tcPr>
          <w:p>
            <w:pPr>
              <w:pStyle w:val="Normal"/>
              <w:rPr/>
            </w:pPr>
            <w:r>
              <w:rPr/>
              <w:t>Notes</w:t>
            </w:r>
          </w:p>
        </w:tc>
      </w:tr>
      <w:tr>
        <w:trPr/>
        <w:tc>
          <w:tcPr>
            <w:tcW w:w="2339" w:type="dxa"/>
            <w:tcBorders/>
          </w:tcPr>
          <w:p>
            <w:pPr>
              <w:pStyle w:val="Normal"/>
              <w:rPr/>
            </w:pPr>
            <w:r>
              <w:rPr/>
              <w:t>time</w:t>
            </w:r>
          </w:p>
        </w:tc>
        <w:tc>
          <w:tcPr>
            <w:tcW w:w="2340" w:type="dxa"/>
            <w:tcBorders/>
          </w:tcPr>
          <w:p>
            <w:pPr>
              <w:pStyle w:val="Normal"/>
              <w:rPr/>
            </w:pPr>
            <w:r>
              <w:rPr/>
              <w:t>timestamptz</w:t>
            </w:r>
          </w:p>
        </w:tc>
        <w:tc>
          <w:tcPr>
            <w:tcW w:w="2340" w:type="dxa"/>
            <w:tcBorders/>
          </w:tcPr>
          <w:p>
            <w:pPr>
              <w:pStyle w:val="Normal"/>
              <w:rPr/>
            </w:pPr>
            <w:r>
              <w:rPr/>
              <w:t>NOT NULL</w:t>
            </w:r>
          </w:p>
        </w:tc>
        <w:tc>
          <w:tcPr>
            <w:tcW w:w="2341" w:type="dxa"/>
            <w:tcBorders/>
          </w:tcPr>
          <w:p>
            <w:pPr>
              <w:pStyle w:val="Normal"/>
              <w:rPr/>
            </w:pPr>
            <w:r>
              <w:rPr/>
              <w:t>Hypertable partition key. Chunk interval: 7 days.</w:t>
            </w:r>
          </w:p>
        </w:tc>
      </w:tr>
      <w:tr>
        <w:trPr/>
        <w:tc>
          <w:tcPr>
            <w:tcW w:w="2339" w:type="dxa"/>
            <w:tcBorders/>
          </w:tcPr>
          <w:p>
            <w:pPr>
              <w:pStyle w:val="Normal"/>
              <w:rPr/>
            </w:pPr>
            <w:r>
              <w:rPr/>
              <w:t>deal_id</w:t>
            </w:r>
          </w:p>
        </w:tc>
        <w:tc>
          <w:tcPr>
            <w:tcW w:w="2340" w:type="dxa"/>
            <w:tcBorders/>
          </w:tcPr>
          <w:p>
            <w:pPr>
              <w:pStyle w:val="Normal"/>
              <w:rPr/>
            </w:pPr>
            <w:r>
              <w:rPr/>
              <w:t>uuid</w:t>
            </w:r>
          </w:p>
        </w:tc>
        <w:tc>
          <w:tcPr>
            <w:tcW w:w="2340" w:type="dxa"/>
            <w:tcBorders/>
          </w:tcPr>
          <w:p>
            <w:pPr>
              <w:pStyle w:val="Normal"/>
              <w:rPr/>
            </w:pPr>
            <w:r>
              <w:rPr/>
              <w:t>NOT NULL</w:t>
            </w:r>
          </w:p>
        </w:tc>
        <w:tc>
          <w:tcPr>
            <w:tcW w:w="2341" w:type="dxa"/>
            <w:tcBorders/>
          </w:tcPr>
          <w:p>
            <w:pPr>
              <w:pStyle w:val="Normal"/>
              <w:rPr/>
            </w:pPr>
            <w:r>
              <w:rPr/>
              <w:t>FK approvals.approval_queue_items.id</w:t>
            </w:r>
          </w:p>
        </w:tc>
      </w:tr>
      <w:tr>
        <w:trPr/>
        <w:tc>
          <w:tcPr>
            <w:tcW w:w="2339" w:type="dxa"/>
            <w:tcBorders/>
          </w:tcPr>
          <w:p>
            <w:pPr>
              <w:pStyle w:val="Normal"/>
              <w:rPr/>
            </w:pPr>
            <w:r>
              <w:rPr/>
              <w:t>user_id</w:t>
            </w:r>
          </w:p>
        </w:tc>
        <w:tc>
          <w:tcPr>
            <w:tcW w:w="2340" w:type="dxa"/>
            <w:tcBorders/>
          </w:tcPr>
          <w:p>
            <w:pPr>
              <w:pStyle w:val="Normal"/>
              <w:rPr/>
            </w:pPr>
            <w:r>
              <w:rPr/>
              <w:t>uuid</w:t>
            </w:r>
          </w:p>
        </w:tc>
        <w:tc>
          <w:tcPr>
            <w:tcW w:w="2340" w:type="dxa"/>
            <w:tcBorders/>
          </w:tcPr>
          <w:p>
            <w:pPr>
              <w:pStyle w:val="Normal"/>
              <w:rPr/>
            </w:pPr>
            <w:r>
              <w:rPr/>
              <w:t>NOT NULL</w:t>
            </w:r>
          </w:p>
        </w:tc>
        <w:tc>
          <w:tcPr>
            <w:tcW w:w="2341" w:type="dxa"/>
            <w:tcBorders/>
          </w:tcPr>
          <w:p>
            <w:pPr>
              <w:pStyle w:val="Normal"/>
              <w:rPr/>
            </w:pPr>
            <w:r>
              <w:rPr/>
              <w:t>FK identity.users.id</w:t>
            </w:r>
          </w:p>
        </w:tc>
      </w:tr>
      <w:tr>
        <w:trPr/>
        <w:tc>
          <w:tcPr>
            <w:tcW w:w="2339" w:type="dxa"/>
            <w:tcBorders/>
          </w:tcPr>
          <w:p>
            <w:pPr>
              <w:pStyle w:val="Normal"/>
              <w:rPr/>
            </w:pPr>
            <w:r>
              <w:rPr/>
              <w:t>sku_id</w:t>
            </w:r>
          </w:p>
        </w:tc>
        <w:tc>
          <w:tcPr>
            <w:tcW w:w="2340" w:type="dxa"/>
            <w:tcBorders/>
          </w:tcPr>
          <w:p>
            <w:pPr>
              <w:pStyle w:val="Normal"/>
              <w:rPr/>
            </w:pPr>
            <w:r>
              <w:rPr/>
              <w:t>uuid</w:t>
            </w:r>
          </w:p>
        </w:tc>
        <w:tc>
          <w:tcPr>
            <w:tcW w:w="2340" w:type="dxa"/>
            <w:tcBorders/>
          </w:tcPr>
          <w:p>
            <w:pPr>
              <w:pStyle w:val="Normal"/>
              <w:rPr/>
            </w:pPr>
            <w:r>
              <w:rPr/>
              <w:t>NOT NULL</w:t>
            </w:r>
          </w:p>
        </w:tc>
        <w:tc>
          <w:tcPr>
            <w:tcW w:w="2341" w:type="dxa"/>
            <w:tcBorders/>
          </w:tcPr>
          <w:p>
            <w:pPr>
              <w:pStyle w:val="Normal"/>
              <w:rPr/>
            </w:pPr>
            <w:r>
              <w:rPr/>
              <w:t>FK catalogue.skus.id</w:t>
            </w:r>
          </w:p>
        </w:tc>
      </w:tr>
      <w:tr>
        <w:trPr/>
        <w:tc>
          <w:tcPr>
            <w:tcW w:w="2339" w:type="dxa"/>
            <w:tcBorders/>
          </w:tcPr>
          <w:p>
            <w:pPr>
              <w:pStyle w:val="Normal"/>
              <w:rPr/>
            </w:pPr>
            <w:r>
              <w:rPr/>
              <w:t>event_type</w:t>
            </w:r>
          </w:p>
        </w:tc>
        <w:tc>
          <w:tcPr>
            <w:tcW w:w="2340" w:type="dxa"/>
            <w:tcBorders/>
          </w:tcPr>
          <w:p>
            <w:pPr>
              <w:pStyle w:val="Normal"/>
              <w:rPr/>
            </w:pPr>
            <w:r>
              <w:rPr/>
              <w:t>varchar(50)</w:t>
            </w:r>
          </w:p>
        </w:tc>
        <w:tc>
          <w:tcPr>
            <w:tcW w:w="2340" w:type="dxa"/>
            <w:tcBorders/>
          </w:tcPr>
          <w:p>
            <w:pPr>
              <w:pStyle w:val="Normal"/>
              <w:rPr/>
            </w:pPr>
            <w:r>
              <w:rPr/>
              <w:t>NOT NULL</w:t>
            </w:r>
          </w:p>
        </w:tc>
        <w:tc>
          <w:tcPr>
            <w:tcW w:w="2341" w:type="dxa"/>
            <w:tcBorders/>
          </w:tcPr>
          <w:p>
            <w:pPr>
              <w:pStyle w:val="Normal"/>
              <w:rPr/>
            </w:pPr>
            <w:r>
              <w:rPr/>
              <w:t>surfaced|approved|purchased|listed|closed|failed</w:t>
            </w:r>
          </w:p>
        </w:tc>
      </w:tr>
      <w:tr>
        <w:trPr/>
        <w:tc>
          <w:tcPr>
            <w:tcW w:w="2339" w:type="dxa"/>
            <w:tcBorders/>
          </w:tcPr>
          <w:p>
            <w:pPr>
              <w:pStyle w:val="Normal"/>
              <w:rPr/>
            </w:pPr>
            <w:r>
              <w:rPr/>
              <w:t>payload_jsonb</w:t>
            </w:r>
          </w:p>
        </w:tc>
        <w:tc>
          <w:tcPr>
            <w:tcW w:w="2340" w:type="dxa"/>
            <w:tcBorders/>
          </w:tcPr>
          <w:p>
            <w:pPr>
              <w:pStyle w:val="Normal"/>
              <w:rPr/>
            </w:pPr>
            <w:r>
              <w:rPr/>
              <w:t>jsonb</w:t>
            </w:r>
          </w:p>
        </w:tc>
        <w:tc>
          <w:tcPr>
            <w:tcW w:w="2340" w:type="dxa"/>
            <w:tcBorders/>
          </w:tcPr>
          <w:p>
            <w:pPr>
              <w:pStyle w:val="Normal"/>
              <w:rPr/>
            </w:pPr>
            <w:r>
              <w:rPr/>
              <w:t>NOT NULL</w:t>
            </w:r>
          </w:p>
        </w:tc>
        <w:tc>
          <w:tcPr>
            <w:tcW w:w="2341" w:type="dxa"/>
            <w:tcBorders/>
          </w:tcPr>
          <w:p>
            <w:pPr>
              <w:pStyle w:val="Normal"/>
              <w:rPr/>
            </w:pPr>
            <w:r>
              <w:rPr/>
              <w:t>Full event payload for audit and replay.</w:t>
            </w:r>
          </w:p>
        </w:tc>
      </w:tr>
    </w:tbl>
    <w:p>
      <w:pPr>
        <w:pStyle w:val="Heading2"/>
        <w:spacing w:before="280" w:after="100"/>
        <w:rPr/>
      </w:pPr>
      <w:r>
        <w:rPr>
          <w:rFonts w:eastAsia="Arial" w:cs="Arial"/>
          <w:b/>
          <w:bCs/>
          <w:color w:val="1A1A2E"/>
          <w:sz w:val="26"/>
          <w:szCs w:val="26"/>
        </w:rPr>
        <w:t>4.3  Database Indexing Strategy</w:t>
      </w:r>
    </w:p>
    <w:p>
      <w:pPr>
        <w:pStyle w:val="Normal"/>
        <w:spacing w:before="60" w:after="60"/>
        <w:rPr/>
      </w:pPr>
      <w:r>
        <w:rPr>
          <w:rFonts w:eastAsia="Arial" w:cs="Arial"/>
          <w:color w:val="1A1A2E"/>
          <w:sz w:val="22"/>
          <w:szCs w:val="22"/>
        </w:rPr>
        <w:t>The following indexes are required from the initial schema migration. All indexes use CONCURRENTLY creation in the migration scripts to avoid table locks on future re-runs. TimescaleDB hypertable indexes are defined per chunk.</w:t>
      </w:r>
    </w:p>
    <w:p>
      <w:pPr>
        <w:pStyle w:val="Normal"/>
        <w:spacing w:before="0" w:after="0"/>
        <w:rPr/>
      </w:pPr>
      <w:r>
        <w:rPr/>
      </w:r>
    </w:p>
    <w:tbl>
      <w:tblPr>
        <w:tblW w:w="9360" w:type="dxa"/>
        <w:jc w:val="start"/>
        <w:tblInd w:w="0" w:type="dxa"/>
        <w:tblLayout w:type="fixed"/>
        <w:tblCellMar>
          <w:top w:w="100" w:type="dxa"/>
          <w:start w:w="140" w:type="dxa"/>
          <w:bottom w:w="100" w:type="dxa"/>
          <w:end w:w="140" w:type="dxa"/>
        </w:tblCellMar>
      </w:tblPr>
      <w:tblGrid>
        <w:gridCol w:w="2198"/>
        <w:gridCol w:w="2560"/>
        <w:gridCol w:w="1102"/>
        <w:gridCol w:w="3500"/>
      </w:tblGrid>
      <w:tr>
        <w:trPr>
          <w:tblHeader w:val="true"/>
        </w:trPr>
        <w:tc>
          <w:tcPr>
            <w:tcW w:w="2198" w:type="dxa"/>
            <w:tcBorders>
              <w:top w:val="single" w:sz="2" w:space="0" w:color="1A56DB"/>
              <w:start w:val="single" w:sz="2" w:space="0" w:color="1A56DB"/>
              <w:bottom w:val="single" w:sz="2" w:space="0" w:color="1A56DB"/>
              <w:end w:val="single" w:sz="2" w:space="0" w:color="1A56DB"/>
            </w:tcBorders>
            <w:shd w:fill="1A56DB" w:val="clear"/>
            <w:vAlign w:val="center"/>
          </w:tcPr>
          <w:p>
            <w:pPr>
              <w:pStyle w:val="Normal"/>
              <w:jc w:val="center"/>
              <w:rPr/>
            </w:pPr>
            <w:r>
              <w:rPr>
                <w:rFonts w:eastAsia="Arial" w:cs="Arial"/>
                <w:b/>
                <w:bCs/>
                <w:color w:val="FFFFFF"/>
                <w:sz w:val="19"/>
                <w:szCs w:val="19"/>
              </w:rPr>
              <w:t>Schema.Table</w:t>
            </w:r>
          </w:p>
        </w:tc>
        <w:tc>
          <w:tcPr>
            <w:tcW w:w="2560" w:type="dxa"/>
            <w:tcBorders>
              <w:top w:val="single" w:sz="2" w:space="0" w:color="1A56DB"/>
              <w:start w:val="single" w:sz="2" w:space="0" w:color="1A56DB"/>
              <w:bottom w:val="single" w:sz="2" w:space="0" w:color="1A56DB"/>
              <w:end w:val="single" w:sz="2" w:space="0" w:color="1A56DB"/>
            </w:tcBorders>
            <w:shd w:fill="1A56DB" w:val="clear"/>
            <w:vAlign w:val="center"/>
          </w:tcPr>
          <w:p>
            <w:pPr>
              <w:pStyle w:val="Normal"/>
              <w:jc w:val="center"/>
              <w:rPr/>
            </w:pPr>
            <w:r>
              <w:rPr>
                <w:rFonts w:eastAsia="Arial" w:cs="Arial"/>
                <w:b/>
                <w:bCs/>
                <w:color w:val="FFFFFF"/>
                <w:sz w:val="19"/>
                <w:szCs w:val="19"/>
              </w:rPr>
              <w:t>Index</w:t>
            </w:r>
          </w:p>
        </w:tc>
        <w:tc>
          <w:tcPr>
            <w:tcW w:w="1102" w:type="dxa"/>
            <w:tcBorders>
              <w:top w:val="single" w:sz="2" w:space="0" w:color="1A56DB"/>
              <w:start w:val="single" w:sz="2" w:space="0" w:color="1A56DB"/>
              <w:bottom w:val="single" w:sz="2" w:space="0" w:color="1A56DB"/>
              <w:end w:val="single" w:sz="2" w:space="0" w:color="1A56DB"/>
            </w:tcBorders>
            <w:shd w:fill="1A56DB" w:val="clear"/>
            <w:vAlign w:val="center"/>
          </w:tcPr>
          <w:p>
            <w:pPr>
              <w:pStyle w:val="Normal"/>
              <w:jc w:val="center"/>
              <w:rPr/>
            </w:pPr>
            <w:r>
              <w:rPr>
                <w:rFonts w:eastAsia="Arial" w:cs="Arial"/>
                <w:b/>
                <w:bCs/>
                <w:color w:val="FFFFFF"/>
                <w:sz w:val="19"/>
                <w:szCs w:val="19"/>
              </w:rPr>
              <w:t>Type</w:t>
            </w:r>
          </w:p>
        </w:tc>
        <w:tc>
          <w:tcPr>
            <w:tcW w:w="3500" w:type="dxa"/>
            <w:tcBorders>
              <w:top w:val="single" w:sz="2" w:space="0" w:color="1A56DB"/>
              <w:start w:val="single" w:sz="2" w:space="0" w:color="1A56DB"/>
              <w:bottom w:val="single" w:sz="2" w:space="0" w:color="1A56DB"/>
              <w:end w:val="single" w:sz="2" w:space="0" w:color="1A56DB"/>
            </w:tcBorders>
            <w:shd w:fill="1A56DB" w:val="clear"/>
            <w:vAlign w:val="center"/>
          </w:tcPr>
          <w:p>
            <w:pPr>
              <w:pStyle w:val="Normal"/>
              <w:jc w:val="center"/>
              <w:rPr/>
            </w:pPr>
            <w:r>
              <w:rPr>
                <w:rFonts w:eastAsia="Arial" w:cs="Arial"/>
                <w:b/>
                <w:bCs/>
                <w:color w:val="FFFFFF"/>
                <w:sz w:val="19"/>
                <w:szCs w:val="19"/>
              </w:rPr>
              <w:t>Query Pattern Served</w:t>
            </w:r>
          </w:p>
        </w:tc>
      </w:tr>
      <w:tr>
        <w:trPr/>
        <w:tc>
          <w:tcPr>
            <w:tcW w:w="2198"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bCs/>
                <w:color w:val="1A1A2E"/>
                <w:sz w:val="19"/>
                <w:szCs w:val="19"/>
              </w:rPr>
              <w:t>identity.users</w:t>
            </w:r>
          </w:p>
        </w:tc>
        <w:tc>
          <w:tcPr>
            <w:tcW w:w="256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(email)</w:t>
            </w:r>
          </w:p>
        </w:tc>
        <w:tc>
          <w:tcPr>
            <w:tcW w:w="1102"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UNIQUE</w:t>
            </w:r>
          </w:p>
        </w:tc>
        <w:tc>
          <w:tcPr>
            <w:tcW w:w="35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Login lookup. Registration duplicate check.</w:t>
            </w:r>
          </w:p>
        </w:tc>
      </w:tr>
      <w:tr>
        <w:trPr/>
        <w:tc>
          <w:tcPr>
            <w:tcW w:w="2198"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bCs/>
                <w:color w:val="1A1A2E"/>
                <w:sz w:val="19"/>
                <w:szCs w:val="19"/>
              </w:rPr>
              <w:t>identity.api_keys</w:t>
            </w:r>
          </w:p>
        </w:tc>
        <w:tc>
          <w:tcPr>
            <w:tcW w:w="256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color w:val="1A1A2E"/>
                <w:sz w:val="19"/>
                <w:szCs w:val="19"/>
              </w:rPr>
              <w:t>(key_hash)</w:t>
            </w:r>
          </w:p>
        </w:tc>
        <w:tc>
          <w:tcPr>
            <w:tcW w:w="1102"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color w:val="1A1A2E"/>
                <w:sz w:val="19"/>
                <w:szCs w:val="19"/>
              </w:rPr>
              <w:t>UNIQUE</w:t>
            </w:r>
          </w:p>
        </w:tc>
        <w:tc>
          <w:tcPr>
            <w:tcW w:w="35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color w:val="1A1A2E"/>
                <w:sz w:val="19"/>
                <w:szCs w:val="19"/>
              </w:rPr>
              <w:t>API key validation on every request.</w:t>
            </w:r>
          </w:p>
        </w:tc>
      </w:tr>
      <w:tr>
        <w:trPr/>
        <w:tc>
          <w:tcPr>
            <w:tcW w:w="2198"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bCs/>
                <w:color w:val="1A1A2E"/>
                <w:sz w:val="19"/>
                <w:szCs w:val="19"/>
              </w:rPr>
              <w:t>identity.sessions</w:t>
            </w:r>
          </w:p>
        </w:tc>
        <w:tc>
          <w:tcPr>
            <w:tcW w:w="256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(user_id, expires_at)</w:t>
            </w:r>
          </w:p>
        </w:tc>
        <w:tc>
          <w:tcPr>
            <w:tcW w:w="1102"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BTREE</w:t>
            </w:r>
          </w:p>
        </w:tc>
        <w:tc>
          <w:tcPr>
            <w:tcW w:w="35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Active session lookup. Expired session cleanup.</w:t>
            </w:r>
          </w:p>
        </w:tc>
      </w:tr>
      <w:tr>
        <w:trPr/>
        <w:tc>
          <w:tcPr>
            <w:tcW w:w="2198"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bCs/>
                <w:color w:val="1A1A2E"/>
                <w:sz w:val="19"/>
                <w:szCs w:val="19"/>
              </w:rPr>
              <w:t>billing.subscriptions</w:t>
            </w:r>
          </w:p>
        </w:tc>
        <w:tc>
          <w:tcPr>
            <w:tcW w:w="256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color w:val="1A1A2E"/>
                <w:sz w:val="19"/>
                <w:szCs w:val="19"/>
              </w:rPr>
              <w:t>(user_id)</w:t>
            </w:r>
          </w:p>
        </w:tc>
        <w:tc>
          <w:tcPr>
            <w:tcW w:w="1102"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color w:val="1A1A2E"/>
                <w:sz w:val="19"/>
                <w:szCs w:val="19"/>
              </w:rPr>
              <w:t>BTREE</w:t>
            </w:r>
          </w:p>
        </w:tc>
        <w:tc>
          <w:tcPr>
            <w:tcW w:w="35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color w:val="1A1A2E"/>
                <w:sz w:val="19"/>
                <w:szCs w:val="19"/>
              </w:rPr>
              <w:t>Plan entitlement lookup on every authenticated request.</w:t>
            </w:r>
          </w:p>
        </w:tc>
      </w:tr>
      <w:tr>
        <w:trPr/>
        <w:tc>
          <w:tcPr>
            <w:tcW w:w="2198"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bCs/>
                <w:color w:val="1A1A2E"/>
                <w:sz w:val="19"/>
                <w:szCs w:val="19"/>
              </w:rPr>
              <w:t>ingestion.scan_jobs</w:t>
            </w:r>
          </w:p>
        </w:tc>
        <w:tc>
          <w:tcPr>
            <w:tcW w:w="256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(user_id, is_active)</w:t>
            </w:r>
          </w:p>
        </w:tc>
        <w:tc>
          <w:tcPr>
            <w:tcW w:w="1102"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BTREE</w:t>
            </w:r>
          </w:p>
        </w:tc>
        <w:tc>
          <w:tcPr>
            <w:tcW w:w="35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Load active scan jobs for a user. Job scheduler dispatch.</w:t>
            </w:r>
          </w:p>
        </w:tc>
      </w:tr>
      <w:tr>
        <w:trPr/>
        <w:tc>
          <w:tcPr>
            <w:tcW w:w="2198"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bCs/>
                <w:color w:val="1A1A2E"/>
                <w:sz w:val="19"/>
                <w:szCs w:val="19"/>
              </w:rPr>
              <w:t>ingestion.scan_jobs</w:t>
            </w:r>
          </w:p>
        </w:tc>
        <w:tc>
          <w:tcPr>
            <w:tcW w:w="256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color w:val="1A1A2E"/>
                <w:sz w:val="19"/>
                <w:szCs w:val="19"/>
              </w:rPr>
              <w:t>(retailer_source_id, next_run_at)</w:t>
            </w:r>
          </w:p>
        </w:tc>
        <w:tc>
          <w:tcPr>
            <w:tcW w:w="1102"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color w:val="1A1A2E"/>
                <w:sz w:val="19"/>
                <w:szCs w:val="19"/>
              </w:rPr>
              <w:t>BTREE</w:t>
            </w:r>
          </w:p>
        </w:tc>
        <w:tc>
          <w:tcPr>
            <w:tcW w:w="35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color w:val="1A1A2E"/>
                <w:sz w:val="19"/>
                <w:szCs w:val="19"/>
              </w:rPr>
              <w:t>Scheduler: find jobs due to run for a given retailer.</w:t>
            </w:r>
          </w:p>
        </w:tc>
      </w:tr>
      <w:tr>
        <w:trPr/>
        <w:tc>
          <w:tcPr>
            <w:tcW w:w="2198"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bCs/>
                <w:color w:val="1A1A2E"/>
                <w:sz w:val="19"/>
                <w:szCs w:val="19"/>
              </w:rPr>
              <w:t>catalogue.skus</w:t>
            </w:r>
          </w:p>
        </w:tc>
        <w:tc>
          <w:tcPr>
            <w:tcW w:w="256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(asin)</w:t>
            </w:r>
          </w:p>
        </w:tc>
        <w:tc>
          <w:tcPr>
            <w:tcW w:w="1102"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UNIQUE (partial WHERE asin IS NOT NULL)</w:t>
            </w:r>
          </w:p>
        </w:tc>
        <w:tc>
          <w:tcPr>
            <w:tcW w:w="35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SKU matching by ASIN during normalisation.</w:t>
            </w:r>
          </w:p>
        </w:tc>
      </w:tr>
      <w:tr>
        <w:trPr/>
        <w:tc>
          <w:tcPr>
            <w:tcW w:w="2198"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bCs/>
                <w:color w:val="1A1A2E"/>
                <w:sz w:val="19"/>
                <w:szCs w:val="19"/>
              </w:rPr>
              <w:t>catalogue.skus</w:t>
            </w:r>
          </w:p>
        </w:tc>
        <w:tc>
          <w:tcPr>
            <w:tcW w:w="256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color w:val="1A1A2E"/>
                <w:sz w:val="19"/>
                <w:szCs w:val="19"/>
              </w:rPr>
              <w:t>(ean)</w:t>
            </w:r>
          </w:p>
        </w:tc>
        <w:tc>
          <w:tcPr>
            <w:tcW w:w="1102"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color w:val="1A1A2E"/>
                <w:sz w:val="19"/>
                <w:szCs w:val="19"/>
              </w:rPr>
              <w:t>UNIQUE (partial WHERE ean IS NOT NULL)</w:t>
            </w:r>
          </w:p>
        </w:tc>
        <w:tc>
          <w:tcPr>
            <w:tcW w:w="35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color w:val="1A1A2E"/>
                <w:sz w:val="19"/>
                <w:szCs w:val="19"/>
              </w:rPr>
              <w:t>SKU matching by EAN barcode.</w:t>
            </w:r>
          </w:p>
        </w:tc>
      </w:tr>
      <w:tr>
        <w:trPr/>
        <w:tc>
          <w:tcPr>
            <w:tcW w:w="2198"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bCs/>
                <w:color w:val="1A1A2E"/>
                <w:sz w:val="19"/>
                <w:szCs w:val="19"/>
              </w:rPr>
              <w:t>catalogue.skus</w:t>
            </w:r>
          </w:p>
        </w:tc>
        <w:tc>
          <w:tcPr>
            <w:tcW w:w="256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(category, composite_score DESC)</w:t>
            </w:r>
          </w:p>
        </w:tc>
        <w:tc>
          <w:tcPr>
            <w:tcW w:w="1102"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BTREE</w:t>
            </w:r>
          </w:p>
        </w:tc>
        <w:tc>
          <w:tcPr>
            <w:tcW w:w="35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Catalogue browsing sorted by score within category.</w:t>
            </w:r>
          </w:p>
        </w:tc>
      </w:tr>
      <w:tr>
        <w:trPr/>
        <w:tc>
          <w:tcPr>
            <w:tcW w:w="2198"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bCs/>
                <w:color w:val="1A1A2E"/>
                <w:sz w:val="19"/>
                <w:szCs w:val="19"/>
              </w:rPr>
              <w:t>catalogue.skus</w:t>
            </w:r>
          </w:p>
        </w:tc>
        <w:tc>
          <w:tcPr>
            <w:tcW w:w="256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color w:val="1A1A2E"/>
                <w:sz w:val="19"/>
                <w:szCs w:val="19"/>
              </w:rPr>
              <w:t>(high_opportunity, is_stale)</w:t>
            </w:r>
          </w:p>
        </w:tc>
        <w:tc>
          <w:tcPr>
            <w:tcW w:w="1102"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color w:val="1A1A2E"/>
                <w:sz w:val="19"/>
                <w:szCs w:val="19"/>
              </w:rPr>
              <w:t>BTREE</w:t>
            </w:r>
          </w:p>
        </w:tc>
        <w:tc>
          <w:tcPr>
            <w:tcW w:w="35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color w:val="1A1A2E"/>
                <w:sz w:val="19"/>
                <w:szCs w:val="19"/>
              </w:rPr>
              <w:t>High Opportunity badge filtering. Catalogue homepage.</w:t>
            </w:r>
          </w:p>
        </w:tc>
      </w:tr>
      <w:tr>
        <w:trPr/>
        <w:tc>
          <w:tcPr>
            <w:tcW w:w="2198"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bCs/>
                <w:color w:val="1A1A2E"/>
                <w:sz w:val="19"/>
                <w:szCs w:val="19"/>
              </w:rPr>
              <w:t>catalogue.price_events</w:t>
            </w:r>
          </w:p>
        </w:tc>
        <w:tc>
          <w:tcPr>
            <w:tcW w:w="256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(sku_id, time DESC)</w:t>
            </w:r>
          </w:p>
        </w:tc>
        <w:tc>
          <w:tcPr>
            <w:tcW w:w="1102"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TimescaleDB default</w:t>
            </w:r>
          </w:p>
        </w:tc>
        <w:tc>
          <w:tcPr>
            <w:tcW w:w="35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Price history chart queries. Cheapest source lookup.</w:t>
            </w:r>
          </w:p>
        </w:tc>
      </w:tr>
      <w:tr>
        <w:trPr/>
        <w:tc>
          <w:tcPr>
            <w:tcW w:w="2198"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bCs/>
                <w:color w:val="1A1A2E"/>
                <w:sz w:val="19"/>
                <w:szCs w:val="19"/>
              </w:rPr>
              <w:t>catalogue.price_events</w:t>
            </w:r>
          </w:p>
        </w:tc>
        <w:tc>
          <w:tcPr>
            <w:tcW w:w="256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color w:val="1A1A2E"/>
                <w:sz w:val="19"/>
                <w:szCs w:val="19"/>
              </w:rPr>
              <w:t>(retailer_source_id, time DESC)</w:t>
            </w:r>
          </w:p>
        </w:tc>
        <w:tc>
          <w:tcPr>
            <w:tcW w:w="1102"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color w:val="1A1A2E"/>
                <w:sz w:val="19"/>
                <w:szCs w:val="19"/>
              </w:rPr>
              <w:t>BTREE on hypertable</w:t>
            </w:r>
          </w:p>
        </w:tc>
        <w:tc>
          <w:tcPr>
            <w:tcW w:w="35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color w:val="1A1A2E"/>
                <w:sz w:val="19"/>
                <w:szCs w:val="19"/>
              </w:rPr>
              <w:t>Retailer-level price trend queries.</w:t>
            </w:r>
          </w:p>
        </w:tc>
      </w:tr>
      <w:tr>
        <w:trPr/>
        <w:tc>
          <w:tcPr>
            <w:tcW w:w="2198"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bCs/>
                <w:color w:val="1A1A2E"/>
                <w:sz w:val="19"/>
                <w:szCs w:val="19"/>
              </w:rPr>
              <w:t>catalogue.watchlist_items</w:t>
            </w:r>
          </w:p>
        </w:tc>
        <w:tc>
          <w:tcPr>
            <w:tcW w:w="256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(user_id, sku_id)</w:t>
            </w:r>
          </w:p>
        </w:tc>
        <w:tc>
          <w:tcPr>
            <w:tcW w:w="1102"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UNIQUE</w:t>
            </w:r>
          </w:p>
        </w:tc>
        <w:tc>
          <w:tcPr>
            <w:tcW w:w="35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Watchlist membership check. Prevent duplicates.</w:t>
            </w:r>
          </w:p>
        </w:tc>
      </w:tr>
      <w:tr>
        <w:trPr/>
        <w:tc>
          <w:tcPr>
            <w:tcW w:w="2198"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bCs/>
                <w:color w:val="1A1A2E"/>
                <w:sz w:val="19"/>
                <w:szCs w:val="19"/>
              </w:rPr>
              <w:t>approvals.approval_queue_items</w:t>
            </w:r>
          </w:p>
        </w:tc>
        <w:tc>
          <w:tcPr>
            <w:tcW w:w="256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color w:val="1A1A2E"/>
                <w:sz w:val="19"/>
                <w:szCs w:val="19"/>
              </w:rPr>
              <w:t>(user_id, status)</w:t>
            </w:r>
          </w:p>
        </w:tc>
        <w:tc>
          <w:tcPr>
            <w:tcW w:w="1102"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color w:val="1A1A2E"/>
                <w:sz w:val="19"/>
                <w:szCs w:val="19"/>
              </w:rPr>
              <w:t>BTREE</w:t>
            </w:r>
          </w:p>
        </w:tc>
        <w:tc>
          <w:tcPr>
            <w:tcW w:w="35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color w:val="1A1A2E"/>
                <w:sz w:val="19"/>
                <w:szCs w:val="19"/>
              </w:rPr>
              <w:t>Approval queue page load. Status filter.</w:t>
            </w:r>
          </w:p>
        </w:tc>
      </w:tr>
      <w:tr>
        <w:trPr/>
        <w:tc>
          <w:tcPr>
            <w:tcW w:w="2198"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bCs/>
                <w:color w:val="1A1A2E"/>
                <w:sz w:val="19"/>
                <w:szCs w:val="19"/>
              </w:rPr>
              <w:t>approvals.approval_queue_items</w:t>
            </w:r>
          </w:p>
        </w:tc>
        <w:tc>
          <w:tcPr>
            <w:tcW w:w="256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(sku_id, status)</w:t>
            </w:r>
          </w:p>
        </w:tc>
        <w:tc>
          <w:tcPr>
            <w:tcW w:w="1102"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BTREE</w:t>
            </w:r>
          </w:p>
        </w:tc>
        <w:tc>
          <w:tcPr>
            <w:tcW w:w="35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Duplicate deal detection: prevent same SKU queued twice.</w:t>
            </w:r>
          </w:p>
        </w:tc>
      </w:tr>
      <w:tr>
        <w:trPr/>
        <w:tc>
          <w:tcPr>
            <w:tcW w:w="2198"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bCs/>
                <w:color w:val="1A1A2E"/>
                <w:sz w:val="19"/>
                <w:szCs w:val="19"/>
              </w:rPr>
              <w:t>approvals.audit_log</w:t>
            </w:r>
          </w:p>
        </w:tc>
        <w:tc>
          <w:tcPr>
            <w:tcW w:w="256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color w:val="1A1A2E"/>
                <w:sz w:val="19"/>
                <w:szCs w:val="19"/>
              </w:rPr>
              <w:t>(user_id, created_at DESC)</w:t>
            </w:r>
          </w:p>
        </w:tc>
        <w:tc>
          <w:tcPr>
            <w:tcW w:w="1102"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color w:val="1A1A2E"/>
                <w:sz w:val="19"/>
                <w:szCs w:val="19"/>
              </w:rPr>
              <w:t>BTREE</w:t>
            </w:r>
          </w:p>
        </w:tc>
        <w:tc>
          <w:tcPr>
            <w:tcW w:w="35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color w:val="1A1A2E"/>
                <w:sz w:val="19"/>
                <w:szCs w:val="19"/>
              </w:rPr>
              <w:t>Audit log queries per user.</w:t>
            </w:r>
          </w:p>
        </w:tc>
      </w:tr>
      <w:tr>
        <w:trPr/>
        <w:tc>
          <w:tcPr>
            <w:tcW w:w="2198"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bCs/>
                <w:color w:val="1A1A2E"/>
                <w:sz w:val="19"/>
                <w:szCs w:val="19"/>
              </w:rPr>
              <w:t>vault.oauth_tokens</w:t>
            </w:r>
          </w:p>
        </w:tc>
        <w:tc>
          <w:tcPr>
            <w:tcW w:w="256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(user_id, sell_channel)</w:t>
            </w:r>
          </w:p>
        </w:tc>
        <w:tc>
          <w:tcPr>
            <w:tcW w:w="1102"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UNIQUE</w:t>
            </w:r>
          </w:p>
        </w:tc>
        <w:tc>
          <w:tcPr>
            <w:tcW w:w="35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Token lookup during Approvals execution.</w:t>
            </w:r>
          </w:p>
        </w:tc>
      </w:tr>
      <w:tr>
        <w:trPr/>
        <w:tc>
          <w:tcPr>
            <w:tcW w:w="2198"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bCs/>
                <w:color w:val="1A1A2E"/>
                <w:sz w:val="19"/>
                <w:szCs w:val="19"/>
              </w:rPr>
              <w:t>history.deal_records</w:t>
            </w:r>
          </w:p>
        </w:tc>
        <w:tc>
          <w:tcPr>
            <w:tcW w:w="256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color w:val="1A1A2E"/>
                <w:sz w:val="19"/>
                <w:szCs w:val="19"/>
              </w:rPr>
              <w:t>(user_id, closed_at DESC)</w:t>
            </w:r>
          </w:p>
        </w:tc>
        <w:tc>
          <w:tcPr>
            <w:tcW w:w="1102"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color w:val="1A1A2E"/>
                <w:sz w:val="19"/>
                <w:szCs w:val="19"/>
              </w:rPr>
              <w:t>BTREE</w:t>
            </w:r>
          </w:p>
        </w:tc>
        <w:tc>
          <w:tcPr>
            <w:tcW w:w="35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color w:val="1A1A2E"/>
                <w:sz w:val="19"/>
                <w:szCs w:val="19"/>
              </w:rPr>
              <w:t>Deal history page — primary query pattern.</w:t>
            </w:r>
          </w:p>
        </w:tc>
      </w:tr>
      <w:tr>
        <w:trPr/>
        <w:tc>
          <w:tcPr>
            <w:tcW w:w="2198"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bCs/>
                <w:color w:val="1A1A2E"/>
                <w:sz w:val="19"/>
                <w:szCs w:val="19"/>
              </w:rPr>
              <w:t>history.deal_records</w:t>
            </w:r>
          </w:p>
        </w:tc>
        <w:tc>
          <w:tcPr>
            <w:tcW w:w="256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(user_id, sell_channel, closed_at DESC)</w:t>
            </w:r>
          </w:p>
        </w:tc>
        <w:tc>
          <w:tcPr>
            <w:tcW w:w="1102"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BTREE</w:t>
            </w:r>
          </w:p>
        </w:tc>
        <w:tc>
          <w:tcPr>
            <w:tcW w:w="35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Analytics: per-channel performance breakdown.</w:t>
            </w:r>
          </w:p>
        </w:tc>
      </w:tr>
      <w:tr>
        <w:trPr/>
        <w:tc>
          <w:tcPr>
            <w:tcW w:w="2198"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bCs/>
                <w:color w:val="1A1A2E"/>
                <w:sz w:val="19"/>
                <w:szCs w:val="19"/>
              </w:rPr>
              <w:t>history.deal_records</w:t>
            </w:r>
          </w:p>
        </w:tc>
        <w:tc>
          <w:tcPr>
            <w:tcW w:w="256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color w:val="1A1A2E"/>
                <w:sz w:val="19"/>
                <w:szCs w:val="19"/>
              </w:rPr>
              <w:t>(approval_queue_item_id)</w:t>
            </w:r>
          </w:p>
        </w:tc>
        <w:tc>
          <w:tcPr>
            <w:tcW w:w="1102"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color w:val="1A1A2E"/>
                <w:sz w:val="19"/>
                <w:szCs w:val="19"/>
              </w:rPr>
              <w:t>UNIQUE</w:t>
            </w:r>
          </w:p>
        </w:tc>
        <w:tc>
          <w:tcPr>
            <w:tcW w:w="35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color w:val="1A1A2E"/>
                <w:sz w:val="19"/>
                <w:szCs w:val="19"/>
              </w:rPr>
              <w:t>Idempotency guard. Prevent duplicate closed deal records.</w:t>
            </w:r>
          </w:p>
        </w:tc>
      </w:tr>
      <w:tr>
        <w:trPr/>
        <w:tc>
          <w:tcPr>
            <w:tcW w:w="2198"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bCs/>
                <w:color w:val="1A1A2E"/>
                <w:sz w:val="19"/>
                <w:szCs w:val="19"/>
              </w:rPr>
              <w:t>notifications.push_subscriptions</w:t>
            </w:r>
          </w:p>
        </w:tc>
        <w:tc>
          <w:tcPr>
            <w:tcW w:w="256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(user_id, is_valid)</w:t>
            </w:r>
          </w:p>
        </w:tc>
        <w:tc>
          <w:tcPr>
            <w:tcW w:w="1102"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BTREE</w:t>
            </w:r>
          </w:p>
        </w:tc>
        <w:tc>
          <w:tcPr>
            <w:tcW w:w="35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Active push subscription lookup per user.</w:t>
            </w:r>
          </w:p>
        </w:tc>
      </w:tr>
    </w:tbl>
    <w:p>
      <w:pPr>
        <w:pStyle w:val="Normal"/>
        <w:spacing w:before="0" w:after="0"/>
        <w:rPr/>
      </w:pPr>
      <w:r>
        <w:rPr/>
      </w:r>
    </w:p>
    <w:p>
      <w:pPr>
        <w:pStyle w:val="Normal"/>
        <w:spacing w:before="40" w:after="40"/>
        <w:rPr/>
      </w:pPr>
      <w:r>
        <w:rPr>
          <w:rFonts w:eastAsia="Arial" w:cs="Arial"/>
          <w:i/>
          <w:iCs/>
          <w:color w:val="5D6D7E"/>
          <w:sz w:val="20"/>
          <w:szCs w:val="20"/>
        </w:rPr>
        <w:t>TimescaleDB continuous aggregate deal_daily_summary (sku_id, date, avg_price, min_price, max_price) is materialised nightly. Used by price history charts. Avoids full hypertable scans on every chart render.</w:t>
      </w:r>
    </w:p>
    <w:p>
      <w:pPr>
        <w:pStyle w:val="Normal"/>
        <w:rPr/>
      </w:pPr>
      <w:r>
        <w:rPr/>
        <w:t>Data retention policies by table:</w:t>
      </w:r>
    </w:p>
    <w:tbl>
      <w:tblPr>
        <w:tblStyle w:val="TableGrid"/>
        <w:tblW w:w="5000" w:type="pct"/>
        <w:jc w:val="start"/>
        <w:tblInd w:w="0" w:type="dxa"/>
        <w:tblLayout w:type="fixed"/>
        <w:tblCellMar>
          <w:top w:w="0" w:type="dxa"/>
          <w:start w:w="108" w:type="dxa"/>
          <w:bottom w:w="0" w:type="dxa"/>
          <w:end w:w="108" w:type="dxa"/>
        </w:tblCellMar>
      </w:tblPr>
      <w:tblGrid>
        <w:gridCol w:w="3120"/>
        <w:gridCol w:w="3120"/>
        <w:gridCol w:w="3120"/>
      </w:tblGrid>
      <w:tr>
        <w:trPr/>
        <w:tc>
          <w:tcPr>
            <w:tcW w:w="3120" w:type="dxa"/>
            <w:tcBorders/>
          </w:tcPr>
          <w:p>
            <w:pPr>
              <w:pStyle w:val="Normal"/>
              <w:rPr/>
            </w:pPr>
            <w:r>
              <w:rPr/>
              <w:t>Table</w:t>
            </w:r>
          </w:p>
        </w:tc>
        <w:tc>
          <w:tcPr>
            <w:tcW w:w="3120" w:type="dxa"/>
            <w:tcBorders/>
          </w:tcPr>
          <w:p>
            <w:pPr>
              <w:pStyle w:val="Normal"/>
              <w:rPr/>
            </w:pPr>
            <w:r>
              <w:rPr/>
              <w:t>Retention</w:t>
            </w:r>
          </w:p>
        </w:tc>
        <w:tc>
          <w:tcPr>
            <w:tcW w:w="3120" w:type="dxa"/>
            <w:tcBorders/>
          </w:tcPr>
          <w:p>
            <w:pPr>
              <w:pStyle w:val="Normal"/>
              <w:rPr/>
            </w:pPr>
            <w:r>
              <w:rPr/>
              <w:t>Rationale</w:t>
            </w:r>
          </w:p>
        </w:tc>
      </w:tr>
      <w:tr>
        <w:trPr/>
        <w:tc>
          <w:tcPr>
            <w:tcW w:w="3120" w:type="dxa"/>
            <w:tcBorders/>
          </w:tcPr>
          <w:p>
            <w:pPr>
              <w:pStyle w:val="Normal"/>
              <w:rPr/>
            </w:pPr>
            <w:r>
              <w:rPr/>
              <w:t>notification_log</w:t>
            </w:r>
          </w:p>
        </w:tc>
        <w:tc>
          <w:tcPr>
            <w:tcW w:w="3120" w:type="dxa"/>
            <w:tcBorders/>
          </w:tcPr>
          <w:p>
            <w:pPr>
              <w:pStyle w:val="Normal"/>
              <w:rPr/>
            </w:pPr>
            <w:r>
              <w:rPr/>
              <w:t>90 days</w:t>
            </w:r>
          </w:p>
        </w:tc>
        <w:tc>
          <w:tcPr>
            <w:tcW w:w="3120" w:type="dxa"/>
            <w:tcBorders/>
          </w:tcPr>
          <w:p>
            <w:pPr>
              <w:pStyle w:val="Normal"/>
              <w:rPr/>
            </w:pPr>
            <w:r>
              <w:rPr/>
              <w:t>High volume; old records purged by nightly Hangfire job.</w:t>
            </w:r>
          </w:p>
        </w:tc>
      </w:tr>
      <w:tr>
        <w:trPr/>
        <w:tc>
          <w:tcPr>
            <w:tcW w:w="3120" w:type="dxa"/>
            <w:tcBorders/>
          </w:tcPr>
          <w:p>
            <w:pPr>
              <w:pStyle w:val="Normal"/>
              <w:rPr/>
            </w:pPr>
            <w:r>
              <w:rPr/>
              <w:t>vault_access_log</w:t>
            </w:r>
          </w:p>
        </w:tc>
        <w:tc>
          <w:tcPr>
            <w:tcW w:w="3120" w:type="dxa"/>
            <w:tcBorders/>
          </w:tcPr>
          <w:p>
            <w:pPr>
              <w:pStyle w:val="Normal"/>
              <w:rPr/>
            </w:pPr>
            <w:r>
              <w:rPr/>
              <w:t>7 years</w:t>
            </w:r>
          </w:p>
        </w:tc>
        <w:tc>
          <w:tcPr>
            <w:tcW w:w="3120" w:type="dxa"/>
            <w:tcBorders/>
          </w:tcPr>
          <w:p>
            <w:pPr>
              <w:pStyle w:val="Normal"/>
              <w:rPr/>
            </w:pPr>
            <w:r>
              <w:rPr/>
              <w:t>Audit compliance. Immutable append-only.</w:t>
            </w:r>
          </w:p>
        </w:tc>
      </w:tr>
      <w:tr>
        <w:trPr/>
        <w:tc>
          <w:tcPr>
            <w:tcW w:w="3120" w:type="dxa"/>
            <w:tcBorders/>
          </w:tcPr>
          <w:p>
            <w:pPr>
              <w:pStyle w:val="Normal"/>
              <w:rPr/>
            </w:pPr>
            <w:r>
              <w:rPr/>
              <w:t>ingestion_runs</w:t>
            </w:r>
          </w:p>
        </w:tc>
        <w:tc>
          <w:tcPr>
            <w:tcW w:w="3120" w:type="dxa"/>
            <w:tcBorders/>
          </w:tcPr>
          <w:p>
            <w:pPr>
              <w:pStyle w:val="Normal"/>
              <w:rPr/>
            </w:pPr>
            <w:r>
              <w:rPr/>
              <w:t>12 months</w:t>
            </w:r>
          </w:p>
        </w:tc>
        <w:tc>
          <w:tcPr>
            <w:tcW w:w="3120" w:type="dxa"/>
            <w:tcBorders/>
          </w:tcPr>
          <w:p>
            <w:pPr>
              <w:pStyle w:val="Normal"/>
              <w:rPr/>
            </w:pPr>
            <w:r>
              <w:rPr/>
              <w:t>Operational history for scraper trend analysis.</w:t>
            </w:r>
          </w:p>
        </w:tc>
      </w:tr>
      <w:tr>
        <w:trPr/>
        <w:tc>
          <w:tcPr>
            <w:tcW w:w="3120" w:type="dxa"/>
            <w:tcBorders/>
          </w:tcPr>
          <w:p>
            <w:pPr>
              <w:pStyle w:val="Normal"/>
              <w:rPr/>
            </w:pPr>
            <w:r>
              <w:rPr/>
              <w:t>approvals.audit_log</w:t>
            </w:r>
          </w:p>
        </w:tc>
        <w:tc>
          <w:tcPr>
            <w:tcW w:w="3120" w:type="dxa"/>
            <w:tcBorders/>
          </w:tcPr>
          <w:p>
            <w:pPr>
              <w:pStyle w:val="Normal"/>
              <w:rPr/>
            </w:pPr>
            <w:r>
              <w:rPr/>
              <w:t>7 years</w:t>
            </w:r>
          </w:p>
        </w:tc>
        <w:tc>
          <w:tcPr>
            <w:tcW w:w="3120" w:type="dxa"/>
            <w:tcBorders/>
          </w:tcPr>
          <w:p>
            <w:pPr>
              <w:pStyle w:val="Normal"/>
              <w:rPr/>
            </w:pPr>
            <w:r>
              <w:rPr/>
              <w:t>Financial audit trail.</w:t>
            </w:r>
          </w:p>
        </w:tc>
      </w:tr>
      <w:tr>
        <w:trPr/>
        <w:tc>
          <w:tcPr>
            <w:tcW w:w="3120" w:type="dxa"/>
            <w:tcBorders/>
          </w:tcPr>
          <w:p>
            <w:pPr>
              <w:pStyle w:val="Normal"/>
              <w:rPr/>
            </w:pPr>
            <w:r>
              <w:rPr/>
              <w:t>history.deal_records</w:t>
            </w:r>
          </w:p>
        </w:tc>
        <w:tc>
          <w:tcPr>
            <w:tcW w:w="3120" w:type="dxa"/>
            <w:tcBorders/>
          </w:tcPr>
          <w:p>
            <w:pPr>
              <w:pStyle w:val="Normal"/>
              <w:rPr/>
            </w:pPr>
            <w:r>
              <w:rPr/>
              <w:t>7 years</w:t>
            </w:r>
          </w:p>
        </w:tc>
        <w:tc>
          <w:tcPr>
            <w:tcW w:w="3120" w:type="dxa"/>
            <w:tcBorders/>
          </w:tcPr>
          <w:p>
            <w:pPr>
              <w:pStyle w:val="Normal"/>
              <w:rPr/>
            </w:pPr>
            <w:r>
              <w:rPr/>
              <w:t>Tax compliance. Already defined in 4.2.</w:t>
            </w:r>
          </w:p>
        </w:tc>
      </w:tr>
    </w:tbl>
    <w:p>
      <w:pPr>
        <w:pStyle w:val="Normal"/>
        <w:spacing w:before="0" w:after="0"/>
        <w:rPr/>
      </w:pPr>
      <w:r>
        <w:rPr/>
      </w:r>
    </w:p>
    <w:p>
      <w:pPr>
        <w:pStyle w:val="Normal"/>
        <w:rPr/>
      </w:pPr>
      <w:r>
        <w:rPr/>
      </w:r>
      <w:r>
        <w:br w:type="page"/>
      </w:r>
    </w:p>
    <w:p>
      <w:pPr>
        <w:pStyle w:val="Heading1"/>
        <w:pBdr>
          <w:bottom w:val="single" w:sz="8" w:space="6" w:color="1A56DB"/>
        </w:pBdr>
        <w:spacing w:before="0" w:after="160"/>
        <w:rPr/>
      </w:pPr>
      <w:r>
        <w:rPr>
          <w:rFonts w:eastAsia="Arial" w:cs="Arial"/>
          <w:b/>
          <w:bCs/>
          <w:color w:val="1A56DB"/>
          <w:sz w:val="32"/>
          <w:szCs w:val="32"/>
        </w:rPr>
        <w:t>5. Service Design</w:t>
      </w:r>
    </w:p>
    <w:p>
      <w:pPr>
        <w:pStyle w:val="Heading2"/>
        <w:spacing w:before="280" w:after="100"/>
        <w:rPr/>
      </w:pPr>
      <w:r>
        <w:rPr>
          <w:rFonts w:eastAsia="Arial" w:cs="Arial"/>
          <w:b/>
          <w:bCs/>
          <w:color w:val="1A1A2E"/>
          <w:sz w:val="26"/>
          <w:szCs w:val="26"/>
        </w:rPr>
        <w:t>5.1 API Gateway — YARP</w:t>
      </w:r>
    </w:p>
    <w:p>
      <w:pPr>
        <w:pStyle w:val="Heading3"/>
        <w:spacing w:before="200" w:after="80"/>
        <w:rPr/>
      </w:pPr>
      <w:r>
        <w:rPr>
          <w:rFonts w:eastAsia="Arial" w:cs="Arial"/>
          <w:b/>
          <w:bCs/>
          <w:color w:val="1A56DB"/>
          <w:sz w:val="22"/>
          <w:szCs w:val="22"/>
        </w:rPr>
        <w:t>5.1.1 Responsibilities</w:t>
      </w:r>
    </w:p>
    <w:p>
      <w:pPr>
        <w:pStyle w:val="ListParagraph"/>
        <w:numPr>
          <w:ilvl w:val="0"/>
          <w:numId w:val="2"/>
        </w:numPr>
        <w:spacing w:before="40" w:after="40"/>
        <w:rPr/>
      </w:pPr>
      <w:r>
        <w:rPr>
          <w:rFonts w:eastAsia="Arial" w:cs="Arial"/>
          <w:color w:val="1A1A2E"/>
          <w:sz w:val="22"/>
          <w:szCs w:val="22"/>
        </w:rPr>
        <w:t>Terminate all external TLS. Downstream services communicate over plain HTTP within the k3s cluster.</w:t>
      </w:r>
    </w:p>
    <w:p>
      <w:pPr>
        <w:pStyle w:val="ListParagraph"/>
        <w:numPr>
          <w:ilvl w:val="0"/>
          <w:numId w:val="2"/>
        </w:numPr>
        <w:spacing w:before="40" w:after="40"/>
        <w:rPr/>
      </w:pPr>
      <w:r>
        <w:rPr>
          <w:rFonts w:eastAsia="Arial" w:cs="Arial"/>
          <w:color w:val="1A1A2E"/>
          <w:sz w:val="22"/>
          <w:szCs w:val="22"/>
        </w:rPr>
        <w:t>Validate JWT bearer tokens by calling Identity Service /auth/validate (cached in Redis, 60-second TTL).</w:t>
      </w:r>
    </w:p>
    <w:p>
      <w:pPr>
        <w:pStyle w:val="ListParagraph"/>
        <w:numPr>
          <w:ilvl w:val="0"/>
          <w:numId w:val="2"/>
        </w:numPr>
        <w:spacing w:before="40" w:after="40"/>
        <w:rPr/>
      </w:pPr>
      <w:r>
        <w:rPr>
          <w:rFonts w:eastAsia="Arial" w:cs="Arial"/>
          <w:color w:val="1A1A2E"/>
          <w:sz w:val="22"/>
          <w:szCs w:val="22"/>
        </w:rPr>
        <w:t>Validate API keys by looking up identity.api_keys table via Identity Service (cached, 5-minute TTL).</w:t>
      </w:r>
    </w:p>
    <w:p>
      <w:pPr>
        <w:pStyle w:val="ListParagraph"/>
        <w:numPr>
          <w:ilvl w:val="0"/>
          <w:numId w:val="2"/>
        </w:numPr>
        <w:spacing w:before="40" w:after="40"/>
        <w:rPr/>
      </w:pPr>
      <w:r>
        <w:rPr>
          <w:rFonts w:eastAsia="Arial" w:cs="Arial"/>
          <w:color w:val="1A1A2E"/>
          <w:sz w:val="22"/>
          <w:szCs w:val="22"/>
        </w:rPr>
        <w:t>Enforce per-plan rate limits using Redis sliding window counters keyed on user_id + route.</w:t>
      </w:r>
    </w:p>
    <w:p>
      <w:pPr>
        <w:pStyle w:val="ListParagraph"/>
        <w:numPr>
          <w:ilvl w:val="0"/>
          <w:numId w:val="2"/>
        </w:numPr>
        <w:spacing w:before="40" w:after="40"/>
        <w:rPr/>
      </w:pPr>
      <w:r>
        <w:rPr>
          <w:rFonts w:eastAsia="Arial" w:cs="Arial"/>
          <w:color w:val="1A1A2E"/>
          <w:sz w:val="22"/>
          <w:szCs w:val="22"/>
        </w:rPr>
        <w:t>Enforce plan feature gates: return HTTP 402 with upgrade prompt for out-of-plan routes.</w:t>
      </w:r>
    </w:p>
    <w:p>
      <w:pPr>
        <w:pStyle w:val="ListParagraph"/>
        <w:numPr>
          <w:ilvl w:val="0"/>
          <w:numId w:val="2"/>
        </w:numPr>
        <w:spacing w:before="40" w:after="40"/>
        <w:rPr/>
      </w:pPr>
      <w:r>
        <w:rPr>
          <w:rFonts w:eastAsia="Arial" w:cs="Arial"/>
          <w:color w:val="1A1A2E"/>
          <w:sz w:val="22"/>
          <w:szCs w:val="22"/>
        </w:rPr>
        <w:t>Route requests to upstream services using YARP route config (appsettings.json, hot-reload supported).</w:t>
      </w:r>
    </w:p>
    <w:p>
      <w:pPr>
        <w:pStyle w:val="ListParagraph"/>
        <w:numPr>
          <w:ilvl w:val="0"/>
          <w:numId w:val="2"/>
        </w:numPr>
        <w:spacing w:before="40" w:after="40"/>
        <w:rPr/>
      </w:pPr>
      <w:r>
        <w:rPr>
          <w:rFonts w:eastAsia="Arial" w:cs="Arial"/>
          <w:color w:val="1A1A2E"/>
          <w:sz w:val="22"/>
          <w:szCs w:val="22"/>
        </w:rPr>
        <w:t>Dispatch outbound webhook events: subscribe to arbitrageiq:deals stream and POST to registered endpoints.</w:t>
      </w:r>
    </w:p>
    <w:p>
      <w:pPr>
        <w:pStyle w:val="Normal"/>
        <w:spacing w:before="0" w:after="0"/>
        <w:rPr/>
      </w:pPr>
      <w:r>
        <w:rPr/>
      </w:r>
    </w:p>
    <w:p>
      <w:pPr>
        <w:pStyle w:val="Heading3"/>
        <w:spacing w:before="200" w:after="80"/>
        <w:rPr/>
      </w:pPr>
      <w:r>
        <w:rPr>
          <w:rFonts w:eastAsia="Arial" w:cs="Arial"/>
          <w:b/>
          <w:bCs/>
          <w:color w:val="1A56DB"/>
          <w:sz w:val="22"/>
          <w:szCs w:val="22"/>
        </w:rPr>
        <w:t>5.1.2 Rate Limit Implementation</w:t>
      </w:r>
    </w:p>
    <w:p>
      <w:pPr>
        <w:pStyle w:val="Normal"/>
        <w:spacing w:before="60" w:after="60"/>
        <w:rPr/>
      </w:pPr>
      <w:r>
        <w:rPr>
          <w:rFonts w:eastAsia="Arial" w:cs="Arial"/>
          <w:color w:val="1A1A2E"/>
          <w:sz w:val="22"/>
          <w:szCs w:val="22"/>
        </w:rPr>
        <w:t>Redis sliding window algorithm. Key pattern:</w:t>
      </w:r>
    </w:p>
    <w:p>
      <w:pPr>
        <w:pStyle w:val="Normal"/>
        <w:shd w:val="clear" w:fill="F4F6F9"/>
        <w:spacing w:before="60" w:after="60"/>
        <w:ind w:start="720"/>
        <w:rPr/>
      </w:pPr>
      <w:r>
        <w:rPr>
          <w:rFonts w:eastAsia="Courier New" w:cs="Courier New" w:ascii="Courier New" w:hAnsi="Courier New"/>
          <w:color w:val="1A56DB"/>
          <w:sz w:val="20"/>
          <w:szCs w:val="20"/>
        </w:rPr>
        <w:t>ratelimit:{user_id}:{route_group}:{window_start_unix}</w:t>
      </w:r>
    </w:p>
    <w:p>
      <w:pPr>
        <w:pStyle w:val="Normal"/>
        <w:spacing w:before="60" w:after="60"/>
        <w:rPr/>
      </w:pPr>
      <w:r>
        <w:rPr>
          <w:rFonts w:eastAsia="Arial" w:cs="Arial"/>
          <w:color w:val="1A1A2E"/>
          <w:sz w:val="22"/>
          <w:szCs w:val="22"/>
        </w:rPr>
        <w:t>Window: 86,400 seconds (24 hours). Counter incremented on each request. Hard limit enforced before routing. HTTP 429 returned with Retry-After header when exceeded.</w:t>
      </w:r>
    </w:p>
    <w:p>
      <w:pPr>
        <w:pStyle w:val="Normal"/>
        <w:spacing w:before="0" w:after="0"/>
        <w:rPr/>
      </w:pPr>
      <w:r>
        <w:rPr/>
      </w:r>
    </w:p>
    <w:p>
      <w:pPr>
        <w:pStyle w:val="Heading2"/>
        <w:spacing w:before="280" w:after="100"/>
        <w:rPr/>
      </w:pPr>
      <w:r>
        <w:rPr>
          <w:rFonts w:eastAsia="Arial" w:cs="Arial"/>
          <w:b/>
          <w:bCs/>
          <w:color w:val="1A1A2E"/>
          <w:sz w:val="26"/>
          <w:szCs w:val="26"/>
        </w:rPr>
        <w:t>5.2 Ingestion Service</w:t>
      </w:r>
    </w:p>
    <w:p>
      <w:pPr>
        <w:pStyle w:val="Heading3"/>
        <w:spacing w:before="200" w:after="80"/>
        <w:rPr/>
      </w:pPr>
      <w:r>
        <w:rPr>
          <w:rFonts w:eastAsia="Arial" w:cs="Arial"/>
          <w:b/>
          <w:bCs/>
          <w:color w:val="1A56DB"/>
          <w:sz w:val="22"/>
          <w:szCs w:val="22"/>
        </w:rPr>
        <w:t>5.2.1 Scraper Architecture — Playwright Stealth</w:t>
      </w:r>
    </w:p>
    <w:p>
      <w:pPr>
        <w:pStyle w:val="Normal"/>
        <w:spacing w:before="60" w:after="60"/>
        <w:rPr/>
      </w:pPr>
      <w:r>
        <w:rPr>
          <w:rFonts w:eastAsia="Arial" w:cs="Arial"/>
          <w:color w:val="1A1A2E"/>
          <w:sz w:val="22"/>
          <w:szCs w:val="22"/>
        </w:rPr>
        <w:t>The Ingestion Service uses Playwright .NET with the playwright-extra Stealth plugin equivalent for .NET to evade bot-detection. Each retailer has a dedicated scraper worker registered as a Hangfire recurring job.</w:t>
      </w:r>
    </w:p>
    <w:p>
      <w:pPr>
        <w:pStyle w:val="Normal"/>
        <w:spacing w:before="0" w:after="0"/>
        <w:rPr/>
      </w:pPr>
      <w:r>
        <w:rPr/>
      </w:r>
    </w:p>
    <w:tbl>
      <w:tblPr>
        <w:tblW w:w="9360" w:type="dxa"/>
        <w:jc w:val="start"/>
        <w:tblInd w:w="0" w:type="dxa"/>
        <w:tblLayout w:type="fixed"/>
        <w:tblCellMar>
          <w:top w:w="100" w:type="dxa"/>
          <w:start w:w="140" w:type="dxa"/>
          <w:bottom w:w="100" w:type="dxa"/>
          <w:end w:w="140" w:type="dxa"/>
        </w:tblCellMar>
      </w:tblPr>
      <w:tblGrid>
        <w:gridCol w:w="1798"/>
        <w:gridCol w:w="1402"/>
        <w:gridCol w:w="3360"/>
        <w:gridCol w:w="2800"/>
      </w:tblGrid>
      <w:tr>
        <w:trPr>
          <w:tblHeader w:val="true"/>
        </w:trPr>
        <w:tc>
          <w:tcPr>
            <w:tcW w:w="1798" w:type="dxa"/>
            <w:tcBorders>
              <w:top w:val="single" w:sz="2" w:space="0" w:color="1A56DB"/>
              <w:start w:val="single" w:sz="2" w:space="0" w:color="1A56DB"/>
              <w:bottom w:val="single" w:sz="2" w:space="0" w:color="1A56DB"/>
              <w:end w:val="single" w:sz="2" w:space="0" w:color="1A56DB"/>
            </w:tcBorders>
            <w:shd w:fill="1A56DB" w:val="clear"/>
            <w:vAlign w:val="center"/>
          </w:tcPr>
          <w:p>
            <w:pPr>
              <w:pStyle w:val="Normal"/>
              <w:jc w:val="center"/>
              <w:rPr/>
            </w:pPr>
            <w:r>
              <w:rPr>
                <w:rFonts w:eastAsia="Arial" w:cs="Arial"/>
                <w:b/>
                <w:bCs/>
                <w:color w:val="FFFFFF"/>
                <w:sz w:val="19"/>
                <w:szCs w:val="19"/>
              </w:rPr>
              <w:t>Retailer</w:t>
            </w:r>
          </w:p>
        </w:tc>
        <w:tc>
          <w:tcPr>
            <w:tcW w:w="1402" w:type="dxa"/>
            <w:tcBorders>
              <w:top w:val="single" w:sz="2" w:space="0" w:color="1A56DB"/>
              <w:start w:val="single" w:sz="2" w:space="0" w:color="1A56DB"/>
              <w:bottom w:val="single" w:sz="2" w:space="0" w:color="1A56DB"/>
              <w:end w:val="single" w:sz="2" w:space="0" w:color="1A56DB"/>
            </w:tcBorders>
            <w:shd w:fill="1A56DB" w:val="clear"/>
            <w:vAlign w:val="center"/>
          </w:tcPr>
          <w:p>
            <w:pPr>
              <w:pStyle w:val="Normal"/>
              <w:jc w:val="center"/>
              <w:rPr/>
            </w:pPr>
            <w:r>
              <w:rPr>
                <w:rFonts w:eastAsia="Arial" w:cs="Arial"/>
                <w:b/>
                <w:bCs/>
                <w:color w:val="FFFFFF"/>
                <w:sz w:val="19"/>
                <w:szCs w:val="19"/>
              </w:rPr>
              <w:t>Method</w:t>
            </w:r>
          </w:p>
        </w:tc>
        <w:tc>
          <w:tcPr>
            <w:tcW w:w="3360" w:type="dxa"/>
            <w:tcBorders>
              <w:top w:val="single" w:sz="2" w:space="0" w:color="1A56DB"/>
              <w:start w:val="single" w:sz="2" w:space="0" w:color="1A56DB"/>
              <w:bottom w:val="single" w:sz="2" w:space="0" w:color="1A56DB"/>
              <w:end w:val="single" w:sz="2" w:space="0" w:color="1A56DB"/>
            </w:tcBorders>
            <w:shd w:fill="1A56DB" w:val="clear"/>
            <w:vAlign w:val="center"/>
          </w:tcPr>
          <w:p>
            <w:pPr>
              <w:pStyle w:val="Normal"/>
              <w:jc w:val="center"/>
              <w:rPr/>
            </w:pPr>
            <w:r>
              <w:rPr>
                <w:rFonts w:eastAsia="Arial" w:cs="Arial"/>
                <w:b/>
                <w:bCs/>
                <w:color w:val="FFFFFF"/>
                <w:sz w:val="19"/>
                <w:szCs w:val="19"/>
              </w:rPr>
              <w:t>Stealth Requirements</w:t>
            </w:r>
          </w:p>
        </w:tc>
        <w:tc>
          <w:tcPr>
            <w:tcW w:w="2800" w:type="dxa"/>
            <w:tcBorders>
              <w:top w:val="single" w:sz="2" w:space="0" w:color="1A56DB"/>
              <w:start w:val="single" w:sz="2" w:space="0" w:color="1A56DB"/>
              <w:bottom w:val="single" w:sz="2" w:space="0" w:color="1A56DB"/>
              <w:end w:val="single" w:sz="2" w:space="0" w:color="1A56DB"/>
            </w:tcBorders>
            <w:shd w:fill="1A56DB" w:val="clear"/>
            <w:vAlign w:val="center"/>
          </w:tcPr>
          <w:p>
            <w:pPr>
              <w:pStyle w:val="Normal"/>
              <w:jc w:val="center"/>
              <w:rPr/>
            </w:pPr>
            <w:r>
              <w:rPr>
                <w:rFonts w:eastAsia="Arial" w:cs="Arial"/>
                <w:b/>
                <w:bCs/>
                <w:color w:val="FFFFFF"/>
                <w:sz w:val="19"/>
                <w:szCs w:val="19"/>
              </w:rPr>
              <w:t>Circuit Breaker Threshold</w:t>
            </w:r>
          </w:p>
        </w:tc>
      </w:tr>
      <w:tr>
        <w:trPr/>
        <w:tc>
          <w:tcPr>
            <w:tcW w:w="1798"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bCs/>
                <w:color w:val="1A1A2E"/>
                <w:sz w:val="19"/>
                <w:szCs w:val="19"/>
              </w:rPr>
              <w:t>Amazon</w:t>
            </w:r>
          </w:p>
        </w:tc>
        <w:tc>
          <w:tcPr>
            <w:tcW w:w="1402"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PA API (official)</w:t>
            </w:r>
          </w:p>
        </w:tc>
        <w:tc>
          <w:tcPr>
            <w:tcW w:w="336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None — API key auth</w:t>
            </w:r>
          </w:p>
        </w:tc>
        <w:tc>
          <w:tcPr>
            <w:tcW w:w="28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99% error rate over 5 min</w:t>
            </w:r>
          </w:p>
        </w:tc>
      </w:tr>
      <w:tr>
        <w:trPr/>
        <w:tc>
          <w:tcPr>
            <w:tcW w:w="1798"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bCs/>
                <w:color w:val="1A1A2E"/>
                <w:sz w:val="19"/>
                <w:szCs w:val="19"/>
              </w:rPr>
              <w:t>eBay</w:t>
            </w:r>
          </w:p>
        </w:tc>
        <w:tc>
          <w:tcPr>
            <w:tcW w:w="1402"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Browse API (official)</w:t>
            </w:r>
          </w:p>
        </w:tc>
        <w:tc>
          <w:tcPr>
            <w:tcW w:w="336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None — OAuth</w:t>
            </w:r>
          </w:p>
        </w:tc>
        <w:tc>
          <w:tcPr>
            <w:tcW w:w="28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99% error rate over 5 min</w:t>
            </w:r>
          </w:p>
        </w:tc>
      </w:tr>
      <w:tr>
        <w:trPr/>
        <w:tc>
          <w:tcPr>
            <w:tcW w:w="1798"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bCs/>
                <w:color w:val="1A1A2E"/>
                <w:sz w:val="19"/>
                <w:szCs w:val="19"/>
              </w:rPr>
              <w:t>Walmart</w:t>
            </w:r>
          </w:p>
        </w:tc>
        <w:tc>
          <w:tcPr>
            <w:tcW w:w="1402"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Affiliate API (official)</w:t>
            </w:r>
          </w:p>
        </w:tc>
        <w:tc>
          <w:tcPr>
            <w:tcW w:w="336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None — API key auth</w:t>
            </w:r>
          </w:p>
        </w:tc>
        <w:tc>
          <w:tcPr>
            <w:tcW w:w="28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99% error rate over 5 min</w:t>
            </w:r>
          </w:p>
        </w:tc>
      </w:tr>
      <w:tr>
        <w:trPr/>
        <w:tc>
          <w:tcPr>
            <w:tcW w:w="1798"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bCs/>
                <w:color w:val="1A1A2E"/>
                <w:sz w:val="19"/>
                <w:szCs w:val="19"/>
              </w:rPr>
              <w:t>AliExpress</w:t>
            </w:r>
          </w:p>
        </w:tc>
        <w:tc>
          <w:tcPr>
            <w:tcW w:w="1402"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Affiliate API + Playwright fallback</w:t>
            </w:r>
          </w:p>
        </w:tc>
        <w:tc>
          <w:tcPr>
            <w:tcW w:w="336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User-agent rotation, random delays 2-8s</w:t>
            </w:r>
          </w:p>
        </w:tc>
        <w:tc>
          <w:tcPr>
            <w:tcW w:w="28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10% error rate over 15 min</w:t>
            </w:r>
          </w:p>
        </w:tc>
      </w:tr>
      <w:tr>
        <w:trPr/>
        <w:tc>
          <w:tcPr>
            <w:tcW w:w="1798"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bCs/>
                <w:color w:val="1A1A2E"/>
                <w:sz w:val="19"/>
                <w:szCs w:val="19"/>
              </w:rPr>
              <w:t>Tesco</w:t>
            </w:r>
          </w:p>
        </w:tc>
        <w:tc>
          <w:tcPr>
            <w:tcW w:w="1402"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Playwright Stealth (scraping only)</w:t>
            </w:r>
          </w:p>
        </w:tc>
        <w:tc>
          <w:tcPr>
            <w:tcW w:w="336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Stealth plugin, viewport randomisation, human-like scroll, 3-12s delays</w:t>
            </w:r>
          </w:p>
        </w:tc>
        <w:tc>
          <w:tcPr>
            <w:tcW w:w="28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5% extraction failure over 15 min</w:t>
            </w:r>
          </w:p>
        </w:tc>
      </w:tr>
      <w:tr>
        <w:trPr/>
        <w:tc>
          <w:tcPr>
            <w:tcW w:w="1798"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bCs/>
                <w:color w:val="1A1A2E"/>
                <w:sz w:val="19"/>
                <w:szCs w:val="19"/>
              </w:rPr>
              <w:t>Custom Retailer</w:t>
            </w:r>
          </w:p>
        </w:tc>
        <w:tc>
          <w:tcPr>
            <w:tcW w:w="1402"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Playwright Stealth</w:t>
            </w:r>
          </w:p>
        </w:tc>
        <w:tc>
          <w:tcPr>
            <w:tcW w:w="336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User-configured CSS selectors; same stealth as Tesco</w:t>
            </w:r>
          </w:p>
        </w:tc>
        <w:tc>
          <w:tcPr>
            <w:tcW w:w="28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5% extraction failure over 30 min</w:t>
            </w:r>
          </w:p>
        </w:tc>
      </w:tr>
    </w:tbl>
    <w:p>
      <w:pPr>
        <w:pStyle w:val="Normal"/>
        <w:spacing w:before="0" w:after="0"/>
        <w:rPr/>
      </w:pPr>
      <w:r>
        <w:rPr/>
      </w:r>
    </w:p>
    <w:p>
      <w:pPr>
        <w:pStyle w:val="Heading3"/>
        <w:spacing w:before="200" w:after="80"/>
        <w:rPr/>
      </w:pPr>
      <w:r>
        <w:rPr>
          <w:rFonts w:eastAsia="Arial" w:cs="Arial"/>
          <w:b/>
          <w:bCs/>
          <w:color w:val="1A56DB"/>
          <w:sz w:val="22"/>
          <w:szCs w:val="22"/>
        </w:rPr>
        <w:t>5.2.2 Scraper Health Monitoring</w:t>
      </w:r>
    </w:p>
    <w:p>
      <w:pPr>
        <w:pStyle w:val="ListParagraph"/>
        <w:numPr>
          <w:ilvl w:val="0"/>
          <w:numId w:val="2"/>
        </w:numPr>
        <w:spacing w:before="40" w:after="40"/>
        <w:rPr/>
      </w:pPr>
      <w:r>
        <w:rPr>
          <w:rFonts w:eastAsia="Arial" w:cs="Arial"/>
          <w:color w:val="1A1A2E"/>
          <w:sz w:val="22"/>
          <w:szCs w:val="22"/>
        </w:rPr>
        <w:t>Each scraper run records success/failure counts to ingestion.ingestion_runs.</w:t>
      </w:r>
    </w:p>
    <w:p>
      <w:pPr>
        <w:pStyle w:val="ListParagraph"/>
        <w:numPr>
          <w:ilvl w:val="0"/>
          <w:numId w:val="2"/>
        </w:numPr>
        <w:spacing w:before="40" w:after="40"/>
        <w:rPr/>
      </w:pPr>
      <w:r>
        <w:rPr>
          <w:rFonts w:eastAsia="Arial" w:cs="Arial"/>
          <w:color w:val="1A1A2E"/>
          <w:sz w:val="22"/>
          <w:szCs w:val="22"/>
        </w:rPr>
        <w:t>.NET Aspire Dashboard metric: arbitrageiq_scraper_extraction_failure_rate (labelled by retailer), updated per run via OpenTelemetry Meter API.</w:t>
      </w:r>
    </w:p>
    <w:p>
      <w:pPr>
        <w:pStyle w:val="ListParagraph"/>
        <w:numPr>
          <w:ilvl w:val="0"/>
          <w:numId w:val="2"/>
        </w:numPr>
        <w:spacing w:before="40" w:after="40"/>
        <w:rPr/>
      </w:pPr>
      <w:r>
        <w:rPr>
          <w:rFonts w:eastAsia="Arial" w:cs="Arial"/>
          <w:color w:val="1A1A2E"/>
          <w:sz w:val="22"/>
          <w:szCs w:val="22"/>
        </w:rPr>
        <w:t>Alert fires when failure rate exceeds threshold for a given retailer. In v1, alerts are implemented as threshold checks in the Jobs Service that publish a system event to the Event Bus; Aspire Dashboard surfaces the metric for manual monitoring. Production alerting via PagerDuty integration to be added in v2.</w:t>
      </w:r>
    </w:p>
    <w:p>
      <w:pPr>
        <w:pStyle w:val="ListParagraph"/>
        <w:numPr>
          <w:ilvl w:val="0"/>
          <w:numId w:val="2"/>
        </w:numPr>
        <w:spacing w:before="40" w:after="40"/>
        <w:rPr/>
      </w:pPr>
      <w:r>
        <w:rPr>
          <w:rFonts w:eastAsia="Arial" w:cs="Arial"/>
          <w:color w:val="1A1A2E"/>
          <w:sz w:val="22"/>
          <w:szCs w:val="22"/>
        </w:rPr>
        <w:t>Circuit breaker (Polly): opens after threshold breach, half-opens after 5-minute cooldown, closes on first successful run.</w:t>
      </w:r>
    </w:p>
    <w:p>
      <w:pPr>
        <w:pStyle w:val="ListParagraph"/>
        <w:numPr>
          <w:ilvl w:val="0"/>
          <w:numId w:val="2"/>
        </w:numPr>
        <w:spacing w:before="40" w:after="40"/>
        <w:rPr/>
      </w:pPr>
      <w:r>
        <w:rPr>
          <w:rFonts w:eastAsia="Arial" w:cs="Arial"/>
          <w:color w:val="1A1A2E"/>
          <w:sz w:val="22"/>
          <w:szCs w:val="22"/>
        </w:rPr>
        <w:t>When circuit is open: Ingestion Service skips that retailer and publishes a system event to the Event Bus. Notification Service surfaces a warning in the in-app feed for affected users.</w:t>
      </w:r>
    </w:p>
    <w:p>
      <w:pPr>
        <w:pStyle w:val="Normal"/>
        <w:spacing w:before="0" w:after="0"/>
        <w:rPr/>
      </w:pPr>
      <w:r>
        <w:rPr/>
      </w:r>
    </w:p>
    <w:p>
      <w:pPr>
        <w:pStyle w:val="Heading3"/>
        <w:spacing w:before="200" w:after="80"/>
        <w:rPr/>
      </w:pPr>
      <w:r>
        <w:rPr>
          <w:rFonts w:eastAsia="Arial" w:cs="Arial"/>
          <w:b/>
          <w:bCs/>
          <w:color w:val="1A56DB"/>
          <w:sz w:val="22"/>
          <w:szCs w:val="22"/>
        </w:rPr>
        <w:t>5.2.3 Price Event Normalisation</w:t>
      </w:r>
    </w:p>
    <w:p>
      <w:pPr>
        <w:pStyle w:val="Normal"/>
        <w:spacing w:before="60" w:after="60"/>
        <w:rPr/>
      </w:pPr>
      <w:r>
        <w:rPr>
          <w:rFonts w:eastAsia="Arial" w:cs="Arial"/>
          <w:color w:val="1A1A2E"/>
          <w:sz w:val="22"/>
          <w:szCs w:val="22"/>
        </w:rPr>
        <w:t>All raw prices are normalised before publishing. Normalisation steps:</w:t>
      </w:r>
    </w:p>
    <w:p>
      <w:pPr>
        <w:pStyle w:val="ListParagraph"/>
        <w:numPr>
          <w:ilvl w:val="0"/>
          <w:numId w:val="2"/>
        </w:numPr>
        <w:spacing w:before="40" w:after="40"/>
        <w:rPr/>
      </w:pPr>
      <w:r>
        <w:rPr>
          <w:rFonts w:eastAsia="Arial" w:cs="Arial"/>
          <w:color w:val="1A1A2E"/>
          <w:sz w:val="22"/>
          <w:szCs w:val="22"/>
        </w:rPr>
        <w:t>Currency conversion: non-GBP prices converted to GBP using daily ECB rate (cached 24h in Redis).</w:t>
      </w:r>
    </w:p>
    <w:p>
      <w:pPr>
        <w:pStyle w:val="ListParagraph"/>
        <w:numPr>
          <w:ilvl w:val="0"/>
          <w:numId w:val="2"/>
        </w:numPr>
        <w:spacing w:before="40" w:after="40"/>
        <w:rPr/>
      </w:pPr>
      <w:r>
        <w:rPr>
          <w:rFonts w:eastAsia="Arial" w:cs="Arial"/>
          <w:color w:val="1A1A2E"/>
          <w:sz w:val="22"/>
          <w:szCs w:val="22"/>
        </w:rPr>
        <w:t>SKU matching: ASIN used where available. Fallback: EAN. Fallback: title similarity (Levenshtein distance &lt; 0.15). Unmatched products create a new SKU record.</w:t>
      </w:r>
    </w:p>
    <w:p>
      <w:pPr>
        <w:pStyle w:val="ListParagraph"/>
        <w:numPr>
          <w:ilvl w:val="0"/>
          <w:numId w:val="2"/>
        </w:numPr>
        <w:spacing w:before="40" w:after="40"/>
        <w:rPr/>
      </w:pPr>
      <w:r>
        <w:rPr>
          <w:rFonts w:eastAsia="Arial" w:cs="Arial"/>
          <w:color w:val="1A1A2E"/>
          <w:sz w:val="22"/>
          <w:szCs w:val="22"/>
        </w:rPr>
        <w:t>Deduplication: price events within the same cadence window for the same SKU/retailer pair are deduplicated; only the latest price is published.</w:t>
      </w:r>
    </w:p>
    <w:p>
      <w:pPr>
        <w:pStyle w:val="ListParagraph"/>
        <w:numPr>
          <w:ilvl w:val="0"/>
          <w:numId w:val="2"/>
        </w:numPr>
        <w:spacing w:before="40" w:after="40"/>
        <w:rPr/>
      </w:pPr>
      <w:r>
        <w:rPr>
          <w:rFonts w:eastAsia="Arial" w:cs="Arial"/>
          <w:color w:val="1A1A2E"/>
          <w:sz w:val="22"/>
          <w:szCs w:val="22"/>
        </w:rPr>
        <w:t>Validation: prices outside the range [£0.01, £10,000] are flagged as anomalies and quarantined pending review.</w:t>
      </w:r>
    </w:p>
    <w:p>
      <w:pPr>
        <w:pStyle w:val="Normal"/>
        <w:spacing w:before="0" w:after="0"/>
        <w:rPr/>
      </w:pPr>
      <w:r>
        <w:rPr/>
      </w:r>
    </w:p>
    <w:p>
      <w:pPr>
        <w:pStyle w:val="Heading2"/>
        <w:spacing w:before="280" w:after="100"/>
        <w:rPr/>
      </w:pPr>
      <w:r>
        <w:rPr>
          <w:rFonts w:eastAsia="Arial" w:cs="Arial"/>
          <w:b/>
          <w:bCs/>
          <w:color w:val="1A1A2E"/>
          <w:sz w:val="26"/>
          <w:szCs w:val="26"/>
        </w:rPr>
        <w:t>5.3 Opportunity Engine</w:t>
      </w:r>
    </w:p>
    <w:p>
      <w:pPr>
        <w:pStyle w:val="Heading3"/>
        <w:spacing w:before="200" w:after="80"/>
        <w:rPr/>
      </w:pPr>
      <w:r>
        <w:rPr>
          <w:rFonts w:eastAsia="Arial" w:cs="Arial"/>
          <w:b/>
          <w:bCs/>
          <w:color w:val="1A56DB"/>
          <w:sz w:val="22"/>
          <w:szCs w:val="22"/>
        </w:rPr>
        <w:t>5.3.1 Margin Calculation Implementation</w:t>
      </w:r>
    </w:p>
    <w:p>
      <w:pPr>
        <w:pStyle w:val="Normal"/>
        <w:spacing w:before="60" w:after="60"/>
        <w:rPr/>
      </w:pPr>
      <w:r>
        <w:rPr>
          <w:rFonts w:eastAsia="Arial" w:cs="Arial"/>
          <w:color w:val="1A1A2E"/>
          <w:sz w:val="22"/>
          <w:szCs w:val="22"/>
        </w:rPr>
        <w:t>The Opportunity Engine consumes price.ingested events and, for each event, calculates net margin against all connected sell channels for the owning user. The margin formula is implemented as a pure function:</w:t>
      </w:r>
    </w:p>
    <w:p>
      <w:pPr>
        <w:pStyle w:val="Normal"/>
        <w:spacing w:before="0" w:after="0"/>
        <w:rPr/>
      </w:pPr>
      <w:r>
        <w:rPr/>
      </w:r>
    </w:p>
    <w:p>
      <w:pPr>
        <w:pStyle w:val="Normal"/>
        <w:shd w:val="clear" w:fill="F4F6F9"/>
        <w:spacing w:before="60" w:after="60"/>
        <w:ind w:start="720"/>
        <w:rPr/>
      </w:pPr>
      <w:r>
        <w:rPr>
          <w:rFonts w:eastAsia="Courier New" w:cs="Courier New" w:ascii="Courier New" w:hAnsi="Courier New"/>
          <w:color w:val="1A56DB"/>
          <w:sz w:val="20"/>
          <w:szCs w:val="20"/>
        </w:rPr>
        <w:t>NetProfit = SellPrice - BuyPrice - ReferralFee(channel, category, sellPrice)</w:t>
      </w:r>
    </w:p>
    <w:p>
      <w:pPr>
        <w:pStyle w:val="Normal"/>
        <w:shd w:val="clear" w:fill="F4F6F9"/>
        <w:spacing w:before="60" w:after="60"/>
        <w:ind w:start="720"/>
        <w:rPr/>
      </w:pPr>
      <w:r>
        <w:rPr>
          <w:rFonts w:eastAsia="Courier New" w:cs="Courier New" w:ascii="Courier New" w:hAnsi="Courier New"/>
          <w:color w:val="1A56DB"/>
          <w:sz w:val="20"/>
          <w:szCs w:val="20"/>
        </w:rPr>
        <w:t xml:space="preserve">           </w:t>
      </w:r>
      <w:r>
        <w:rPr>
          <w:rFonts w:eastAsia="Courier New" w:cs="Courier New" w:ascii="Courier New" w:hAnsi="Courier New"/>
          <w:color w:val="1A56DB"/>
          <w:sz w:val="20"/>
          <w:szCs w:val="20"/>
        </w:rPr>
        <w:t>- FulfilmentFee(channel, sizeTier) - ShippingBuy - ShippingBuy</w:t>
      </w:r>
    </w:p>
    <w:p>
      <w:pPr>
        <w:pStyle w:val="Normal"/>
        <w:shd w:val="clear" w:fill="F4F6F9"/>
        <w:spacing w:before="60" w:after="60"/>
        <w:ind w:start="720"/>
        <w:rPr/>
      </w:pPr>
      <w:r>
        <w:rPr>
          <w:rFonts w:eastAsia="Courier New" w:cs="Courier New" w:ascii="Courier New" w:hAnsi="Courier New"/>
          <w:color w:val="1A56DB"/>
          <w:sz w:val="20"/>
          <w:szCs w:val="20"/>
        </w:rPr>
        <w:t xml:space="preserve">           </w:t>
      </w:r>
      <w:r>
        <w:rPr>
          <w:rFonts w:eastAsia="Courier New" w:cs="Courier New" w:ascii="Courier New" w:hAnsi="Courier New"/>
          <w:color w:val="1A56DB"/>
          <w:sz w:val="20"/>
          <w:szCs w:val="20"/>
        </w:rPr>
        <w:t>- VatAdjustment(user.vatRegistered, buyPrice, sellPrice)</w:t>
      </w:r>
    </w:p>
    <w:p>
      <w:pPr>
        <w:pStyle w:val="Normal"/>
        <w:shd w:val="clear" w:fill="F4F6F9"/>
        <w:spacing w:before="60" w:after="60"/>
        <w:ind w:start="720"/>
        <w:rPr/>
      </w:pPr>
      <w:r>
        <w:rPr>
          <w:rFonts w:eastAsia="Courier New" w:cs="Courier New" w:ascii="Courier New" w:hAnsi="Courier New"/>
          <w:color w:val="1A56DB"/>
          <w:sz w:val="20"/>
          <w:szCs w:val="20"/>
        </w:rPr>
        <w:t>NetMarginPct = (NetProfit / SellPrice) * 100</w:t>
      </w:r>
    </w:p>
    <w:p>
      <w:pPr>
        <w:pStyle w:val="Normal"/>
        <w:spacing w:before="0" w:after="0"/>
        <w:rPr/>
      </w:pPr>
      <w:r>
        <w:rPr/>
      </w:r>
    </w:p>
    <w:p>
      <w:pPr>
        <w:pStyle w:val="Normal"/>
        <w:spacing w:before="60" w:after="60"/>
        <w:rPr/>
      </w:pPr>
      <w:r>
        <w:rPr>
          <w:rFonts w:eastAsia="Arial" w:cs="Arial"/>
          <w:color w:val="1A1A2E"/>
          <w:sz w:val="22"/>
          <w:szCs w:val="22"/>
        </w:rPr>
        <w:t>Fee schedules are loaded from a versioned configuration table (billing.fee_schedules) at service startup and cached in memory. Hot-reload is triggered by a billing.fee_schedule.updated event on the Event Bus.</w:t>
      </w:r>
    </w:p>
    <w:p>
      <w:pPr>
        <w:pStyle w:val="Normal"/>
        <w:spacing w:before="0" w:after="0"/>
        <w:rPr/>
      </w:pPr>
      <w:r>
        <w:rPr/>
      </w:r>
    </w:p>
    <w:p>
      <w:pPr>
        <w:pStyle w:val="Heading3"/>
        <w:spacing w:before="200" w:after="80"/>
        <w:rPr/>
      </w:pPr>
      <w:r>
        <w:rPr>
          <w:rFonts w:eastAsia="Arial" w:cs="Arial"/>
          <w:b/>
          <w:bCs/>
          <w:color w:val="1A56DB"/>
          <w:sz w:val="22"/>
          <w:szCs w:val="22"/>
        </w:rPr>
        <w:t>5.3.2 Deal Event Emission</w:t>
      </w:r>
    </w:p>
    <w:p>
      <w:pPr>
        <w:pStyle w:val="Normal"/>
        <w:spacing w:before="60" w:after="60"/>
        <w:rPr/>
      </w:pPr>
      <w:r>
        <w:rPr>
          <w:rFonts w:eastAsia="Arial" w:cs="Arial"/>
          <w:color w:val="1A1A2E"/>
          <w:sz w:val="22"/>
          <w:szCs w:val="22"/>
        </w:rPr>
        <w:t>A deal.surfaced event is emitted when NetMarginPct &gt;= user.min_margin_pct. The event payload includes the full margin breakdown, enabling downstream consumers to display it without recalculation. Events are published to the arbitrageiq:deals stream with the standard envelope.</w:t>
      </w:r>
    </w:p>
    <w:p>
      <w:pPr>
        <w:pStyle w:val="Normal"/>
        <w:spacing w:before="0" w:after="0"/>
        <w:rPr/>
      </w:pPr>
      <w:r>
        <w:rPr/>
      </w:r>
    </w:p>
    <w:p>
      <w:pPr>
        <w:pStyle w:val="Heading2"/>
        <w:spacing w:before="280" w:after="100"/>
        <w:rPr/>
      </w:pPr>
      <w:r>
        <w:rPr>
          <w:rFonts w:eastAsia="Arial" w:cs="Arial"/>
          <w:b/>
          <w:bCs/>
          <w:color w:val="1A1A2E"/>
          <w:sz w:val="26"/>
          <w:szCs w:val="26"/>
        </w:rPr>
        <w:t>5.4 Approvals Service — State Machine</w:t>
      </w:r>
    </w:p>
    <w:p>
      <w:pPr>
        <w:pStyle w:val="Normal"/>
        <w:spacing w:before="60" w:after="60"/>
        <w:rPr/>
      </w:pPr>
      <w:r>
        <w:rPr>
          <w:rFonts w:eastAsia="Arial" w:cs="Arial"/>
          <w:color w:val="1A1A2E"/>
          <w:sz w:val="22"/>
          <w:szCs w:val="22"/>
        </w:rPr>
        <w:t>The Approvals Service manages each approval_queue_item through a strict state machine. Invalid transitions are rejected with HTTP 409.</w:t>
      </w:r>
    </w:p>
    <w:p>
      <w:pPr>
        <w:pStyle w:val="Normal"/>
        <w:spacing w:before="0" w:after="0"/>
        <w:rPr/>
      </w:pPr>
      <w:r>
        <w:rPr/>
      </w:r>
    </w:p>
    <w:tbl>
      <w:tblPr>
        <w:tblW w:w="9360" w:type="dxa"/>
        <w:jc w:val="start"/>
        <w:tblInd w:w="0" w:type="dxa"/>
        <w:tblLayout w:type="fixed"/>
        <w:tblCellMar>
          <w:top w:w="100" w:type="dxa"/>
          <w:start w:w="140" w:type="dxa"/>
          <w:bottom w:w="100" w:type="dxa"/>
          <w:end w:w="140" w:type="dxa"/>
        </w:tblCellMar>
      </w:tblPr>
      <w:tblGrid>
        <w:gridCol w:w="1798"/>
        <w:gridCol w:w="2400"/>
        <w:gridCol w:w="1800"/>
        <w:gridCol w:w="3362"/>
      </w:tblGrid>
      <w:tr>
        <w:trPr>
          <w:tblHeader w:val="true"/>
        </w:trPr>
        <w:tc>
          <w:tcPr>
            <w:tcW w:w="1798" w:type="dxa"/>
            <w:tcBorders>
              <w:top w:val="single" w:sz="2" w:space="0" w:color="1A56DB"/>
              <w:start w:val="single" w:sz="2" w:space="0" w:color="1A56DB"/>
              <w:bottom w:val="single" w:sz="2" w:space="0" w:color="1A56DB"/>
              <w:end w:val="single" w:sz="2" w:space="0" w:color="1A56DB"/>
            </w:tcBorders>
            <w:shd w:fill="1A56DB" w:val="clear"/>
            <w:vAlign w:val="center"/>
          </w:tcPr>
          <w:p>
            <w:pPr>
              <w:pStyle w:val="Normal"/>
              <w:jc w:val="center"/>
              <w:rPr/>
            </w:pPr>
            <w:r>
              <w:rPr>
                <w:rFonts w:eastAsia="Arial" w:cs="Arial"/>
                <w:b/>
                <w:bCs/>
                <w:color w:val="FFFFFF"/>
                <w:sz w:val="19"/>
                <w:szCs w:val="19"/>
              </w:rPr>
              <w:t>From State</w:t>
            </w:r>
          </w:p>
        </w:tc>
        <w:tc>
          <w:tcPr>
            <w:tcW w:w="2400" w:type="dxa"/>
            <w:tcBorders>
              <w:top w:val="single" w:sz="2" w:space="0" w:color="1A56DB"/>
              <w:start w:val="single" w:sz="2" w:space="0" w:color="1A56DB"/>
              <w:bottom w:val="single" w:sz="2" w:space="0" w:color="1A56DB"/>
              <w:end w:val="single" w:sz="2" w:space="0" w:color="1A56DB"/>
            </w:tcBorders>
            <w:shd w:fill="1A56DB" w:val="clear"/>
            <w:vAlign w:val="center"/>
          </w:tcPr>
          <w:p>
            <w:pPr>
              <w:pStyle w:val="Normal"/>
              <w:jc w:val="center"/>
              <w:rPr/>
            </w:pPr>
            <w:r>
              <w:rPr>
                <w:rFonts w:eastAsia="Arial" w:cs="Arial"/>
                <w:b/>
                <w:bCs/>
                <w:color w:val="FFFFFF"/>
                <w:sz w:val="19"/>
                <w:szCs w:val="19"/>
              </w:rPr>
              <w:t>Trigger</w:t>
            </w:r>
          </w:p>
        </w:tc>
        <w:tc>
          <w:tcPr>
            <w:tcW w:w="1800" w:type="dxa"/>
            <w:tcBorders>
              <w:top w:val="single" w:sz="2" w:space="0" w:color="1A56DB"/>
              <w:start w:val="single" w:sz="2" w:space="0" w:color="1A56DB"/>
              <w:bottom w:val="single" w:sz="2" w:space="0" w:color="1A56DB"/>
              <w:end w:val="single" w:sz="2" w:space="0" w:color="1A56DB"/>
            </w:tcBorders>
            <w:shd w:fill="1A56DB" w:val="clear"/>
            <w:vAlign w:val="center"/>
          </w:tcPr>
          <w:p>
            <w:pPr>
              <w:pStyle w:val="Normal"/>
              <w:jc w:val="center"/>
              <w:rPr/>
            </w:pPr>
            <w:r>
              <w:rPr>
                <w:rFonts w:eastAsia="Arial" w:cs="Arial"/>
                <w:b/>
                <w:bCs/>
                <w:color w:val="FFFFFF"/>
                <w:sz w:val="19"/>
                <w:szCs w:val="19"/>
              </w:rPr>
              <w:t>To State</w:t>
            </w:r>
          </w:p>
        </w:tc>
        <w:tc>
          <w:tcPr>
            <w:tcW w:w="3362" w:type="dxa"/>
            <w:tcBorders>
              <w:top w:val="single" w:sz="2" w:space="0" w:color="1A56DB"/>
              <w:start w:val="single" w:sz="2" w:space="0" w:color="1A56DB"/>
              <w:bottom w:val="single" w:sz="2" w:space="0" w:color="1A56DB"/>
              <w:end w:val="single" w:sz="2" w:space="0" w:color="1A56DB"/>
            </w:tcBorders>
            <w:shd w:fill="1A56DB" w:val="clear"/>
            <w:vAlign w:val="center"/>
          </w:tcPr>
          <w:p>
            <w:pPr>
              <w:pStyle w:val="Normal"/>
              <w:jc w:val="center"/>
              <w:rPr/>
            </w:pPr>
            <w:r>
              <w:rPr>
                <w:rFonts w:eastAsia="Arial" w:cs="Arial"/>
                <w:b/>
                <w:bCs/>
                <w:color w:val="FFFFFF"/>
                <w:sz w:val="19"/>
                <w:szCs w:val="19"/>
              </w:rPr>
              <w:t>Side Effects</w:t>
            </w:r>
          </w:p>
        </w:tc>
      </w:tr>
      <w:tr>
        <w:trPr/>
        <w:tc>
          <w:tcPr>
            <w:tcW w:w="1798"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bCs/>
                <w:color w:val="1A1A2E"/>
                <w:sz w:val="19"/>
                <w:szCs w:val="19"/>
              </w:rPr>
              <w:t>pending</w:t>
            </w:r>
          </w:p>
        </w:tc>
        <w:tc>
          <w:tcPr>
            <w:tcW w:w="24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User calls POST /approvals/{id}/approve</w:t>
            </w:r>
          </w:p>
        </w:tc>
        <w:tc>
          <w:tcPr>
            <w:tcW w:w="18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executing</w:t>
            </w:r>
          </w:p>
        </w:tc>
        <w:tc>
          <w:tcPr>
            <w:tcW w:w="3362"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Snapshot current prices. If margin has dropped below threshold, return HTTP 409 with updated margin. Otherwise begin purchase flow.</w:t>
            </w:r>
          </w:p>
        </w:tc>
      </w:tr>
      <w:tr>
        <w:trPr/>
        <w:tc>
          <w:tcPr>
            <w:tcW w:w="1798"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bCs/>
                <w:color w:val="1A1A2E"/>
                <w:sz w:val="19"/>
                <w:szCs w:val="19"/>
              </w:rPr>
              <w:t>pending</w:t>
            </w:r>
          </w:p>
        </w:tc>
        <w:tc>
          <w:tcPr>
            <w:tcW w:w="24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User calls DELETE /approvals/{id}</w:t>
            </w:r>
          </w:p>
        </w:tc>
        <w:tc>
          <w:tcPr>
            <w:tcW w:w="18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removed</w:t>
            </w:r>
          </w:p>
        </w:tc>
        <w:tc>
          <w:tcPr>
            <w:tcW w:w="3362"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No side effects.</w:t>
            </w:r>
          </w:p>
        </w:tc>
      </w:tr>
      <w:tr>
        <w:trPr/>
        <w:tc>
          <w:tcPr>
            <w:tcW w:w="1798"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bCs/>
                <w:color w:val="1A1A2E"/>
                <w:sz w:val="19"/>
                <w:szCs w:val="19"/>
              </w:rPr>
              <w:t>executing</w:t>
            </w:r>
          </w:p>
        </w:tc>
        <w:tc>
          <w:tcPr>
            <w:tcW w:w="24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Purchase API call succeeds</w:t>
            </w:r>
          </w:p>
        </w:tc>
        <w:tc>
          <w:tcPr>
            <w:tcW w:w="18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purchased</w:t>
            </w:r>
          </w:p>
        </w:tc>
        <w:tc>
          <w:tcPr>
            <w:tcW w:w="3362"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Emit deal.purchased event. Trigger listing workflow asynchronously.</w:t>
            </w:r>
          </w:p>
        </w:tc>
      </w:tr>
      <w:tr>
        <w:trPr/>
        <w:tc>
          <w:tcPr>
            <w:tcW w:w="1798"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bCs/>
                <w:color w:val="1A1A2E"/>
                <w:sz w:val="19"/>
                <w:szCs w:val="19"/>
              </w:rPr>
              <w:t>executing</w:t>
            </w:r>
          </w:p>
        </w:tc>
        <w:tc>
          <w:tcPr>
            <w:tcW w:w="24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Purchase API call fails</w:t>
            </w:r>
          </w:p>
        </w:tc>
        <w:tc>
          <w:tcPr>
            <w:tcW w:w="18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failed</w:t>
            </w:r>
          </w:p>
        </w:tc>
        <w:tc>
          <w:tcPr>
            <w:tcW w:w="3362"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Emit deal.failed event. Store failure_reason. Notify user immediately.</w:t>
            </w:r>
          </w:p>
        </w:tc>
      </w:tr>
      <w:tr>
        <w:trPr/>
        <w:tc>
          <w:tcPr>
            <w:tcW w:w="1798"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bCs/>
                <w:color w:val="1A1A2E"/>
                <w:sz w:val="19"/>
                <w:szCs w:val="19"/>
              </w:rPr>
              <w:t>purchased</w:t>
            </w:r>
          </w:p>
        </w:tc>
        <w:tc>
          <w:tcPr>
            <w:tcW w:w="24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All listing calls succeed</w:t>
            </w:r>
          </w:p>
        </w:tc>
        <w:tc>
          <w:tcPr>
            <w:tcW w:w="18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listed</w:t>
            </w:r>
          </w:p>
        </w:tc>
        <w:tc>
          <w:tcPr>
            <w:tcW w:w="3362"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Emit deal.listed event.</w:t>
            </w:r>
          </w:p>
        </w:tc>
      </w:tr>
      <w:tr>
        <w:trPr/>
        <w:tc>
          <w:tcPr>
            <w:tcW w:w="1798"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bCs/>
                <w:color w:val="1A1A2E"/>
                <w:sz w:val="19"/>
                <w:szCs w:val="19"/>
              </w:rPr>
              <w:t>purchased</w:t>
            </w:r>
          </w:p>
        </w:tc>
        <w:tc>
          <w:tcPr>
            <w:tcW w:w="24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One or more listing calls fail</w:t>
            </w:r>
          </w:p>
        </w:tc>
        <w:tc>
          <w:tcPr>
            <w:tcW w:w="18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listed (partial)</w:t>
            </w:r>
          </w:p>
        </w:tc>
        <w:tc>
          <w:tcPr>
            <w:tcW w:w="3362"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Emit deal.listed event with failed_channels array. Notify user to list manually.</w:t>
            </w:r>
          </w:p>
        </w:tc>
      </w:tr>
      <w:tr>
        <w:trPr/>
        <w:tc>
          <w:tcPr>
            <w:tcW w:w="1798"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bCs/>
                <w:color w:val="1A1A2E"/>
                <w:sz w:val="19"/>
                <w:szCs w:val="19"/>
              </w:rPr>
              <w:t>listed</w:t>
            </w:r>
          </w:p>
        </w:tc>
        <w:tc>
          <w:tcPr>
            <w:tcW w:w="24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User marks as sold (or auto-detected)</w:t>
            </w:r>
          </w:p>
        </w:tc>
        <w:tc>
          <w:tcPr>
            <w:tcW w:w="18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closed</w:t>
            </w:r>
          </w:p>
        </w:tc>
        <w:tc>
          <w:tcPr>
            <w:tcW w:w="3362"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Emit deal.closed event with actual sale price. History Service writes final record.</w:t>
            </w:r>
          </w:p>
        </w:tc>
      </w:tr>
    </w:tbl>
    <w:p>
      <w:pPr>
        <w:pStyle w:val="Normal"/>
        <w:spacing w:before="0" w:after="0"/>
        <w:rPr/>
      </w:pPr>
      <w:r>
        <w:rPr/>
      </w:r>
    </w:p>
    <w:p>
      <w:pPr>
        <w:pStyle w:val="Heading2"/>
        <w:spacing w:before="280" w:after="100"/>
        <w:rPr/>
      </w:pPr>
      <w:r>
        <w:rPr>
          <w:rFonts w:eastAsia="Arial" w:cs="Arial"/>
          <w:b/>
          <w:bCs/>
          <w:color w:val="1A1A2E"/>
          <w:sz w:val="26"/>
          <w:szCs w:val="26"/>
        </w:rPr>
        <w:t>5.5 Credential Vault Service</w:t>
      </w:r>
    </w:p>
    <w:p>
      <w:pPr>
        <w:pStyle w:val="Heading3"/>
        <w:spacing w:before="200" w:after="80"/>
        <w:rPr/>
      </w:pPr>
      <w:r>
        <w:rPr>
          <w:rFonts w:eastAsia="Arial" w:cs="Arial"/>
          <w:b/>
          <w:bCs/>
          <w:color w:val="1A56DB"/>
          <w:sz w:val="22"/>
          <w:szCs w:val="22"/>
        </w:rPr>
        <w:t>5.5.1 Encryption Approach</w:t>
      </w:r>
    </w:p>
    <w:p>
      <w:pPr>
        <w:pStyle w:val="Normal"/>
        <w:spacing w:before="60" w:after="60"/>
        <w:rPr/>
      </w:pPr>
      <w:r>
        <w:rPr>
          <w:rFonts w:eastAsia="Arial" w:cs="Arial"/>
          <w:color w:val="1A1A2E"/>
          <w:sz w:val="22"/>
          <w:szCs w:val="22"/>
        </w:rPr>
        <w:t>OAuth JWTs are encrypted at the application layer using AES-256-GCM before storage in PostgreSQL. The encryption key is read from a Kubernetes Secret mounted as an environment variable. Key rotation is a manual operation that re-encrypts all stored tokens.</w:t>
      </w:r>
    </w:p>
    <w:p>
      <w:pPr>
        <w:pStyle w:val="Normal"/>
        <w:spacing w:before="0" w:after="0"/>
        <w:rPr/>
      </w:pPr>
      <w:r>
        <w:rPr/>
      </w:r>
    </w:p>
    <w:p>
      <w:pPr>
        <w:pStyle w:val="Normal"/>
        <w:shd w:val="clear" w:fill="F4F6F9"/>
        <w:spacing w:before="60" w:after="60"/>
        <w:ind w:start="720"/>
        <w:rPr/>
      </w:pPr>
      <w:r>
        <w:rPr>
          <w:rFonts w:eastAsia="Courier New" w:cs="Courier New" w:ascii="Courier New" w:hAnsi="Courier New"/>
          <w:color w:val="1A56DB"/>
          <w:sz w:val="20"/>
          <w:szCs w:val="20"/>
        </w:rPr>
        <w:t>Plaintext JWT → AES-256-GCM encrypt(key=K8S_SECRET, nonce=random_96bit)</w:t>
      </w:r>
    </w:p>
    <w:p>
      <w:pPr>
        <w:pStyle w:val="Normal"/>
        <w:shd w:val="clear" w:fill="F4F6F9"/>
        <w:spacing w:before="60" w:after="60"/>
        <w:ind w:start="720"/>
        <w:rPr/>
      </w:pPr>
      <w:r>
        <w:rPr>
          <w:rFonts w:eastAsia="Courier New" w:cs="Courier New" w:ascii="Courier New" w:hAnsi="Courier New"/>
          <w:color w:val="1A56DB"/>
          <w:sz w:val="20"/>
          <w:szCs w:val="20"/>
        </w:rPr>
        <w:t xml:space="preserve">           → </w:t>
      </w:r>
      <w:r>
        <w:rPr>
          <w:rFonts w:eastAsia="Courier New" w:cs="Courier New" w:ascii="Courier New" w:hAnsi="Courier New"/>
          <w:color w:val="1A56DB"/>
          <w:sz w:val="20"/>
          <w:szCs w:val="20"/>
        </w:rPr>
        <w:t>store { encrypted_token, nonce, user_id, sell_channel, expires_at }</w:t>
      </w:r>
    </w:p>
    <w:p>
      <w:pPr>
        <w:pStyle w:val="Normal"/>
        <w:shd w:val="clear" w:fill="F4F6F9"/>
        <w:spacing w:before="60" w:after="60"/>
        <w:ind w:start="720"/>
        <w:rPr/>
      </w:pPr>
      <w:r>
        <w:rPr>
          <w:rFonts w:eastAsia="Courier New" w:cs="Courier New" w:ascii="Courier New" w:hAnsi="Courier New"/>
          <w:color w:val="1A56DB"/>
          <w:sz w:val="20"/>
          <w:szCs w:val="20"/>
        </w:rPr>
        <w:t>Retrieve   → AES-256-GCM decrypt(key=K8S_SECRET, nonce) → plaintext JWT</w:t>
      </w:r>
    </w:p>
    <w:p>
      <w:pPr>
        <w:pStyle w:val="Normal"/>
        <w:spacing w:before="0" w:after="0"/>
        <w:rPr/>
      </w:pPr>
      <w:r>
        <w:rPr/>
      </w:r>
    </w:p>
    <w:p>
      <w:pPr>
        <w:pStyle w:val="ListParagraph"/>
        <w:numPr>
          <w:ilvl w:val="0"/>
          <w:numId w:val="2"/>
        </w:numPr>
        <w:spacing w:before="40" w:after="40"/>
        <w:rPr/>
      </w:pPr>
      <w:r>
        <w:rPr>
          <w:rFonts w:eastAsia="Arial" w:cs="Arial"/>
          <w:color w:val="1A1A2E"/>
          <w:sz w:val="22"/>
          <w:szCs w:val="22"/>
        </w:rPr>
        <w:t>The encryption key (K8S_SECRET) is stored as a Kubernetes Secret with cluster-level encryption-at-rest enabled (AES-CBC provider configured in kube-apiserver).</w:t>
      </w:r>
    </w:p>
    <w:p>
      <w:pPr>
        <w:pStyle w:val="ListParagraph"/>
        <w:numPr>
          <w:ilvl w:val="0"/>
          <w:numId w:val="2"/>
        </w:numPr>
        <w:spacing w:before="40" w:after="40"/>
        <w:rPr/>
      </w:pPr>
      <w:r>
        <w:rPr>
          <w:rFonts w:eastAsia="Arial" w:cs="Arial"/>
          <w:color w:val="1A1A2E"/>
          <w:sz w:val="22"/>
          <w:szCs w:val="22"/>
        </w:rPr>
        <w:t>Every retrieve operation writes a row to vault.vault_access_log with timestamp, user_id, sell_channel, and the requesting service. Token values are never logged.</w:t>
      </w:r>
    </w:p>
    <w:p>
      <w:pPr>
        <w:pStyle w:val="ListParagraph"/>
        <w:numPr>
          <w:ilvl w:val="0"/>
          <w:numId w:val="2"/>
        </w:numPr>
        <w:spacing w:before="40" w:after="40"/>
        <w:rPr/>
      </w:pPr>
      <w:r>
        <w:rPr>
          <w:rFonts w:eastAsia="Arial" w:cs="Arial"/>
          <w:color w:val="1A1A2E"/>
          <w:sz w:val="22"/>
          <w:szCs w:val="22"/>
        </w:rPr>
        <w:t>Tokens are stored with expiry timestamps. Expired tokens are purged by a nightly Hangfire job. Users are prompted to re-authenticate when tokens expire.</w:t>
      </w:r>
    </w:p>
    <w:p>
      <w:pPr>
        <w:pStyle w:val="Heading3"/>
        <w:spacing w:before="200" w:after="80"/>
        <w:rPr/>
      </w:pPr>
      <w:r>
        <w:rPr>
          <w:rFonts w:eastAsia="Arial" w:cs="Arial"/>
          <w:b/>
          <w:bCs/>
          <w:color w:val="1A56DB"/>
          <w:sz w:val="22"/>
          <w:szCs w:val="22"/>
        </w:rPr>
        <w:t>5.5.2  Post-Quantum Encryption — Hybrid ML-KEM-768 + X25519</w:t>
      </w:r>
    </w:p>
    <w:p>
      <w:pPr>
        <w:pStyle w:val="Normal"/>
        <w:spacing w:before="60" w:after="60"/>
        <w:rPr/>
      </w:pPr>
      <w:r>
        <w:rPr>
          <w:rFonts w:eastAsia="Arial" w:cs="Arial"/>
          <w:color w:val="1A1A2E"/>
          <w:sz w:val="22"/>
          <w:szCs w:val="22"/>
        </w:rPr>
        <w:t>The Credential Vault Service implements a hybrid post-quantum key encapsulation scheme following NIST FIPS 203 (ML-KEM, formerly CRYSTALS-Kyber). The hybrid approach pairs ML-KEM-768 with classical X25519 ECDH, requiring an adversary to break both schemes simultaneously. This neutralises harvest-now-decrypt-later attacks against stored OAuth JWTs.</w:t>
      </w:r>
    </w:p>
    <w:p>
      <w:pPr>
        <w:pStyle w:val="Normal"/>
        <w:spacing w:before="0" w:after="0"/>
        <w:rPr/>
      </w:pPr>
      <w:r>
        <w:rPr/>
      </w:r>
    </w:p>
    <w:p>
      <w:pPr>
        <w:pStyle w:val="Normal"/>
        <w:spacing w:before="160" w:after="60"/>
        <w:rPr/>
      </w:pPr>
      <w:r>
        <w:rPr>
          <w:rFonts w:eastAsia="Arial" w:cs="Arial"/>
          <w:b/>
          <w:bCs/>
          <w:color w:val="1A1A2E"/>
          <w:sz w:val="22"/>
          <w:szCs w:val="22"/>
        </w:rPr>
        <w:t>Key Hierarchy</w:t>
      </w:r>
    </w:p>
    <w:p>
      <w:pPr>
        <w:pStyle w:val="ListParagraph"/>
        <w:numPr>
          <w:ilvl w:val="0"/>
          <w:numId w:val="2"/>
        </w:numPr>
        <w:spacing w:before="40" w:after="40"/>
        <w:rPr/>
      </w:pPr>
      <w:r>
        <w:rPr>
          <w:rFonts w:eastAsia="Arial" w:cs="Arial"/>
          <w:color w:val="1A1A2E"/>
          <w:sz w:val="22"/>
          <w:szCs w:val="22"/>
        </w:rPr>
        <w:t>DEK (Data Encryption Key): unique 256-bit AES-256-GCM key generated per stored token. Encrypts the JWT payload directly.</w:t>
      </w:r>
    </w:p>
    <w:p>
      <w:pPr>
        <w:pStyle w:val="ListParagraph"/>
        <w:numPr>
          <w:ilvl w:val="0"/>
          <w:numId w:val="2"/>
        </w:numPr>
        <w:spacing w:before="40" w:after="40"/>
        <w:rPr/>
      </w:pPr>
      <w:r>
        <w:rPr>
          <w:rFonts w:eastAsia="Arial" w:cs="Arial"/>
          <w:color w:val="1A1A2E"/>
          <w:sz w:val="22"/>
          <w:szCs w:val="22"/>
        </w:rPr>
        <w:t>Wrapped DEK: the DEK is encapsulated using the hybrid KEM. Only the wrapped DEK and ciphertext are persisted alongside the nonces.</w:t>
      </w:r>
    </w:p>
    <w:p>
      <w:pPr>
        <w:pStyle w:val="ListParagraph"/>
        <w:numPr>
          <w:ilvl w:val="0"/>
          <w:numId w:val="2"/>
        </w:numPr>
        <w:spacing w:before="40" w:after="40"/>
        <w:rPr/>
      </w:pPr>
      <w:r>
        <w:rPr>
          <w:rFonts w:eastAsia="Arial" w:cs="Arial"/>
          <w:color w:val="1A1A2E"/>
          <w:sz w:val="22"/>
          <w:szCs w:val="22"/>
        </w:rPr>
        <w:t>Recipient key pairs: one X25519 pair and one ML-KEM-768 pair generated at Credential Vault startup and stored as Kubernetes Secrets.</w:t>
      </w:r>
    </w:p>
    <w:p>
      <w:pPr>
        <w:pStyle w:val="Normal"/>
        <w:spacing w:before="0" w:after="0"/>
        <w:rPr/>
      </w:pPr>
      <w:r>
        <w:rPr/>
      </w:r>
    </w:p>
    <w:p>
      <w:pPr>
        <w:pStyle w:val="Normal"/>
        <w:spacing w:before="160" w:after="60"/>
        <w:rPr/>
      </w:pPr>
      <w:r>
        <w:rPr>
          <w:rFonts w:eastAsia="Arial" w:cs="Arial"/>
          <w:b/>
          <w:bCs/>
          <w:color w:val="1A1A2E"/>
          <w:sz w:val="22"/>
          <w:szCs w:val="22"/>
        </w:rPr>
        <w:t>Encrypt Path</w:t>
      </w:r>
    </w:p>
    <w:p>
      <w:pPr>
        <w:pStyle w:val="Normal"/>
        <w:shd w:val="clear" w:fill="F4F6F9"/>
        <w:spacing w:before="60" w:after="60"/>
        <w:ind w:start="720"/>
        <w:rPr/>
      </w:pPr>
      <w:r>
        <w:rPr>
          <w:rFonts w:eastAsia="Courier New" w:cs="Courier New" w:ascii="Courier New" w:hAnsi="Courier New"/>
          <w:color w:val="1A56DB"/>
          <w:sz w:val="20"/>
          <w:szCs w:val="20"/>
        </w:rPr>
        <w:t>1. Generate DEK (random 256-bit AES key)</w:t>
      </w:r>
    </w:p>
    <w:p>
      <w:pPr>
        <w:pStyle w:val="Normal"/>
        <w:shd w:val="clear" w:fill="F4F6F9"/>
        <w:spacing w:before="60" w:after="60"/>
        <w:ind w:start="720"/>
        <w:rPr/>
      </w:pPr>
      <w:r>
        <w:rPr>
          <w:rFonts w:eastAsia="Courier New" w:cs="Courier New" w:ascii="Courier New" w:hAnsi="Courier New"/>
          <w:color w:val="1A56DB"/>
          <w:sz w:val="20"/>
          <w:szCs w:val="20"/>
        </w:rPr>
        <w:t>2. Encrypt JWT:    ciphertext = AES-256-GCM.Encrypt(DEK, plaintext_jwt, nonce)</w:t>
      </w:r>
    </w:p>
    <w:p>
      <w:pPr>
        <w:pStyle w:val="Normal"/>
        <w:shd w:val="clear" w:fill="F4F6F9"/>
        <w:spacing w:before="60" w:after="60"/>
        <w:ind w:start="720"/>
        <w:rPr/>
      </w:pPr>
      <w:r>
        <w:rPr>
          <w:rFonts w:eastAsia="Courier New" w:cs="Courier New" w:ascii="Courier New" w:hAnsi="Courier New"/>
          <w:color w:val="1A56DB"/>
          <w:sz w:val="20"/>
          <w:szCs w:val="20"/>
        </w:rPr>
        <w:t>3. X25519 KEM:     (c_x, ss_x)        = X25519.Encapsulate(recipient_pub_x)</w:t>
      </w:r>
    </w:p>
    <w:p>
      <w:pPr>
        <w:pStyle w:val="Normal"/>
        <w:shd w:val="clear" w:fill="F4F6F9"/>
        <w:spacing w:before="60" w:after="60"/>
        <w:ind w:start="720"/>
        <w:rPr/>
      </w:pPr>
      <w:r>
        <w:rPr>
          <w:rFonts w:eastAsia="Courier New" w:cs="Courier New" w:ascii="Courier New" w:hAnsi="Courier New"/>
          <w:color w:val="1A56DB"/>
          <w:sz w:val="20"/>
          <w:szCs w:val="20"/>
        </w:rPr>
        <w:t>4. ML-KEM-768:     (c_mlkem, ss_mlkem) = MLKEM768.Encapsulate(recipient_pub_mlkem)</w:t>
      </w:r>
    </w:p>
    <w:p>
      <w:pPr>
        <w:pStyle w:val="Normal"/>
        <w:shd w:val="clear" w:fill="F4F6F9"/>
        <w:spacing w:before="60" w:after="60"/>
        <w:ind w:start="720"/>
        <w:rPr/>
      </w:pPr>
      <w:r>
        <w:rPr>
          <w:rFonts w:eastAsia="Courier New" w:cs="Courier New" w:ascii="Courier New" w:hAnsi="Courier New"/>
          <w:color w:val="1A56DB"/>
          <w:sz w:val="20"/>
          <w:szCs w:val="20"/>
        </w:rPr>
        <w:t>5. Combine:        K = HKDF-SHA512(ss_x || ss_mlkem, salt="arbiq-vault-v1", len=32)</w:t>
      </w:r>
    </w:p>
    <w:p>
      <w:pPr>
        <w:pStyle w:val="Normal"/>
        <w:shd w:val="clear" w:fill="F4F6F9"/>
        <w:spacing w:before="60" w:after="60"/>
        <w:ind w:start="720"/>
        <w:rPr/>
      </w:pPr>
      <w:r>
        <w:rPr>
          <w:rFonts w:eastAsia="Courier New" w:cs="Courier New" w:ascii="Courier New" w:hAnsi="Courier New"/>
          <w:color w:val="1A56DB"/>
          <w:sz w:val="20"/>
          <w:szCs w:val="20"/>
        </w:rPr>
        <w:t>6. Wrap DEK:       wrapped_dek = AES-256-GCM.Encrypt(K, DEK, nonce_wrap)</w:t>
      </w:r>
    </w:p>
    <w:p>
      <w:pPr>
        <w:pStyle w:val="Normal"/>
        <w:shd w:val="clear" w:fill="F4F6F9"/>
        <w:spacing w:before="60" w:after="60"/>
        <w:ind w:start="720"/>
        <w:rPr/>
      </w:pPr>
      <w:r>
        <w:rPr>
          <w:rFonts w:eastAsia="Courier New" w:cs="Courier New" w:ascii="Courier New" w:hAnsi="Courier New"/>
          <w:color w:val="1A56DB"/>
          <w:sz w:val="20"/>
          <w:szCs w:val="20"/>
        </w:rPr>
        <w:t>7. Store:          { c_x, c_mlkem, wrapped_dek, nonce_wrap, ciphertext, nonce, user_id, ... }</w:t>
      </w:r>
    </w:p>
    <w:p>
      <w:pPr>
        <w:pStyle w:val="Normal"/>
        <w:spacing w:before="0" w:after="0"/>
        <w:rPr/>
      </w:pPr>
      <w:r>
        <w:rPr/>
      </w:r>
    </w:p>
    <w:p>
      <w:pPr>
        <w:pStyle w:val="Normal"/>
        <w:spacing w:before="160" w:after="60"/>
        <w:rPr/>
      </w:pPr>
      <w:r>
        <w:rPr>
          <w:rFonts w:eastAsia="Arial" w:cs="Arial"/>
          <w:b/>
          <w:bCs/>
          <w:color w:val="1A1A2E"/>
          <w:sz w:val="22"/>
          <w:szCs w:val="22"/>
        </w:rPr>
        <w:t>Decrypt Path</w:t>
      </w:r>
    </w:p>
    <w:p>
      <w:pPr>
        <w:pStyle w:val="Normal"/>
        <w:shd w:val="clear" w:fill="F4F6F9"/>
        <w:spacing w:before="60" w:after="60"/>
        <w:ind w:start="720"/>
        <w:rPr/>
      </w:pPr>
      <w:r>
        <w:rPr>
          <w:rFonts w:eastAsia="Courier New" w:cs="Courier New" w:ascii="Courier New" w:hAnsi="Courier New"/>
          <w:color w:val="1A56DB"/>
          <w:sz w:val="20"/>
          <w:szCs w:val="20"/>
        </w:rPr>
        <w:t>1. Recover ss_x      = X25519.Decapsulate(recipient_priv_x, c_x)</w:t>
      </w:r>
    </w:p>
    <w:p>
      <w:pPr>
        <w:pStyle w:val="Normal"/>
        <w:shd w:val="clear" w:fill="F4F6F9"/>
        <w:spacing w:before="60" w:after="60"/>
        <w:ind w:start="720"/>
        <w:rPr/>
      </w:pPr>
      <w:r>
        <w:rPr>
          <w:rFonts w:eastAsia="Courier New" w:cs="Courier New" w:ascii="Courier New" w:hAnsi="Courier New"/>
          <w:color w:val="1A56DB"/>
          <w:sz w:val="20"/>
          <w:szCs w:val="20"/>
        </w:rPr>
        <w:t>2. Recover ss_mlkem  = MLKEM768.Decapsulate(recipient_priv_mlkem, c_mlkem)</w:t>
      </w:r>
    </w:p>
    <w:p>
      <w:pPr>
        <w:pStyle w:val="Normal"/>
        <w:shd w:val="clear" w:fill="F4F6F9"/>
        <w:spacing w:before="60" w:after="60"/>
        <w:ind w:start="720"/>
        <w:rPr/>
      </w:pPr>
      <w:r>
        <w:rPr>
          <w:rFonts w:eastAsia="Courier New" w:cs="Courier New" w:ascii="Courier New" w:hAnsi="Courier New"/>
          <w:color w:val="1A56DB"/>
          <w:sz w:val="20"/>
          <w:szCs w:val="20"/>
        </w:rPr>
        <w:t>3. Derive K          = HKDF-SHA512(ss_x || ss_mlkem, salt="arbiq-vault-v1", len=32)</w:t>
      </w:r>
    </w:p>
    <w:p>
      <w:pPr>
        <w:pStyle w:val="Normal"/>
        <w:shd w:val="clear" w:fill="F4F6F9"/>
        <w:spacing w:before="60" w:after="60"/>
        <w:ind w:start="720"/>
        <w:rPr/>
      </w:pPr>
      <w:r>
        <w:rPr>
          <w:rFonts w:eastAsia="Courier New" w:cs="Courier New" w:ascii="Courier New" w:hAnsi="Courier New"/>
          <w:color w:val="1A56DB"/>
          <w:sz w:val="20"/>
          <w:szCs w:val="20"/>
        </w:rPr>
        <w:t>4. Unwrap DEK        = AES-256-GCM.Decrypt(K, wrapped_dek, nonce_wrap)</w:t>
      </w:r>
    </w:p>
    <w:p>
      <w:pPr>
        <w:pStyle w:val="Normal"/>
        <w:shd w:val="clear" w:fill="F4F6F9"/>
        <w:spacing w:before="60" w:after="60"/>
        <w:ind w:start="720"/>
        <w:rPr/>
      </w:pPr>
      <w:r>
        <w:rPr>
          <w:rFonts w:eastAsia="Courier New" w:cs="Courier New" w:ascii="Courier New" w:hAnsi="Courier New"/>
          <w:color w:val="1A56DB"/>
          <w:sz w:val="20"/>
          <w:szCs w:val="20"/>
        </w:rPr>
        <w:t>5. Decrypt JWT       = AES-256-GCM.Decrypt(DEK, ciphertext, nonce)</w:t>
      </w:r>
    </w:p>
    <w:p>
      <w:pPr>
        <w:pStyle w:val="Normal"/>
        <w:shd w:val="clear" w:fill="F4F6F9"/>
        <w:spacing w:before="60" w:after="60"/>
        <w:ind w:start="720"/>
        <w:rPr/>
      </w:pPr>
      <w:r>
        <w:rPr>
          <w:rFonts w:eastAsia="Courier New" w:cs="Courier New" w:ascii="Courier New" w:hAnsi="Courier New"/>
          <w:color w:val="1A56DB"/>
          <w:sz w:val="20"/>
          <w:szCs w:val="20"/>
        </w:rPr>
        <w:t>6. Zeroize:          CryptographicOperations.ZeroMemory(DEK, K, ss_x, ss_mlkem)</w:t>
      </w:r>
    </w:p>
    <w:p>
      <w:pPr>
        <w:pStyle w:val="Normal"/>
        <w:spacing w:before="0" w:after="0"/>
        <w:rPr/>
      </w:pPr>
      <w:r>
        <w:rPr/>
      </w:r>
    </w:p>
    <w:p>
      <w:pPr>
        <w:pStyle w:val="Normal"/>
        <w:spacing w:before="160" w:after="60"/>
        <w:rPr/>
      </w:pPr>
      <w:r>
        <w:rPr>
          <w:rFonts w:eastAsia="Arial" w:cs="Arial"/>
          <w:b/>
          <w:bCs/>
          <w:color w:val="1A1A2E"/>
          <w:sz w:val="22"/>
          <w:szCs w:val="22"/>
        </w:rPr>
        <w:t>.NET 10 Implementation</w:t>
      </w:r>
    </w:p>
    <w:p>
      <w:pPr>
        <w:pStyle w:val="ListParagraph"/>
        <w:numPr>
          <w:ilvl w:val="0"/>
          <w:numId w:val="2"/>
        </w:numPr>
        <w:spacing w:before="40" w:after="40"/>
        <w:rPr/>
      </w:pPr>
      <w:r>
        <w:rPr>
          <w:rFonts w:eastAsia="Arial" w:cs="Arial"/>
          <w:color w:val="1A1A2E"/>
          <w:sz w:val="22"/>
          <w:szCs w:val="22"/>
        </w:rPr>
        <w:t>ML-KEM-768: System.Security.Cryptography.MLKem (NIST FIPS 203, available in .NET 9+, confirmed in .NET 10).</w:t>
      </w:r>
    </w:p>
    <w:p>
      <w:pPr>
        <w:pStyle w:val="ListParagraph"/>
        <w:numPr>
          <w:ilvl w:val="0"/>
          <w:numId w:val="2"/>
        </w:numPr>
        <w:spacing w:before="40" w:after="40"/>
        <w:rPr/>
      </w:pPr>
      <w:r>
        <w:rPr>
          <w:rFonts w:eastAsia="Arial" w:cs="Arial"/>
          <w:color w:val="1A1A2E"/>
          <w:sz w:val="22"/>
          <w:szCs w:val="22"/>
        </w:rPr>
        <w:t>X25519: System.Security.Cryptography.ECDiffieHellman with ECCurve.CreateFromFriendlyName("curve25519").</w:t>
      </w:r>
    </w:p>
    <w:p>
      <w:pPr>
        <w:pStyle w:val="ListParagraph"/>
        <w:numPr>
          <w:ilvl w:val="0"/>
          <w:numId w:val="2"/>
        </w:numPr>
        <w:spacing w:before="40" w:after="40"/>
        <w:rPr/>
      </w:pPr>
      <w:r>
        <w:rPr>
          <w:rFonts w:eastAsia="Arial" w:cs="Arial"/>
          <w:color w:val="1A1A2E"/>
          <w:sz w:val="22"/>
          <w:szCs w:val="22"/>
        </w:rPr>
        <w:t>HKDF: System.Security.Cryptography.HKDF.DeriveKey(HashAlgorithmName.SHA512, ...).</w:t>
      </w:r>
    </w:p>
    <w:p>
      <w:pPr>
        <w:pStyle w:val="ListParagraph"/>
        <w:numPr>
          <w:ilvl w:val="0"/>
          <w:numId w:val="2"/>
        </w:numPr>
        <w:spacing w:before="40" w:after="40"/>
        <w:rPr/>
      </w:pPr>
      <w:r>
        <w:rPr>
          <w:rFonts w:eastAsia="Arial" w:cs="Arial"/>
          <w:color w:val="1A1A2E"/>
          <w:sz w:val="22"/>
          <w:szCs w:val="22"/>
        </w:rPr>
        <w:t>All key material zeroised immediately after use via CryptographicOperations.ZeroMemory.</w:t>
      </w:r>
    </w:p>
    <w:p>
      <w:pPr>
        <w:pStyle w:val="ListParagraph"/>
        <w:numPr>
          <w:ilvl w:val="0"/>
          <w:numId w:val="2"/>
        </w:numPr>
        <w:spacing w:before="40" w:after="40"/>
        <w:rPr/>
      </w:pPr>
      <w:r>
        <w:rPr>
          <w:rFonts w:eastAsia="Arial" w:cs="Arial"/>
          <w:color w:val="1A1A2E"/>
          <w:sz w:val="22"/>
          <w:szCs w:val="22"/>
        </w:rPr>
        <w:t>Key rotation: a nightly Hangfire job checks tokens encapsulated under the previous key version and re-encapsulates using the current key pair. Zero-downtime rotation.</w:t>
      </w:r>
    </w:p>
    <w:p>
      <w:pPr>
        <w:pStyle w:val="Normal"/>
        <w:spacing w:before="0" w:after="0"/>
        <w:rPr/>
      </w:pPr>
      <w:r>
        <w:rPr/>
      </w:r>
    </w:p>
    <w:p>
      <w:pPr>
        <w:pStyle w:val="Normal"/>
        <w:spacing w:before="40" w:after="40"/>
        <w:rPr/>
      </w:pPr>
      <w:r>
        <w:rPr>
          <w:rFonts w:eastAsia="Arial" w:cs="Arial"/>
          <w:i/>
          <w:iCs/>
          <w:color w:val="5D6D7E"/>
          <w:sz w:val="20"/>
          <w:szCs w:val="20"/>
        </w:rPr>
        <w:t>ADR reference: ADR-006 (Post-Quantum Hybrid KEM for Credential Vault) to be authored before Sprint 4.</w:t>
      </w:r>
    </w:p>
    <w:p>
      <w:pPr>
        <w:pStyle w:val="Normal"/>
        <w:spacing w:before="0" w:after="0"/>
        <w:rPr/>
      </w:pPr>
      <w:r>
        <w:rPr/>
      </w:r>
    </w:p>
    <w:p>
      <w:pPr>
        <w:pStyle w:val="Normal"/>
        <w:spacing w:before="0" w:after="0"/>
        <w:rPr/>
      </w:pPr>
      <w:r>
        <w:rPr/>
      </w:r>
    </w:p>
    <w:p>
      <w:pPr>
        <w:pStyle w:val="Heading2"/>
        <w:spacing w:before="280" w:after="100"/>
        <w:rPr/>
      </w:pPr>
      <w:r>
        <w:rPr>
          <w:rFonts w:eastAsia="Arial" w:cs="Arial"/>
          <w:b/>
          <w:bCs/>
          <w:color w:val="1A1A2E"/>
          <w:sz w:val="26"/>
          <w:szCs w:val="26"/>
        </w:rPr>
        <w:t>5.6 Identity Service</w:t>
      </w:r>
    </w:p>
    <w:p>
      <w:pPr>
        <w:pStyle w:val="Heading3"/>
        <w:spacing w:before="200" w:after="80"/>
        <w:rPr/>
      </w:pPr>
      <w:r>
        <w:rPr>
          <w:rFonts w:eastAsia="Arial" w:cs="Arial"/>
          <w:b/>
          <w:bCs/>
          <w:color w:val="1A56DB"/>
          <w:sz w:val="22"/>
          <w:szCs w:val="22"/>
        </w:rPr>
        <w:t>5.6.1 JWT Structure</w:t>
      </w:r>
    </w:p>
    <w:p>
      <w:pPr>
        <w:pStyle w:val="Normal"/>
        <w:shd w:val="clear" w:fill="F4F6F9"/>
        <w:spacing w:before="60" w:after="60"/>
        <w:ind w:start="720"/>
        <w:rPr/>
      </w:pPr>
      <w:r>
        <w:rPr>
          <w:rFonts w:eastAsia="Courier New" w:cs="Courier New" w:ascii="Courier New" w:hAnsi="Courier New"/>
          <w:color w:val="1A56DB"/>
          <w:sz w:val="20"/>
          <w:szCs w:val="20"/>
        </w:rPr>
        <w:t>{ "sub": "user-uuid", "email": "user@example.com", "plan": "business",</w:t>
      </w:r>
    </w:p>
    <w:p>
      <w:pPr>
        <w:pStyle w:val="Normal"/>
        <w:shd w:val="clear" w:fill="F4F6F9"/>
        <w:spacing w:before="60" w:after="60"/>
        <w:ind w:start="720"/>
        <w:rPr/>
      </w:pPr>
      <w:r>
        <w:rPr>
          <w:rFonts w:eastAsia="Courier New" w:cs="Courier New" w:ascii="Courier New" w:hAnsi="Courier New"/>
          <w:color w:val="1A56DB"/>
          <w:sz w:val="20"/>
          <w:szCs w:val="20"/>
        </w:rPr>
        <w:t xml:space="preserve">  </w:t>
      </w:r>
      <w:r>
        <w:rPr>
          <w:rFonts w:eastAsia="Courier New" w:cs="Courier New" w:ascii="Courier New" w:hAnsi="Courier New"/>
          <w:color w:val="1A56DB"/>
          <w:sz w:val="20"/>
          <w:szCs w:val="20"/>
        </w:rPr>
        <w:t>"roles": ["trader"], "mfa_verified": true,</w:t>
      </w:r>
    </w:p>
    <w:p>
      <w:pPr>
        <w:pStyle w:val="Normal"/>
        <w:shd w:val="clear" w:fill="F4F6F9"/>
        <w:spacing w:before="60" w:after="60"/>
        <w:ind w:start="720"/>
        <w:rPr/>
      </w:pPr>
      <w:r>
        <w:rPr>
          <w:rFonts w:eastAsia="Courier New" w:cs="Courier New" w:ascii="Courier New" w:hAnsi="Courier New"/>
          <w:color w:val="1A56DB"/>
          <w:sz w:val="20"/>
          <w:szCs w:val="20"/>
        </w:rPr>
        <w:t xml:space="preserve">  </w:t>
      </w:r>
      <w:r>
        <w:rPr>
          <w:rFonts w:eastAsia="Courier New" w:cs="Courier New" w:ascii="Courier New" w:hAnsi="Courier New"/>
          <w:color w:val="1A56DB"/>
          <w:sz w:val="20"/>
          <w:szCs w:val="20"/>
        </w:rPr>
        <w:t>"iat": 1748866032, "exp": 1748869632 }</w:t>
      </w:r>
    </w:p>
    <w:p>
      <w:pPr>
        <w:pStyle w:val="Normal"/>
        <w:spacing w:before="0" w:after="0"/>
        <w:rPr/>
      </w:pPr>
      <w:r>
        <w:rPr/>
      </w:r>
    </w:p>
    <w:p>
      <w:pPr>
        <w:pStyle w:val="Normal"/>
        <w:spacing w:before="60" w:after="60"/>
        <w:rPr/>
      </w:pPr>
      <w:r>
        <w:rPr>
          <w:rFonts w:eastAsia="Arial" w:cs="Arial"/>
          <w:color w:val="1A1A2E"/>
          <w:sz w:val="22"/>
          <w:szCs w:val="22"/>
        </w:rPr>
        <w:t>Access tokens expire after 1 hour. Refresh tokens expire after 30 days and are stored in Redis (revocable). MFA-required routes check mfa_verified claim; if false, return HTTP 403 with MFA challenge URL.</w:t>
      </w:r>
    </w:p>
    <w:p>
      <w:pPr>
        <w:pStyle w:val="Normal"/>
        <w:spacing w:before="0" w:after="0"/>
        <w:rPr/>
      </w:pPr>
      <w:r>
        <w:rPr/>
      </w:r>
    </w:p>
    <w:p>
      <w:pPr>
        <w:pStyle w:val="Heading3"/>
        <w:spacing w:before="200" w:after="80"/>
        <w:rPr/>
      </w:pPr>
      <w:r>
        <w:rPr>
          <w:rFonts w:eastAsia="Arial" w:cs="Arial"/>
          <w:b/>
          <w:bCs/>
          <w:color w:val="1A56DB"/>
          <w:sz w:val="22"/>
          <w:szCs w:val="22"/>
        </w:rPr>
        <w:t>5.6.2 MFA Flow</w:t>
      </w:r>
    </w:p>
    <w:p>
      <w:pPr>
        <w:pStyle w:val="Heading3"/>
        <w:rPr/>
      </w:pPr>
      <w:r>
        <w:rPr/>
        <w:t>5.6.3  RBAC Enforcement</w:t>
      </w:r>
    </w:p>
    <w:p>
      <w:pPr>
        <w:pStyle w:val="Normal"/>
        <w:rPr/>
      </w:pPr>
      <w:r>
        <w:rPr/>
        <w:t>The Identity Service enforces Role-Based Access Control via the roles claim in the JWT. Roles are assigned at user creation and updated only by admin action. The YARP API Gateway reads the roles claim and enforces route-level permissions before forwarding requests.</w:t>
      </w:r>
    </w:p>
    <w:p>
      <w:pPr>
        <w:pStyle w:val="Normal"/>
        <w:rPr/>
      </w:pPr>
      <w:r>
        <w:rPr/>
        <w:t>Plan entitlement gates interact with RBAC: a trader role without an active subscription is treated as a Starter plan for rate-limiting purposes but cannot access paid features. Admin roles bypass plan gates entirely.</w:t>
      </w:r>
    </w:p>
    <w:tbl>
      <w:tblPr>
        <w:tblStyle w:val="TableGrid"/>
        <w:tblW w:w="5000" w:type="pct"/>
        <w:jc w:val="start"/>
        <w:tblInd w:w="0" w:type="dxa"/>
        <w:tblLayout w:type="fixed"/>
        <w:tblCellMar>
          <w:top w:w="0" w:type="dxa"/>
          <w:start w:w="108" w:type="dxa"/>
          <w:bottom w:w="0" w:type="dxa"/>
          <w:end w:w="108" w:type="dxa"/>
        </w:tblCellMar>
      </w:tblPr>
      <w:tblGrid>
        <w:gridCol w:w="2339"/>
        <w:gridCol w:w="2340"/>
        <w:gridCol w:w="2340"/>
        <w:gridCol w:w="2341"/>
      </w:tblGrid>
      <w:tr>
        <w:trPr/>
        <w:tc>
          <w:tcPr>
            <w:tcW w:w="2339" w:type="dxa"/>
            <w:tcBorders/>
          </w:tcPr>
          <w:p>
            <w:pPr>
              <w:pStyle w:val="Normal"/>
              <w:rPr/>
            </w:pPr>
            <w:r>
              <w:rPr/>
              <w:t>Role</w:t>
            </w:r>
          </w:p>
        </w:tc>
        <w:tc>
          <w:tcPr>
            <w:tcW w:w="2340" w:type="dxa"/>
            <w:tcBorders/>
          </w:tcPr>
          <w:p>
            <w:pPr>
              <w:pStyle w:val="Normal"/>
              <w:rPr/>
            </w:pPr>
            <w:r>
              <w:rPr/>
              <w:t>Permissions</w:t>
            </w:r>
          </w:p>
        </w:tc>
        <w:tc>
          <w:tcPr>
            <w:tcW w:w="2340" w:type="dxa"/>
            <w:tcBorders/>
          </w:tcPr>
          <w:p>
            <w:pPr>
              <w:pStyle w:val="Normal"/>
              <w:rPr/>
            </w:pPr>
            <w:r>
              <w:rPr/>
              <w:t>Plan Gate</w:t>
            </w:r>
          </w:p>
        </w:tc>
        <w:tc>
          <w:tcPr>
            <w:tcW w:w="2341" w:type="dxa"/>
            <w:tcBorders/>
          </w:tcPr>
          <w:p>
            <w:pPr>
              <w:pStyle w:val="Normal"/>
              <w:rPr/>
            </w:pPr>
            <w:r>
              <w:rPr/>
              <w:t>Routes</w:t>
            </w:r>
          </w:p>
        </w:tc>
      </w:tr>
      <w:tr>
        <w:trPr/>
        <w:tc>
          <w:tcPr>
            <w:tcW w:w="2339" w:type="dxa"/>
            <w:tcBorders/>
          </w:tcPr>
          <w:p>
            <w:pPr>
              <w:pStyle w:val="Normal"/>
              <w:rPr/>
            </w:pPr>
            <w:r>
              <w:rPr/>
              <w:t>trader</w:t>
            </w:r>
          </w:p>
        </w:tc>
        <w:tc>
          <w:tcPr>
            <w:tcW w:w="2340" w:type="dxa"/>
            <w:tcBorders/>
          </w:tcPr>
          <w:p>
            <w:pPr>
              <w:pStyle w:val="Normal"/>
              <w:rPr/>
            </w:pPr>
            <w:r>
              <w:rPr/>
              <w:t>Read deals, manage approvals, view history, manage scan jobs, manage own profile</w:t>
            </w:r>
          </w:p>
        </w:tc>
        <w:tc>
          <w:tcPr>
            <w:tcW w:w="2340" w:type="dxa"/>
            <w:tcBorders/>
          </w:tcPr>
          <w:p>
            <w:pPr>
              <w:pStyle w:val="Normal"/>
              <w:rPr/>
            </w:pPr>
            <w:r>
              <w:rPr/>
              <w:t>Starter / Pro / Business</w:t>
            </w:r>
          </w:p>
        </w:tc>
        <w:tc>
          <w:tcPr>
            <w:tcW w:w="2341" w:type="dxa"/>
            <w:tcBorders/>
          </w:tcPr>
          <w:p>
            <w:pPr>
              <w:pStyle w:val="Normal"/>
              <w:rPr/>
            </w:pPr>
            <w:r>
              <w:rPr/>
              <w:t>All /api/v1/* except admin routes</w:t>
            </w:r>
          </w:p>
        </w:tc>
      </w:tr>
      <w:tr>
        <w:trPr/>
        <w:tc>
          <w:tcPr>
            <w:tcW w:w="2339" w:type="dxa"/>
            <w:tcBorders/>
          </w:tcPr>
          <w:p>
            <w:pPr>
              <w:pStyle w:val="Normal"/>
              <w:rPr/>
            </w:pPr>
            <w:r>
              <w:rPr/>
              <w:t>admin</w:t>
            </w:r>
          </w:p>
        </w:tc>
        <w:tc>
          <w:tcPr>
            <w:tcW w:w="2340" w:type="dxa"/>
            <w:tcBorders/>
          </w:tcPr>
          <w:p>
            <w:pPr>
              <w:pStyle w:val="Normal"/>
              <w:rPr/>
            </w:pPr>
            <w:r>
              <w:rPr/>
              <w:t>Full read/write across all tenants, user management, plan overrides, audit log access</w:t>
            </w:r>
          </w:p>
        </w:tc>
        <w:tc>
          <w:tcPr>
            <w:tcW w:w="2340" w:type="dxa"/>
            <w:tcBorders/>
          </w:tcPr>
          <w:p>
            <w:pPr>
              <w:pStyle w:val="Normal"/>
              <w:rPr/>
            </w:pPr>
            <w:r>
              <w:rPr/>
              <w:t>N/A (internal)</w:t>
            </w:r>
          </w:p>
        </w:tc>
        <w:tc>
          <w:tcPr>
            <w:tcW w:w="2341" w:type="dxa"/>
            <w:tcBorders/>
          </w:tcPr>
          <w:p>
            <w:pPr>
              <w:pStyle w:val="Normal"/>
              <w:rPr/>
            </w:pPr>
            <w:r>
              <w:rPr/>
              <w:t>/api/v1/admin/*, /api/v1/users/* (write)</w:t>
            </w:r>
          </w:p>
        </w:tc>
      </w:tr>
      <w:tr>
        <w:trPr/>
        <w:tc>
          <w:tcPr>
            <w:tcW w:w="2339" w:type="dxa"/>
            <w:tcBorders/>
          </w:tcPr>
          <w:p>
            <w:pPr>
              <w:pStyle w:val="Normal"/>
              <w:rPr/>
            </w:pPr>
            <w:r>
              <w:rPr/>
              <w:t>system</w:t>
            </w:r>
          </w:p>
        </w:tc>
        <w:tc>
          <w:tcPr>
            <w:tcW w:w="2340" w:type="dxa"/>
            <w:tcBorders/>
          </w:tcPr>
          <w:p>
            <w:pPr>
              <w:pStyle w:val="Normal"/>
              <w:rPr/>
            </w:pPr>
            <w:r>
              <w:rPr/>
              <w:t>Inter-service calls only. No external traffic. Used by YARP for internal health checks.</w:t>
            </w:r>
          </w:p>
        </w:tc>
        <w:tc>
          <w:tcPr>
            <w:tcW w:w="2340" w:type="dxa"/>
            <w:tcBorders/>
          </w:tcPr>
          <w:p>
            <w:pPr>
              <w:pStyle w:val="Normal"/>
              <w:rPr/>
            </w:pPr>
            <w:r>
              <w:rPr/>
              <w:t>N/A</w:t>
            </w:r>
          </w:p>
        </w:tc>
        <w:tc>
          <w:tcPr>
            <w:tcW w:w="2341" w:type="dxa"/>
            <w:tcBorders/>
          </w:tcPr>
          <w:p>
            <w:pPr>
              <w:pStyle w:val="Normal"/>
              <w:rPr/>
            </w:pPr>
            <w:r>
              <w:rPr/>
              <w:t>/api/v1/health, /internal/*</w:t>
            </w:r>
          </w:p>
        </w:tc>
      </w:tr>
    </w:tbl>
    <w:p>
      <w:pPr>
        <w:pStyle w:val="ListParagraph"/>
        <w:numPr>
          <w:ilvl w:val="0"/>
          <w:numId w:val="2"/>
        </w:numPr>
        <w:spacing w:before="40" w:after="40"/>
        <w:rPr/>
      </w:pPr>
      <w:r>
        <w:rPr>
          <w:rFonts w:eastAsia="Arial" w:cs="Arial"/>
          <w:color w:val="1A1A2E"/>
          <w:sz w:val="22"/>
          <w:szCs w:val="22"/>
        </w:rPr>
        <w:t>TOTP (RFC 6238): QR code generated server-side using a TOTP library. User scans and verifies with a 6-digit code. Backup codes (8 x 8 characters) generated and shown once.</w:t>
      </w:r>
    </w:p>
    <w:p>
      <w:pPr>
        <w:pStyle w:val="ListParagraph"/>
        <w:numPr>
          <w:ilvl w:val="0"/>
          <w:numId w:val="2"/>
        </w:numPr>
        <w:spacing w:before="40" w:after="40"/>
        <w:rPr/>
      </w:pPr>
      <w:r>
        <w:rPr>
          <w:rFonts w:eastAsia="Arial" w:cs="Arial"/>
          <w:color w:val="1A1A2E"/>
          <w:sz w:val="22"/>
          <w:szCs w:val="22"/>
        </w:rPr>
        <w:t>Email OTP: 6-digit code, 10-minute expiry, rate-limited to 5 attempts per 15 minutes.</w:t>
      </w:r>
    </w:p>
    <w:p>
      <w:pPr>
        <w:pStyle w:val="ListParagraph"/>
        <w:numPr>
          <w:ilvl w:val="0"/>
          <w:numId w:val="2"/>
        </w:numPr>
        <w:spacing w:before="40" w:after="40"/>
        <w:rPr/>
      </w:pPr>
      <w:r>
        <w:rPr>
          <w:rFonts w:eastAsia="Arial" w:cs="Arial"/>
          <w:color w:val="1A1A2E"/>
          <w:sz w:val="22"/>
          <w:szCs w:val="22"/>
        </w:rPr>
        <w:t>MFA is mandatory before the Approvals Service will process any approval request (checked via JWT claim).</w:t>
      </w:r>
    </w:p>
    <w:p>
      <w:pPr>
        <w:pStyle w:val="Normal"/>
        <w:spacing w:before="0" w:after="0"/>
        <w:rPr/>
      </w:pPr>
      <w:r>
        <w:rPr/>
      </w:r>
    </w:p>
    <w:p>
      <w:pPr>
        <w:pStyle w:val="Heading2"/>
        <w:spacing w:before="280" w:after="100"/>
        <w:rPr/>
      </w:pPr>
      <w:r>
        <w:rPr>
          <w:rFonts w:eastAsia="Arial" w:cs="Arial"/>
          <w:b/>
          <w:bCs/>
          <w:color w:val="1A1A2E"/>
          <w:sz w:val="26"/>
          <w:szCs w:val="26"/>
        </w:rPr>
        <w:t>5.7 Catalogue Scoring Jobs (Python)</w:t>
      </w:r>
    </w:p>
    <w:p>
      <w:pPr>
        <w:pStyle w:val="Heading3"/>
        <w:spacing w:before="200" w:after="80"/>
        <w:rPr/>
      </w:pPr>
      <w:r>
        <w:rPr>
          <w:rFonts w:eastAsia="Arial" w:cs="Arial"/>
          <w:b/>
          <w:bCs/>
          <w:color w:val="1A56DB"/>
          <w:sz w:val="22"/>
          <w:szCs w:val="22"/>
        </w:rPr>
        <w:t>5.7.1 Nightly Scoring Job</w:t>
      </w:r>
    </w:p>
    <w:p>
      <w:pPr>
        <w:pStyle w:val="Normal"/>
        <w:spacing w:before="60" w:after="60"/>
        <w:rPr/>
      </w:pPr>
      <w:r>
        <w:rPr>
          <w:rFonts w:eastAsia="Arial" w:cs="Arial"/>
          <w:color w:val="1A1A2E"/>
          <w:sz w:val="22"/>
          <w:szCs w:val="22"/>
        </w:rPr>
        <w:t>Triggered at 02:00 UTC daily by a Hangfire C# job that calls the Python scoring service via HTTP. The Python service reads from the catalogue schema, computes scores, and writes back via a dedicated write API on the Catalogue Service.</w:t>
      </w:r>
    </w:p>
    <w:p>
      <w:pPr>
        <w:pStyle w:val="Normal"/>
        <w:spacing w:before="0" w:after="0"/>
        <w:rPr/>
      </w:pPr>
      <w:r>
        <w:rPr/>
      </w:r>
    </w:p>
    <w:p>
      <w:pPr>
        <w:pStyle w:val="Normal"/>
        <w:shd w:val="clear" w:fill="F4F6F9"/>
        <w:spacing w:before="60" w:after="60"/>
        <w:ind w:start="720"/>
        <w:rPr/>
      </w:pPr>
      <w:r>
        <w:rPr>
          <w:rFonts w:eastAsia="Courier New" w:cs="Courier New" w:ascii="Courier New" w:hAnsi="Courier New"/>
          <w:color w:val="1A56DB"/>
          <w:sz w:val="20"/>
          <w:szCs w:val="20"/>
        </w:rPr>
        <w:t># Pseudocode — scoring pipeline</w:t>
      </w:r>
    </w:p>
    <w:p>
      <w:pPr>
        <w:pStyle w:val="Normal"/>
        <w:shd w:val="clear" w:fill="F4F6F9"/>
        <w:spacing w:before="60" w:after="60"/>
        <w:ind w:start="720"/>
        <w:rPr/>
      </w:pPr>
      <w:r>
        <w:rPr>
          <w:rFonts w:eastAsia="Courier New" w:cs="Courier New" w:ascii="Courier New" w:hAnsi="Courier New"/>
          <w:color w:val="1A56DB"/>
          <w:sz w:val="20"/>
          <w:szCs w:val="20"/>
        </w:rPr>
        <w:t>df = pd.read_sql('SELECT sku_id, avg_margin, deal_count_90d, bsr_trend, review_velocity FROM catalogue.scoring_inputs', conn)</w:t>
      </w:r>
    </w:p>
    <w:p>
      <w:pPr>
        <w:pStyle w:val="Normal"/>
        <w:shd w:val="clear" w:fill="F4F6F9"/>
        <w:spacing w:before="60" w:after="60"/>
        <w:ind w:start="720"/>
        <w:rPr/>
      </w:pPr>
      <w:r>
        <w:rPr>
          <w:rFonts w:eastAsia="Courier New" w:cs="Courier New" w:ascii="Courier New" w:hAnsi="Courier New"/>
          <w:color w:val="1A56DB"/>
          <w:sz w:val="20"/>
          <w:szCs w:val="20"/>
        </w:rPr>
        <w:t>df['margin_score']    = df['avg_margin'].clip(0, 60) / 60 * 100</w:t>
      </w:r>
    </w:p>
    <w:p>
      <w:pPr>
        <w:pStyle w:val="Normal"/>
        <w:shd w:val="clear" w:fill="F4F6F9"/>
        <w:spacing w:before="60" w:after="60"/>
        <w:ind w:start="720"/>
        <w:rPr/>
      </w:pPr>
      <w:r>
        <w:rPr>
          <w:rFonts w:eastAsia="Courier New" w:cs="Courier New" w:ascii="Courier New" w:hAnsi="Courier New"/>
          <w:color w:val="1A56DB"/>
          <w:sz w:val="20"/>
          <w:szCs w:val="20"/>
        </w:rPr>
        <w:t>df['freq_score']      = np.log10(df['deal_count_90d'] + 1) / np.log10(31) * 100</w:t>
      </w:r>
    </w:p>
    <w:p>
      <w:pPr>
        <w:pStyle w:val="Normal"/>
        <w:shd w:val="clear" w:fill="F4F6F9"/>
        <w:spacing w:before="60" w:after="60"/>
        <w:ind w:start="720"/>
        <w:rPr/>
      </w:pPr>
      <w:r>
        <w:rPr>
          <w:rFonts w:eastAsia="Courier New" w:cs="Courier New" w:ascii="Courier New" w:hAnsi="Courier New"/>
          <w:color w:val="1A56DB"/>
          <w:sz w:val="20"/>
          <w:szCs w:val="20"/>
        </w:rPr>
        <w:t>df['demand_score']    = 0.6 * df['bsr_score'] + 0.4 * df['review_score_norm']</w:t>
      </w:r>
    </w:p>
    <w:p>
      <w:pPr>
        <w:pStyle w:val="Normal"/>
        <w:shd w:val="clear" w:fill="F4F6F9"/>
        <w:spacing w:before="60" w:after="60"/>
        <w:ind w:start="720"/>
        <w:rPr/>
      </w:pPr>
      <w:r>
        <w:rPr>
          <w:rFonts w:eastAsia="Courier New" w:cs="Courier New" w:ascii="Courier New" w:hAnsi="Courier New"/>
          <w:color w:val="1A56DB"/>
          <w:sz w:val="20"/>
          <w:szCs w:val="20"/>
        </w:rPr>
        <w:t>df['composite_score'] = 0.5*df['margin_score'] + 0.3*df['freq_score'] + 0.2*df['demand_score']</w:t>
      </w:r>
    </w:p>
    <w:p>
      <w:pPr>
        <w:pStyle w:val="Normal"/>
        <w:shd w:val="clear" w:fill="F4F6F9"/>
        <w:spacing w:before="60" w:after="60"/>
        <w:ind w:start="720"/>
        <w:rPr/>
      </w:pPr>
      <w:r>
        <w:rPr>
          <w:rFonts w:eastAsia="Courier New" w:cs="Courier New" w:ascii="Courier New" w:hAnsi="Courier New"/>
          <w:color w:val="1A56DB"/>
          <w:sz w:val="20"/>
          <w:szCs w:val="20"/>
        </w:rPr>
        <w:t># Percentile threshold for High Opportunity badge</w:t>
      </w:r>
    </w:p>
    <w:p>
      <w:pPr>
        <w:pStyle w:val="Normal"/>
        <w:shd w:val="clear" w:fill="F4F6F9"/>
        <w:spacing w:before="60" w:after="60"/>
        <w:ind w:start="720"/>
        <w:rPr/>
      </w:pPr>
      <w:r>
        <w:rPr>
          <w:rFonts w:eastAsia="Courier New" w:cs="Courier New" w:ascii="Courier New" w:hAnsi="Courier New"/>
          <w:color w:val="1A56DB"/>
          <w:sz w:val="20"/>
          <w:szCs w:val="20"/>
        </w:rPr>
        <w:t>p80 = df.groupby('category')['composite_score'].transform(lambda x: x.quantile(0.80))</w:t>
      </w:r>
    </w:p>
    <w:p>
      <w:pPr>
        <w:pStyle w:val="Normal"/>
        <w:shd w:val="clear" w:fill="F4F6F9"/>
        <w:spacing w:before="60" w:after="60"/>
        <w:ind w:start="720"/>
        <w:rPr/>
      </w:pPr>
      <w:r>
        <w:rPr>
          <w:rFonts w:eastAsia="Courier New" w:cs="Courier New" w:ascii="Courier New" w:hAnsi="Courier New"/>
          <w:color w:val="1A56DB"/>
          <w:sz w:val="20"/>
          <w:szCs w:val="20"/>
        </w:rPr>
        <w:t>df['above_p80'] = df['composite_score'] &gt;= p80</w:t>
      </w:r>
    </w:p>
    <w:p>
      <w:pPr>
        <w:pStyle w:val="Heading3"/>
        <w:spacing w:before="200" w:after="80"/>
        <w:rPr/>
      </w:pPr>
      <w:r>
        <w:rPr>
          <w:rFonts w:eastAsia="Arial" w:cs="Arial"/>
          <w:b/>
          <w:bCs/>
          <w:color w:val="1A56DB"/>
          <w:sz w:val="22"/>
          <w:szCs w:val="22"/>
        </w:rPr>
        <w:t>5.7.2  Python Scoring Service HTTP Contract</w:t>
      </w:r>
    </w:p>
    <w:p>
      <w:pPr>
        <w:pStyle w:val="Normal"/>
        <w:spacing w:before="60" w:after="60"/>
        <w:rPr/>
      </w:pPr>
      <w:r>
        <w:rPr>
          <w:rFonts w:eastAsia="Arial" w:cs="Arial"/>
          <w:color w:val="1A1A2E"/>
          <w:sz w:val="22"/>
          <w:szCs w:val="22"/>
        </w:rPr>
        <w:t>The Python scoring service exposes a minimal HTTP API. The Catalogue Service's Hangfire job calls it synchronously at 02:00 UTC. The Python service is a FastAPI application deployed as a separate container in the arbitrageiq-prod namespace.</w:t>
      </w:r>
    </w:p>
    <w:p>
      <w:pPr>
        <w:pStyle w:val="Normal"/>
        <w:spacing w:before="0" w:after="0"/>
        <w:rPr/>
      </w:pPr>
      <w:r>
        <w:rPr/>
      </w:r>
    </w:p>
    <w:p>
      <w:pPr>
        <w:pStyle w:val="Normal"/>
        <w:spacing w:before="160" w:after="60"/>
        <w:rPr/>
      </w:pPr>
      <w:r>
        <w:rPr>
          <w:rFonts w:eastAsia="Arial" w:cs="Arial"/>
          <w:b/>
          <w:bCs/>
          <w:color w:val="1A1A2E"/>
          <w:sz w:val="22"/>
          <w:szCs w:val="22"/>
        </w:rPr>
        <w:t>POST /score</w:t>
      </w:r>
    </w:p>
    <w:p>
      <w:pPr>
        <w:pStyle w:val="Normal"/>
        <w:shd w:val="clear" w:fill="F4F6F9"/>
        <w:spacing w:before="60" w:after="60"/>
        <w:ind w:start="720"/>
        <w:rPr/>
      </w:pPr>
      <w:r>
        <w:rPr>
          <w:rFonts w:eastAsia="Courier New" w:cs="Courier New" w:ascii="Courier New" w:hAnsi="Courier New"/>
          <w:color w:val="1A56DB"/>
          <w:sz w:val="20"/>
          <w:szCs w:val="20"/>
        </w:rPr>
        <w:t>Request:  { "run_id": "uuid", "triggered_at": "2026-06-02T02:00:00Z" }</w:t>
      </w:r>
    </w:p>
    <w:p>
      <w:pPr>
        <w:pStyle w:val="Normal"/>
        <w:shd w:val="clear" w:fill="F4F6F9"/>
        <w:spacing w:before="60" w:after="60"/>
        <w:ind w:start="720"/>
        <w:rPr/>
      </w:pPr>
      <w:r>
        <w:rPr>
          <w:rFonts w:eastAsia="Courier New" w:cs="Courier New" w:ascii="Courier New" w:hAnsi="Courier New"/>
          <w:color w:val="1A56DB"/>
          <w:sz w:val="20"/>
          <w:szCs w:val="20"/>
        </w:rPr>
        <w:t>Response 200: { "run_id": "uuid", "skus_scored": 2840, "duration_ms": 4120,</w:t>
      </w:r>
    </w:p>
    <w:p>
      <w:pPr>
        <w:pStyle w:val="Normal"/>
        <w:shd w:val="clear" w:fill="F4F6F9"/>
        <w:spacing w:before="60" w:after="60"/>
        <w:ind w:start="720"/>
        <w:rPr/>
      </w:pPr>
      <w:r>
        <w:rPr>
          <w:rFonts w:eastAsia="Courier New" w:cs="Courier New" w:ascii="Courier New" w:hAnsi="Courier New"/>
          <w:color w:val="1A56DB"/>
          <w:sz w:val="20"/>
          <w:szCs w:val="20"/>
        </w:rPr>
        <w:t xml:space="preserve">               </w:t>
      </w:r>
      <w:r>
        <w:rPr>
          <w:rFonts w:eastAsia="Courier New" w:cs="Courier New" w:ascii="Courier New" w:hAnsi="Courier New"/>
          <w:color w:val="1A56DB"/>
          <w:sz w:val="20"/>
          <w:szCs w:val="20"/>
        </w:rPr>
        <w:t>"high_opportunity_count": 214, "errors": [] }</w:t>
      </w:r>
    </w:p>
    <w:p>
      <w:pPr>
        <w:pStyle w:val="Normal"/>
        <w:shd w:val="clear" w:fill="F4F6F9"/>
        <w:spacing w:before="60" w:after="60"/>
        <w:ind w:start="720"/>
        <w:rPr/>
      </w:pPr>
      <w:r>
        <w:rPr>
          <w:rFonts w:eastAsia="Courier New" w:cs="Courier New" w:ascii="Courier New" w:hAnsi="Courier New"/>
          <w:color w:val="1A56DB"/>
          <w:sz w:val="20"/>
          <w:szCs w:val="20"/>
        </w:rPr>
        <w:t>Response 500: { "run_id": "uuid", "error": "Database connection failed",</w:t>
      </w:r>
    </w:p>
    <w:p>
      <w:pPr>
        <w:pStyle w:val="Normal"/>
        <w:shd w:val="clear" w:fill="F4F6F9"/>
        <w:spacing w:before="60" w:after="60"/>
        <w:ind w:start="720"/>
        <w:rPr/>
      </w:pPr>
      <w:r>
        <w:rPr>
          <w:rFonts w:eastAsia="Courier New" w:cs="Courier New" w:ascii="Courier New" w:hAnsi="Courier New"/>
          <w:color w:val="1A56DB"/>
          <w:sz w:val="20"/>
          <w:szCs w:val="20"/>
        </w:rPr>
        <w:t xml:space="preserve">               </w:t>
      </w:r>
      <w:r>
        <w:rPr>
          <w:rFonts w:eastAsia="Courier New" w:cs="Courier New" w:ascii="Courier New" w:hAnsi="Courier New"/>
          <w:color w:val="1A56DB"/>
          <w:sz w:val="20"/>
          <w:szCs w:val="20"/>
        </w:rPr>
        <w:t>"skus_scored": 0 }</w:t>
      </w:r>
    </w:p>
    <w:p>
      <w:pPr>
        <w:pStyle w:val="Normal"/>
        <w:spacing w:before="0" w:after="0"/>
        <w:rPr/>
      </w:pPr>
      <w:r>
        <w:rPr/>
      </w:r>
    </w:p>
    <w:p>
      <w:pPr>
        <w:pStyle w:val="Normal"/>
        <w:spacing w:before="160" w:after="60"/>
        <w:rPr/>
      </w:pPr>
      <w:r>
        <w:rPr>
          <w:rFonts w:eastAsia="Arial" w:cs="Arial"/>
          <w:b/>
          <w:bCs/>
          <w:color w:val="1A1A2E"/>
          <w:sz w:val="22"/>
          <w:szCs w:val="22"/>
        </w:rPr>
        <w:t>GET /health</w:t>
      </w:r>
    </w:p>
    <w:p>
      <w:pPr>
        <w:pStyle w:val="Normal"/>
        <w:shd w:val="clear" w:fill="F4F6F9"/>
        <w:spacing w:before="60" w:after="60"/>
        <w:ind w:start="720"/>
        <w:rPr/>
      </w:pPr>
      <w:r>
        <w:rPr>
          <w:rFonts w:eastAsia="Courier New" w:cs="Courier New" w:ascii="Courier New" w:hAnsi="Courier New"/>
          <w:color w:val="1A56DB"/>
          <w:sz w:val="20"/>
          <w:szCs w:val="20"/>
        </w:rPr>
        <w:t>Response 200: { "status": "ok", "db_connected": true, "last_run_at": "...", "last_run_duration_ms": 4120 }</w:t>
      </w:r>
    </w:p>
    <w:p>
      <w:pPr>
        <w:pStyle w:val="Normal"/>
        <w:spacing w:before="0" w:after="0"/>
        <w:rPr/>
      </w:pPr>
      <w:r>
        <w:rPr/>
      </w:r>
    </w:p>
    <w:p>
      <w:pPr>
        <w:pStyle w:val="Normal"/>
        <w:spacing w:before="160" w:after="60"/>
        <w:rPr/>
      </w:pPr>
      <w:r>
        <w:rPr>
          <w:rFonts w:eastAsia="Arial" w:cs="Arial"/>
          <w:b/>
          <w:bCs/>
          <w:color w:val="1A1A2E"/>
          <w:sz w:val="22"/>
          <w:szCs w:val="22"/>
        </w:rPr>
        <w:t>Failure Handling</w:t>
      </w:r>
    </w:p>
    <w:p>
      <w:pPr>
        <w:pStyle w:val="ListParagraph"/>
        <w:numPr>
          <w:ilvl w:val="0"/>
          <w:numId w:val="2"/>
        </w:numPr>
        <w:spacing w:before="40" w:after="40"/>
        <w:rPr/>
      </w:pPr>
      <w:r>
        <w:rPr>
          <w:rFonts w:eastAsia="Arial" w:cs="Arial"/>
          <w:color w:val="1A1A2E"/>
          <w:sz w:val="22"/>
          <w:szCs w:val="22"/>
        </w:rPr>
        <w:t>If POST /score returns 500 or times out (timeout: 300 seconds), the Hangfire job retries once after 10 minutes. If the retry also fails, a system event is published to the Event Bus and an alert fires in Aspire Dashboard. The previous night's scores are retained — stale scores are not purged on failure.</w:t>
      </w:r>
    </w:p>
    <w:p>
      <w:pPr>
        <w:pStyle w:val="ListParagraph"/>
        <w:numPr>
          <w:ilvl w:val="0"/>
          <w:numId w:val="2"/>
        </w:numPr>
        <w:spacing w:before="40" w:after="40"/>
        <w:rPr/>
      </w:pPr>
      <w:r>
        <w:rPr>
          <w:rFonts w:eastAsia="Arial" w:cs="Arial"/>
          <w:color w:val="1A1A2E"/>
          <w:sz w:val="22"/>
          <w:szCs w:val="22"/>
        </w:rPr>
        <w:t>If the Python service is unavailable at job fire time (connection refused), the Hangfire job is rescheduled for 06:00 UTC the same day (avoiding the morning peak). A warning alert fires immediately.</w:t>
      </w:r>
    </w:p>
    <w:p>
      <w:pPr>
        <w:pStyle w:val="ListParagraph"/>
        <w:numPr>
          <w:ilvl w:val="0"/>
          <w:numId w:val="2"/>
        </w:numPr>
        <w:spacing w:before="40" w:after="40"/>
        <w:rPr/>
      </w:pPr>
      <w:r>
        <w:rPr>
          <w:rFonts w:eastAsia="Arial" w:cs="Arial"/>
          <w:color w:val="1A1A2E"/>
          <w:sz w:val="22"/>
          <w:szCs w:val="22"/>
        </w:rPr>
        <w:t>The Python service has read-only access to the catalogue schema via a dedicated PostgreSQL role (catalogue_scorer). It writes results back via a dedicated write endpoint on the Catalogue Service REST API (POST /internal/scores), not directly to the database.</w:t>
      </w:r>
    </w:p>
    <w:p>
      <w:pPr>
        <w:pStyle w:val="Normal"/>
        <w:spacing w:before="0" w:after="0"/>
        <w:rPr/>
      </w:pPr>
      <w:r>
        <w:rPr/>
      </w:r>
    </w:p>
    <w:p>
      <w:pPr>
        <w:pStyle w:val="Normal"/>
        <w:spacing w:before="160" w:after="60"/>
        <w:rPr/>
      </w:pPr>
      <w:r>
        <w:rPr>
          <w:rFonts w:eastAsia="Arial" w:cs="Arial"/>
          <w:b/>
          <w:bCs/>
          <w:color w:val="1A1A2E"/>
          <w:sz w:val="22"/>
          <w:szCs w:val="22"/>
        </w:rPr>
        <w:t>Environment Variables (Python Service)</w:t>
      </w:r>
    </w:p>
    <w:tbl>
      <w:tblPr>
        <w:tblW w:w="9360" w:type="dxa"/>
        <w:jc w:val="start"/>
        <w:tblInd w:w="0" w:type="dxa"/>
        <w:tblLayout w:type="fixed"/>
        <w:tblCellMar>
          <w:top w:w="100" w:type="dxa"/>
          <w:start w:w="140" w:type="dxa"/>
          <w:bottom w:w="100" w:type="dxa"/>
          <w:end w:w="140" w:type="dxa"/>
        </w:tblCellMar>
      </w:tblPr>
      <w:tblGrid>
        <w:gridCol w:w="3200"/>
        <w:gridCol w:w="5160"/>
        <w:gridCol w:w="1000"/>
      </w:tblGrid>
      <w:tr>
        <w:trPr>
          <w:tblHeader w:val="true"/>
        </w:trPr>
        <w:tc>
          <w:tcPr>
            <w:tcW w:w="3200" w:type="dxa"/>
            <w:tcBorders>
              <w:top w:val="single" w:sz="2" w:space="0" w:color="1A56DB"/>
              <w:start w:val="single" w:sz="2" w:space="0" w:color="1A56DB"/>
              <w:bottom w:val="single" w:sz="2" w:space="0" w:color="1A56DB"/>
              <w:end w:val="single" w:sz="2" w:space="0" w:color="1A56DB"/>
            </w:tcBorders>
            <w:shd w:fill="1A56DB" w:val="clear"/>
            <w:vAlign w:val="center"/>
          </w:tcPr>
          <w:p>
            <w:pPr>
              <w:pStyle w:val="Normal"/>
              <w:jc w:val="center"/>
              <w:rPr/>
            </w:pPr>
            <w:r>
              <w:rPr>
                <w:rFonts w:eastAsia="Arial" w:cs="Arial"/>
                <w:b/>
                <w:bCs/>
                <w:color w:val="FFFFFF"/>
                <w:sz w:val="19"/>
                <w:szCs w:val="19"/>
              </w:rPr>
              <w:t>Variable</w:t>
            </w:r>
          </w:p>
        </w:tc>
        <w:tc>
          <w:tcPr>
            <w:tcW w:w="5160" w:type="dxa"/>
            <w:tcBorders>
              <w:top w:val="single" w:sz="2" w:space="0" w:color="1A56DB"/>
              <w:start w:val="single" w:sz="2" w:space="0" w:color="1A56DB"/>
              <w:bottom w:val="single" w:sz="2" w:space="0" w:color="1A56DB"/>
              <w:end w:val="single" w:sz="2" w:space="0" w:color="1A56DB"/>
            </w:tcBorders>
            <w:shd w:fill="1A56DB" w:val="clear"/>
            <w:vAlign w:val="center"/>
          </w:tcPr>
          <w:p>
            <w:pPr>
              <w:pStyle w:val="Normal"/>
              <w:jc w:val="center"/>
              <w:rPr/>
            </w:pPr>
            <w:r>
              <w:rPr>
                <w:rFonts w:eastAsia="Arial" w:cs="Arial"/>
                <w:b/>
                <w:bCs/>
                <w:color w:val="FFFFFF"/>
                <w:sz w:val="19"/>
                <w:szCs w:val="19"/>
              </w:rPr>
              <w:t>Description</w:t>
            </w:r>
          </w:p>
        </w:tc>
        <w:tc>
          <w:tcPr>
            <w:tcW w:w="1000" w:type="dxa"/>
            <w:tcBorders>
              <w:top w:val="single" w:sz="2" w:space="0" w:color="1A56DB"/>
              <w:start w:val="single" w:sz="2" w:space="0" w:color="1A56DB"/>
              <w:bottom w:val="single" w:sz="2" w:space="0" w:color="1A56DB"/>
              <w:end w:val="single" w:sz="2" w:space="0" w:color="1A56DB"/>
            </w:tcBorders>
            <w:shd w:fill="1A56DB" w:val="clear"/>
            <w:vAlign w:val="center"/>
          </w:tcPr>
          <w:p>
            <w:pPr>
              <w:pStyle w:val="Normal"/>
              <w:jc w:val="center"/>
              <w:rPr/>
            </w:pPr>
            <w:r>
              <w:rPr>
                <w:rFonts w:eastAsia="Arial" w:cs="Arial"/>
                <w:b/>
                <w:bCs/>
                <w:color w:val="FFFFFF"/>
                <w:sz w:val="19"/>
                <w:szCs w:val="19"/>
              </w:rPr>
              <w:t>Secret?</w:t>
            </w:r>
          </w:p>
        </w:tc>
      </w:tr>
      <w:tr>
        <w:trPr/>
        <w:tc>
          <w:tcPr>
            <w:tcW w:w="32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bCs/>
                <w:color w:val="1A1A2E"/>
                <w:sz w:val="19"/>
                <w:szCs w:val="19"/>
              </w:rPr>
              <w:t>POSTGRES_READONLY_URL</w:t>
            </w:r>
          </w:p>
        </w:tc>
        <w:tc>
          <w:tcPr>
            <w:tcW w:w="516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Read-only PostgreSQL connection string for catalogue schema.</w:t>
            </w:r>
          </w:p>
        </w:tc>
        <w:tc>
          <w:tcPr>
            <w:tcW w:w="10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Yes</w:t>
            </w:r>
          </w:p>
        </w:tc>
      </w:tr>
      <w:tr>
        <w:trPr/>
        <w:tc>
          <w:tcPr>
            <w:tcW w:w="32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bCs/>
                <w:color w:val="1A1A2E"/>
                <w:sz w:val="19"/>
                <w:szCs w:val="19"/>
              </w:rPr>
              <w:t>CATALOGUE_SERVICE_URL</w:t>
            </w:r>
          </w:p>
        </w:tc>
        <w:tc>
          <w:tcPr>
            <w:tcW w:w="516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color w:val="1A1A2E"/>
                <w:sz w:val="19"/>
                <w:szCs w:val="19"/>
              </w:rPr>
              <w:t>Internal URL of Catalogue Service for writing score results.</w:t>
            </w:r>
          </w:p>
        </w:tc>
        <w:tc>
          <w:tcPr>
            <w:tcW w:w="10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color w:val="1A1A2E"/>
                <w:sz w:val="19"/>
                <w:szCs w:val="19"/>
              </w:rPr>
              <w:t>No</w:t>
            </w:r>
          </w:p>
        </w:tc>
      </w:tr>
      <w:tr>
        <w:trPr/>
        <w:tc>
          <w:tcPr>
            <w:tcW w:w="32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bCs/>
                <w:color w:val="1A1A2E"/>
                <w:sz w:val="19"/>
                <w:szCs w:val="19"/>
              </w:rPr>
              <w:t>CATALOGUE_SERVICE_API_KEY</w:t>
            </w:r>
          </w:p>
        </w:tc>
        <w:tc>
          <w:tcPr>
            <w:tcW w:w="516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Internal API key for the /internal/scores endpoint.</w:t>
            </w:r>
          </w:p>
        </w:tc>
        <w:tc>
          <w:tcPr>
            <w:tcW w:w="10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Yes</w:t>
            </w:r>
          </w:p>
        </w:tc>
      </w:tr>
      <w:tr>
        <w:trPr/>
        <w:tc>
          <w:tcPr>
            <w:tcW w:w="32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bCs/>
                <w:color w:val="1A1A2E"/>
                <w:sz w:val="19"/>
                <w:szCs w:val="19"/>
              </w:rPr>
              <w:t>SCORING_TIMEOUT_SECONDS</w:t>
            </w:r>
          </w:p>
        </w:tc>
        <w:tc>
          <w:tcPr>
            <w:tcW w:w="516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color w:val="1A1A2E"/>
                <w:sz w:val="19"/>
                <w:szCs w:val="19"/>
              </w:rPr>
              <w:t>Max seconds for a scoring run before forced termination. Default: 280.</w:t>
            </w:r>
          </w:p>
        </w:tc>
        <w:tc>
          <w:tcPr>
            <w:tcW w:w="10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color w:val="1A1A2E"/>
                <w:sz w:val="19"/>
                <w:szCs w:val="19"/>
              </w:rPr>
              <w:t>No</w:t>
            </w:r>
          </w:p>
        </w:tc>
      </w:tr>
    </w:tbl>
    <w:p>
      <w:pPr>
        <w:pStyle w:val="Normal"/>
        <w:spacing w:before="0" w:after="0"/>
        <w:rPr/>
      </w:pPr>
      <w:r>
        <w:rPr/>
      </w:r>
    </w:p>
    <w:p>
      <w:pPr>
        <w:pStyle w:val="Heading2"/>
        <w:spacing w:before="280" w:after="100"/>
        <w:rPr/>
      </w:pPr>
      <w:r>
        <w:rPr>
          <w:rFonts w:eastAsia="Arial" w:cs="Arial"/>
          <w:b/>
          <w:bCs/>
          <w:color w:val="1A1A2E"/>
          <w:sz w:val="26"/>
          <w:szCs w:val="26"/>
        </w:rPr>
        <w:t>5.8  Additional State Machines</w:t>
      </w:r>
    </w:p>
    <w:p>
      <w:pPr>
        <w:pStyle w:val="Normal"/>
        <w:spacing w:before="60" w:after="60"/>
        <w:rPr/>
      </w:pPr>
      <w:r>
        <w:rPr>
          <w:rFonts w:eastAsia="Arial" w:cs="Arial"/>
          <w:color w:val="1A1A2E"/>
          <w:sz w:val="22"/>
          <w:szCs w:val="22"/>
        </w:rPr>
        <w:t>This section documents the state machines for the four system-level lifecycle flows identified as having complex event chains in the user flows. Together with the Approvals Service state machine (Section 5.4), these five machines cover all significant stateful transitions in the platform.</w:t>
      </w:r>
    </w:p>
    <w:p>
      <w:pPr>
        <w:pStyle w:val="Normal"/>
        <w:spacing w:before="0" w:after="0"/>
        <w:rPr/>
      </w:pPr>
      <w:r>
        <w:rPr/>
      </w:r>
    </w:p>
    <w:p>
      <w:pPr>
        <w:pStyle w:val="Heading3"/>
        <w:spacing w:before="200" w:after="80"/>
        <w:rPr/>
      </w:pPr>
      <w:r>
        <w:rPr>
          <w:rFonts w:eastAsia="Arial" w:cs="Arial"/>
          <w:b/>
          <w:bCs/>
          <w:color w:val="1A56DB"/>
          <w:sz w:val="22"/>
          <w:szCs w:val="22"/>
        </w:rPr>
        <w:t>5.8.1  Deal Discovery Pipeline</w:t>
      </w:r>
    </w:p>
    <w:p>
      <w:pPr>
        <w:pStyle w:val="Normal"/>
        <w:spacing w:before="60" w:after="60"/>
        <w:rPr/>
      </w:pPr>
      <w:r>
        <w:rPr>
          <w:rFonts w:eastAsia="Arial" w:cs="Arial"/>
          <w:color w:val="1A1A2E"/>
          <w:sz w:val="22"/>
          <w:szCs w:val="22"/>
        </w:rPr>
        <w:t>Governs the end-to-end lifecycle of a price event from ingestion through to deal emission or discard. Ties together the Ingestion Service, Opportunity Engine, and Notification Service.</w:t>
      </w:r>
    </w:p>
    <w:p>
      <w:pPr>
        <w:pStyle w:val="Normal"/>
        <w:spacing w:before="0" w:after="0"/>
        <w:rPr/>
      </w:pPr>
      <w:r>
        <w:rPr/>
      </w:r>
    </w:p>
    <w:tbl>
      <w:tblPr>
        <w:tblW w:w="9360" w:type="dxa"/>
        <w:jc w:val="start"/>
        <w:tblInd w:w="0" w:type="dxa"/>
        <w:tblLayout w:type="fixed"/>
        <w:tblCellMar>
          <w:top w:w="100" w:type="dxa"/>
          <w:start w:w="140" w:type="dxa"/>
          <w:bottom w:w="100" w:type="dxa"/>
          <w:end w:w="140" w:type="dxa"/>
        </w:tblCellMar>
      </w:tblPr>
      <w:tblGrid>
        <w:gridCol w:w="1798"/>
        <w:gridCol w:w="2400"/>
        <w:gridCol w:w="1762"/>
        <w:gridCol w:w="3400"/>
      </w:tblGrid>
      <w:tr>
        <w:trPr>
          <w:tblHeader w:val="true"/>
        </w:trPr>
        <w:tc>
          <w:tcPr>
            <w:tcW w:w="1798" w:type="dxa"/>
            <w:tcBorders>
              <w:top w:val="single" w:sz="2" w:space="0" w:color="1A56DB"/>
              <w:start w:val="single" w:sz="2" w:space="0" w:color="1A56DB"/>
              <w:bottom w:val="single" w:sz="2" w:space="0" w:color="1A56DB"/>
              <w:end w:val="single" w:sz="2" w:space="0" w:color="1A56DB"/>
            </w:tcBorders>
            <w:shd w:fill="1A56DB" w:val="clear"/>
            <w:vAlign w:val="center"/>
          </w:tcPr>
          <w:p>
            <w:pPr>
              <w:pStyle w:val="Normal"/>
              <w:jc w:val="center"/>
              <w:rPr/>
            </w:pPr>
            <w:r>
              <w:rPr>
                <w:rFonts w:eastAsia="Arial" w:cs="Arial"/>
                <w:b/>
                <w:bCs/>
                <w:color w:val="FFFFFF"/>
                <w:sz w:val="19"/>
                <w:szCs w:val="19"/>
              </w:rPr>
              <w:t>From State</w:t>
            </w:r>
          </w:p>
        </w:tc>
        <w:tc>
          <w:tcPr>
            <w:tcW w:w="2400" w:type="dxa"/>
            <w:tcBorders>
              <w:top w:val="single" w:sz="2" w:space="0" w:color="1A56DB"/>
              <w:start w:val="single" w:sz="2" w:space="0" w:color="1A56DB"/>
              <w:bottom w:val="single" w:sz="2" w:space="0" w:color="1A56DB"/>
              <w:end w:val="single" w:sz="2" w:space="0" w:color="1A56DB"/>
            </w:tcBorders>
            <w:shd w:fill="1A56DB" w:val="clear"/>
            <w:vAlign w:val="center"/>
          </w:tcPr>
          <w:p>
            <w:pPr>
              <w:pStyle w:val="Normal"/>
              <w:jc w:val="center"/>
              <w:rPr/>
            </w:pPr>
            <w:r>
              <w:rPr>
                <w:rFonts w:eastAsia="Arial" w:cs="Arial"/>
                <w:b/>
                <w:bCs/>
                <w:color w:val="FFFFFF"/>
                <w:sz w:val="19"/>
                <w:szCs w:val="19"/>
              </w:rPr>
              <w:t>Trigger</w:t>
            </w:r>
          </w:p>
        </w:tc>
        <w:tc>
          <w:tcPr>
            <w:tcW w:w="1762" w:type="dxa"/>
            <w:tcBorders>
              <w:top w:val="single" w:sz="2" w:space="0" w:color="1A56DB"/>
              <w:start w:val="single" w:sz="2" w:space="0" w:color="1A56DB"/>
              <w:bottom w:val="single" w:sz="2" w:space="0" w:color="1A56DB"/>
              <w:end w:val="single" w:sz="2" w:space="0" w:color="1A56DB"/>
            </w:tcBorders>
            <w:shd w:fill="1A56DB" w:val="clear"/>
            <w:vAlign w:val="center"/>
          </w:tcPr>
          <w:p>
            <w:pPr>
              <w:pStyle w:val="Normal"/>
              <w:jc w:val="center"/>
              <w:rPr/>
            </w:pPr>
            <w:r>
              <w:rPr>
                <w:rFonts w:eastAsia="Arial" w:cs="Arial"/>
                <w:b/>
                <w:bCs/>
                <w:color w:val="FFFFFF"/>
                <w:sz w:val="19"/>
                <w:szCs w:val="19"/>
              </w:rPr>
              <w:t>To State</w:t>
            </w:r>
          </w:p>
        </w:tc>
        <w:tc>
          <w:tcPr>
            <w:tcW w:w="3400" w:type="dxa"/>
            <w:tcBorders>
              <w:top w:val="single" w:sz="2" w:space="0" w:color="1A56DB"/>
              <w:start w:val="single" w:sz="2" w:space="0" w:color="1A56DB"/>
              <w:bottom w:val="single" w:sz="2" w:space="0" w:color="1A56DB"/>
              <w:end w:val="single" w:sz="2" w:space="0" w:color="1A56DB"/>
            </w:tcBorders>
            <w:shd w:fill="1A56DB" w:val="clear"/>
            <w:vAlign w:val="center"/>
          </w:tcPr>
          <w:p>
            <w:pPr>
              <w:pStyle w:val="Normal"/>
              <w:jc w:val="center"/>
              <w:rPr/>
            </w:pPr>
            <w:r>
              <w:rPr>
                <w:rFonts w:eastAsia="Arial" w:cs="Arial"/>
                <w:b/>
                <w:bCs/>
                <w:color w:val="FFFFFF"/>
                <w:sz w:val="19"/>
                <w:szCs w:val="19"/>
              </w:rPr>
              <w:t>Side Effects / Notes</w:t>
            </w:r>
          </w:p>
        </w:tc>
      </w:tr>
      <w:tr>
        <w:trPr/>
        <w:tc>
          <w:tcPr>
            <w:tcW w:w="1798"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bCs/>
                <w:color w:val="1A1A2E"/>
                <w:sz w:val="19"/>
                <w:szCs w:val="19"/>
              </w:rPr>
              <w:t>idle</w:t>
            </w:r>
          </w:p>
        </w:tc>
        <w:tc>
          <w:tcPr>
            <w:tcW w:w="24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Jobs Service fires scheduled scan job</w:t>
            </w:r>
          </w:p>
        </w:tc>
        <w:tc>
          <w:tcPr>
            <w:tcW w:w="1762"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fetching</w:t>
            </w:r>
          </w:p>
        </w:tc>
        <w:tc>
          <w:tcPr>
            <w:tcW w:w="34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Hangfire job dispatched. Ingestion worker selected per retailer type.</w:t>
            </w:r>
          </w:p>
        </w:tc>
      </w:tr>
      <w:tr>
        <w:trPr/>
        <w:tc>
          <w:tcPr>
            <w:tcW w:w="1798"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bCs/>
                <w:color w:val="1A1A2E"/>
                <w:sz w:val="19"/>
                <w:szCs w:val="19"/>
              </w:rPr>
              <w:t>fetching</w:t>
            </w:r>
          </w:p>
        </w:tc>
        <w:tc>
          <w:tcPr>
            <w:tcW w:w="24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color w:val="1A1A2E"/>
                <w:sz w:val="19"/>
                <w:szCs w:val="19"/>
              </w:rPr>
              <w:t>API / scraper returns price data</w:t>
            </w:r>
          </w:p>
        </w:tc>
        <w:tc>
          <w:tcPr>
            <w:tcW w:w="1762"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color w:val="1A1A2E"/>
                <w:sz w:val="19"/>
                <w:szCs w:val="19"/>
              </w:rPr>
              <w:t>normalising</w:t>
            </w:r>
          </w:p>
        </w:tc>
        <w:tc>
          <w:tcPr>
            <w:tcW w:w="34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color w:val="1A1A2E"/>
                <w:sz w:val="19"/>
                <w:szCs w:val="19"/>
              </w:rPr>
              <w:t>Raw price data passed to normalisation pipeline.</w:t>
            </w:r>
          </w:p>
        </w:tc>
      </w:tr>
      <w:tr>
        <w:trPr/>
        <w:tc>
          <w:tcPr>
            <w:tcW w:w="1798"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bCs/>
                <w:color w:val="1A1A2E"/>
                <w:sz w:val="19"/>
                <w:szCs w:val="19"/>
              </w:rPr>
              <w:t>fetching</w:t>
            </w:r>
          </w:p>
        </w:tc>
        <w:tc>
          <w:tcPr>
            <w:tcW w:w="24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Retailer error or timeout (all retries exhausted)</w:t>
            </w:r>
          </w:p>
        </w:tc>
        <w:tc>
          <w:tcPr>
            <w:tcW w:w="1762"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failed — circuit check</w:t>
            </w:r>
          </w:p>
        </w:tc>
        <w:tc>
          <w:tcPr>
            <w:tcW w:w="34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Polly retry policy fires (3 attempts, exponential back-off). Circuit breaker evaluated after all retries fail.</w:t>
            </w:r>
          </w:p>
        </w:tc>
      </w:tr>
      <w:tr>
        <w:trPr/>
        <w:tc>
          <w:tcPr>
            <w:tcW w:w="1798"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bCs/>
                <w:color w:val="1A1A2E"/>
                <w:sz w:val="19"/>
                <w:szCs w:val="19"/>
              </w:rPr>
              <w:t>fetching</w:t>
            </w:r>
          </w:p>
        </w:tc>
        <w:tc>
          <w:tcPr>
            <w:tcW w:w="24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color w:val="1A1A2E"/>
                <w:sz w:val="19"/>
                <w:szCs w:val="19"/>
              </w:rPr>
              <w:t>Circuit breaker threshold exceeded</w:t>
            </w:r>
          </w:p>
        </w:tc>
        <w:tc>
          <w:tcPr>
            <w:tcW w:w="1762"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color w:val="1A1A2E"/>
                <w:sz w:val="19"/>
                <w:szCs w:val="19"/>
              </w:rPr>
              <w:t>circuit_open</w:t>
            </w:r>
          </w:p>
        </w:tc>
        <w:tc>
          <w:tcPr>
            <w:tcW w:w="34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color w:val="1A1A2E"/>
                <w:sz w:val="19"/>
                <w:szCs w:val="19"/>
              </w:rPr>
              <w:t>system.scraper_circuit_open event published. Affected scan jobs suspended. Users notified via Notification Service.</w:t>
            </w:r>
          </w:p>
        </w:tc>
      </w:tr>
      <w:tr>
        <w:trPr/>
        <w:tc>
          <w:tcPr>
            <w:tcW w:w="1798"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bCs/>
                <w:color w:val="1A1A2E"/>
                <w:sz w:val="19"/>
                <w:szCs w:val="19"/>
              </w:rPr>
              <w:t>circuit_open</w:t>
            </w:r>
          </w:p>
        </w:tc>
        <w:tc>
          <w:tcPr>
            <w:tcW w:w="24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5-minute cooldown elapsed</w:t>
            </w:r>
          </w:p>
        </w:tc>
        <w:tc>
          <w:tcPr>
            <w:tcW w:w="1762"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half_open</w:t>
            </w:r>
          </w:p>
        </w:tc>
        <w:tc>
          <w:tcPr>
            <w:tcW w:w="34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Single probe request sent. Success closes circuit. Failure resets circuit_open timer.</w:t>
            </w:r>
          </w:p>
        </w:tc>
      </w:tr>
      <w:tr>
        <w:trPr/>
        <w:tc>
          <w:tcPr>
            <w:tcW w:w="1798"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bCs/>
                <w:color w:val="1A1A2E"/>
                <w:sz w:val="19"/>
                <w:szCs w:val="19"/>
              </w:rPr>
              <w:t>half_open</w:t>
            </w:r>
          </w:p>
        </w:tc>
        <w:tc>
          <w:tcPr>
            <w:tcW w:w="24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color w:val="1A1A2E"/>
                <w:sz w:val="19"/>
                <w:szCs w:val="19"/>
              </w:rPr>
              <w:t>Probe succeeds</w:t>
            </w:r>
          </w:p>
        </w:tc>
        <w:tc>
          <w:tcPr>
            <w:tcW w:w="1762"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color w:val="1A1A2E"/>
                <w:sz w:val="19"/>
                <w:szCs w:val="19"/>
              </w:rPr>
              <w:t>idle</w:t>
            </w:r>
          </w:p>
        </w:tc>
        <w:tc>
          <w:tcPr>
            <w:tcW w:w="34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color w:val="1A1A2E"/>
                <w:sz w:val="19"/>
                <w:szCs w:val="19"/>
              </w:rPr>
              <w:t>Circuit closed. Suspended scan jobs resumed automatically.</w:t>
            </w:r>
          </w:p>
        </w:tc>
      </w:tr>
      <w:tr>
        <w:trPr/>
        <w:tc>
          <w:tcPr>
            <w:tcW w:w="1798"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bCs/>
                <w:color w:val="1A1A2E"/>
                <w:sz w:val="19"/>
                <w:szCs w:val="19"/>
              </w:rPr>
              <w:t>normalising</w:t>
            </w:r>
          </w:p>
        </w:tc>
        <w:tc>
          <w:tcPr>
            <w:tcW w:w="24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Price within valid range, SKU matched</w:t>
            </w:r>
          </w:p>
        </w:tc>
        <w:tc>
          <w:tcPr>
            <w:tcW w:w="1762"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opportunity_check</w:t>
            </w:r>
          </w:p>
        </w:tc>
        <w:tc>
          <w:tcPr>
            <w:tcW w:w="34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Normalised price event forwarded to Opportunity Engine.</w:t>
            </w:r>
          </w:p>
        </w:tc>
      </w:tr>
      <w:tr>
        <w:trPr/>
        <w:tc>
          <w:tcPr>
            <w:tcW w:w="1798"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bCs/>
                <w:color w:val="1A1A2E"/>
                <w:sz w:val="19"/>
                <w:szCs w:val="19"/>
              </w:rPr>
              <w:t>normalising</w:t>
            </w:r>
          </w:p>
        </w:tc>
        <w:tc>
          <w:tcPr>
            <w:tcW w:w="24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color w:val="1A1A2E"/>
                <w:sz w:val="19"/>
                <w:szCs w:val="19"/>
              </w:rPr>
              <w:t>Price anomaly (&lt; £0.01 or &gt; £10,000)</w:t>
            </w:r>
          </w:p>
        </w:tc>
        <w:tc>
          <w:tcPr>
            <w:tcW w:w="1762"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color w:val="1A1A2E"/>
                <w:sz w:val="19"/>
                <w:szCs w:val="19"/>
              </w:rPr>
              <w:t>quarantined</w:t>
            </w:r>
          </w:p>
        </w:tc>
        <w:tc>
          <w:tcPr>
            <w:tcW w:w="34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color w:val="1A1A2E"/>
                <w:sz w:val="19"/>
                <w:szCs w:val="19"/>
              </w:rPr>
              <w:t>Event published to arbitrageiq:quarantine. OpenTelemetry counter incremented. No deal event emitted.</w:t>
            </w:r>
          </w:p>
        </w:tc>
      </w:tr>
      <w:tr>
        <w:trPr/>
        <w:tc>
          <w:tcPr>
            <w:tcW w:w="1798"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bCs/>
                <w:color w:val="1A1A2E"/>
                <w:sz w:val="19"/>
                <w:szCs w:val="19"/>
              </w:rPr>
              <w:t>opportunity_check</w:t>
            </w:r>
          </w:p>
        </w:tc>
        <w:tc>
          <w:tcPr>
            <w:tcW w:w="24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Net margin &gt;= user threshold</w:t>
            </w:r>
          </w:p>
        </w:tc>
        <w:tc>
          <w:tcPr>
            <w:tcW w:w="1762"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deal_emitted</w:t>
            </w:r>
          </w:p>
        </w:tc>
        <w:tc>
          <w:tcPr>
            <w:tcW w:w="34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deal.surfaced event published to arbitrageiq:deals. Notification Service fans out.</w:t>
            </w:r>
          </w:p>
        </w:tc>
      </w:tr>
      <w:tr>
        <w:trPr/>
        <w:tc>
          <w:tcPr>
            <w:tcW w:w="1798"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bCs/>
                <w:color w:val="1A1A2E"/>
                <w:sz w:val="19"/>
                <w:szCs w:val="19"/>
              </w:rPr>
              <w:t>opportunity_check</w:t>
            </w:r>
          </w:p>
        </w:tc>
        <w:tc>
          <w:tcPr>
            <w:tcW w:w="24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color w:val="1A1A2E"/>
                <w:sz w:val="19"/>
                <w:szCs w:val="19"/>
              </w:rPr>
              <w:t>Net margin &lt; user threshold</w:t>
            </w:r>
          </w:p>
        </w:tc>
        <w:tc>
          <w:tcPr>
            <w:tcW w:w="1762"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color w:val="1A1A2E"/>
                <w:sz w:val="19"/>
                <w:szCs w:val="19"/>
              </w:rPr>
              <w:t>discarded</w:t>
            </w:r>
          </w:p>
        </w:tc>
        <w:tc>
          <w:tcPr>
            <w:tcW w:w="34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color w:val="1A1A2E"/>
                <w:sz w:val="19"/>
                <w:szCs w:val="19"/>
              </w:rPr>
              <w:t>No event emitted. Price data written to price_events hypertable for catalogue history.</w:t>
            </w:r>
          </w:p>
        </w:tc>
      </w:tr>
      <w:tr>
        <w:trPr/>
        <w:tc>
          <w:tcPr>
            <w:tcW w:w="1798"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bCs/>
                <w:color w:val="1A1A2E"/>
                <w:sz w:val="19"/>
                <w:szCs w:val="19"/>
              </w:rPr>
              <w:t>deal_emitted</w:t>
            </w:r>
          </w:p>
        </w:tc>
        <w:tc>
          <w:tcPr>
            <w:tcW w:w="24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Notification fanout complete</w:t>
            </w:r>
          </w:p>
        </w:tc>
        <w:tc>
          <w:tcPr>
            <w:tcW w:w="1762"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complete</w:t>
            </w:r>
          </w:p>
        </w:tc>
        <w:tc>
          <w:tcPr>
            <w:tcW w:w="34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Catalogue deal_event_count incremented. Price data retained in hypertable.</w:t>
            </w:r>
          </w:p>
        </w:tc>
      </w:tr>
    </w:tbl>
    <w:p>
      <w:pPr>
        <w:pStyle w:val="Normal"/>
        <w:spacing w:before="0" w:after="0"/>
        <w:rPr/>
      </w:pPr>
      <w:r>
        <w:rPr/>
      </w:r>
    </w:p>
    <w:p>
      <w:pPr>
        <w:pStyle w:val="Heading3"/>
        <w:spacing w:before="200" w:after="80"/>
        <w:rPr/>
      </w:pPr>
      <w:r>
        <w:rPr>
          <w:rFonts w:eastAsia="Arial" w:cs="Arial"/>
          <w:b/>
          <w:bCs/>
          <w:color w:val="1A56DB"/>
          <w:sz w:val="22"/>
          <w:szCs w:val="22"/>
        </w:rPr>
        <w:t>5.8.2  Scan Job Lifecycle</w:t>
      </w:r>
    </w:p>
    <w:p>
      <w:pPr>
        <w:pStyle w:val="Normal"/>
        <w:spacing w:before="60" w:after="60"/>
        <w:rPr/>
      </w:pPr>
      <w:r>
        <w:rPr>
          <w:rFonts w:eastAsia="Arial" w:cs="Arial"/>
          <w:color w:val="1A1A2E"/>
          <w:sz w:val="22"/>
          <w:szCs w:val="22"/>
        </w:rPr>
        <w:t>A scan job is the user-configured unit of work driving price ingestion for a given category and retailer. Lifecycle is affected by plan changes, circuit breaker events, and user actions.</w:t>
      </w:r>
    </w:p>
    <w:p>
      <w:pPr>
        <w:pStyle w:val="Normal"/>
        <w:spacing w:before="0" w:after="0"/>
        <w:rPr/>
      </w:pPr>
      <w:r>
        <w:rPr/>
      </w:r>
    </w:p>
    <w:tbl>
      <w:tblPr>
        <w:tblW w:w="9360" w:type="dxa"/>
        <w:jc w:val="start"/>
        <w:tblInd w:w="0" w:type="dxa"/>
        <w:tblLayout w:type="fixed"/>
        <w:tblCellMar>
          <w:top w:w="100" w:type="dxa"/>
          <w:start w:w="140" w:type="dxa"/>
          <w:bottom w:w="100" w:type="dxa"/>
          <w:end w:w="140" w:type="dxa"/>
        </w:tblCellMar>
      </w:tblPr>
      <w:tblGrid>
        <w:gridCol w:w="1798"/>
        <w:gridCol w:w="2400"/>
        <w:gridCol w:w="1762"/>
        <w:gridCol w:w="3400"/>
      </w:tblGrid>
      <w:tr>
        <w:trPr>
          <w:tblHeader w:val="true"/>
        </w:trPr>
        <w:tc>
          <w:tcPr>
            <w:tcW w:w="1798" w:type="dxa"/>
            <w:tcBorders>
              <w:top w:val="single" w:sz="2" w:space="0" w:color="1A56DB"/>
              <w:start w:val="single" w:sz="2" w:space="0" w:color="1A56DB"/>
              <w:bottom w:val="single" w:sz="2" w:space="0" w:color="1A56DB"/>
              <w:end w:val="single" w:sz="2" w:space="0" w:color="1A56DB"/>
            </w:tcBorders>
            <w:shd w:fill="1A56DB" w:val="clear"/>
            <w:vAlign w:val="center"/>
          </w:tcPr>
          <w:p>
            <w:pPr>
              <w:pStyle w:val="Normal"/>
              <w:jc w:val="center"/>
              <w:rPr/>
            </w:pPr>
            <w:r>
              <w:rPr>
                <w:rFonts w:eastAsia="Arial" w:cs="Arial"/>
                <w:b/>
                <w:bCs/>
                <w:color w:val="FFFFFF"/>
                <w:sz w:val="19"/>
                <w:szCs w:val="19"/>
              </w:rPr>
              <w:t>From State</w:t>
            </w:r>
          </w:p>
        </w:tc>
        <w:tc>
          <w:tcPr>
            <w:tcW w:w="2400" w:type="dxa"/>
            <w:tcBorders>
              <w:top w:val="single" w:sz="2" w:space="0" w:color="1A56DB"/>
              <w:start w:val="single" w:sz="2" w:space="0" w:color="1A56DB"/>
              <w:bottom w:val="single" w:sz="2" w:space="0" w:color="1A56DB"/>
              <w:end w:val="single" w:sz="2" w:space="0" w:color="1A56DB"/>
            </w:tcBorders>
            <w:shd w:fill="1A56DB" w:val="clear"/>
            <w:vAlign w:val="center"/>
          </w:tcPr>
          <w:p>
            <w:pPr>
              <w:pStyle w:val="Normal"/>
              <w:jc w:val="center"/>
              <w:rPr/>
            </w:pPr>
            <w:r>
              <w:rPr>
                <w:rFonts w:eastAsia="Arial" w:cs="Arial"/>
                <w:b/>
                <w:bCs/>
                <w:color w:val="FFFFFF"/>
                <w:sz w:val="19"/>
                <w:szCs w:val="19"/>
              </w:rPr>
              <w:t>Trigger</w:t>
            </w:r>
          </w:p>
        </w:tc>
        <w:tc>
          <w:tcPr>
            <w:tcW w:w="1762" w:type="dxa"/>
            <w:tcBorders>
              <w:top w:val="single" w:sz="2" w:space="0" w:color="1A56DB"/>
              <w:start w:val="single" w:sz="2" w:space="0" w:color="1A56DB"/>
              <w:bottom w:val="single" w:sz="2" w:space="0" w:color="1A56DB"/>
              <w:end w:val="single" w:sz="2" w:space="0" w:color="1A56DB"/>
            </w:tcBorders>
            <w:shd w:fill="1A56DB" w:val="clear"/>
            <w:vAlign w:val="center"/>
          </w:tcPr>
          <w:p>
            <w:pPr>
              <w:pStyle w:val="Normal"/>
              <w:jc w:val="center"/>
              <w:rPr/>
            </w:pPr>
            <w:r>
              <w:rPr>
                <w:rFonts w:eastAsia="Arial" w:cs="Arial"/>
                <w:b/>
                <w:bCs/>
                <w:color w:val="FFFFFF"/>
                <w:sz w:val="19"/>
                <w:szCs w:val="19"/>
              </w:rPr>
              <w:t>To State</w:t>
            </w:r>
          </w:p>
        </w:tc>
        <w:tc>
          <w:tcPr>
            <w:tcW w:w="3400" w:type="dxa"/>
            <w:tcBorders>
              <w:top w:val="single" w:sz="2" w:space="0" w:color="1A56DB"/>
              <w:start w:val="single" w:sz="2" w:space="0" w:color="1A56DB"/>
              <w:bottom w:val="single" w:sz="2" w:space="0" w:color="1A56DB"/>
              <w:end w:val="single" w:sz="2" w:space="0" w:color="1A56DB"/>
            </w:tcBorders>
            <w:shd w:fill="1A56DB" w:val="clear"/>
            <w:vAlign w:val="center"/>
          </w:tcPr>
          <w:p>
            <w:pPr>
              <w:pStyle w:val="Normal"/>
              <w:jc w:val="center"/>
              <w:rPr/>
            </w:pPr>
            <w:r>
              <w:rPr>
                <w:rFonts w:eastAsia="Arial" w:cs="Arial"/>
                <w:b/>
                <w:bCs/>
                <w:color w:val="FFFFFF"/>
                <w:sz w:val="19"/>
                <w:szCs w:val="19"/>
              </w:rPr>
              <w:t>Side Effects / Notes</w:t>
            </w:r>
          </w:p>
        </w:tc>
      </w:tr>
      <w:tr>
        <w:trPr/>
        <w:tc>
          <w:tcPr>
            <w:tcW w:w="1798"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bCs/>
                <w:color w:val="1A1A2E"/>
                <w:sz w:val="19"/>
                <w:szCs w:val="19"/>
              </w:rPr>
              <w:t>draft</w:t>
            </w:r>
          </w:p>
        </w:tc>
        <w:tc>
          <w:tcPr>
            <w:tcW w:w="24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User submits scan job creation form</w:t>
            </w:r>
          </w:p>
        </w:tc>
        <w:tc>
          <w:tcPr>
            <w:tcW w:w="1762"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active</w:t>
            </w:r>
          </w:p>
        </w:tc>
        <w:tc>
          <w:tcPr>
            <w:tcW w:w="34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Hangfire recurring job registered at plan cadence. First run dispatched immediately.</w:t>
            </w:r>
          </w:p>
        </w:tc>
      </w:tr>
      <w:tr>
        <w:trPr/>
        <w:tc>
          <w:tcPr>
            <w:tcW w:w="1798"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bCs/>
                <w:color w:val="1A1A2E"/>
                <w:sz w:val="19"/>
                <w:szCs w:val="19"/>
              </w:rPr>
              <w:t>active</w:t>
            </w:r>
          </w:p>
        </w:tc>
        <w:tc>
          <w:tcPr>
            <w:tcW w:w="24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color w:val="1A1A2E"/>
                <w:sz w:val="19"/>
                <w:szCs w:val="19"/>
              </w:rPr>
              <w:t>Scheduled cadence fires</w:t>
            </w:r>
          </w:p>
        </w:tc>
        <w:tc>
          <w:tcPr>
            <w:tcW w:w="1762"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color w:val="1A1A2E"/>
                <w:sz w:val="19"/>
                <w:szCs w:val="19"/>
              </w:rPr>
              <w:t>running</w:t>
            </w:r>
          </w:p>
        </w:tc>
        <w:tc>
          <w:tcPr>
            <w:tcW w:w="34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color w:val="1A1A2E"/>
                <w:sz w:val="19"/>
                <w:szCs w:val="19"/>
              </w:rPr>
              <w:t>Ingestion worker dispatched. Returns to active on run completion.</w:t>
            </w:r>
          </w:p>
        </w:tc>
      </w:tr>
      <w:tr>
        <w:trPr/>
        <w:tc>
          <w:tcPr>
            <w:tcW w:w="1798"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bCs/>
                <w:color w:val="1A1A2E"/>
                <w:sz w:val="19"/>
                <w:szCs w:val="19"/>
              </w:rPr>
              <w:t>active</w:t>
            </w:r>
          </w:p>
        </w:tc>
        <w:tc>
          <w:tcPr>
            <w:tcW w:w="24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User pauses scan job</w:t>
            </w:r>
          </w:p>
        </w:tc>
        <w:tc>
          <w:tcPr>
            <w:tcW w:w="1762"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paused</w:t>
            </w:r>
          </w:p>
        </w:tc>
        <w:tc>
          <w:tcPr>
            <w:tcW w:w="34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Hangfire recurring job suspended. No further runs until explicitly resumed.</w:t>
            </w:r>
          </w:p>
        </w:tc>
      </w:tr>
      <w:tr>
        <w:trPr/>
        <w:tc>
          <w:tcPr>
            <w:tcW w:w="1798"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bCs/>
                <w:color w:val="1A1A2E"/>
                <w:sz w:val="19"/>
                <w:szCs w:val="19"/>
              </w:rPr>
              <w:t>active</w:t>
            </w:r>
          </w:p>
        </w:tc>
        <w:tc>
          <w:tcPr>
            <w:tcW w:w="24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color w:val="1A1A2E"/>
                <w:sz w:val="19"/>
                <w:szCs w:val="19"/>
              </w:rPr>
              <w:t>Circuit breaker opens for this retailer</w:t>
            </w:r>
          </w:p>
        </w:tc>
        <w:tc>
          <w:tcPr>
            <w:tcW w:w="1762"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color w:val="1A1A2E"/>
                <w:sz w:val="19"/>
                <w:szCs w:val="19"/>
              </w:rPr>
              <w:t>suspended</w:t>
            </w:r>
          </w:p>
        </w:tc>
        <w:tc>
          <w:tcPr>
            <w:tcW w:w="34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color w:val="1A1A2E"/>
                <w:sz w:val="19"/>
                <w:szCs w:val="19"/>
              </w:rPr>
              <w:t>Job automatically suspended. User notified. Auto-resumes when circuit closes.</w:t>
            </w:r>
          </w:p>
        </w:tc>
      </w:tr>
      <w:tr>
        <w:trPr/>
        <w:tc>
          <w:tcPr>
            <w:tcW w:w="1798"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bCs/>
                <w:color w:val="1A1A2E"/>
                <w:sz w:val="19"/>
                <w:szCs w:val="19"/>
              </w:rPr>
              <w:t>active</w:t>
            </w:r>
          </w:p>
        </w:tc>
        <w:tc>
          <w:tcPr>
            <w:tcW w:w="24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Plan downgraded — job count exceeds new plan limit</w:t>
            </w:r>
          </w:p>
        </w:tc>
        <w:tc>
          <w:tcPr>
            <w:tcW w:w="1762"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over_limit</w:t>
            </w:r>
          </w:p>
        </w:tc>
        <w:tc>
          <w:tcPr>
            <w:tcW w:w="34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Oldest excess jobs transitioned to over_limit. User prompted to deactivate or upgrade.</w:t>
            </w:r>
          </w:p>
        </w:tc>
      </w:tr>
      <w:tr>
        <w:trPr/>
        <w:tc>
          <w:tcPr>
            <w:tcW w:w="1798"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bCs/>
                <w:color w:val="1A1A2E"/>
                <w:sz w:val="19"/>
                <w:szCs w:val="19"/>
              </w:rPr>
              <w:t>active</w:t>
            </w:r>
          </w:p>
        </w:tc>
        <w:tc>
          <w:tcPr>
            <w:tcW w:w="24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color w:val="1A1A2E"/>
                <w:sz w:val="19"/>
                <w:szCs w:val="19"/>
              </w:rPr>
              <w:t>Plan cadence changes (upgrade or downgrade)</w:t>
            </w:r>
          </w:p>
        </w:tc>
        <w:tc>
          <w:tcPr>
            <w:tcW w:w="1762"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color w:val="1A1A2E"/>
                <w:sz w:val="19"/>
                <w:szCs w:val="19"/>
              </w:rPr>
              <w:t>active</w:t>
            </w:r>
          </w:p>
        </w:tc>
        <w:tc>
          <w:tcPr>
            <w:tcW w:w="34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color w:val="1A1A2E"/>
                <w:sz w:val="19"/>
                <w:szCs w:val="19"/>
              </w:rPr>
              <w:t>Hangfire schedule updated. No interruption to any in-progress run.</w:t>
            </w:r>
          </w:p>
        </w:tc>
      </w:tr>
      <w:tr>
        <w:trPr/>
        <w:tc>
          <w:tcPr>
            <w:tcW w:w="1798"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bCs/>
                <w:color w:val="1A1A2E"/>
                <w:sz w:val="19"/>
                <w:szCs w:val="19"/>
              </w:rPr>
              <w:t>paused</w:t>
            </w:r>
          </w:p>
        </w:tc>
        <w:tc>
          <w:tcPr>
            <w:tcW w:w="24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User resumes scan job</w:t>
            </w:r>
          </w:p>
        </w:tc>
        <w:tc>
          <w:tcPr>
            <w:tcW w:w="1762"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active</w:t>
            </w:r>
          </w:p>
        </w:tc>
        <w:tc>
          <w:tcPr>
            <w:tcW w:w="34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Hangfire recurring job re-registered at current plan cadence.</w:t>
            </w:r>
          </w:p>
        </w:tc>
      </w:tr>
      <w:tr>
        <w:trPr/>
        <w:tc>
          <w:tcPr>
            <w:tcW w:w="1798"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bCs/>
                <w:color w:val="1A1A2E"/>
                <w:sz w:val="19"/>
                <w:szCs w:val="19"/>
              </w:rPr>
              <w:t>suspended</w:t>
            </w:r>
          </w:p>
        </w:tc>
        <w:tc>
          <w:tcPr>
            <w:tcW w:w="24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color w:val="1A1A2E"/>
                <w:sz w:val="19"/>
                <w:szCs w:val="19"/>
              </w:rPr>
              <w:t>Circuit breaker closes</w:t>
            </w:r>
          </w:p>
        </w:tc>
        <w:tc>
          <w:tcPr>
            <w:tcW w:w="1762"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color w:val="1A1A2E"/>
                <w:sz w:val="19"/>
                <w:szCs w:val="19"/>
              </w:rPr>
              <w:t>active</w:t>
            </w:r>
          </w:p>
        </w:tc>
        <w:tc>
          <w:tcPr>
            <w:tcW w:w="34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color w:val="1A1A2E"/>
                <w:sz w:val="19"/>
                <w:szCs w:val="19"/>
              </w:rPr>
              <w:t>Automatic resumption. User notified of recovery.</w:t>
            </w:r>
          </w:p>
        </w:tc>
      </w:tr>
      <w:tr>
        <w:trPr/>
        <w:tc>
          <w:tcPr>
            <w:tcW w:w="1798"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bCs/>
                <w:color w:val="1A1A2E"/>
                <w:sz w:val="19"/>
                <w:szCs w:val="19"/>
              </w:rPr>
              <w:t>over_limit</w:t>
            </w:r>
          </w:p>
        </w:tc>
        <w:tc>
          <w:tcPr>
            <w:tcW w:w="24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User deactivates another job (drops below plan limit)</w:t>
            </w:r>
          </w:p>
        </w:tc>
        <w:tc>
          <w:tcPr>
            <w:tcW w:w="1762"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active</w:t>
            </w:r>
          </w:p>
        </w:tc>
        <w:tc>
          <w:tcPr>
            <w:tcW w:w="34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FIFO reactivation. Hangfire job re-registered.</w:t>
            </w:r>
          </w:p>
        </w:tc>
      </w:tr>
      <w:tr>
        <w:trPr/>
        <w:tc>
          <w:tcPr>
            <w:tcW w:w="1798"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bCs/>
                <w:color w:val="1A1A2E"/>
                <w:sz w:val="19"/>
                <w:szCs w:val="19"/>
              </w:rPr>
              <w:t>active</w:t>
            </w:r>
          </w:p>
        </w:tc>
        <w:tc>
          <w:tcPr>
            <w:tcW w:w="24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color w:val="1A1A2E"/>
                <w:sz w:val="19"/>
                <w:szCs w:val="19"/>
              </w:rPr>
              <w:t>User deactivates scan job</w:t>
            </w:r>
          </w:p>
        </w:tc>
        <w:tc>
          <w:tcPr>
            <w:tcW w:w="1762"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color w:val="1A1A2E"/>
                <w:sz w:val="19"/>
                <w:szCs w:val="19"/>
              </w:rPr>
              <w:t>inactive</w:t>
            </w:r>
          </w:p>
        </w:tc>
        <w:tc>
          <w:tcPr>
            <w:tcW w:w="34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color w:val="1A1A2E"/>
                <w:sz w:val="19"/>
                <w:szCs w:val="19"/>
              </w:rPr>
              <w:t>Hangfire job removed. Historical price data retained. Job reactivatable.</w:t>
            </w:r>
          </w:p>
        </w:tc>
      </w:tr>
      <w:tr>
        <w:trPr/>
        <w:tc>
          <w:tcPr>
            <w:tcW w:w="1798"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bCs/>
                <w:color w:val="1A1A2E"/>
                <w:sz w:val="19"/>
                <w:szCs w:val="19"/>
              </w:rPr>
              <w:t>inactive</w:t>
            </w:r>
          </w:p>
        </w:tc>
        <w:tc>
          <w:tcPr>
            <w:tcW w:w="24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User reactivates</w:t>
            </w:r>
          </w:p>
        </w:tc>
        <w:tc>
          <w:tcPr>
            <w:tcW w:w="1762"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active</w:t>
            </w:r>
          </w:p>
        </w:tc>
        <w:tc>
          <w:tcPr>
            <w:tcW w:w="34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Hangfire job re-registered. Previous price history retained.</w:t>
            </w:r>
          </w:p>
        </w:tc>
      </w:tr>
      <w:tr>
        <w:trPr/>
        <w:tc>
          <w:tcPr>
            <w:tcW w:w="1798"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bCs/>
                <w:color w:val="1A1A2E"/>
                <w:sz w:val="19"/>
                <w:szCs w:val="19"/>
              </w:rPr>
              <w:t>any</w:t>
            </w:r>
          </w:p>
        </w:tc>
        <w:tc>
          <w:tcPr>
            <w:tcW w:w="24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color w:val="1A1A2E"/>
                <w:sz w:val="19"/>
                <w:szCs w:val="19"/>
              </w:rPr>
              <w:t>User deletes scan job</w:t>
            </w:r>
          </w:p>
        </w:tc>
        <w:tc>
          <w:tcPr>
            <w:tcW w:w="1762"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color w:val="1A1A2E"/>
                <w:sz w:val="19"/>
                <w:szCs w:val="19"/>
              </w:rPr>
              <w:t>deleted</w:t>
            </w:r>
          </w:p>
        </w:tc>
        <w:tc>
          <w:tcPr>
            <w:tcW w:w="34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color w:val="1A1A2E"/>
                <w:sz w:val="19"/>
                <w:szCs w:val="19"/>
              </w:rPr>
              <w:t>Soft delete. Hangfire job removed. Price data retained 12 months then purged.</w:t>
            </w:r>
          </w:p>
        </w:tc>
      </w:tr>
    </w:tbl>
    <w:p>
      <w:pPr>
        <w:pStyle w:val="Normal"/>
        <w:spacing w:before="0" w:after="0"/>
        <w:rPr/>
      </w:pPr>
      <w:r>
        <w:rPr/>
      </w:r>
    </w:p>
    <w:p>
      <w:pPr>
        <w:pStyle w:val="Heading3"/>
        <w:spacing w:before="200" w:after="80"/>
        <w:rPr/>
      </w:pPr>
      <w:r>
        <w:rPr>
          <w:rFonts w:eastAsia="Arial" w:cs="Arial"/>
          <w:b/>
          <w:bCs/>
          <w:color w:val="1A56DB"/>
          <w:sz w:val="22"/>
          <w:szCs w:val="22"/>
        </w:rPr>
        <w:t>5.8.3  SKU / Catalogue Entry Lifecycle</w:t>
      </w:r>
    </w:p>
    <w:p>
      <w:pPr>
        <w:pStyle w:val="Normal"/>
        <w:spacing w:before="60" w:after="60"/>
        <w:rPr/>
      </w:pPr>
      <w:r>
        <w:rPr>
          <w:rFonts w:eastAsia="Arial" w:cs="Arial"/>
          <w:color w:val="1A1A2E"/>
          <w:sz w:val="22"/>
          <w:szCs w:val="22"/>
        </w:rPr>
        <w:t>A SKU is system-created on first ingestion and progresses through scoring eligibility states. Lifecycle determines High Opportunity pool membership and catalogue visibility.</w:t>
      </w:r>
    </w:p>
    <w:p>
      <w:pPr>
        <w:pStyle w:val="Normal"/>
        <w:spacing w:before="0" w:after="0"/>
        <w:rPr/>
      </w:pPr>
      <w:r>
        <w:rPr/>
      </w:r>
    </w:p>
    <w:tbl>
      <w:tblPr>
        <w:tblW w:w="9360" w:type="dxa"/>
        <w:jc w:val="start"/>
        <w:tblInd w:w="0" w:type="dxa"/>
        <w:tblLayout w:type="fixed"/>
        <w:tblCellMar>
          <w:top w:w="100" w:type="dxa"/>
          <w:start w:w="140" w:type="dxa"/>
          <w:bottom w:w="100" w:type="dxa"/>
          <w:end w:w="140" w:type="dxa"/>
        </w:tblCellMar>
      </w:tblPr>
      <w:tblGrid>
        <w:gridCol w:w="1798"/>
        <w:gridCol w:w="2400"/>
        <w:gridCol w:w="1762"/>
        <w:gridCol w:w="3400"/>
      </w:tblGrid>
      <w:tr>
        <w:trPr>
          <w:tblHeader w:val="true"/>
        </w:trPr>
        <w:tc>
          <w:tcPr>
            <w:tcW w:w="1798" w:type="dxa"/>
            <w:tcBorders>
              <w:top w:val="single" w:sz="2" w:space="0" w:color="1A56DB"/>
              <w:start w:val="single" w:sz="2" w:space="0" w:color="1A56DB"/>
              <w:bottom w:val="single" w:sz="2" w:space="0" w:color="1A56DB"/>
              <w:end w:val="single" w:sz="2" w:space="0" w:color="1A56DB"/>
            </w:tcBorders>
            <w:shd w:fill="1A56DB" w:val="clear"/>
            <w:vAlign w:val="center"/>
          </w:tcPr>
          <w:p>
            <w:pPr>
              <w:pStyle w:val="Normal"/>
              <w:jc w:val="center"/>
              <w:rPr/>
            </w:pPr>
            <w:r>
              <w:rPr>
                <w:rFonts w:eastAsia="Arial" w:cs="Arial"/>
                <w:b/>
                <w:bCs/>
                <w:color w:val="FFFFFF"/>
                <w:sz w:val="19"/>
                <w:szCs w:val="19"/>
              </w:rPr>
              <w:t>From State</w:t>
            </w:r>
          </w:p>
        </w:tc>
        <w:tc>
          <w:tcPr>
            <w:tcW w:w="2400" w:type="dxa"/>
            <w:tcBorders>
              <w:top w:val="single" w:sz="2" w:space="0" w:color="1A56DB"/>
              <w:start w:val="single" w:sz="2" w:space="0" w:color="1A56DB"/>
              <w:bottom w:val="single" w:sz="2" w:space="0" w:color="1A56DB"/>
              <w:end w:val="single" w:sz="2" w:space="0" w:color="1A56DB"/>
            </w:tcBorders>
            <w:shd w:fill="1A56DB" w:val="clear"/>
            <w:vAlign w:val="center"/>
          </w:tcPr>
          <w:p>
            <w:pPr>
              <w:pStyle w:val="Normal"/>
              <w:jc w:val="center"/>
              <w:rPr/>
            </w:pPr>
            <w:r>
              <w:rPr>
                <w:rFonts w:eastAsia="Arial" w:cs="Arial"/>
                <w:b/>
                <w:bCs/>
                <w:color w:val="FFFFFF"/>
                <w:sz w:val="19"/>
                <w:szCs w:val="19"/>
              </w:rPr>
              <w:t>Trigger</w:t>
            </w:r>
          </w:p>
        </w:tc>
        <w:tc>
          <w:tcPr>
            <w:tcW w:w="1762" w:type="dxa"/>
            <w:tcBorders>
              <w:top w:val="single" w:sz="2" w:space="0" w:color="1A56DB"/>
              <w:start w:val="single" w:sz="2" w:space="0" w:color="1A56DB"/>
              <w:bottom w:val="single" w:sz="2" w:space="0" w:color="1A56DB"/>
              <w:end w:val="single" w:sz="2" w:space="0" w:color="1A56DB"/>
            </w:tcBorders>
            <w:shd w:fill="1A56DB" w:val="clear"/>
            <w:vAlign w:val="center"/>
          </w:tcPr>
          <w:p>
            <w:pPr>
              <w:pStyle w:val="Normal"/>
              <w:jc w:val="center"/>
              <w:rPr/>
            </w:pPr>
            <w:r>
              <w:rPr>
                <w:rFonts w:eastAsia="Arial" w:cs="Arial"/>
                <w:b/>
                <w:bCs/>
                <w:color w:val="FFFFFF"/>
                <w:sz w:val="19"/>
                <w:szCs w:val="19"/>
              </w:rPr>
              <w:t>To State</w:t>
            </w:r>
          </w:p>
        </w:tc>
        <w:tc>
          <w:tcPr>
            <w:tcW w:w="3400" w:type="dxa"/>
            <w:tcBorders>
              <w:top w:val="single" w:sz="2" w:space="0" w:color="1A56DB"/>
              <w:start w:val="single" w:sz="2" w:space="0" w:color="1A56DB"/>
              <w:bottom w:val="single" w:sz="2" w:space="0" w:color="1A56DB"/>
              <w:end w:val="single" w:sz="2" w:space="0" w:color="1A56DB"/>
            </w:tcBorders>
            <w:shd w:fill="1A56DB" w:val="clear"/>
            <w:vAlign w:val="center"/>
          </w:tcPr>
          <w:p>
            <w:pPr>
              <w:pStyle w:val="Normal"/>
              <w:jc w:val="center"/>
              <w:rPr/>
            </w:pPr>
            <w:r>
              <w:rPr>
                <w:rFonts w:eastAsia="Arial" w:cs="Arial"/>
                <w:b/>
                <w:bCs/>
                <w:color w:val="FFFFFF"/>
                <w:sz w:val="19"/>
                <w:szCs w:val="19"/>
              </w:rPr>
              <w:t>Side Effects / Notes</w:t>
            </w:r>
          </w:p>
        </w:tc>
      </w:tr>
      <w:tr>
        <w:trPr/>
        <w:tc>
          <w:tcPr>
            <w:tcW w:w="1798"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bCs/>
                <w:color w:val="1A1A2E"/>
                <w:sz w:val="19"/>
                <w:szCs w:val="19"/>
              </w:rPr>
              <w:t>discovered</w:t>
            </w:r>
          </w:p>
        </w:tc>
        <w:tc>
          <w:tcPr>
            <w:tcW w:w="24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First price_event ingested for this SKU</w:t>
            </w:r>
          </w:p>
        </w:tc>
        <w:tc>
          <w:tcPr>
            <w:tcW w:w="1762"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active</w:t>
            </w:r>
          </w:p>
        </w:tc>
        <w:tc>
          <w:tcPr>
            <w:tcW w:w="34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SKU record created in catalogue.skus. composite_score = NULL. confidence = insufficient.</w:t>
            </w:r>
          </w:p>
        </w:tc>
      </w:tr>
      <w:tr>
        <w:trPr/>
        <w:tc>
          <w:tcPr>
            <w:tcW w:w="1798"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bCs/>
                <w:color w:val="1A1A2E"/>
                <w:sz w:val="19"/>
                <w:szCs w:val="19"/>
              </w:rPr>
              <w:t>active</w:t>
            </w:r>
          </w:p>
        </w:tc>
        <w:tc>
          <w:tcPr>
            <w:tcW w:w="24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color w:val="1A1A2E"/>
                <w:sz w:val="19"/>
                <w:szCs w:val="19"/>
              </w:rPr>
              <w:t>Nightly scoring job; deal_event_count &gt;= 2</w:t>
            </w:r>
          </w:p>
        </w:tc>
        <w:tc>
          <w:tcPr>
            <w:tcW w:w="1762"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color w:val="1A1A2E"/>
                <w:sz w:val="19"/>
                <w:szCs w:val="19"/>
              </w:rPr>
              <w:t>scoring_eligible</w:t>
            </w:r>
          </w:p>
        </w:tc>
        <w:tc>
          <w:tcPr>
            <w:tcW w:w="34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color w:val="1A1A2E"/>
                <w:sz w:val="19"/>
                <w:szCs w:val="19"/>
              </w:rPr>
              <w:t>Score computed and stored. Confidence set to low, medium, or high per threshold table (Appendix C.5 of PRD).</w:t>
            </w:r>
          </w:p>
        </w:tc>
      </w:tr>
      <w:tr>
        <w:trPr/>
        <w:tc>
          <w:tcPr>
            <w:tcW w:w="1798"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bCs/>
                <w:color w:val="1A1A2E"/>
                <w:sz w:val="19"/>
                <w:szCs w:val="19"/>
              </w:rPr>
              <w:t>active</w:t>
            </w:r>
          </w:p>
        </w:tc>
        <w:tc>
          <w:tcPr>
            <w:tcW w:w="24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Nightly scoring job; deal_event_count &lt; 2</w:t>
            </w:r>
          </w:p>
        </w:tc>
        <w:tc>
          <w:tcPr>
            <w:tcW w:w="1762"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active (insufficient)</w:t>
            </w:r>
          </w:p>
        </w:tc>
        <w:tc>
          <w:tcPr>
            <w:tcW w:w="34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Score suppressed. Confidence = insufficient. SKU visible in catalogue but score not displayed.</w:t>
            </w:r>
          </w:p>
        </w:tc>
      </w:tr>
      <w:tr>
        <w:trPr/>
        <w:tc>
          <w:tcPr>
            <w:tcW w:w="1798"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bCs/>
                <w:color w:val="1A1A2E"/>
                <w:sz w:val="19"/>
                <w:szCs w:val="19"/>
              </w:rPr>
              <w:t>scoring_eligible</w:t>
            </w:r>
          </w:p>
        </w:tc>
        <w:tc>
          <w:tcPr>
            <w:tcW w:w="24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color w:val="1A1A2E"/>
                <w:sz w:val="19"/>
                <w:szCs w:val="19"/>
              </w:rPr>
              <w:t>Score &gt;= 80th pct for 3 consecutive nightly runs</w:t>
            </w:r>
          </w:p>
        </w:tc>
        <w:tc>
          <w:tcPr>
            <w:tcW w:w="1762"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color w:val="1A1A2E"/>
                <w:sz w:val="19"/>
                <w:szCs w:val="19"/>
              </w:rPr>
              <w:t>high_opportunity</w:t>
            </w:r>
          </w:p>
        </w:tc>
        <w:tc>
          <w:tcPr>
            <w:tcW w:w="34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color w:val="1A1A2E"/>
                <w:sz w:val="19"/>
                <w:szCs w:val="19"/>
              </w:rPr>
              <w:t>high_opportunity = true. Badge displayed in catalogue.</w:t>
            </w:r>
          </w:p>
        </w:tc>
      </w:tr>
      <w:tr>
        <w:trPr/>
        <w:tc>
          <w:tcPr>
            <w:tcW w:w="1798"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bCs/>
                <w:color w:val="1A1A2E"/>
                <w:sz w:val="19"/>
                <w:szCs w:val="19"/>
              </w:rPr>
              <w:t>high_opportunity</w:t>
            </w:r>
          </w:p>
        </w:tc>
        <w:tc>
          <w:tcPr>
            <w:tcW w:w="24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Score &lt; 75th pct for 3 consecutive runs</w:t>
            </w:r>
          </w:p>
        </w:tc>
        <w:tc>
          <w:tcPr>
            <w:tcW w:w="1762"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scoring_eligible</w:t>
            </w:r>
          </w:p>
        </w:tc>
        <w:tc>
          <w:tcPr>
            <w:tcW w:w="34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high_opportunity = false. Badge removed. Hysteresis band prevents flickering.</w:t>
            </w:r>
          </w:p>
        </w:tc>
      </w:tr>
      <w:tr>
        <w:trPr/>
        <w:tc>
          <w:tcPr>
            <w:tcW w:w="1798"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bCs/>
                <w:color w:val="1A1A2E"/>
                <w:sz w:val="19"/>
                <w:szCs w:val="19"/>
              </w:rPr>
              <w:t>active</w:t>
            </w:r>
          </w:p>
        </w:tc>
        <w:tc>
          <w:tcPr>
            <w:tcW w:w="24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color w:val="1A1A2E"/>
                <w:sz w:val="19"/>
                <w:szCs w:val="19"/>
              </w:rPr>
              <w:t>No deal event in trailing 30 days</w:t>
            </w:r>
          </w:p>
        </w:tc>
        <w:tc>
          <w:tcPr>
            <w:tcW w:w="1762"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color w:val="1A1A2E"/>
                <w:sz w:val="19"/>
                <w:szCs w:val="19"/>
              </w:rPr>
              <w:t>stale</w:t>
            </w:r>
          </w:p>
        </w:tc>
        <w:tc>
          <w:tcPr>
            <w:tcW w:w="34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color w:val="1A1A2E"/>
                <w:sz w:val="19"/>
                <w:szCs w:val="19"/>
              </w:rPr>
              <w:t>is_stale = true. Excluded from High Opportunity pool. Score shown with stale label in UI.</w:t>
            </w:r>
          </w:p>
        </w:tc>
      </w:tr>
      <w:tr>
        <w:trPr/>
        <w:tc>
          <w:tcPr>
            <w:tcW w:w="1798"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bCs/>
                <w:color w:val="1A1A2E"/>
                <w:sz w:val="19"/>
                <w:szCs w:val="19"/>
              </w:rPr>
              <w:t>stale</w:t>
            </w:r>
          </w:p>
        </w:tc>
        <w:tc>
          <w:tcPr>
            <w:tcW w:w="24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New deal event received</w:t>
            </w:r>
          </w:p>
        </w:tc>
        <w:tc>
          <w:tcPr>
            <w:tcW w:w="1762"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active</w:t>
            </w:r>
          </w:p>
        </w:tc>
        <w:tc>
          <w:tcPr>
            <w:tcW w:w="34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is_stale cleared. Re-enters scoring eligibility at next nightly run.</w:t>
            </w:r>
          </w:p>
        </w:tc>
      </w:tr>
      <w:tr>
        <w:trPr/>
        <w:tc>
          <w:tcPr>
            <w:tcW w:w="1798"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bCs/>
                <w:color w:val="1A1A2E"/>
                <w:sz w:val="19"/>
                <w:szCs w:val="19"/>
              </w:rPr>
              <w:t>stale</w:t>
            </w:r>
          </w:p>
        </w:tc>
        <w:tc>
          <w:tcPr>
            <w:tcW w:w="24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color w:val="1A1A2E"/>
                <w:sz w:val="19"/>
                <w:szCs w:val="19"/>
              </w:rPr>
              <w:t>No deal event for 90 days</w:t>
            </w:r>
          </w:p>
        </w:tc>
        <w:tc>
          <w:tcPr>
            <w:tcW w:w="1762"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color w:val="1A1A2E"/>
                <w:sz w:val="19"/>
                <w:szCs w:val="19"/>
              </w:rPr>
              <w:t>archived</w:t>
            </w:r>
          </w:p>
        </w:tc>
        <w:tc>
          <w:tcPr>
            <w:tcW w:w="34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color w:val="1A1A2E"/>
                <w:sz w:val="19"/>
                <w:szCs w:val="19"/>
              </w:rPr>
              <w:t>Hidden from catalogue browsing by default. Accessible via explicit search. Score frozen.</w:t>
            </w:r>
          </w:p>
        </w:tc>
      </w:tr>
      <w:tr>
        <w:trPr/>
        <w:tc>
          <w:tcPr>
            <w:tcW w:w="1798"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bCs/>
                <w:color w:val="1A1A2E"/>
                <w:sz w:val="19"/>
                <w:szCs w:val="19"/>
              </w:rPr>
              <w:t>archived</w:t>
            </w:r>
          </w:p>
        </w:tc>
        <w:tc>
          <w:tcPr>
            <w:tcW w:w="24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New deal event received</w:t>
            </w:r>
          </w:p>
        </w:tc>
        <w:tc>
          <w:tcPr>
            <w:tcW w:w="1762"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active</w:t>
            </w:r>
          </w:p>
        </w:tc>
        <w:tc>
          <w:tcPr>
            <w:tcW w:w="34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is_stale and is_archived cleared. Re-enters normal lifecycle.</w:t>
            </w:r>
          </w:p>
        </w:tc>
      </w:tr>
    </w:tbl>
    <w:p>
      <w:pPr>
        <w:pStyle w:val="Normal"/>
        <w:spacing w:before="0" w:after="0"/>
        <w:rPr/>
      </w:pPr>
      <w:r>
        <w:rPr/>
      </w:r>
    </w:p>
    <w:p>
      <w:pPr>
        <w:pStyle w:val="Heading3"/>
        <w:spacing w:before="200" w:after="80"/>
        <w:rPr/>
      </w:pPr>
      <w:r>
        <w:rPr>
          <w:rFonts w:eastAsia="Arial" w:cs="Arial"/>
          <w:b/>
          <w:bCs/>
          <w:color w:val="1A56DB"/>
          <w:sz w:val="22"/>
          <w:szCs w:val="22"/>
        </w:rPr>
        <w:t>5.8.4  Notification Delivery Lifecycle</w:t>
      </w:r>
    </w:p>
    <w:p>
      <w:pPr>
        <w:pStyle w:val="Normal"/>
        <w:spacing w:before="60" w:after="60"/>
        <w:rPr/>
      </w:pPr>
      <w:r>
        <w:rPr>
          <w:rFonts w:eastAsia="Arial" w:cs="Arial"/>
          <w:color w:val="1A1A2E"/>
          <w:sz w:val="22"/>
          <w:szCs w:val="22"/>
        </w:rPr>
        <w:t>Each notification attempt has a delivery lifecycle with channel-level fallback. Notification Service manages state per notification per channel. Delivered when at least one channel succeeds.</w:t>
      </w:r>
    </w:p>
    <w:p>
      <w:pPr>
        <w:pStyle w:val="Normal"/>
        <w:spacing w:before="0" w:after="0"/>
        <w:rPr/>
      </w:pPr>
      <w:r>
        <w:rPr/>
      </w:r>
    </w:p>
    <w:tbl>
      <w:tblPr>
        <w:tblW w:w="9360" w:type="dxa"/>
        <w:jc w:val="start"/>
        <w:tblInd w:w="0" w:type="dxa"/>
        <w:tblLayout w:type="fixed"/>
        <w:tblCellMar>
          <w:top w:w="100" w:type="dxa"/>
          <w:start w:w="140" w:type="dxa"/>
          <w:bottom w:w="100" w:type="dxa"/>
          <w:end w:w="140" w:type="dxa"/>
        </w:tblCellMar>
      </w:tblPr>
      <w:tblGrid>
        <w:gridCol w:w="1798"/>
        <w:gridCol w:w="2400"/>
        <w:gridCol w:w="1762"/>
        <w:gridCol w:w="3400"/>
      </w:tblGrid>
      <w:tr>
        <w:trPr>
          <w:tblHeader w:val="true"/>
        </w:trPr>
        <w:tc>
          <w:tcPr>
            <w:tcW w:w="1798" w:type="dxa"/>
            <w:tcBorders>
              <w:top w:val="single" w:sz="2" w:space="0" w:color="1A56DB"/>
              <w:start w:val="single" w:sz="2" w:space="0" w:color="1A56DB"/>
              <w:bottom w:val="single" w:sz="2" w:space="0" w:color="1A56DB"/>
              <w:end w:val="single" w:sz="2" w:space="0" w:color="1A56DB"/>
            </w:tcBorders>
            <w:shd w:fill="1A56DB" w:val="clear"/>
            <w:vAlign w:val="center"/>
          </w:tcPr>
          <w:p>
            <w:pPr>
              <w:pStyle w:val="Normal"/>
              <w:jc w:val="center"/>
              <w:rPr/>
            </w:pPr>
            <w:r>
              <w:rPr>
                <w:rFonts w:eastAsia="Arial" w:cs="Arial"/>
                <w:b/>
                <w:bCs/>
                <w:color w:val="FFFFFF"/>
                <w:sz w:val="19"/>
                <w:szCs w:val="19"/>
              </w:rPr>
              <w:t>From State</w:t>
            </w:r>
          </w:p>
        </w:tc>
        <w:tc>
          <w:tcPr>
            <w:tcW w:w="2400" w:type="dxa"/>
            <w:tcBorders>
              <w:top w:val="single" w:sz="2" w:space="0" w:color="1A56DB"/>
              <w:start w:val="single" w:sz="2" w:space="0" w:color="1A56DB"/>
              <w:bottom w:val="single" w:sz="2" w:space="0" w:color="1A56DB"/>
              <w:end w:val="single" w:sz="2" w:space="0" w:color="1A56DB"/>
            </w:tcBorders>
            <w:shd w:fill="1A56DB" w:val="clear"/>
            <w:vAlign w:val="center"/>
          </w:tcPr>
          <w:p>
            <w:pPr>
              <w:pStyle w:val="Normal"/>
              <w:jc w:val="center"/>
              <w:rPr/>
            </w:pPr>
            <w:r>
              <w:rPr>
                <w:rFonts w:eastAsia="Arial" w:cs="Arial"/>
                <w:b/>
                <w:bCs/>
                <w:color w:val="FFFFFF"/>
                <w:sz w:val="19"/>
                <w:szCs w:val="19"/>
              </w:rPr>
              <w:t>Trigger</w:t>
            </w:r>
          </w:p>
        </w:tc>
        <w:tc>
          <w:tcPr>
            <w:tcW w:w="1762" w:type="dxa"/>
            <w:tcBorders>
              <w:top w:val="single" w:sz="2" w:space="0" w:color="1A56DB"/>
              <w:start w:val="single" w:sz="2" w:space="0" w:color="1A56DB"/>
              <w:bottom w:val="single" w:sz="2" w:space="0" w:color="1A56DB"/>
              <w:end w:val="single" w:sz="2" w:space="0" w:color="1A56DB"/>
            </w:tcBorders>
            <w:shd w:fill="1A56DB" w:val="clear"/>
            <w:vAlign w:val="center"/>
          </w:tcPr>
          <w:p>
            <w:pPr>
              <w:pStyle w:val="Normal"/>
              <w:jc w:val="center"/>
              <w:rPr/>
            </w:pPr>
            <w:r>
              <w:rPr>
                <w:rFonts w:eastAsia="Arial" w:cs="Arial"/>
                <w:b/>
                <w:bCs/>
                <w:color w:val="FFFFFF"/>
                <w:sz w:val="19"/>
                <w:szCs w:val="19"/>
              </w:rPr>
              <w:t>To State</w:t>
            </w:r>
          </w:p>
        </w:tc>
        <w:tc>
          <w:tcPr>
            <w:tcW w:w="3400" w:type="dxa"/>
            <w:tcBorders>
              <w:top w:val="single" w:sz="2" w:space="0" w:color="1A56DB"/>
              <w:start w:val="single" w:sz="2" w:space="0" w:color="1A56DB"/>
              <w:bottom w:val="single" w:sz="2" w:space="0" w:color="1A56DB"/>
              <w:end w:val="single" w:sz="2" w:space="0" w:color="1A56DB"/>
            </w:tcBorders>
            <w:shd w:fill="1A56DB" w:val="clear"/>
            <w:vAlign w:val="center"/>
          </w:tcPr>
          <w:p>
            <w:pPr>
              <w:pStyle w:val="Normal"/>
              <w:jc w:val="center"/>
              <w:rPr/>
            </w:pPr>
            <w:r>
              <w:rPr>
                <w:rFonts w:eastAsia="Arial" w:cs="Arial"/>
                <w:b/>
                <w:bCs/>
                <w:color w:val="FFFFFF"/>
                <w:sz w:val="19"/>
                <w:szCs w:val="19"/>
              </w:rPr>
              <w:t>Side Effects / Notes</w:t>
            </w:r>
          </w:p>
        </w:tc>
      </w:tr>
      <w:tr>
        <w:trPr/>
        <w:tc>
          <w:tcPr>
            <w:tcW w:w="1798"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bCs/>
                <w:color w:val="1A1A2E"/>
                <w:sz w:val="19"/>
                <w:szCs w:val="19"/>
              </w:rPr>
              <w:t>pending</w:t>
            </w:r>
          </w:p>
        </w:tc>
        <w:tc>
          <w:tcPr>
            <w:tcW w:w="24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deal.surfaced event consumed from Event Bus</w:t>
            </w:r>
          </w:p>
        </w:tc>
        <w:tc>
          <w:tcPr>
            <w:tcW w:w="1762"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dispatching</w:t>
            </w:r>
          </w:p>
        </w:tc>
        <w:tc>
          <w:tcPr>
            <w:tcW w:w="34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Notification record created. In-app feed updated synchronously. Email and push dispatched asynchronously.</w:t>
            </w:r>
          </w:p>
        </w:tc>
      </w:tr>
      <w:tr>
        <w:trPr/>
        <w:tc>
          <w:tcPr>
            <w:tcW w:w="1798"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bCs/>
                <w:color w:val="1A1A2E"/>
                <w:sz w:val="19"/>
                <w:szCs w:val="19"/>
              </w:rPr>
              <w:t>dispatching</w:t>
            </w:r>
          </w:p>
        </w:tc>
        <w:tc>
          <w:tcPr>
            <w:tcW w:w="24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color w:val="1A1A2E"/>
                <w:sz w:val="19"/>
                <w:szCs w:val="19"/>
              </w:rPr>
              <w:t>In-app feed write succeeds</w:t>
            </w:r>
          </w:p>
        </w:tc>
        <w:tc>
          <w:tcPr>
            <w:tcW w:w="1762"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color w:val="1A1A2E"/>
                <w:sz w:val="19"/>
                <w:szCs w:val="19"/>
              </w:rPr>
              <w:t>in_app_delivered</w:t>
            </w:r>
          </w:p>
        </w:tc>
        <w:tc>
          <w:tcPr>
            <w:tcW w:w="34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color w:val="1A1A2E"/>
                <w:sz w:val="19"/>
                <w:szCs w:val="19"/>
              </w:rPr>
              <w:t>notification_log row inserted (channel=in_app, status=delivered). Always synchronous — no retry.</w:t>
            </w:r>
          </w:p>
        </w:tc>
      </w:tr>
      <w:tr>
        <w:trPr/>
        <w:tc>
          <w:tcPr>
            <w:tcW w:w="1798"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bCs/>
                <w:color w:val="1A1A2E"/>
                <w:sz w:val="19"/>
                <w:szCs w:val="19"/>
              </w:rPr>
              <w:t>dispatching</w:t>
            </w:r>
          </w:p>
        </w:tc>
        <w:tc>
          <w:tcPr>
            <w:tcW w:w="24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Push accepted by Web Push service</w:t>
            </w:r>
          </w:p>
        </w:tc>
        <w:tc>
          <w:tcPr>
            <w:tcW w:w="1762"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push_delivered</w:t>
            </w:r>
          </w:p>
        </w:tc>
        <w:tc>
          <w:tcPr>
            <w:tcW w:w="34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notification_log row inserted (status=delivered).</w:t>
            </w:r>
          </w:p>
        </w:tc>
      </w:tr>
      <w:tr>
        <w:trPr/>
        <w:tc>
          <w:tcPr>
            <w:tcW w:w="1798"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bCs/>
                <w:color w:val="1A1A2E"/>
                <w:sz w:val="19"/>
                <w:szCs w:val="19"/>
              </w:rPr>
              <w:t>dispatching</w:t>
            </w:r>
          </w:p>
        </w:tc>
        <w:tc>
          <w:tcPr>
            <w:tcW w:w="24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color w:val="1A1A2E"/>
                <w:sz w:val="19"/>
                <w:szCs w:val="19"/>
              </w:rPr>
              <w:t>Push token invalid — Web Push returns 410 Gone</w:t>
            </w:r>
          </w:p>
        </w:tc>
        <w:tc>
          <w:tcPr>
            <w:tcW w:w="1762"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color w:val="1A1A2E"/>
                <w:sz w:val="19"/>
                <w:szCs w:val="19"/>
              </w:rPr>
              <w:t>push_failed</w:t>
            </w:r>
          </w:p>
        </w:tc>
        <w:tc>
          <w:tcPr>
            <w:tcW w:w="34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color w:val="1A1A2E"/>
                <w:sz w:val="19"/>
                <w:szCs w:val="19"/>
              </w:rPr>
              <w:t>push_subscriptions record marked invalid. Email fallback triggered immediately.</w:t>
            </w:r>
          </w:p>
        </w:tc>
      </w:tr>
      <w:tr>
        <w:trPr/>
        <w:tc>
          <w:tcPr>
            <w:tcW w:w="1798"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bCs/>
                <w:color w:val="1A1A2E"/>
                <w:sz w:val="19"/>
                <w:szCs w:val="19"/>
              </w:rPr>
              <w:t>dispatching</w:t>
            </w:r>
          </w:p>
        </w:tc>
        <w:tc>
          <w:tcPr>
            <w:tcW w:w="24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Email accepted by SendGrid</w:t>
            </w:r>
          </w:p>
        </w:tc>
        <w:tc>
          <w:tcPr>
            <w:tcW w:w="1762"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email_delivered</w:t>
            </w:r>
          </w:p>
        </w:tc>
        <w:tc>
          <w:tcPr>
            <w:tcW w:w="34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notification_log row inserted (status=delivered).</w:t>
            </w:r>
          </w:p>
        </w:tc>
      </w:tr>
      <w:tr>
        <w:trPr/>
        <w:tc>
          <w:tcPr>
            <w:tcW w:w="1798"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bCs/>
                <w:color w:val="1A1A2E"/>
                <w:sz w:val="19"/>
                <w:szCs w:val="19"/>
              </w:rPr>
              <w:t>dispatching</w:t>
            </w:r>
          </w:p>
        </w:tc>
        <w:tc>
          <w:tcPr>
            <w:tcW w:w="24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color w:val="1A1A2E"/>
                <w:sz w:val="19"/>
                <w:szCs w:val="19"/>
              </w:rPr>
              <w:t>Email fails (5xx from SendGrid)</w:t>
            </w:r>
          </w:p>
        </w:tc>
        <w:tc>
          <w:tcPr>
            <w:tcW w:w="1762"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color w:val="1A1A2E"/>
                <w:sz w:val="19"/>
                <w:szCs w:val="19"/>
              </w:rPr>
              <w:t>email_retrying</w:t>
            </w:r>
          </w:p>
        </w:tc>
        <w:tc>
          <w:tcPr>
            <w:tcW w:w="34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color w:val="1A1A2E"/>
                <w:sz w:val="19"/>
                <w:szCs w:val="19"/>
              </w:rPr>
              <w:t>Retry with exponential back-off: 30s, 60s, 120s. Max 3 attempts.</w:t>
            </w:r>
          </w:p>
        </w:tc>
      </w:tr>
      <w:tr>
        <w:trPr/>
        <w:tc>
          <w:tcPr>
            <w:tcW w:w="1798"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bCs/>
                <w:color w:val="1A1A2E"/>
                <w:sz w:val="19"/>
                <w:szCs w:val="19"/>
              </w:rPr>
              <w:t>email_retrying</w:t>
            </w:r>
          </w:p>
        </w:tc>
        <w:tc>
          <w:tcPr>
            <w:tcW w:w="24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Retry succeeds</w:t>
            </w:r>
          </w:p>
        </w:tc>
        <w:tc>
          <w:tcPr>
            <w:tcW w:w="1762"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email_delivered</w:t>
            </w:r>
          </w:p>
        </w:tc>
        <w:tc>
          <w:tcPr>
            <w:tcW w:w="34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notification_log status updated to delivered.</w:t>
            </w:r>
          </w:p>
        </w:tc>
      </w:tr>
      <w:tr>
        <w:trPr/>
        <w:tc>
          <w:tcPr>
            <w:tcW w:w="1798"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bCs/>
                <w:color w:val="1A1A2E"/>
                <w:sz w:val="19"/>
                <w:szCs w:val="19"/>
              </w:rPr>
              <w:t>email_retrying</w:t>
            </w:r>
          </w:p>
        </w:tc>
        <w:tc>
          <w:tcPr>
            <w:tcW w:w="24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color w:val="1A1A2E"/>
                <w:sz w:val="19"/>
                <w:szCs w:val="19"/>
              </w:rPr>
              <w:t>All retries exhausted</w:t>
            </w:r>
          </w:p>
        </w:tc>
        <w:tc>
          <w:tcPr>
            <w:tcW w:w="1762"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color w:val="1A1A2E"/>
                <w:sz w:val="19"/>
                <w:szCs w:val="19"/>
              </w:rPr>
              <w:t>email_failed</w:t>
            </w:r>
          </w:p>
        </w:tc>
        <w:tc>
          <w:tcPr>
            <w:tcW w:w="34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color w:val="1A1A2E"/>
                <w:sz w:val="19"/>
                <w:szCs w:val="19"/>
              </w:rPr>
              <w:t>notification_log status = permanently_failed. User prompted to check settings on next login.</w:t>
            </w:r>
          </w:p>
        </w:tc>
      </w:tr>
      <w:tr>
        <w:trPr/>
        <w:tc>
          <w:tcPr>
            <w:tcW w:w="1798"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bCs/>
                <w:color w:val="1A1A2E"/>
                <w:sz w:val="19"/>
                <w:szCs w:val="19"/>
              </w:rPr>
              <w:t>push_failed + email_failed</w:t>
            </w:r>
          </w:p>
        </w:tc>
        <w:tc>
          <w:tcPr>
            <w:tcW w:w="24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Both channels permanently failed</w:t>
            </w:r>
          </w:p>
        </w:tc>
        <w:tc>
          <w:tcPr>
            <w:tcW w:w="1762"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all_channels_failed</w:t>
            </w:r>
          </w:p>
        </w:tc>
        <w:tc>
          <w:tcPr>
            <w:tcW w:w="34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In-app notification surfaced on next user session. Preferences flagged for review.</w:t>
            </w:r>
          </w:p>
        </w:tc>
      </w:tr>
      <w:tr>
        <w:trPr/>
        <w:tc>
          <w:tcPr>
            <w:tcW w:w="1798"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bCs/>
                <w:color w:val="1A1A2E"/>
                <w:sz w:val="19"/>
                <w:szCs w:val="19"/>
              </w:rPr>
              <w:t>any delivered state</w:t>
            </w:r>
          </w:p>
        </w:tc>
        <w:tc>
          <w:tcPr>
            <w:tcW w:w="24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color w:val="1A1A2E"/>
                <w:sz w:val="19"/>
                <w:szCs w:val="19"/>
              </w:rPr>
              <w:t>User dismisses notification in-app</w:t>
            </w:r>
          </w:p>
        </w:tc>
        <w:tc>
          <w:tcPr>
            <w:tcW w:w="1762"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color w:val="1A1A2E"/>
                <w:sz w:val="19"/>
                <w:szCs w:val="19"/>
              </w:rPr>
              <w:t>dismissed</w:t>
            </w:r>
          </w:p>
        </w:tc>
        <w:tc>
          <w:tcPr>
            <w:tcW w:w="34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color w:val="1A1A2E"/>
                <w:sz w:val="19"/>
                <w:szCs w:val="19"/>
              </w:rPr>
              <w:t>notification_log updated. Excluded from unread badge count.</w:t>
            </w:r>
          </w:p>
        </w:tc>
      </w:tr>
    </w:tbl>
    <w:p>
      <w:pPr>
        <w:pStyle w:val="Normal"/>
        <w:spacing w:before="0" w:after="0"/>
        <w:rPr/>
      </w:pPr>
      <w:r>
        <w:rPr/>
      </w:r>
    </w:p>
    <w:p>
      <w:pPr>
        <w:pStyle w:val="Heading3"/>
        <w:spacing w:before="200" w:after="80"/>
        <w:rPr/>
      </w:pPr>
      <w:r>
        <w:rPr>
          <w:rFonts w:eastAsia="Arial" w:cs="Arial"/>
          <w:b/>
          <w:bCs/>
          <w:color w:val="1A56DB"/>
          <w:sz w:val="22"/>
          <w:szCs w:val="22"/>
        </w:rPr>
        <w:t>5.8.5  OAuth Token Lifecycle (Credential Vault)</w:t>
      </w:r>
    </w:p>
    <w:p>
      <w:pPr>
        <w:pStyle w:val="Normal"/>
        <w:spacing w:before="60" w:after="60"/>
        <w:rPr/>
      </w:pPr>
      <w:r>
        <w:rPr>
          <w:rFonts w:eastAsia="Arial" w:cs="Arial"/>
          <w:color w:val="1A1A2E"/>
          <w:sz w:val="22"/>
          <w:szCs w:val="22"/>
        </w:rPr>
        <w:t>OAuth access tokens follow a lifecycle driven by expiry, refresh attempts, and revocation. Token state directly gates the Approvals Service listing workflows.</w:t>
      </w:r>
    </w:p>
    <w:p>
      <w:pPr>
        <w:pStyle w:val="Normal"/>
        <w:spacing w:before="0" w:after="0"/>
        <w:rPr/>
      </w:pPr>
      <w:r>
        <w:rPr/>
      </w:r>
    </w:p>
    <w:tbl>
      <w:tblPr>
        <w:tblW w:w="9360" w:type="dxa"/>
        <w:jc w:val="start"/>
        <w:tblInd w:w="0" w:type="dxa"/>
        <w:tblLayout w:type="fixed"/>
        <w:tblCellMar>
          <w:top w:w="100" w:type="dxa"/>
          <w:start w:w="140" w:type="dxa"/>
          <w:bottom w:w="100" w:type="dxa"/>
          <w:end w:w="140" w:type="dxa"/>
        </w:tblCellMar>
      </w:tblPr>
      <w:tblGrid>
        <w:gridCol w:w="1798"/>
        <w:gridCol w:w="2400"/>
        <w:gridCol w:w="1762"/>
        <w:gridCol w:w="3400"/>
      </w:tblGrid>
      <w:tr>
        <w:trPr>
          <w:tblHeader w:val="true"/>
        </w:trPr>
        <w:tc>
          <w:tcPr>
            <w:tcW w:w="1798" w:type="dxa"/>
            <w:tcBorders>
              <w:top w:val="single" w:sz="2" w:space="0" w:color="1A56DB"/>
              <w:start w:val="single" w:sz="2" w:space="0" w:color="1A56DB"/>
              <w:bottom w:val="single" w:sz="2" w:space="0" w:color="1A56DB"/>
              <w:end w:val="single" w:sz="2" w:space="0" w:color="1A56DB"/>
            </w:tcBorders>
            <w:shd w:fill="1A56DB" w:val="clear"/>
            <w:vAlign w:val="center"/>
          </w:tcPr>
          <w:p>
            <w:pPr>
              <w:pStyle w:val="Normal"/>
              <w:jc w:val="center"/>
              <w:rPr/>
            </w:pPr>
            <w:r>
              <w:rPr>
                <w:rFonts w:eastAsia="Arial" w:cs="Arial"/>
                <w:b/>
                <w:bCs/>
                <w:color w:val="FFFFFF"/>
                <w:sz w:val="19"/>
                <w:szCs w:val="19"/>
              </w:rPr>
              <w:t>From State</w:t>
            </w:r>
          </w:p>
        </w:tc>
        <w:tc>
          <w:tcPr>
            <w:tcW w:w="2400" w:type="dxa"/>
            <w:tcBorders>
              <w:top w:val="single" w:sz="2" w:space="0" w:color="1A56DB"/>
              <w:start w:val="single" w:sz="2" w:space="0" w:color="1A56DB"/>
              <w:bottom w:val="single" w:sz="2" w:space="0" w:color="1A56DB"/>
              <w:end w:val="single" w:sz="2" w:space="0" w:color="1A56DB"/>
            </w:tcBorders>
            <w:shd w:fill="1A56DB" w:val="clear"/>
            <w:vAlign w:val="center"/>
          </w:tcPr>
          <w:p>
            <w:pPr>
              <w:pStyle w:val="Normal"/>
              <w:jc w:val="center"/>
              <w:rPr/>
            </w:pPr>
            <w:r>
              <w:rPr>
                <w:rFonts w:eastAsia="Arial" w:cs="Arial"/>
                <w:b/>
                <w:bCs/>
                <w:color w:val="FFFFFF"/>
                <w:sz w:val="19"/>
                <w:szCs w:val="19"/>
              </w:rPr>
              <w:t>Trigger</w:t>
            </w:r>
          </w:p>
        </w:tc>
        <w:tc>
          <w:tcPr>
            <w:tcW w:w="1762" w:type="dxa"/>
            <w:tcBorders>
              <w:top w:val="single" w:sz="2" w:space="0" w:color="1A56DB"/>
              <w:start w:val="single" w:sz="2" w:space="0" w:color="1A56DB"/>
              <w:bottom w:val="single" w:sz="2" w:space="0" w:color="1A56DB"/>
              <w:end w:val="single" w:sz="2" w:space="0" w:color="1A56DB"/>
            </w:tcBorders>
            <w:shd w:fill="1A56DB" w:val="clear"/>
            <w:vAlign w:val="center"/>
          </w:tcPr>
          <w:p>
            <w:pPr>
              <w:pStyle w:val="Normal"/>
              <w:jc w:val="center"/>
              <w:rPr/>
            </w:pPr>
            <w:r>
              <w:rPr>
                <w:rFonts w:eastAsia="Arial" w:cs="Arial"/>
                <w:b/>
                <w:bCs/>
                <w:color w:val="FFFFFF"/>
                <w:sz w:val="19"/>
                <w:szCs w:val="19"/>
              </w:rPr>
              <w:t>To State</w:t>
            </w:r>
          </w:p>
        </w:tc>
        <w:tc>
          <w:tcPr>
            <w:tcW w:w="3400" w:type="dxa"/>
            <w:tcBorders>
              <w:top w:val="single" w:sz="2" w:space="0" w:color="1A56DB"/>
              <w:start w:val="single" w:sz="2" w:space="0" w:color="1A56DB"/>
              <w:bottom w:val="single" w:sz="2" w:space="0" w:color="1A56DB"/>
              <w:end w:val="single" w:sz="2" w:space="0" w:color="1A56DB"/>
            </w:tcBorders>
            <w:shd w:fill="1A56DB" w:val="clear"/>
            <w:vAlign w:val="center"/>
          </w:tcPr>
          <w:p>
            <w:pPr>
              <w:pStyle w:val="Normal"/>
              <w:jc w:val="center"/>
              <w:rPr/>
            </w:pPr>
            <w:r>
              <w:rPr>
                <w:rFonts w:eastAsia="Arial" w:cs="Arial"/>
                <w:b/>
                <w:bCs/>
                <w:color w:val="FFFFFF"/>
                <w:sz w:val="19"/>
                <w:szCs w:val="19"/>
              </w:rPr>
              <w:t>Side Effects / Notes</w:t>
            </w:r>
          </w:p>
        </w:tc>
      </w:tr>
      <w:tr>
        <w:trPr/>
        <w:tc>
          <w:tcPr>
            <w:tcW w:w="1798"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bCs/>
                <w:color w:val="1A1A2E"/>
                <w:sz w:val="19"/>
                <w:szCs w:val="19"/>
              </w:rPr>
              <w:t>absent</w:t>
            </w:r>
          </w:p>
        </w:tc>
        <w:tc>
          <w:tcPr>
            <w:tcW w:w="24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User completes OAuth flow for a sell channel</w:t>
            </w:r>
          </w:p>
        </w:tc>
        <w:tc>
          <w:tcPr>
            <w:tcW w:w="1762"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active</w:t>
            </w:r>
          </w:p>
        </w:tc>
        <w:tc>
          <w:tcPr>
            <w:tcW w:w="34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Token encrypted using hybrid ML-KEM-768 + X25519 scheme (Section 5.5.2) and stored. vault.accessed log entry written.</w:t>
            </w:r>
          </w:p>
        </w:tc>
      </w:tr>
      <w:tr>
        <w:trPr/>
        <w:tc>
          <w:tcPr>
            <w:tcW w:w="1798"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bCs/>
                <w:color w:val="1A1A2E"/>
                <w:sz w:val="19"/>
                <w:szCs w:val="19"/>
              </w:rPr>
              <w:t>active</w:t>
            </w:r>
          </w:p>
        </w:tc>
        <w:tc>
          <w:tcPr>
            <w:tcW w:w="24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color w:val="1A1A2E"/>
                <w:sz w:val="19"/>
                <w:szCs w:val="19"/>
              </w:rPr>
              <w:t>Token expiry within 24 hours</w:t>
            </w:r>
          </w:p>
        </w:tc>
        <w:tc>
          <w:tcPr>
            <w:tcW w:w="1762"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color w:val="1A1A2E"/>
                <w:sz w:val="19"/>
                <w:szCs w:val="19"/>
              </w:rPr>
              <w:t>refreshing</w:t>
            </w:r>
          </w:p>
        </w:tc>
        <w:tc>
          <w:tcPr>
            <w:tcW w:w="34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color w:val="1A1A2E"/>
                <w:sz w:val="19"/>
                <w:szCs w:val="19"/>
              </w:rPr>
              <w:t>Hangfire job fires refresh using stored refresh token (eBay, Shopify). Amazon requires manual re-auth — user notified immediately.</w:t>
            </w:r>
          </w:p>
        </w:tc>
      </w:tr>
      <w:tr>
        <w:trPr/>
        <w:tc>
          <w:tcPr>
            <w:tcW w:w="1798"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bCs/>
                <w:color w:val="1A1A2E"/>
                <w:sz w:val="19"/>
                <w:szCs w:val="19"/>
              </w:rPr>
              <w:t>refreshing</w:t>
            </w:r>
          </w:p>
        </w:tc>
        <w:tc>
          <w:tcPr>
            <w:tcW w:w="24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Refresh succeeds</w:t>
            </w:r>
          </w:p>
        </w:tc>
        <w:tc>
          <w:tcPr>
            <w:tcW w:w="1762"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active</w:t>
            </w:r>
          </w:p>
        </w:tc>
        <w:tc>
          <w:tcPr>
            <w:tcW w:w="34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New access token and expiry written. Old token overwritten and zeroised. vault.accessed logged.</w:t>
            </w:r>
          </w:p>
        </w:tc>
      </w:tr>
      <w:tr>
        <w:trPr/>
        <w:tc>
          <w:tcPr>
            <w:tcW w:w="1798"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bCs/>
                <w:color w:val="1A1A2E"/>
                <w:sz w:val="19"/>
                <w:szCs w:val="19"/>
              </w:rPr>
              <w:t>refreshing</w:t>
            </w:r>
          </w:p>
        </w:tc>
        <w:tc>
          <w:tcPr>
            <w:tcW w:w="24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color w:val="1A1A2E"/>
                <w:sz w:val="19"/>
                <w:szCs w:val="19"/>
              </w:rPr>
              <w:t>Refresh token expired or rejected by provider</w:t>
            </w:r>
          </w:p>
        </w:tc>
        <w:tc>
          <w:tcPr>
            <w:tcW w:w="1762"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color w:val="1A1A2E"/>
                <w:sz w:val="19"/>
                <w:szCs w:val="19"/>
              </w:rPr>
              <w:t>expired</w:t>
            </w:r>
          </w:p>
        </w:tc>
        <w:tc>
          <w:tcPr>
            <w:tcW w:w="34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color w:val="1A1A2E"/>
                <w:sz w:val="19"/>
                <w:szCs w:val="19"/>
              </w:rPr>
              <w:t>Token marked expired. User notified immediately via email and in-app. Approvals Service returns HTTP 401 for this channel.</w:t>
            </w:r>
          </w:p>
        </w:tc>
      </w:tr>
      <w:tr>
        <w:trPr/>
        <w:tc>
          <w:tcPr>
            <w:tcW w:w="1798"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bCs/>
                <w:color w:val="1A1A2E"/>
                <w:sz w:val="19"/>
                <w:szCs w:val="19"/>
              </w:rPr>
              <w:t>active</w:t>
            </w:r>
          </w:p>
        </w:tc>
        <w:tc>
          <w:tcPr>
            <w:tcW w:w="24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Token expiry timestamp reached without successful refresh</w:t>
            </w:r>
          </w:p>
        </w:tc>
        <w:tc>
          <w:tcPr>
            <w:tcW w:w="1762"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expired</w:t>
            </w:r>
          </w:p>
        </w:tc>
        <w:tc>
          <w:tcPr>
            <w:tcW w:w="34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Same as refresh failure path.</w:t>
            </w:r>
          </w:p>
        </w:tc>
      </w:tr>
      <w:tr>
        <w:trPr/>
        <w:tc>
          <w:tcPr>
            <w:tcW w:w="1798"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bCs/>
                <w:color w:val="1A1A2E"/>
                <w:sz w:val="19"/>
                <w:szCs w:val="19"/>
              </w:rPr>
              <w:t>expired</w:t>
            </w:r>
          </w:p>
        </w:tc>
        <w:tc>
          <w:tcPr>
            <w:tcW w:w="24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color w:val="1A1A2E"/>
                <w:sz w:val="19"/>
                <w:szCs w:val="19"/>
              </w:rPr>
              <w:t>User completes re-authentication OAuth flow</w:t>
            </w:r>
          </w:p>
        </w:tc>
        <w:tc>
          <w:tcPr>
            <w:tcW w:w="1762"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color w:val="1A1A2E"/>
                <w:sz w:val="19"/>
                <w:szCs w:val="19"/>
              </w:rPr>
              <w:t>active</w:t>
            </w:r>
          </w:p>
        </w:tc>
        <w:tc>
          <w:tcPr>
            <w:tcW w:w="34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color w:val="1A1A2E"/>
                <w:sz w:val="19"/>
                <w:szCs w:val="19"/>
              </w:rPr>
              <w:t>New token encrypted and stored. Expiry reset. Previous expired record overwritten.</w:t>
            </w:r>
          </w:p>
        </w:tc>
      </w:tr>
      <w:tr>
        <w:trPr/>
        <w:tc>
          <w:tcPr>
            <w:tcW w:w="1798"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bCs/>
                <w:color w:val="1A1A2E"/>
                <w:sz w:val="19"/>
                <w:szCs w:val="19"/>
              </w:rPr>
              <w:t>active</w:t>
            </w:r>
          </w:p>
        </w:tc>
        <w:tc>
          <w:tcPr>
            <w:tcW w:w="24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External revocation detected (401 on API call)</w:t>
            </w:r>
          </w:p>
        </w:tc>
        <w:tc>
          <w:tcPr>
            <w:tcW w:w="1762"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revoked_external</w:t>
            </w:r>
          </w:p>
        </w:tc>
        <w:tc>
          <w:tcPr>
            <w:tcW w:w="34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Approvals Service catches 401, publishes token.revoked event. User notified with re-auth link.</w:t>
            </w:r>
          </w:p>
        </w:tc>
      </w:tr>
      <w:tr>
        <w:trPr/>
        <w:tc>
          <w:tcPr>
            <w:tcW w:w="1798"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bCs/>
                <w:color w:val="1A1A2E"/>
                <w:sz w:val="19"/>
                <w:szCs w:val="19"/>
              </w:rPr>
              <w:t>active</w:t>
            </w:r>
          </w:p>
        </w:tc>
        <w:tc>
          <w:tcPr>
            <w:tcW w:w="24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color w:val="1A1A2E"/>
                <w:sz w:val="19"/>
                <w:szCs w:val="19"/>
              </w:rPr>
              <w:t>User disconnects sell channel from Settings</w:t>
            </w:r>
          </w:p>
        </w:tc>
        <w:tc>
          <w:tcPr>
            <w:tcW w:w="1762"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color w:val="1A1A2E"/>
                <w:sz w:val="19"/>
                <w:szCs w:val="19"/>
              </w:rPr>
              <w:t>revoked_user</w:t>
            </w:r>
          </w:p>
        </w:tc>
        <w:tc>
          <w:tcPr>
            <w:tcW w:w="34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color w:val="1A1A2E"/>
                <w:sz w:val="19"/>
                <w:szCs w:val="19"/>
              </w:rPr>
              <w:t>Token securely deleted from vault (zeroised before delete). vault.accessed logged. Listing for this channel disabled immediately.</w:t>
            </w:r>
          </w:p>
        </w:tc>
      </w:tr>
      <w:tr>
        <w:trPr/>
        <w:tc>
          <w:tcPr>
            <w:tcW w:w="1798"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bCs/>
                <w:color w:val="1A1A2E"/>
                <w:sz w:val="19"/>
                <w:szCs w:val="19"/>
              </w:rPr>
              <w:t>revoked_external</w:t>
            </w:r>
          </w:p>
        </w:tc>
        <w:tc>
          <w:tcPr>
            <w:tcW w:w="24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User re-authenticates via OAuth</w:t>
            </w:r>
          </w:p>
        </w:tc>
        <w:tc>
          <w:tcPr>
            <w:tcW w:w="1762"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active</w:t>
            </w:r>
          </w:p>
        </w:tc>
        <w:tc>
          <w:tcPr>
            <w:tcW w:w="34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New token stored. revoked_external state cleared.</w:t>
            </w:r>
          </w:p>
        </w:tc>
      </w:tr>
    </w:tbl>
    <w:p>
      <w:pPr>
        <w:pStyle w:val="Heading2"/>
        <w:spacing w:before="280" w:after="100"/>
        <w:rPr/>
      </w:pPr>
      <w:r>
        <w:rPr>
          <w:rFonts w:eastAsia="Arial" w:cs="Arial"/>
          <w:b/>
          <w:bCs/>
          <w:color w:val="1A1A2E"/>
          <w:sz w:val="26"/>
          <w:szCs w:val="26"/>
        </w:rPr>
        <w:t>5.9  Frontend — Next.js Technical Specification</w:t>
      </w:r>
    </w:p>
    <w:p>
      <w:pPr>
        <w:pStyle w:val="Normal"/>
        <w:spacing w:before="60" w:after="60"/>
        <w:rPr/>
      </w:pPr>
      <w:r>
        <w:rPr>
          <w:rFonts w:eastAsia="Arial" w:cs="Arial"/>
          <w:color w:val="1A1A2E"/>
          <w:sz w:val="22"/>
          <w:szCs w:val="22"/>
        </w:rPr>
        <w:t>The frontend is a Next.js 19 application using the App Router, deployed as a standalone container on the general worker nodes. It communicates exclusively with the YARP API Gateway — it has no direct access to any backend service.</w:t>
      </w:r>
    </w:p>
    <w:p>
      <w:pPr>
        <w:pStyle w:val="Normal"/>
        <w:spacing w:before="0" w:after="0"/>
        <w:rPr/>
      </w:pPr>
      <w:r>
        <w:rPr/>
      </w:r>
    </w:p>
    <w:p>
      <w:pPr>
        <w:pStyle w:val="Heading3"/>
        <w:spacing w:before="200" w:after="80"/>
        <w:rPr/>
      </w:pPr>
      <w:r>
        <w:rPr>
          <w:rFonts w:eastAsia="Arial" w:cs="Arial"/>
          <w:b/>
          <w:bCs/>
          <w:color w:val="1A56DB"/>
          <w:sz w:val="22"/>
          <w:szCs w:val="22"/>
        </w:rPr>
        <w:t>5.9.1  Authentication Flow</w:t>
      </w:r>
    </w:p>
    <w:p>
      <w:pPr>
        <w:pStyle w:val="Normal"/>
        <w:spacing w:before="60" w:after="60"/>
        <w:rPr/>
      </w:pPr>
      <w:r>
        <w:rPr>
          <w:rFonts w:eastAsia="Arial" w:cs="Arial"/>
          <w:color w:val="1A1A2E"/>
          <w:sz w:val="22"/>
          <w:szCs w:val="22"/>
        </w:rPr>
        <w:t>JWTs are stored as httpOnly, Secure, SameSite=Strict cookies. They are never stored in localStorage or sessionStorage to prevent XSS token theft. The authentication flow:</w:t>
      </w:r>
    </w:p>
    <w:p>
      <w:pPr>
        <w:pStyle w:val="ListParagraph"/>
        <w:numPr>
          <w:ilvl w:val="0"/>
          <w:numId w:val="2"/>
        </w:numPr>
        <w:spacing w:before="40" w:after="40"/>
        <w:rPr/>
      </w:pPr>
      <w:r>
        <w:rPr>
          <w:rFonts w:eastAsia="Arial" w:cs="Arial"/>
          <w:color w:val="1A1A2E"/>
          <w:sz w:val="22"/>
          <w:szCs w:val="22"/>
        </w:rPr>
        <w:t>User submits credentials to Next.js API route (POST /api/auth/login), which calls the Identity Service and receives a JWT + refresh token.</w:t>
      </w:r>
    </w:p>
    <w:p>
      <w:pPr>
        <w:pStyle w:val="ListParagraph"/>
        <w:numPr>
          <w:ilvl w:val="0"/>
          <w:numId w:val="2"/>
        </w:numPr>
        <w:spacing w:before="40" w:after="40"/>
        <w:rPr/>
      </w:pPr>
      <w:r>
        <w:rPr>
          <w:rFonts w:eastAsia="Arial" w:cs="Arial"/>
          <w:color w:val="1A1A2E"/>
          <w:sz w:val="22"/>
          <w:szCs w:val="22"/>
        </w:rPr>
        <w:t>Next.js API route sets the JWT as an httpOnly cookie (Max-Age: 3600) and the refresh token as a separate httpOnly cookie (Max-Age: 2592000).</w:t>
      </w:r>
    </w:p>
    <w:p>
      <w:pPr>
        <w:pStyle w:val="ListParagraph"/>
        <w:numPr>
          <w:ilvl w:val="0"/>
          <w:numId w:val="2"/>
        </w:numPr>
        <w:spacing w:before="40" w:after="40"/>
        <w:rPr/>
      </w:pPr>
      <w:r>
        <w:rPr>
          <w:rFonts w:eastAsia="Arial" w:cs="Arial"/>
          <w:color w:val="1A1A2E"/>
          <w:sz w:val="22"/>
          <w:szCs w:val="22"/>
        </w:rPr>
        <w:t>All subsequent API calls from the browser go to Next.js API routes (the BFF — Backend For Frontend pattern). The API routes extract the JWT from the httpOnly cookie and forward it to the YARP Gateway as a Bearer token. The browser never sees the raw JWT.</w:t>
      </w:r>
    </w:p>
    <w:p>
      <w:pPr>
        <w:pStyle w:val="ListParagraph"/>
        <w:numPr>
          <w:ilvl w:val="0"/>
          <w:numId w:val="2"/>
        </w:numPr>
        <w:spacing w:before="40" w:after="40"/>
        <w:rPr/>
      </w:pPr>
      <w:r>
        <w:rPr>
          <w:rFonts w:eastAsia="Arial" w:cs="Arial"/>
          <w:color w:val="1A1A2E"/>
          <w:sz w:val="22"/>
          <w:szCs w:val="22"/>
        </w:rPr>
        <w:t>On JWT expiry, the BFF layer automatically calls the refresh endpoint, rotates the cookies, and retries the original request transparently.</w:t>
      </w:r>
    </w:p>
    <w:p>
      <w:pPr>
        <w:pStyle w:val="ListParagraph"/>
        <w:numPr>
          <w:ilvl w:val="0"/>
          <w:numId w:val="2"/>
        </w:numPr>
        <w:spacing w:before="40" w:after="40"/>
        <w:rPr/>
      </w:pPr>
      <w:r>
        <w:rPr>
          <w:rFonts w:eastAsia="Arial" w:cs="Arial"/>
          <w:color w:val="1A1A2E"/>
          <w:sz w:val="22"/>
          <w:szCs w:val="22"/>
        </w:rPr>
        <w:t>MFA challenge: if the Identity Service returns HTTP 403 with mfa_required, the BFF returns a redirect to /auth/mfa. After TOTP/OTP verification, the mfa_verified claim is set in the new JWT.</w:t>
      </w:r>
    </w:p>
    <w:p>
      <w:pPr>
        <w:pStyle w:val="Normal"/>
        <w:spacing w:before="0" w:after="0"/>
        <w:rPr/>
      </w:pPr>
      <w:r>
        <w:rPr/>
      </w:r>
    </w:p>
    <w:p>
      <w:pPr>
        <w:pStyle w:val="Heading3"/>
        <w:spacing w:before="200" w:after="80"/>
        <w:rPr/>
      </w:pPr>
      <w:r>
        <w:rPr>
          <w:rFonts w:eastAsia="Arial" w:cs="Arial"/>
          <w:b/>
          <w:bCs/>
          <w:color w:val="1A56DB"/>
          <w:sz w:val="22"/>
          <w:szCs w:val="22"/>
        </w:rPr>
        <w:t>5.9.2  State Management</w:t>
      </w:r>
    </w:p>
    <w:tbl>
      <w:tblPr>
        <w:tblW w:w="9360" w:type="dxa"/>
        <w:jc w:val="start"/>
        <w:tblInd w:w="0" w:type="dxa"/>
        <w:tblLayout w:type="fixed"/>
        <w:tblCellMar>
          <w:top w:w="100" w:type="dxa"/>
          <w:start w:w="140" w:type="dxa"/>
          <w:bottom w:w="100" w:type="dxa"/>
          <w:end w:w="140" w:type="dxa"/>
        </w:tblCellMar>
      </w:tblPr>
      <w:tblGrid>
        <w:gridCol w:w="2398"/>
        <w:gridCol w:w="4562"/>
        <w:gridCol w:w="2400"/>
      </w:tblGrid>
      <w:tr>
        <w:trPr>
          <w:tblHeader w:val="true"/>
        </w:trPr>
        <w:tc>
          <w:tcPr>
            <w:tcW w:w="2398" w:type="dxa"/>
            <w:tcBorders>
              <w:top w:val="single" w:sz="2" w:space="0" w:color="1A56DB"/>
              <w:start w:val="single" w:sz="2" w:space="0" w:color="1A56DB"/>
              <w:bottom w:val="single" w:sz="2" w:space="0" w:color="1A56DB"/>
              <w:end w:val="single" w:sz="2" w:space="0" w:color="1A56DB"/>
            </w:tcBorders>
            <w:shd w:fill="1A56DB" w:val="clear"/>
            <w:vAlign w:val="center"/>
          </w:tcPr>
          <w:p>
            <w:pPr>
              <w:pStyle w:val="Normal"/>
              <w:jc w:val="center"/>
              <w:rPr/>
            </w:pPr>
            <w:r>
              <w:rPr>
                <w:rFonts w:eastAsia="Arial" w:cs="Arial"/>
                <w:b/>
                <w:bCs/>
                <w:color w:val="FFFFFF"/>
                <w:sz w:val="19"/>
                <w:szCs w:val="19"/>
              </w:rPr>
              <w:t>Concern</w:t>
            </w:r>
          </w:p>
        </w:tc>
        <w:tc>
          <w:tcPr>
            <w:tcW w:w="4562" w:type="dxa"/>
            <w:tcBorders>
              <w:top w:val="single" w:sz="2" w:space="0" w:color="1A56DB"/>
              <w:start w:val="single" w:sz="2" w:space="0" w:color="1A56DB"/>
              <w:bottom w:val="single" w:sz="2" w:space="0" w:color="1A56DB"/>
              <w:end w:val="single" w:sz="2" w:space="0" w:color="1A56DB"/>
            </w:tcBorders>
            <w:shd w:fill="1A56DB" w:val="clear"/>
            <w:vAlign w:val="center"/>
          </w:tcPr>
          <w:p>
            <w:pPr>
              <w:pStyle w:val="Normal"/>
              <w:jc w:val="center"/>
              <w:rPr/>
            </w:pPr>
            <w:r>
              <w:rPr>
                <w:rFonts w:eastAsia="Arial" w:cs="Arial"/>
                <w:b/>
                <w:bCs/>
                <w:color w:val="FFFFFF"/>
                <w:sz w:val="19"/>
                <w:szCs w:val="19"/>
              </w:rPr>
              <w:t>Approach</w:t>
            </w:r>
          </w:p>
        </w:tc>
        <w:tc>
          <w:tcPr>
            <w:tcW w:w="2400" w:type="dxa"/>
            <w:tcBorders>
              <w:top w:val="single" w:sz="2" w:space="0" w:color="1A56DB"/>
              <w:start w:val="single" w:sz="2" w:space="0" w:color="1A56DB"/>
              <w:bottom w:val="single" w:sz="2" w:space="0" w:color="1A56DB"/>
              <w:end w:val="single" w:sz="2" w:space="0" w:color="1A56DB"/>
            </w:tcBorders>
            <w:shd w:fill="1A56DB" w:val="clear"/>
            <w:vAlign w:val="center"/>
          </w:tcPr>
          <w:p>
            <w:pPr>
              <w:pStyle w:val="Normal"/>
              <w:jc w:val="center"/>
              <w:rPr/>
            </w:pPr>
            <w:r>
              <w:rPr>
                <w:rFonts w:eastAsia="Arial" w:cs="Arial"/>
                <w:b/>
                <w:bCs/>
                <w:color w:val="FFFFFF"/>
                <w:sz w:val="19"/>
                <w:szCs w:val="19"/>
              </w:rPr>
              <w:t>Library</w:t>
            </w:r>
          </w:p>
        </w:tc>
      </w:tr>
      <w:tr>
        <w:trPr/>
        <w:tc>
          <w:tcPr>
            <w:tcW w:w="2398"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bCs/>
                <w:color w:val="1A1A2E"/>
                <w:sz w:val="19"/>
                <w:szCs w:val="19"/>
              </w:rPr>
              <w:t>Server state (API data)</w:t>
            </w:r>
          </w:p>
        </w:tc>
        <w:tc>
          <w:tcPr>
            <w:tcW w:w="4562"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React Query (TanStack Query v5). All data fetching, caching, background refresh, and optimistic updates.</w:t>
            </w:r>
          </w:p>
        </w:tc>
        <w:tc>
          <w:tcPr>
            <w:tcW w:w="24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@tanstack/react-query</w:t>
            </w:r>
          </w:p>
        </w:tc>
      </w:tr>
      <w:tr>
        <w:trPr/>
        <w:tc>
          <w:tcPr>
            <w:tcW w:w="2398"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bCs/>
                <w:color w:val="1A1A2E"/>
                <w:sz w:val="19"/>
                <w:szCs w:val="19"/>
              </w:rPr>
              <w:t>UI state (modals, filters, local form state)</w:t>
            </w:r>
          </w:p>
        </w:tc>
        <w:tc>
          <w:tcPr>
            <w:tcW w:w="4562"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color w:val="1A1A2E"/>
                <w:sz w:val="19"/>
                <w:szCs w:val="19"/>
              </w:rPr>
              <w:t>React useState / useReducer. No global UI state library needed at v1 scope.</w:t>
            </w:r>
          </w:p>
        </w:tc>
        <w:tc>
          <w:tcPr>
            <w:tcW w:w="24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color w:val="1A1A2E"/>
                <w:sz w:val="19"/>
                <w:szCs w:val="19"/>
              </w:rPr>
              <w:t>React built-in</w:t>
            </w:r>
          </w:p>
        </w:tc>
      </w:tr>
      <w:tr>
        <w:trPr/>
        <w:tc>
          <w:tcPr>
            <w:tcW w:w="2398"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bCs/>
                <w:color w:val="1A1A2E"/>
                <w:sz w:val="19"/>
                <w:szCs w:val="19"/>
              </w:rPr>
              <w:t>Deal feed real-time updates</w:t>
            </w:r>
          </w:p>
        </w:tc>
        <w:tc>
          <w:tcPr>
            <w:tcW w:w="4562"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Polling via React Query refetchInterval (5 seconds on deal dashboard). WebSocket deferred to v2.</w:t>
            </w:r>
          </w:p>
        </w:tc>
        <w:tc>
          <w:tcPr>
            <w:tcW w:w="24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@tanstack/react-query</w:t>
            </w:r>
          </w:p>
        </w:tc>
      </w:tr>
      <w:tr>
        <w:trPr/>
        <w:tc>
          <w:tcPr>
            <w:tcW w:w="2398"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bCs/>
                <w:color w:val="1A1A2E"/>
                <w:sz w:val="19"/>
                <w:szCs w:val="19"/>
              </w:rPr>
              <w:t>Form management</w:t>
            </w:r>
          </w:p>
        </w:tc>
        <w:tc>
          <w:tcPr>
            <w:tcW w:w="4562"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color w:val="1A1A2E"/>
                <w:sz w:val="19"/>
                <w:szCs w:val="19"/>
              </w:rPr>
              <w:t>React Hook Form with Zod schema validation.</w:t>
            </w:r>
          </w:p>
        </w:tc>
        <w:tc>
          <w:tcPr>
            <w:tcW w:w="24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color w:val="1A1A2E"/>
                <w:sz w:val="19"/>
                <w:szCs w:val="19"/>
              </w:rPr>
              <w:t>react-hook-form, zod</w:t>
            </w:r>
          </w:p>
        </w:tc>
      </w:tr>
      <w:tr>
        <w:trPr/>
        <w:tc>
          <w:tcPr>
            <w:tcW w:w="2398"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bCs/>
                <w:color w:val="1A1A2E"/>
                <w:sz w:val="19"/>
                <w:szCs w:val="19"/>
              </w:rPr>
              <w:t>Routing</w:t>
            </w:r>
          </w:p>
        </w:tc>
        <w:tc>
          <w:tcPr>
            <w:tcW w:w="4562"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Next.js App Router. All routes are server components by default; client components opt-in with "use client".</w:t>
            </w:r>
          </w:p>
        </w:tc>
        <w:tc>
          <w:tcPr>
            <w:tcW w:w="24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Next.js App Router</w:t>
            </w:r>
          </w:p>
          <w:p>
            <w:pPr>
              <w:pStyle w:val="Normal"/>
              <w:spacing w:before="0" w:after="0"/>
              <w:rPr/>
            </w:pPr>
            <w:r>
              <w:rPr/>
            </w:r>
          </w:p>
          <w:p>
            <w:pPr>
              <w:pStyle w:val="Heading3"/>
              <w:spacing w:before="200" w:after="80"/>
              <w:rPr/>
            </w:pPr>
            <w:r>
              <w:rPr>
                <w:rFonts w:eastAsia="Arial" w:cs="Arial"/>
                <w:b/>
                <w:bCs/>
                <w:color w:val="1A56DB"/>
                <w:sz w:val="22"/>
                <w:szCs w:val="22"/>
              </w:rPr>
              <w:t>5.9.3  PWA and Web Push Configuration</w:t>
            </w:r>
          </w:p>
          <w:p>
            <w:pPr>
              <w:pStyle w:val="ListParagraph"/>
              <w:numPr>
                <w:ilvl w:val="0"/>
                <w:numId w:val="2"/>
              </w:numPr>
              <w:spacing w:before="40" w:after="40"/>
              <w:rPr/>
            </w:pPr>
            <w:r>
              <w:rPr>
                <w:rFonts w:eastAsia="Arial" w:cs="Arial"/>
                <w:color w:val="1A1A2E"/>
                <w:sz w:val="22"/>
                <w:szCs w:val="22"/>
              </w:rPr>
              <w:t>Service Worker is registered via next-pwa. Handles background push notification receipt and display.</w:t>
            </w:r>
          </w:p>
          <w:p>
            <w:pPr>
              <w:pStyle w:val="ListParagraph"/>
              <w:numPr>
                <w:ilvl w:val="0"/>
                <w:numId w:val="2"/>
              </w:numPr>
              <w:spacing w:before="40" w:after="40"/>
              <w:rPr/>
            </w:pPr>
            <w:r>
              <w:rPr>
                <w:rFonts w:eastAsia="Arial" w:cs="Arial"/>
                <w:color w:val="1A1A2E"/>
                <w:sz w:val="22"/>
                <w:szCs w:val="22"/>
              </w:rPr>
              <w:t>VAPID public key is exposed via a Next.js environment variable (NEXT_PUBLIC_VAPID_KEY). Push subscription is created client-side and POSTed to the BFF, which forwards to the Notification Service.</w:t>
            </w:r>
          </w:p>
          <w:p>
            <w:pPr>
              <w:pStyle w:val="ListParagraph"/>
              <w:numPr>
                <w:ilvl w:val="0"/>
                <w:numId w:val="2"/>
              </w:numPr>
              <w:spacing w:before="40" w:after="40"/>
              <w:rPr/>
            </w:pPr>
            <w:r>
              <w:rPr>
                <w:rFonts w:eastAsia="Arial" w:cs="Arial"/>
                <w:color w:val="1A1A2E"/>
                <w:sz w:val="22"/>
                <w:szCs w:val="22"/>
              </w:rPr>
              <w:t>Push notification click handlers route the user to the relevant deal detail page via a deep link encoded in the notification payload.</w:t>
            </w:r>
          </w:p>
          <w:p>
            <w:pPr>
              <w:pStyle w:val="ListParagraph"/>
              <w:numPr>
                <w:ilvl w:val="0"/>
                <w:numId w:val="2"/>
              </w:numPr>
              <w:spacing w:before="40" w:after="40"/>
              <w:rPr/>
            </w:pPr>
            <w:r>
              <w:rPr>
                <w:rFonts w:eastAsia="Arial" w:cs="Arial"/>
                <w:color w:val="1A1A2E"/>
                <w:sz w:val="22"/>
                <w:szCs w:val="22"/>
              </w:rPr>
              <w:t>Offline support: the Service Worker caches the app shell and static assets. API data is not cached offline — users see a connectivity warning when offline.</w:t>
            </w:r>
          </w:p>
          <w:p>
            <w:pPr>
              <w:pStyle w:val="Normal"/>
              <w:spacing w:before="0" w:after="0"/>
              <w:rPr/>
            </w:pPr>
            <w:r>
              <w:rPr/>
            </w:r>
          </w:p>
          <w:p>
            <w:pPr>
              <w:pStyle w:val="Heading3"/>
              <w:spacing w:before="200" w:after="80"/>
              <w:rPr/>
            </w:pPr>
            <w:r>
              <w:rPr>
                <w:rFonts w:eastAsia="Arial" w:cs="Arial"/>
                <w:b/>
                <w:bCs/>
                <w:color w:val="1A56DB"/>
                <w:sz w:val="22"/>
                <w:szCs w:val="22"/>
              </w:rPr>
              <w:t>5.9.4  Key Environment Variables</w:t>
            </w:r>
          </w:p>
          <w:tbl>
            <w:tblPr>
              <w:tblW w:w="9360" w:type="dxa"/>
              <w:jc w:val="start"/>
              <w:tblInd w:w="0" w:type="dxa"/>
              <w:tblLayout w:type="fixed"/>
              <w:tblCellMar>
                <w:top w:w="100" w:type="dxa"/>
                <w:start w:w="140" w:type="dxa"/>
                <w:bottom w:w="100" w:type="dxa"/>
                <w:end w:w="140" w:type="dxa"/>
              </w:tblCellMar>
            </w:tblPr>
            <w:tblGrid>
              <w:gridCol w:w="2998"/>
              <w:gridCol w:w="4762"/>
              <w:gridCol w:w="1600"/>
            </w:tblGrid>
            <w:tr>
              <w:trPr/>
              <w:tc>
                <w:tcPr>
                  <w:tcW w:w="2998" w:type="dxa"/>
                  <w:tcBorders>
                    <w:top w:val="single" w:sz="2" w:space="0" w:color="1A56DB"/>
                    <w:start w:val="single" w:sz="2" w:space="0" w:color="1A56DB"/>
                    <w:bottom w:val="single" w:sz="2" w:space="0" w:color="1A56DB"/>
                    <w:end w:val="single" w:sz="2" w:space="0" w:color="1A56DB"/>
                  </w:tcBorders>
                  <w:shd w:fill="1A56DB" w:val="clear"/>
                  <w:vAlign w:val="center"/>
                </w:tcPr>
                <w:p>
                  <w:pPr>
                    <w:pStyle w:val="Normal"/>
                    <w:jc w:val="center"/>
                    <w:rPr/>
                  </w:pPr>
                  <w:r>
                    <w:rPr>
                      <w:rFonts w:eastAsia="Arial" w:cs="Arial"/>
                      <w:b/>
                      <w:bCs/>
                      <w:color w:val="FFFFFF"/>
                      <w:sz w:val="19"/>
                      <w:szCs w:val="19"/>
                    </w:rPr>
                    <w:t>Variable</w:t>
                  </w:r>
                </w:p>
              </w:tc>
              <w:tc>
                <w:tcPr>
                  <w:tcW w:w="4762" w:type="dxa"/>
                  <w:tcBorders>
                    <w:top w:val="single" w:sz="2" w:space="0" w:color="1A56DB"/>
                    <w:start w:val="single" w:sz="2" w:space="0" w:color="1A56DB"/>
                    <w:bottom w:val="single" w:sz="2" w:space="0" w:color="1A56DB"/>
                    <w:end w:val="single" w:sz="2" w:space="0" w:color="1A56DB"/>
                  </w:tcBorders>
                  <w:shd w:fill="1A56DB" w:val="clear"/>
                  <w:vAlign w:val="center"/>
                </w:tcPr>
                <w:p>
                  <w:pPr>
                    <w:pStyle w:val="Normal"/>
                    <w:jc w:val="center"/>
                    <w:rPr/>
                  </w:pPr>
                  <w:r>
                    <w:rPr>
                      <w:rFonts w:eastAsia="Arial" w:cs="Arial"/>
                      <w:b/>
                      <w:bCs/>
                      <w:color w:val="FFFFFF"/>
                      <w:sz w:val="19"/>
                      <w:szCs w:val="19"/>
                    </w:rPr>
                    <w:t>Description</w:t>
                  </w:r>
                </w:p>
              </w:tc>
              <w:tc>
                <w:tcPr>
                  <w:tcW w:w="1600" w:type="dxa"/>
                  <w:tcBorders>
                    <w:top w:val="single" w:sz="2" w:space="0" w:color="1A56DB"/>
                    <w:start w:val="single" w:sz="2" w:space="0" w:color="1A56DB"/>
                    <w:bottom w:val="single" w:sz="2" w:space="0" w:color="1A56DB"/>
                    <w:end w:val="single" w:sz="2" w:space="0" w:color="1A56DB"/>
                  </w:tcBorders>
                  <w:shd w:fill="1A56DB" w:val="clear"/>
                  <w:vAlign w:val="center"/>
                </w:tcPr>
                <w:p>
                  <w:pPr>
                    <w:pStyle w:val="Normal"/>
                    <w:jc w:val="center"/>
                    <w:rPr/>
                  </w:pPr>
                  <w:r>
                    <w:rPr>
                      <w:rFonts w:eastAsia="Arial" w:cs="Arial"/>
                      <w:b/>
                      <w:bCs/>
                      <w:color w:val="FFFFFF"/>
                      <w:sz w:val="19"/>
                      <w:szCs w:val="19"/>
                    </w:rPr>
                    <w:t>Server / Client</w:t>
                  </w:r>
                </w:p>
              </w:tc>
            </w:tr>
            <w:tr>
              <w:trPr/>
              <w:tc>
                <w:tcPr>
                  <w:tcW w:w="2998"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bCs/>
                      <w:color w:val="1A1A2E"/>
                      <w:sz w:val="19"/>
                      <w:szCs w:val="19"/>
                    </w:rPr>
                    <w:t>API_GATEWAY_URL</w:t>
                  </w:r>
                </w:p>
              </w:tc>
              <w:tc>
                <w:tcPr>
                  <w:tcW w:w="4762"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Internal URL of the YARP Gateway. Used by BFF API routes only.</w:t>
                  </w:r>
                </w:p>
              </w:tc>
              <w:tc>
                <w:tcPr>
                  <w:tcW w:w="16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Server only</w:t>
                  </w:r>
                </w:p>
              </w:tc>
            </w:tr>
            <w:tr>
              <w:trPr/>
              <w:tc>
                <w:tcPr>
                  <w:tcW w:w="2998"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bCs/>
                      <w:color w:val="1A1A2E"/>
                      <w:sz w:val="19"/>
                      <w:szCs w:val="19"/>
                    </w:rPr>
                    <w:t>NEXTAUTH_SECRET</w:t>
                  </w:r>
                </w:p>
              </w:tc>
              <w:tc>
                <w:tcPr>
                  <w:tcW w:w="4762"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color w:val="1A1A2E"/>
                      <w:sz w:val="19"/>
                      <w:szCs w:val="19"/>
                    </w:rPr>
                    <w:t>Secret for signing Next.js session cookies.</w:t>
                  </w:r>
                </w:p>
              </w:tc>
              <w:tc>
                <w:tcPr>
                  <w:tcW w:w="16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color w:val="1A1A2E"/>
                      <w:sz w:val="19"/>
                      <w:szCs w:val="19"/>
                    </w:rPr>
                    <w:t>Server only</w:t>
                  </w:r>
                </w:p>
              </w:tc>
            </w:tr>
            <w:tr>
              <w:trPr/>
              <w:tc>
                <w:tcPr>
                  <w:tcW w:w="2998"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bCs/>
                      <w:color w:val="1A1A2E"/>
                      <w:sz w:val="19"/>
                      <w:szCs w:val="19"/>
                    </w:rPr>
                    <w:t>NEXT_PUBLIC_VAPID_KEY</w:t>
                  </w:r>
                </w:p>
              </w:tc>
              <w:tc>
                <w:tcPr>
                  <w:tcW w:w="4762"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VAPID public key for Web Push subscription creation.</w:t>
                  </w:r>
                </w:p>
              </w:tc>
              <w:tc>
                <w:tcPr>
                  <w:tcW w:w="16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Client (public)</w:t>
                  </w:r>
                </w:p>
              </w:tc>
            </w:tr>
            <w:tr>
              <w:trPr/>
              <w:tc>
                <w:tcPr>
                  <w:tcW w:w="2998"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bCs/>
                      <w:color w:val="1A1A2E"/>
                      <w:sz w:val="19"/>
                      <w:szCs w:val="19"/>
                    </w:rPr>
                    <w:t>NEXT_PUBLIC_APP_URL</w:t>
                  </w:r>
                </w:p>
              </w:tc>
              <w:tc>
                <w:tcPr>
                  <w:tcW w:w="4762"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color w:val="1A1A2E"/>
                      <w:sz w:val="19"/>
                      <w:szCs w:val="19"/>
                    </w:rPr>
                    <w:t>Public base URL (e.g. https://app.arbitrageiq.com).</w:t>
                  </w:r>
                </w:p>
              </w:tc>
              <w:tc>
                <w:tcPr>
                  <w:tcW w:w="16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color w:val="1A1A2E"/>
                      <w:sz w:val="19"/>
                      <w:szCs w:val="19"/>
                    </w:rPr>
                    <w:t>Client (public)</w:t>
                  </w:r>
                </w:p>
              </w:tc>
            </w:tr>
          </w:tbl>
          <w:p>
            <w:pPr>
              <w:pStyle w:val="Normal"/>
              <w:spacing w:before="0" w:after="0"/>
              <w:rPr/>
            </w:pPr>
            <w:r>
              <w:rPr/>
            </w:r>
          </w:p>
        </w:tc>
      </w:tr>
    </w:tbl>
    <w:p>
      <w:pPr>
        <w:pStyle w:val="Normal"/>
        <w:spacing w:before="0" w:after="0"/>
        <w:rPr/>
      </w:pPr>
      <w:r>
        <w:rPr/>
      </w:r>
    </w:p>
    <w:p>
      <w:pPr>
        <w:pStyle w:val="Normal"/>
        <w:spacing w:before="0" w:after="0"/>
        <w:rPr/>
      </w:pPr>
      <w:r>
        <w:rPr/>
      </w:r>
    </w:p>
    <w:p>
      <w:pPr>
        <w:pStyle w:val="Normal"/>
        <w:rPr/>
      </w:pPr>
      <w:r>
        <w:rPr/>
      </w:r>
      <w:r>
        <w:br w:type="page"/>
      </w:r>
    </w:p>
    <w:p>
      <w:pPr>
        <w:pStyle w:val="Heading3"/>
        <w:spacing w:before="0" w:after="80"/>
        <w:rPr/>
      </w:pPr>
      <w:r>
        <w:rPr/>
        <w:t>5.9.5  Page and Component Hierarchy</w:t>
      </w:r>
    </w:p>
    <w:p>
      <w:pPr>
        <w:pStyle w:val="Normal"/>
        <w:rPr/>
      </w:pPr>
      <w:r>
        <w:rPr/>
        <w:t>The Next.js App Router defines the following top-level routes. Server components are the default; client components are explicitly marked.</w:t>
      </w:r>
    </w:p>
    <w:tbl>
      <w:tblPr>
        <w:tblStyle w:val="TableGrid"/>
        <w:tblW w:w="5000" w:type="pct"/>
        <w:jc w:val="start"/>
        <w:tblInd w:w="0" w:type="dxa"/>
        <w:tblLayout w:type="fixed"/>
        <w:tblCellMar>
          <w:top w:w="0" w:type="dxa"/>
          <w:start w:w="108" w:type="dxa"/>
          <w:bottom w:w="0" w:type="dxa"/>
          <w:end w:w="108" w:type="dxa"/>
        </w:tblCellMar>
      </w:tblPr>
      <w:tblGrid>
        <w:gridCol w:w="3120"/>
        <w:gridCol w:w="3120"/>
        <w:gridCol w:w="3120"/>
      </w:tblGrid>
      <w:tr>
        <w:trPr/>
        <w:tc>
          <w:tcPr>
            <w:tcW w:w="3120" w:type="dxa"/>
            <w:tcBorders/>
          </w:tcPr>
          <w:p>
            <w:pPr>
              <w:pStyle w:val="Normal"/>
              <w:rPr/>
            </w:pPr>
            <w:r>
              <w:rPr/>
              <w:t>Route</w:t>
            </w:r>
          </w:p>
        </w:tc>
        <w:tc>
          <w:tcPr>
            <w:tcW w:w="3120" w:type="dxa"/>
            <w:tcBorders/>
          </w:tcPr>
          <w:p>
            <w:pPr>
              <w:pStyle w:val="Normal"/>
              <w:rPr/>
            </w:pPr>
            <w:r>
              <w:rPr/>
              <w:t>Component Type</w:t>
            </w:r>
          </w:p>
        </w:tc>
        <w:tc>
          <w:tcPr>
            <w:tcW w:w="3120" w:type="dxa"/>
            <w:tcBorders/>
          </w:tcPr>
          <w:p>
            <w:pPr>
              <w:pStyle w:val="Normal"/>
              <w:rPr/>
            </w:pPr>
            <w:r>
              <w:rPr/>
              <w:t>Description</w:t>
            </w:r>
          </w:p>
        </w:tc>
      </w:tr>
      <w:tr>
        <w:trPr/>
        <w:tc>
          <w:tcPr>
            <w:tcW w:w="3120" w:type="dxa"/>
            <w:tcBorders/>
          </w:tcPr>
          <w:p>
            <w:pPr>
              <w:pStyle w:val="Normal"/>
              <w:rPr/>
            </w:pPr>
            <w:r>
              <w:rPr/>
              <w:t>/deals</w:t>
            </w:r>
          </w:p>
        </w:tc>
        <w:tc>
          <w:tcPr>
            <w:tcW w:w="3120" w:type="dxa"/>
            <w:tcBorders/>
          </w:tcPr>
          <w:p>
            <w:pPr>
              <w:pStyle w:val="Normal"/>
              <w:rPr/>
            </w:pPr>
            <w:r>
              <w:rPr/>
              <w:t>Server</w:t>
            </w:r>
          </w:p>
        </w:tc>
        <w:tc>
          <w:tcPr>
            <w:tcW w:w="3120" w:type="dxa"/>
            <w:tcBorders/>
          </w:tcPr>
          <w:p>
            <w:pPr>
              <w:pStyle w:val="Normal"/>
              <w:rPr/>
            </w:pPr>
            <w:r>
              <w:rPr/>
              <w:t>DealFeed page. Fetches deals via React Query. DealCard client component for interactive actions.</w:t>
            </w:r>
          </w:p>
        </w:tc>
      </w:tr>
      <w:tr>
        <w:trPr/>
        <w:tc>
          <w:tcPr>
            <w:tcW w:w="3120" w:type="dxa"/>
            <w:tcBorders/>
          </w:tcPr>
          <w:p>
            <w:pPr>
              <w:pStyle w:val="Normal"/>
              <w:rPr/>
            </w:pPr>
            <w:r>
              <w:rPr/>
              <w:t>/approvals</w:t>
            </w:r>
          </w:p>
        </w:tc>
        <w:tc>
          <w:tcPr>
            <w:tcW w:w="3120" w:type="dxa"/>
            <w:tcBorders/>
          </w:tcPr>
          <w:p>
            <w:pPr>
              <w:pStyle w:val="Normal"/>
              <w:rPr/>
            </w:pPr>
            <w:r>
              <w:rPr/>
              <w:t>Server</w:t>
            </w:r>
          </w:p>
        </w:tc>
        <w:tc>
          <w:tcPr>
            <w:tcW w:w="3120" w:type="dxa"/>
            <w:tcBorders/>
          </w:tcPr>
          <w:p>
            <w:pPr>
              <w:pStyle w:val="Normal"/>
              <w:rPr/>
            </w:pPr>
            <w:r>
              <w:rPr/>
              <w:t>ApprovalQueue page. ApprovalQueueItem client component with status badge and approve button.</w:t>
            </w:r>
          </w:p>
        </w:tc>
      </w:tr>
      <w:tr>
        <w:trPr/>
        <w:tc>
          <w:tcPr>
            <w:tcW w:w="3120" w:type="dxa"/>
            <w:tcBorders/>
          </w:tcPr>
          <w:p>
            <w:pPr>
              <w:pStyle w:val="Normal"/>
              <w:rPr/>
            </w:pPr>
            <w:r>
              <w:rPr/>
              <w:t>/catalogue</w:t>
            </w:r>
          </w:p>
        </w:tc>
        <w:tc>
          <w:tcPr>
            <w:tcW w:w="3120" w:type="dxa"/>
            <w:tcBorders/>
          </w:tcPr>
          <w:p>
            <w:pPr>
              <w:pStyle w:val="Normal"/>
              <w:rPr/>
            </w:pPr>
            <w:r>
              <w:rPr/>
              <w:t>Server</w:t>
            </w:r>
          </w:p>
        </w:tc>
        <w:tc>
          <w:tcPr>
            <w:tcW w:w="3120" w:type="dxa"/>
            <w:tcBorders/>
          </w:tcPr>
          <w:p>
            <w:pPr>
              <w:pStyle w:val="Normal"/>
              <w:rPr/>
            </w:pPr>
            <w:r>
              <w:rPr/>
              <w:t>CatalogueBrowse page. Infinite scroll via React Query. SKUScore client component for score display.</w:t>
            </w:r>
          </w:p>
        </w:tc>
      </w:tr>
      <w:tr>
        <w:trPr/>
        <w:tc>
          <w:tcPr>
            <w:tcW w:w="3120" w:type="dxa"/>
            <w:tcBorders/>
          </w:tcPr>
          <w:p>
            <w:pPr>
              <w:pStyle w:val="Normal"/>
              <w:rPr/>
            </w:pPr>
            <w:r>
              <w:rPr/>
              <w:t>/history</w:t>
            </w:r>
          </w:p>
        </w:tc>
        <w:tc>
          <w:tcPr>
            <w:tcW w:w="3120" w:type="dxa"/>
            <w:tcBorders/>
          </w:tcPr>
          <w:p>
            <w:pPr>
              <w:pStyle w:val="Normal"/>
              <w:rPr/>
            </w:pPr>
            <w:r>
              <w:rPr/>
              <w:t>Server</w:t>
            </w:r>
          </w:p>
        </w:tc>
        <w:tc>
          <w:tcPr>
            <w:tcW w:w="3120" w:type="dxa"/>
            <w:tcBorders/>
          </w:tcPr>
          <w:p>
            <w:pPr>
              <w:pStyle w:val="Normal"/>
              <w:rPr/>
            </w:pPr>
            <w:r>
              <w:rPr/>
              <w:t>DealHistory page. CSV export handled by server action.</w:t>
            </w:r>
          </w:p>
        </w:tc>
      </w:tr>
      <w:tr>
        <w:trPr/>
        <w:tc>
          <w:tcPr>
            <w:tcW w:w="3120" w:type="dxa"/>
            <w:tcBorders/>
          </w:tcPr>
          <w:p>
            <w:pPr>
              <w:pStyle w:val="Normal"/>
              <w:rPr/>
            </w:pPr>
            <w:r>
              <w:rPr/>
              <w:t>/settings</w:t>
            </w:r>
          </w:p>
        </w:tc>
        <w:tc>
          <w:tcPr>
            <w:tcW w:w="3120" w:type="dxa"/>
            <w:tcBorders/>
          </w:tcPr>
          <w:p>
            <w:pPr>
              <w:pStyle w:val="Normal"/>
              <w:rPr/>
            </w:pPr>
            <w:r>
              <w:rPr/>
              <w:t>Client</w:t>
            </w:r>
          </w:p>
        </w:tc>
        <w:tc>
          <w:tcPr>
            <w:tcW w:w="3120" w:type="dxa"/>
            <w:tcBorders/>
          </w:tcPr>
          <w:p>
            <w:pPr>
              <w:pStyle w:val="Normal"/>
              <w:rPr/>
            </w:pPr>
            <w:r>
              <w:rPr/>
              <w:t>Settings page. MFA enrolment, sell-channel OAuth, plan management. All interactive — client component.</w:t>
            </w:r>
          </w:p>
        </w:tc>
      </w:tr>
      <w:tr>
        <w:trPr/>
        <w:tc>
          <w:tcPr>
            <w:tcW w:w="3120" w:type="dxa"/>
            <w:tcBorders/>
          </w:tcPr>
          <w:p>
            <w:pPr>
              <w:pStyle w:val="Normal"/>
              <w:rPr/>
            </w:pPr>
            <w:r>
              <w:rPr/>
              <w:t>/auth/*</w:t>
            </w:r>
          </w:p>
        </w:tc>
        <w:tc>
          <w:tcPr>
            <w:tcW w:w="3120" w:type="dxa"/>
            <w:tcBorders/>
          </w:tcPr>
          <w:p>
            <w:pPr>
              <w:pStyle w:val="Normal"/>
              <w:rPr/>
            </w:pPr>
            <w:r>
              <w:rPr/>
              <w:t>Client</w:t>
            </w:r>
          </w:p>
        </w:tc>
        <w:tc>
          <w:tcPr>
            <w:tcW w:w="3120" w:type="dxa"/>
            <w:tcBorders/>
          </w:tcPr>
          <w:p>
            <w:pPr>
              <w:pStyle w:val="Normal"/>
              <w:rPr/>
            </w:pPr>
            <w:r>
              <w:rPr/>
              <w:t>Login, register, MFA challenge routes. Form handling requires client-side state.</w:t>
            </w:r>
          </w:p>
        </w:tc>
      </w:tr>
    </w:tbl>
    <w:p>
      <w:pPr>
        <w:pStyle w:val="Normal"/>
        <w:rPr/>
      </w:pPr>
      <w:r>
        <w:rPr/>
        <w:t>Shared components: DealCard, ApprovalQueueItem, PriceChart, NotificationBadge, DealFeedSkeleton (loading state). Error boundaries wrap every route at the layout level. Loading states use Next.js loading.js convention per route segment.</w:t>
      </w:r>
    </w:p>
    <w:p>
      <w:pPr>
        <w:pStyle w:val="Heading1"/>
        <w:pBdr>
          <w:bottom w:val="single" w:sz="8" w:space="6" w:color="1A56DB"/>
        </w:pBdr>
        <w:spacing w:before="360" w:after="160"/>
        <w:rPr/>
      </w:pPr>
      <w:r>
        <w:rPr>
          <w:rFonts w:eastAsia="Arial" w:cs="Arial"/>
          <w:b/>
          <w:bCs/>
          <w:color w:val="1A56DB"/>
          <w:sz w:val="32"/>
          <w:szCs w:val="32"/>
        </w:rPr>
        <w:t>6. API Contracts</w:t>
      </w:r>
    </w:p>
    <w:p>
      <w:pPr>
        <w:pStyle w:val="Heading2"/>
        <w:spacing w:before="280" w:after="100"/>
        <w:rPr/>
      </w:pPr>
      <w:r>
        <w:rPr>
          <w:rFonts w:eastAsia="Arial" w:cs="Arial"/>
          <w:b/>
          <w:bCs/>
          <w:color w:val="1A1A2E"/>
          <w:sz w:val="26"/>
          <w:szCs w:val="26"/>
        </w:rPr>
        <w:t>6.1 Conventions</w:t>
      </w:r>
    </w:p>
    <w:p>
      <w:pPr>
        <w:pStyle w:val="ListParagraph"/>
        <w:numPr>
          <w:ilvl w:val="0"/>
          <w:numId w:val="2"/>
        </w:numPr>
        <w:spacing w:before="40" w:after="40"/>
        <w:rPr/>
      </w:pPr>
      <w:r>
        <w:rPr>
          <w:rFonts w:eastAsia="Arial" w:cs="Arial"/>
          <w:color w:val="1A1A2E"/>
          <w:sz w:val="22"/>
          <w:szCs w:val="22"/>
        </w:rPr>
        <w:t>All endpoints are prefixed /api/v1/.</w:t>
      </w:r>
    </w:p>
    <w:p>
      <w:pPr>
        <w:pStyle w:val="ListParagraph"/>
        <w:numPr>
          <w:ilvl w:val="0"/>
          <w:numId w:val="2"/>
        </w:numPr>
        <w:spacing w:before="40" w:after="40"/>
        <w:rPr/>
      </w:pPr>
      <w:r>
        <w:rPr>
          <w:rFonts w:eastAsia="Arial" w:cs="Arial"/>
          <w:color w:val="1A1A2E"/>
          <w:sz w:val="22"/>
          <w:szCs w:val="22"/>
        </w:rPr>
        <w:t>Authentication: Bearer {JWT} or X-API-Key: {key} header. Both accepted where permitted.</w:t>
      </w:r>
    </w:p>
    <w:p>
      <w:pPr>
        <w:pStyle w:val="ListParagraph"/>
        <w:numPr>
          <w:ilvl w:val="0"/>
          <w:numId w:val="2"/>
        </w:numPr>
        <w:spacing w:before="40" w:after="40"/>
        <w:rPr/>
      </w:pPr>
      <w:r>
        <w:rPr>
          <w:rFonts w:eastAsia="Arial" w:cs="Arial"/>
          <w:color w:val="1A1A2E"/>
          <w:sz w:val="22"/>
          <w:szCs w:val="22"/>
        </w:rPr>
        <w:t>All timestamps in ISO 8601 UTC (e.g. 2026-06-02T09:47:12Z).</w:t>
      </w:r>
    </w:p>
    <w:p>
      <w:pPr>
        <w:pStyle w:val="ListParagraph"/>
        <w:numPr>
          <w:ilvl w:val="0"/>
          <w:numId w:val="2"/>
        </w:numPr>
        <w:spacing w:before="40" w:after="40"/>
        <w:rPr/>
      </w:pPr>
      <w:r>
        <w:rPr>
          <w:rFonts w:eastAsia="Arial" w:cs="Arial"/>
          <w:color w:val="1A1A2E"/>
          <w:sz w:val="22"/>
          <w:szCs w:val="22"/>
        </w:rPr>
        <w:t>All monetary values in GBP as numeric strings (e.g. "77.13").</w:t>
      </w:r>
    </w:p>
    <w:p>
      <w:pPr>
        <w:pStyle w:val="ListParagraph"/>
        <w:numPr>
          <w:ilvl w:val="0"/>
          <w:numId w:val="2"/>
        </w:numPr>
        <w:spacing w:before="40" w:after="40"/>
        <w:rPr/>
      </w:pPr>
      <w:r>
        <w:rPr>
          <w:rFonts w:eastAsia="Arial" w:cs="Arial"/>
          <w:color w:val="1A1A2E"/>
          <w:sz w:val="22"/>
          <w:szCs w:val="22"/>
        </w:rPr>
        <w:t>Pagination: cursor-based. Response includes next_cursor; pass as ?after={cursor}.</w:t>
      </w:r>
    </w:p>
    <w:p>
      <w:pPr>
        <w:pStyle w:val="ListParagraph"/>
        <w:numPr>
          <w:ilvl w:val="0"/>
          <w:numId w:val="2"/>
        </w:numPr>
        <w:spacing w:before="40" w:after="40"/>
        <w:rPr/>
      </w:pPr>
      <w:r>
        <w:rPr>
          <w:rFonts w:eastAsia="Arial" w:cs="Arial"/>
          <w:color w:val="1A1A2E"/>
          <w:sz w:val="22"/>
          <w:szCs w:val="22"/>
        </w:rPr>
        <w:t>Errors: RFC 7807 Problem Details. { type, title, status, detail, instance }.</w:t>
      </w:r>
    </w:p>
    <w:p>
      <w:pPr>
        <w:pStyle w:val="Normal"/>
        <w:spacing w:before="0" w:after="0"/>
        <w:rPr/>
      </w:pPr>
      <w:r>
        <w:rPr/>
      </w:r>
    </w:p>
    <w:p>
      <w:pPr>
        <w:pStyle w:val="Heading2"/>
        <w:spacing w:before="280" w:after="100"/>
        <w:rPr/>
      </w:pPr>
      <w:r>
        <w:rPr>
          <w:rFonts w:eastAsia="Arial" w:cs="Arial"/>
          <w:b/>
          <w:bCs/>
          <w:color w:val="1A1A2E"/>
          <w:sz w:val="26"/>
          <w:szCs w:val="26"/>
        </w:rPr>
        <w:t>6.2 Core Endpoints</w:t>
      </w:r>
    </w:p>
    <w:p>
      <w:pPr>
        <w:pStyle w:val="Normal"/>
        <w:spacing w:before="0" w:after="0"/>
        <w:rPr/>
      </w:pPr>
      <w:r>
        <w:rPr/>
      </w:r>
    </w:p>
    <w:p>
      <w:pPr>
        <w:pStyle w:val="Heading3"/>
        <w:spacing w:before="200" w:after="80"/>
        <w:rPr/>
      </w:pPr>
      <w:r>
        <w:rPr>
          <w:rFonts w:eastAsia="Arial" w:cs="Arial"/>
          <w:b/>
          <w:bCs/>
          <w:color w:val="1A56DB"/>
          <w:sz w:val="22"/>
          <w:szCs w:val="22"/>
        </w:rPr>
        <w:t>GET /api/v1/deals</w:t>
      </w:r>
    </w:p>
    <w:p>
      <w:pPr>
        <w:pStyle w:val="Normal"/>
        <w:spacing w:before="60" w:after="60"/>
        <w:rPr/>
      </w:pPr>
      <w:r>
        <w:rPr>
          <w:rFonts w:eastAsia="Arial" w:cs="Arial"/>
          <w:color w:val="1A1A2E"/>
          <w:sz w:val="22"/>
          <w:szCs w:val="22"/>
        </w:rPr>
        <w:t>Returns the authenticated user's live deal feed. Paginated, 50 per page.</w:t>
      </w:r>
    </w:p>
    <w:tbl>
      <w:tblPr>
        <w:tblW w:w="9360" w:type="dxa"/>
        <w:jc w:val="start"/>
        <w:tblInd w:w="0" w:type="dxa"/>
        <w:tblLayout w:type="fixed"/>
        <w:tblCellMar>
          <w:top w:w="100" w:type="dxa"/>
          <w:start w:w="140" w:type="dxa"/>
          <w:bottom w:w="100" w:type="dxa"/>
          <w:end w:w="140" w:type="dxa"/>
        </w:tblCellMar>
      </w:tblPr>
      <w:tblGrid>
        <w:gridCol w:w="2000"/>
        <w:gridCol w:w="1398"/>
        <w:gridCol w:w="1162"/>
        <w:gridCol w:w="4800"/>
      </w:tblGrid>
      <w:tr>
        <w:trPr>
          <w:tblHeader w:val="true"/>
        </w:trPr>
        <w:tc>
          <w:tcPr>
            <w:tcW w:w="2000" w:type="dxa"/>
            <w:tcBorders>
              <w:top w:val="single" w:sz="2" w:space="0" w:color="1A56DB"/>
              <w:start w:val="single" w:sz="2" w:space="0" w:color="1A56DB"/>
              <w:bottom w:val="single" w:sz="2" w:space="0" w:color="1A56DB"/>
              <w:end w:val="single" w:sz="2" w:space="0" w:color="1A56DB"/>
            </w:tcBorders>
            <w:shd w:fill="1A56DB" w:val="clear"/>
            <w:vAlign w:val="center"/>
          </w:tcPr>
          <w:p>
            <w:pPr>
              <w:pStyle w:val="Normal"/>
              <w:jc w:val="center"/>
              <w:rPr/>
            </w:pPr>
            <w:r>
              <w:rPr>
                <w:rFonts w:eastAsia="Arial" w:cs="Arial"/>
                <w:b/>
                <w:bCs/>
                <w:color w:val="FFFFFF"/>
                <w:sz w:val="19"/>
                <w:szCs w:val="19"/>
              </w:rPr>
              <w:t>Parameter</w:t>
            </w:r>
          </w:p>
        </w:tc>
        <w:tc>
          <w:tcPr>
            <w:tcW w:w="1398" w:type="dxa"/>
            <w:tcBorders>
              <w:top w:val="single" w:sz="2" w:space="0" w:color="1A56DB"/>
              <w:start w:val="single" w:sz="2" w:space="0" w:color="1A56DB"/>
              <w:bottom w:val="single" w:sz="2" w:space="0" w:color="1A56DB"/>
              <w:end w:val="single" w:sz="2" w:space="0" w:color="1A56DB"/>
            </w:tcBorders>
            <w:shd w:fill="1A56DB" w:val="clear"/>
            <w:vAlign w:val="center"/>
          </w:tcPr>
          <w:p>
            <w:pPr>
              <w:pStyle w:val="Normal"/>
              <w:jc w:val="center"/>
              <w:rPr/>
            </w:pPr>
            <w:r>
              <w:rPr>
                <w:rFonts w:eastAsia="Arial" w:cs="Arial"/>
                <w:b/>
                <w:bCs/>
                <w:color w:val="FFFFFF"/>
                <w:sz w:val="19"/>
                <w:szCs w:val="19"/>
              </w:rPr>
              <w:t>Type</w:t>
            </w:r>
          </w:p>
        </w:tc>
        <w:tc>
          <w:tcPr>
            <w:tcW w:w="1162" w:type="dxa"/>
            <w:tcBorders>
              <w:top w:val="single" w:sz="2" w:space="0" w:color="1A56DB"/>
              <w:start w:val="single" w:sz="2" w:space="0" w:color="1A56DB"/>
              <w:bottom w:val="single" w:sz="2" w:space="0" w:color="1A56DB"/>
              <w:end w:val="single" w:sz="2" w:space="0" w:color="1A56DB"/>
            </w:tcBorders>
            <w:shd w:fill="1A56DB" w:val="clear"/>
            <w:vAlign w:val="center"/>
          </w:tcPr>
          <w:p>
            <w:pPr>
              <w:pStyle w:val="Normal"/>
              <w:jc w:val="center"/>
              <w:rPr/>
            </w:pPr>
            <w:r>
              <w:rPr>
                <w:rFonts w:eastAsia="Arial" w:cs="Arial"/>
                <w:b/>
                <w:bCs/>
                <w:color w:val="FFFFFF"/>
                <w:sz w:val="19"/>
                <w:szCs w:val="19"/>
              </w:rPr>
              <w:t>Required</w:t>
            </w:r>
          </w:p>
        </w:tc>
        <w:tc>
          <w:tcPr>
            <w:tcW w:w="4800" w:type="dxa"/>
            <w:tcBorders>
              <w:top w:val="single" w:sz="2" w:space="0" w:color="1A56DB"/>
              <w:start w:val="single" w:sz="2" w:space="0" w:color="1A56DB"/>
              <w:bottom w:val="single" w:sz="2" w:space="0" w:color="1A56DB"/>
              <w:end w:val="single" w:sz="2" w:space="0" w:color="1A56DB"/>
            </w:tcBorders>
            <w:shd w:fill="1A56DB" w:val="clear"/>
            <w:vAlign w:val="center"/>
          </w:tcPr>
          <w:p>
            <w:pPr>
              <w:pStyle w:val="Normal"/>
              <w:jc w:val="center"/>
              <w:rPr/>
            </w:pPr>
            <w:r>
              <w:rPr>
                <w:rFonts w:eastAsia="Arial" w:cs="Arial"/>
                <w:b/>
                <w:bCs/>
                <w:color w:val="FFFFFF"/>
                <w:sz w:val="19"/>
                <w:szCs w:val="19"/>
              </w:rPr>
              <w:t>Description</w:t>
            </w:r>
          </w:p>
        </w:tc>
      </w:tr>
      <w:tr>
        <w:trPr/>
        <w:tc>
          <w:tcPr>
            <w:tcW w:w="20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bCs/>
                <w:color w:val="1A1A2E"/>
                <w:sz w:val="19"/>
                <w:szCs w:val="19"/>
              </w:rPr>
              <w:t>min_margin</w:t>
            </w:r>
          </w:p>
        </w:tc>
        <w:tc>
          <w:tcPr>
            <w:tcW w:w="1398"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number</w:t>
            </w:r>
          </w:p>
        </w:tc>
        <w:tc>
          <w:tcPr>
            <w:tcW w:w="1162"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No</w:t>
            </w:r>
          </w:p>
        </w:tc>
        <w:tc>
          <w:tcPr>
            <w:tcW w:w="48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Filter: minimum net margin percentage.</w:t>
            </w:r>
          </w:p>
        </w:tc>
      </w:tr>
      <w:tr>
        <w:trPr/>
        <w:tc>
          <w:tcPr>
            <w:tcW w:w="20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bCs/>
                <w:color w:val="1A1A2E"/>
                <w:sz w:val="19"/>
                <w:szCs w:val="19"/>
              </w:rPr>
              <w:t>retailer</w:t>
            </w:r>
          </w:p>
        </w:tc>
        <w:tc>
          <w:tcPr>
            <w:tcW w:w="1398"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string</w:t>
            </w:r>
          </w:p>
        </w:tc>
        <w:tc>
          <w:tcPr>
            <w:tcW w:w="1162"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No</w:t>
            </w:r>
          </w:p>
        </w:tc>
        <w:tc>
          <w:tcPr>
            <w:tcW w:w="48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Filter: retailer_source_id UUID.</w:t>
            </w:r>
          </w:p>
        </w:tc>
      </w:tr>
      <w:tr>
        <w:trPr/>
        <w:tc>
          <w:tcPr>
            <w:tcW w:w="20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bCs/>
                <w:color w:val="1A1A2E"/>
                <w:sz w:val="19"/>
                <w:szCs w:val="19"/>
              </w:rPr>
              <w:t>category</w:t>
            </w:r>
          </w:p>
        </w:tc>
        <w:tc>
          <w:tcPr>
            <w:tcW w:w="1398"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string</w:t>
            </w:r>
          </w:p>
        </w:tc>
        <w:tc>
          <w:tcPr>
            <w:tcW w:w="1162"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No</w:t>
            </w:r>
          </w:p>
        </w:tc>
        <w:tc>
          <w:tcPr>
            <w:tcW w:w="48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Filter: category string (partial match).</w:t>
            </w:r>
          </w:p>
        </w:tc>
      </w:tr>
      <w:tr>
        <w:trPr/>
        <w:tc>
          <w:tcPr>
            <w:tcW w:w="20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bCs/>
                <w:color w:val="1A1A2E"/>
                <w:sz w:val="19"/>
                <w:szCs w:val="19"/>
              </w:rPr>
              <w:t>after</w:t>
            </w:r>
          </w:p>
        </w:tc>
        <w:tc>
          <w:tcPr>
            <w:tcW w:w="1398"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string</w:t>
            </w:r>
          </w:p>
        </w:tc>
        <w:tc>
          <w:tcPr>
            <w:tcW w:w="1162"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No</w:t>
            </w:r>
          </w:p>
        </w:tc>
        <w:tc>
          <w:tcPr>
            <w:tcW w:w="48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Pagination cursor from previous response.</w:t>
            </w:r>
          </w:p>
        </w:tc>
      </w:tr>
      <w:tr>
        <w:trPr/>
        <w:tc>
          <w:tcPr>
            <w:tcW w:w="20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bCs/>
                <w:color w:val="1A1A2E"/>
                <w:sz w:val="19"/>
                <w:szCs w:val="19"/>
              </w:rPr>
              <w:t>limit</w:t>
            </w:r>
          </w:p>
        </w:tc>
        <w:tc>
          <w:tcPr>
            <w:tcW w:w="1398"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integer</w:t>
            </w:r>
          </w:p>
        </w:tc>
        <w:tc>
          <w:tcPr>
            <w:tcW w:w="1162"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No</w:t>
            </w:r>
          </w:p>
        </w:tc>
        <w:tc>
          <w:tcPr>
            <w:tcW w:w="48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Page size. Default 50, max 200.</w:t>
            </w:r>
          </w:p>
        </w:tc>
      </w:tr>
    </w:tbl>
    <w:p>
      <w:pPr>
        <w:pStyle w:val="Normal"/>
        <w:spacing w:before="0" w:after="0"/>
        <w:rPr/>
      </w:pPr>
      <w:r>
        <w:rPr/>
      </w:r>
    </w:p>
    <w:p>
      <w:pPr>
        <w:pStyle w:val="Normal"/>
        <w:shd w:val="clear" w:fill="F4F6F9"/>
        <w:spacing w:before="60" w:after="60"/>
        <w:ind w:start="720"/>
        <w:rPr/>
      </w:pPr>
      <w:r>
        <w:rPr>
          <w:rFonts w:eastAsia="Courier New" w:cs="Courier New" w:ascii="Courier New" w:hAnsi="Courier New"/>
          <w:color w:val="1A56DB"/>
          <w:sz w:val="20"/>
          <w:szCs w:val="20"/>
        </w:rPr>
        <w:t>Response 200: { "deals": [ { "deal_id": "uuid", "sku": { "id": "uuid", "title": "...",</w:t>
      </w:r>
    </w:p>
    <w:p>
      <w:pPr>
        <w:pStyle w:val="Normal"/>
        <w:shd w:val="clear" w:fill="F4F6F9"/>
        <w:spacing w:before="60" w:after="60"/>
        <w:ind w:start="720"/>
        <w:rPr/>
      </w:pPr>
      <w:r>
        <w:rPr>
          <w:rFonts w:eastAsia="Courier New" w:cs="Courier New" w:ascii="Courier New" w:hAnsi="Courier New"/>
          <w:color w:val="1A56DB"/>
          <w:sz w:val="20"/>
          <w:szCs w:val="20"/>
        </w:rPr>
        <w:t xml:space="preserve">  </w:t>
      </w:r>
      <w:r>
        <w:rPr>
          <w:rFonts w:eastAsia="Courier New" w:cs="Courier New" w:ascii="Courier New" w:hAnsi="Courier New"/>
          <w:color w:val="1A56DB"/>
          <w:sz w:val="20"/>
          <w:szCs w:val="20"/>
        </w:rPr>
        <w:t>"composite_score": 64.3, "high_opportunity": false },</w:t>
      </w:r>
    </w:p>
    <w:p>
      <w:pPr>
        <w:pStyle w:val="Normal"/>
        <w:shd w:val="clear" w:fill="F4F6F9"/>
        <w:spacing w:before="60" w:after="60"/>
        <w:ind w:start="720"/>
        <w:rPr/>
      </w:pPr>
      <w:r>
        <w:rPr>
          <w:rFonts w:eastAsia="Courier New" w:cs="Courier New" w:ascii="Courier New" w:hAnsi="Courier New"/>
          <w:color w:val="1A56DB"/>
          <w:sz w:val="20"/>
          <w:szCs w:val="20"/>
        </w:rPr>
        <w:t xml:space="preserve">  </w:t>
      </w:r>
      <w:r>
        <w:rPr>
          <w:rFonts w:eastAsia="Courier New" w:cs="Courier New" w:ascii="Courier New" w:hAnsi="Courier New"/>
          <w:color w:val="1A56DB"/>
          <w:sz w:val="20"/>
          <w:szCs w:val="20"/>
        </w:rPr>
        <w:t>"buy": { "retailer": "Tesco", "price_gbp": "180.00", "delivery_gbp": "0.00" },</w:t>
      </w:r>
    </w:p>
    <w:p>
      <w:pPr>
        <w:pStyle w:val="Normal"/>
        <w:shd w:val="clear" w:fill="F4F6F9"/>
        <w:spacing w:before="60" w:after="60"/>
        <w:ind w:start="720"/>
        <w:rPr/>
      </w:pPr>
      <w:r>
        <w:rPr>
          <w:rFonts w:eastAsia="Courier New" w:cs="Courier New" w:ascii="Courier New" w:hAnsi="Courier New"/>
          <w:color w:val="1A56DB"/>
          <w:sz w:val="20"/>
          <w:szCs w:val="20"/>
        </w:rPr>
        <w:t xml:space="preserve">  </w:t>
      </w:r>
      <w:r>
        <w:rPr>
          <w:rFonts w:eastAsia="Courier New" w:cs="Courier New" w:ascii="Courier New" w:hAnsi="Courier New"/>
          <w:color w:val="1A56DB"/>
          <w:sz w:val="20"/>
          <w:szCs w:val="20"/>
        </w:rPr>
        <w:t>"sell": { "channel": "amazon_fba", "price_gbp": "249.99" },</w:t>
      </w:r>
    </w:p>
    <w:p>
      <w:pPr>
        <w:pStyle w:val="Normal"/>
        <w:shd w:val="clear" w:fill="F4F6F9"/>
        <w:spacing w:before="60" w:after="60"/>
        <w:ind w:start="720"/>
        <w:rPr/>
      </w:pPr>
      <w:r>
        <w:rPr>
          <w:rFonts w:eastAsia="Courier New" w:cs="Courier New" w:ascii="Courier New" w:hAnsi="Courier New"/>
          <w:color w:val="1A56DB"/>
          <w:sz w:val="20"/>
          <w:szCs w:val="20"/>
        </w:rPr>
        <w:t xml:space="preserve">  </w:t>
      </w:r>
      <w:r>
        <w:rPr>
          <w:rFonts w:eastAsia="Courier New" w:cs="Courier New" w:ascii="Courier New" w:hAnsi="Courier New"/>
          <w:color w:val="1A56DB"/>
          <w:sz w:val="20"/>
          <w:szCs w:val="20"/>
        </w:rPr>
        <w:t>"margin": { "net_profit_gbp": "77.13", "net_margin_pct": "30.9",</w:t>
      </w:r>
    </w:p>
    <w:p>
      <w:pPr>
        <w:pStyle w:val="Normal"/>
        <w:shd w:val="clear" w:fill="F4F6F9"/>
        <w:spacing w:before="60" w:after="60"/>
        <w:ind w:start="720"/>
        <w:rPr/>
      </w:pPr>
      <w:r>
        <w:rPr>
          <w:rFonts w:eastAsia="Courier New" w:cs="Courier New" w:ascii="Courier New" w:hAnsi="Courier New"/>
          <w:color w:val="1A56DB"/>
          <w:sz w:val="20"/>
          <w:szCs w:val="20"/>
        </w:rPr>
        <w:t xml:space="preserve">    </w:t>
      </w:r>
      <w:r>
        <w:rPr>
          <w:rFonts w:eastAsia="Courier New" w:cs="Courier New" w:ascii="Courier New" w:hAnsi="Courier New"/>
          <w:color w:val="1A56DB"/>
          <w:sz w:val="20"/>
          <w:szCs w:val="20"/>
        </w:rPr>
        <w:t>"referral_fee_gbp": "17.50", "fulfilment_fee_gbp": "5.28", "vat_adjustment_gbp": "-30.00" },</w:t>
      </w:r>
    </w:p>
    <w:p>
      <w:pPr>
        <w:pStyle w:val="Normal"/>
        <w:shd w:val="clear" w:fill="F4F6F9"/>
        <w:spacing w:before="60" w:after="60"/>
        <w:ind w:start="720"/>
        <w:rPr/>
      </w:pPr>
      <w:r>
        <w:rPr>
          <w:rFonts w:eastAsia="Courier New" w:cs="Courier New" w:ascii="Courier New" w:hAnsi="Courier New"/>
          <w:color w:val="1A56DB"/>
          <w:sz w:val="20"/>
          <w:szCs w:val="20"/>
        </w:rPr>
        <w:t xml:space="preserve">  </w:t>
      </w:r>
      <w:r>
        <w:rPr>
          <w:rFonts w:eastAsia="Courier New" w:cs="Courier New" w:ascii="Courier New" w:hAnsi="Courier New"/>
          <w:color w:val="1A56DB"/>
          <w:sz w:val="20"/>
          <w:szCs w:val="20"/>
        </w:rPr>
        <w:t>"surfaced_at": "2026-06-02T09:47:12Z" } ],</w:t>
      </w:r>
    </w:p>
    <w:p>
      <w:pPr>
        <w:pStyle w:val="Normal"/>
        <w:shd w:val="clear" w:fill="F4F6F9"/>
        <w:spacing w:before="60" w:after="60"/>
        <w:ind w:start="720"/>
        <w:rPr/>
      </w:pPr>
      <w:r>
        <w:rPr>
          <w:rFonts w:eastAsia="Courier New" w:cs="Courier New" w:ascii="Courier New" w:hAnsi="Courier New"/>
          <w:color w:val="1A56DB"/>
          <w:sz w:val="20"/>
          <w:szCs w:val="20"/>
        </w:rPr>
        <w:t xml:space="preserve">  </w:t>
      </w:r>
      <w:r>
        <w:rPr>
          <w:rFonts w:eastAsia="Courier New" w:cs="Courier New" w:ascii="Courier New" w:hAnsi="Courier New"/>
          <w:color w:val="1A56DB"/>
          <w:sz w:val="20"/>
          <w:szCs w:val="20"/>
        </w:rPr>
        <w:t>"next_cursor": "eyJpZCI6Ii4uLiJ9", "total": 12 }</w:t>
      </w:r>
    </w:p>
    <w:p>
      <w:pPr>
        <w:pStyle w:val="Normal"/>
        <w:spacing w:before="0" w:after="0"/>
        <w:rPr/>
      </w:pPr>
      <w:r>
        <w:rPr/>
      </w:r>
    </w:p>
    <w:p>
      <w:pPr>
        <w:pStyle w:val="Heading3"/>
        <w:spacing w:before="200" w:after="80"/>
        <w:rPr/>
      </w:pPr>
      <w:r>
        <w:rPr>
          <w:rFonts w:eastAsia="Arial" w:cs="Arial"/>
          <w:b/>
          <w:bCs/>
          <w:color w:val="1A56DB"/>
          <w:sz w:val="22"/>
          <w:szCs w:val="22"/>
        </w:rPr>
        <w:t>POST /api/v1/approvals</w:t>
      </w:r>
    </w:p>
    <w:p>
      <w:pPr>
        <w:pStyle w:val="Normal"/>
        <w:spacing w:before="60" w:after="60"/>
        <w:rPr/>
      </w:pPr>
      <w:r>
        <w:rPr>
          <w:rFonts w:eastAsia="Arial" w:cs="Arial"/>
          <w:color w:val="1A1A2E"/>
          <w:sz w:val="22"/>
          <w:szCs w:val="22"/>
        </w:rPr>
        <w:t>Adds a deal to the user's Approval Queue.</w:t>
      </w:r>
    </w:p>
    <w:p>
      <w:pPr>
        <w:pStyle w:val="Normal"/>
        <w:shd w:val="clear" w:fill="F4F6F9"/>
        <w:spacing w:before="60" w:after="60"/>
        <w:ind w:start="720"/>
        <w:rPr/>
      </w:pPr>
      <w:r>
        <w:rPr>
          <w:rFonts w:eastAsia="Courier New" w:cs="Courier New" w:ascii="Courier New" w:hAnsi="Courier New"/>
          <w:color w:val="1A56DB"/>
          <w:sz w:val="20"/>
          <w:szCs w:val="20"/>
        </w:rPr>
        <w:t>Request: { "deal_id": "uuid", "quantity": 1, "sell_channel": "amazon_fba" }</w:t>
      </w:r>
    </w:p>
    <w:p>
      <w:pPr>
        <w:pStyle w:val="Normal"/>
        <w:shd w:val="clear" w:fill="F4F6F9"/>
        <w:spacing w:before="60" w:after="60"/>
        <w:ind w:start="720"/>
        <w:rPr/>
      </w:pPr>
      <w:r>
        <w:rPr>
          <w:rFonts w:eastAsia="Courier New" w:cs="Courier New" w:ascii="Courier New" w:hAnsi="Courier New"/>
          <w:color w:val="1A56DB"/>
          <w:sz w:val="20"/>
          <w:szCs w:val="20"/>
        </w:rPr>
        <w:t>Response 201: { "approval_id": "uuid", "status": "pending", "queued_at": "..." }</w:t>
      </w:r>
    </w:p>
    <w:p>
      <w:pPr>
        <w:pStyle w:val="Normal"/>
        <w:shd w:val="clear" w:fill="F4F6F9"/>
        <w:spacing w:before="60" w:after="60"/>
        <w:ind w:start="720"/>
        <w:rPr/>
      </w:pPr>
      <w:r>
        <w:rPr>
          <w:rFonts w:eastAsia="Courier New" w:cs="Courier New" w:ascii="Courier New" w:hAnsi="Courier New"/>
          <w:color w:val="1A56DB"/>
          <w:sz w:val="20"/>
          <w:szCs w:val="20"/>
        </w:rPr>
        <w:t>Response 409: { "type": "/errors/margin-below-threshold", "detail": "Margin has dropped to 14.2% since deal was surfaced." }</w:t>
      </w:r>
    </w:p>
    <w:p>
      <w:pPr>
        <w:pStyle w:val="Normal"/>
        <w:spacing w:before="0" w:after="0"/>
        <w:rPr/>
      </w:pPr>
      <w:r>
        <w:rPr/>
      </w:r>
    </w:p>
    <w:p>
      <w:pPr>
        <w:pStyle w:val="Heading3"/>
        <w:spacing w:before="200" w:after="80"/>
        <w:rPr/>
      </w:pPr>
      <w:r>
        <w:rPr>
          <w:rFonts w:eastAsia="Arial" w:cs="Arial"/>
          <w:b/>
          <w:bCs/>
          <w:color w:val="1A56DB"/>
          <w:sz w:val="22"/>
          <w:szCs w:val="22"/>
        </w:rPr>
        <w:t>POST /api/v1/approvals/{id}/approve</w:t>
      </w:r>
    </w:p>
    <w:p>
      <w:pPr>
        <w:pStyle w:val="Normal"/>
        <w:spacing w:before="60" w:after="60"/>
        <w:rPr/>
      </w:pPr>
      <w:r>
        <w:rPr>
          <w:rFonts w:eastAsia="Arial" w:cs="Arial"/>
          <w:color w:val="1A1A2E"/>
          <w:sz w:val="22"/>
          <w:szCs w:val="22"/>
        </w:rPr>
        <w:t>Approves a queued deal and triggers automated purchase.</w:t>
      </w:r>
    </w:p>
    <w:p>
      <w:pPr>
        <w:pStyle w:val="Normal"/>
        <w:shd w:val="clear" w:fill="F4F6F9"/>
        <w:spacing w:before="60" w:after="60"/>
        <w:ind w:start="720"/>
        <w:rPr/>
      </w:pPr>
      <w:r>
        <w:rPr>
          <w:rFonts w:eastAsia="Courier New" w:cs="Courier New" w:ascii="Courier New" w:hAnsi="Courier New"/>
          <w:color w:val="1A56DB"/>
          <w:sz w:val="20"/>
          <w:szCs w:val="20"/>
        </w:rPr>
        <w:t>Response 202: { "approval_id": "uuid", "status": "executing", "pre_execute_margin_pct": "30.1" }</w:t>
      </w:r>
    </w:p>
    <w:p>
      <w:pPr>
        <w:pStyle w:val="Normal"/>
        <w:shd w:val="clear" w:fill="F4F6F9"/>
        <w:spacing w:before="60" w:after="60"/>
        <w:ind w:start="720"/>
        <w:rPr/>
      </w:pPr>
      <w:r>
        <w:rPr>
          <w:rFonts w:eastAsia="Courier New" w:cs="Courier New" w:ascii="Courier New" w:hAnsi="Courier New"/>
          <w:color w:val="1A56DB"/>
          <w:sz w:val="20"/>
          <w:szCs w:val="20"/>
        </w:rPr>
        <w:t>Response 409: { "type": "/errors/margin-below-threshold", "detail": "..." }</w:t>
      </w:r>
    </w:p>
    <w:p>
      <w:pPr>
        <w:pStyle w:val="Normal"/>
        <w:shd w:val="clear" w:fill="F4F6F9"/>
        <w:spacing w:before="60" w:after="60"/>
        <w:ind w:start="720"/>
        <w:rPr/>
      </w:pPr>
      <w:r>
        <w:rPr>
          <w:rFonts w:eastAsia="Courier New" w:cs="Courier New" w:ascii="Courier New" w:hAnsi="Courier New"/>
          <w:color w:val="1A56DB"/>
          <w:sz w:val="20"/>
          <w:szCs w:val="20"/>
        </w:rPr>
        <w:t>Response 403: { "type": "/errors/mfa-required", "detail": "MFA must be verified before approvals." }</w:t>
      </w:r>
    </w:p>
    <w:p>
      <w:pPr>
        <w:pStyle w:val="Normal"/>
        <w:spacing w:before="0" w:after="0"/>
        <w:rPr/>
      </w:pPr>
      <w:r>
        <w:rPr/>
      </w:r>
    </w:p>
    <w:p>
      <w:pPr>
        <w:pStyle w:val="Heading3"/>
        <w:spacing w:before="200" w:after="80"/>
        <w:rPr/>
      </w:pPr>
      <w:r>
        <w:rPr>
          <w:rFonts w:eastAsia="Arial" w:cs="Arial"/>
          <w:b/>
          <w:bCs/>
          <w:color w:val="1A56DB"/>
          <w:sz w:val="22"/>
          <w:szCs w:val="22"/>
        </w:rPr>
        <w:t>GET /api/v1/catalogue</w:t>
      </w:r>
    </w:p>
    <w:p>
      <w:pPr>
        <w:pStyle w:val="Normal"/>
        <w:spacing w:before="60" w:after="60"/>
        <w:rPr/>
      </w:pPr>
      <w:r>
        <w:rPr>
          <w:rFonts w:eastAsia="Arial" w:cs="Arial"/>
          <w:color w:val="1A1A2E"/>
          <w:sz w:val="22"/>
          <w:szCs w:val="22"/>
        </w:rPr>
        <w:t>Returns paginated product catalogue with composite scores.</w:t>
      </w:r>
    </w:p>
    <w:p>
      <w:pPr>
        <w:pStyle w:val="Normal"/>
        <w:shd w:val="clear" w:fill="F4F6F9"/>
        <w:spacing w:before="60" w:after="60"/>
        <w:ind w:start="720"/>
        <w:rPr/>
      </w:pPr>
      <w:r>
        <w:rPr>
          <w:rFonts w:eastAsia="Courier New" w:cs="Courier New" w:ascii="Courier New" w:hAnsi="Courier New"/>
          <w:color w:val="1A56DB"/>
          <w:sz w:val="20"/>
          <w:szCs w:val="20"/>
        </w:rPr>
        <w:t>Response 200: { "skus": [ { "id": "uuid", "title": "...", "category": "Electronics",</w:t>
      </w:r>
    </w:p>
    <w:p>
      <w:pPr>
        <w:pStyle w:val="Normal"/>
        <w:shd w:val="clear" w:fill="F4F6F9"/>
        <w:spacing w:before="60" w:after="60"/>
        <w:ind w:start="720"/>
        <w:rPr/>
      </w:pPr>
      <w:r>
        <w:rPr>
          <w:rFonts w:eastAsia="Courier New" w:cs="Courier New" w:ascii="Courier New" w:hAnsi="Courier New"/>
          <w:color w:val="1A56DB"/>
          <w:sz w:val="20"/>
          <w:szCs w:val="20"/>
        </w:rPr>
        <w:t xml:space="preserve">  </w:t>
      </w:r>
      <w:r>
        <w:rPr>
          <w:rFonts w:eastAsia="Courier New" w:cs="Courier New" w:ascii="Courier New" w:hAnsi="Courier New"/>
          <w:color w:val="1A56DB"/>
          <w:sz w:val="20"/>
          <w:szCs w:val="20"/>
        </w:rPr>
        <w:t>"composite_score": 64.3, "score_confidence": "medium", "high_opportunity": false,</w:t>
      </w:r>
    </w:p>
    <w:p>
      <w:pPr>
        <w:pStyle w:val="Normal"/>
        <w:shd w:val="clear" w:fill="F4F6F9"/>
        <w:spacing w:before="60" w:after="60"/>
        <w:ind w:start="720"/>
        <w:rPr/>
      </w:pPr>
      <w:r>
        <w:rPr>
          <w:rFonts w:eastAsia="Courier New" w:cs="Courier New" w:ascii="Courier New" w:hAnsi="Courier New"/>
          <w:color w:val="1A56DB"/>
          <w:sz w:val="20"/>
          <w:szCs w:val="20"/>
        </w:rPr>
        <w:t xml:space="preserve">  </w:t>
      </w:r>
      <w:r>
        <w:rPr>
          <w:rFonts w:eastAsia="Courier New" w:cs="Courier New" w:ascii="Courier New" w:hAnsi="Courier New"/>
          <w:color w:val="1A56DB"/>
          <w:sz w:val="20"/>
          <w:szCs w:val="20"/>
        </w:rPr>
        <w:t>"deal_event_count_90d": 14, "cheapest_source": { "retailer": "Tesco", "price_gbp": "180.00" },</w:t>
      </w:r>
    </w:p>
    <w:p>
      <w:pPr>
        <w:pStyle w:val="Normal"/>
        <w:shd w:val="clear" w:fill="F4F6F9"/>
        <w:spacing w:before="60" w:after="60"/>
        <w:ind w:start="720"/>
        <w:rPr/>
      </w:pPr>
      <w:r>
        <w:rPr>
          <w:rFonts w:eastAsia="Courier New" w:cs="Courier New" w:ascii="Courier New" w:hAnsi="Courier New"/>
          <w:color w:val="1A56DB"/>
          <w:sz w:val="20"/>
          <w:szCs w:val="20"/>
        </w:rPr>
        <w:t xml:space="preserve">  </w:t>
      </w:r>
      <w:r>
        <w:rPr>
          <w:rFonts w:eastAsia="Courier New" w:cs="Courier New" w:ascii="Courier New" w:hAnsi="Courier New"/>
          <w:color w:val="1A56DB"/>
          <w:sz w:val="20"/>
          <w:szCs w:val="20"/>
        </w:rPr>
        <w:t>"avg_net_margin_pct": "28.4" } ], "next_cursor": "...", "total": 2840 }</w:t>
      </w:r>
    </w:p>
    <w:p>
      <w:pPr>
        <w:pStyle w:val="Normal"/>
        <w:spacing w:before="0" w:after="0"/>
        <w:rPr/>
      </w:pPr>
      <w:r>
        <w:rPr/>
      </w:r>
    </w:p>
    <w:p>
      <w:pPr>
        <w:pStyle w:val="Heading3"/>
        <w:spacing w:before="200" w:after="80"/>
        <w:rPr/>
      </w:pPr>
      <w:r>
        <w:rPr>
          <w:rFonts w:eastAsia="Arial" w:cs="Arial"/>
          <w:b/>
          <w:bCs/>
          <w:color w:val="1A56DB"/>
          <w:sz w:val="22"/>
          <w:szCs w:val="22"/>
        </w:rPr>
        <w:t>GET /api/v1/history</w:t>
      </w:r>
    </w:p>
    <w:p>
      <w:pPr>
        <w:pStyle w:val="Normal"/>
        <w:spacing w:before="60" w:after="60"/>
        <w:rPr/>
      </w:pPr>
      <w:r>
        <w:rPr>
          <w:rFonts w:eastAsia="Arial" w:cs="Arial"/>
          <w:color w:val="1A1A2E"/>
          <w:sz w:val="22"/>
          <w:szCs w:val="22"/>
        </w:rPr>
        <w:t>Returns the user's closed deal history. Supports CSV export via Accept: text/csv header.</w:t>
      </w:r>
    </w:p>
    <w:p>
      <w:pPr>
        <w:pStyle w:val="Normal"/>
        <w:shd w:val="clear" w:fill="F4F6F9"/>
        <w:spacing w:before="60" w:after="60"/>
        <w:ind w:start="720"/>
        <w:rPr/>
      </w:pPr>
      <w:r>
        <w:rPr>
          <w:rFonts w:eastAsia="Courier New" w:cs="Courier New" w:ascii="Courier New" w:hAnsi="Courier New"/>
          <w:color w:val="1A56DB"/>
          <w:sz w:val="20"/>
          <w:szCs w:val="20"/>
        </w:rPr>
        <w:t>Response 200: { "deals": [ { "id": "uuid", "sku_title": "...", "buy_retailer": "Tesco",</w:t>
      </w:r>
    </w:p>
    <w:p>
      <w:pPr>
        <w:pStyle w:val="Normal"/>
        <w:shd w:val="clear" w:fill="F4F6F9"/>
        <w:spacing w:before="60" w:after="60"/>
        <w:ind w:start="720"/>
        <w:rPr/>
      </w:pPr>
      <w:r>
        <w:rPr>
          <w:rFonts w:eastAsia="Courier New" w:cs="Courier New" w:ascii="Courier New" w:hAnsi="Courier New"/>
          <w:color w:val="1A56DB"/>
          <w:sz w:val="20"/>
          <w:szCs w:val="20"/>
        </w:rPr>
        <w:t xml:space="preserve">  </w:t>
      </w:r>
      <w:r>
        <w:rPr>
          <w:rFonts w:eastAsia="Courier New" w:cs="Courier New" w:ascii="Courier New" w:hAnsi="Courier New"/>
          <w:color w:val="1A56DB"/>
          <w:sz w:val="20"/>
          <w:szCs w:val="20"/>
        </w:rPr>
        <w:t>"sell_channel": "amazon_fba", "buy_price_gbp": "180.00", "sell_price_gbp": "249.99",</w:t>
      </w:r>
    </w:p>
    <w:p>
      <w:pPr>
        <w:pStyle w:val="Normal"/>
        <w:shd w:val="clear" w:fill="F4F6F9"/>
        <w:spacing w:before="60" w:after="60"/>
        <w:ind w:start="720"/>
        <w:rPr/>
      </w:pPr>
      <w:r>
        <w:rPr>
          <w:rFonts w:eastAsia="Courier New" w:cs="Courier New" w:ascii="Courier New" w:hAnsi="Courier New"/>
          <w:color w:val="1A56DB"/>
          <w:sz w:val="20"/>
          <w:szCs w:val="20"/>
        </w:rPr>
        <w:t xml:space="preserve">  </w:t>
      </w:r>
      <w:r>
        <w:rPr>
          <w:rFonts w:eastAsia="Courier New" w:cs="Courier New" w:ascii="Courier New" w:hAnsi="Courier New"/>
          <w:color w:val="1A56DB"/>
          <w:sz w:val="20"/>
          <w:szCs w:val="20"/>
        </w:rPr>
        <w:t>"net_profit_gbp": "77.13", "net_margin_pct": "30.9", "closed_at": "..." } ] }</w:t>
      </w:r>
    </w:p>
    <w:p>
      <w:pPr>
        <w:pStyle w:val="Normal"/>
        <w:spacing w:before="0" w:after="0"/>
        <w:rPr/>
      </w:pPr>
      <w:r>
        <w:rPr/>
      </w:r>
    </w:p>
    <w:p>
      <w:pPr>
        <w:pStyle w:val="Heading2"/>
        <w:spacing w:before="280" w:after="100"/>
        <w:rPr/>
      </w:pPr>
      <w:r>
        <w:rPr>
          <w:rFonts w:eastAsia="Arial" w:cs="Arial"/>
          <w:b/>
          <w:bCs/>
          <w:color w:val="1A1A2E"/>
          <w:sz w:val="26"/>
          <w:szCs w:val="26"/>
        </w:rPr>
        <w:t>6.3 Webhook Payload Schemas</w:t>
      </w:r>
    </w:p>
    <w:p>
      <w:pPr>
        <w:pStyle w:val="Normal"/>
        <w:spacing w:before="0" w:after="0"/>
        <w:rPr/>
      </w:pPr>
      <w:r>
        <w:rPr/>
      </w:r>
    </w:p>
    <w:p>
      <w:pPr>
        <w:pStyle w:val="Heading3"/>
        <w:spacing w:before="200" w:after="80"/>
        <w:rPr/>
      </w:pPr>
      <w:r>
        <w:rPr>
          <w:rFonts w:eastAsia="Arial" w:cs="Arial"/>
          <w:b/>
          <w:bCs/>
          <w:color w:val="1A56DB"/>
          <w:sz w:val="22"/>
          <w:szCs w:val="22"/>
        </w:rPr>
        <w:t>deal.surfaced</w:t>
      </w:r>
    </w:p>
    <w:p>
      <w:pPr>
        <w:pStyle w:val="Normal"/>
        <w:shd w:val="clear" w:fill="F4F6F9"/>
        <w:spacing w:before="60" w:after="60"/>
        <w:ind w:start="720"/>
        <w:rPr/>
      </w:pPr>
      <w:r>
        <w:rPr>
          <w:rFonts w:eastAsia="Courier New" w:cs="Courier New" w:ascii="Courier New" w:hAnsi="Courier New"/>
          <w:color w:val="1A56DB"/>
          <w:sz w:val="20"/>
          <w:szCs w:val="20"/>
        </w:rPr>
        <w:t>{ "event_type": "deal.surfaced", "deal_id": "uuid", "user_id": "uuid",</w:t>
      </w:r>
    </w:p>
    <w:p>
      <w:pPr>
        <w:pStyle w:val="Normal"/>
        <w:shd w:val="clear" w:fill="F4F6F9"/>
        <w:spacing w:before="60" w:after="60"/>
        <w:ind w:start="720"/>
        <w:rPr/>
      </w:pPr>
      <w:r>
        <w:rPr>
          <w:rFonts w:eastAsia="Courier New" w:cs="Courier New" w:ascii="Courier New" w:hAnsi="Courier New"/>
          <w:color w:val="1A56DB"/>
          <w:sz w:val="20"/>
          <w:szCs w:val="20"/>
        </w:rPr>
        <w:t xml:space="preserve">  </w:t>
      </w:r>
      <w:r>
        <w:rPr>
          <w:rFonts w:eastAsia="Courier New" w:cs="Courier New" w:ascii="Courier New" w:hAnsi="Courier New"/>
          <w:color w:val="1A56DB"/>
          <w:sz w:val="20"/>
          <w:szCs w:val="20"/>
        </w:rPr>
        <w:t>"sku": { "id": "uuid", "title": "...", "composite_score": 64.3 },</w:t>
      </w:r>
    </w:p>
    <w:p>
      <w:pPr>
        <w:pStyle w:val="Normal"/>
        <w:shd w:val="clear" w:fill="F4F6F9"/>
        <w:spacing w:before="60" w:after="60"/>
        <w:ind w:start="720"/>
        <w:rPr/>
      </w:pPr>
      <w:r>
        <w:rPr>
          <w:rFonts w:eastAsia="Courier New" w:cs="Courier New" w:ascii="Courier New" w:hAnsi="Courier New"/>
          <w:color w:val="1A56DB"/>
          <w:sz w:val="20"/>
          <w:szCs w:val="20"/>
        </w:rPr>
        <w:t xml:space="preserve">  </w:t>
      </w:r>
      <w:r>
        <w:rPr>
          <w:rFonts w:eastAsia="Courier New" w:cs="Courier New" w:ascii="Courier New" w:hAnsi="Courier New"/>
          <w:color w:val="1A56DB"/>
          <w:sz w:val="20"/>
          <w:szCs w:val="20"/>
        </w:rPr>
        <w:t>"buy": { "retailer": "Tesco", "price_gbp": "180.00" },</w:t>
      </w:r>
    </w:p>
    <w:p>
      <w:pPr>
        <w:pStyle w:val="Normal"/>
        <w:shd w:val="clear" w:fill="F4F6F9"/>
        <w:spacing w:before="60" w:after="60"/>
        <w:ind w:start="720"/>
        <w:rPr/>
      </w:pPr>
      <w:r>
        <w:rPr>
          <w:rFonts w:eastAsia="Courier New" w:cs="Courier New" w:ascii="Courier New" w:hAnsi="Courier New"/>
          <w:color w:val="1A56DB"/>
          <w:sz w:val="20"/>
          <w:szCs w:val="20"/>
        </w:rPr>
        <w:t xml:space="preserve">  </w:t>
      </w:r>
      <w:r>
        <w:rPr>
          <w:rFonts w:eastAsia="Courier New" w:cs="Courier New" w:ascii="Courier New" w:hAnsi="Courier New"/>
          <w:color w:val="1A56DB"/>
          <w:sz w:val="20"/>
          <w:szCs w:val="20"/>
        </w:rPr>
        <w:t>"sell": { "channel": "amazon_fba", "price_gbp": "249.99" },</w:t>
      </w:r>
    </w:p>
    <w:p>
      <w:pPr>
        <w:pStyle w:val="Normal"/>
        <w:shd w:val="clear" w:fill="F4F6F9"/>
        <w:spacing w:before="60" w:after="60"/>
        <w:ind w:start="720"/>
        <w:rPr/>
      </w:pPr>
      <w:r>
        <w:rPr>
          <w:rFonts w:eastAsia="Courier New" w:cs="Courier New" w:ascii="Courier New" w:hAnsi="Courier New"/>
          <w:color w:val="1A56DB"/>
          <w:sz w:val="20"/>
          <w:szCs w:val="20"/>
        </w:rPr>
        <w:t xml:space="preserve">  </w:t>
      </w:r>
      <w:r>
        <w:rPr>
          <w:rFonts w:eastAsia="Courier New" w:cs="Courier New" w:ascii="Courier New" w:hAnsi="Courier New"/>
          <w:color w:val="1A56DB"/>
          <w:sz w:val="20"/>
          <w:szCs w:val="20"/>
        </w:rPr>
        <w:t>"net_margin_pct": "30.9", "net_profit_gbp": "77.13", "surfaced_at": "..." }</w:t>
      </w:r>
    </w:p>
    <w:p>
      <w:pPr>
        <w:pStyle w:val="Normal"/>
        <w:spacing w:before="0" w:after="0"/>
        <w:rPr/>
      </w:pPr>
      <w:r>
        <w:rPr/>
      </w:r>
    </w:p>
    <w:p>
      <w:pPr>
        <w:pStyle w:val="Heading3"/>
        <w:spacing w:before="200" w:after="80"/>
        <w:rPr/>
      </w:pPr>
      <w:r>
        <w:rPr>
          <w:rFonts w:eastAsia="Arial" w:cs="Arial"/>
          <w:b/>
          <w:bCs/>
          <w:color w:val="1A56DB"/>
          <w:sz w:val="22"/>
          <w:szCs w:val="22"/>
        </w:rPr>
        <w:t>deal.purchased</w:t>
      </w:r>
    </w:p>
    <w:p>
      <w:pPr>
        <w:pStyle w:val="Normal"/>
        <w:shd w:val="clear" w:fill="F4F6F9"/>
        <w:spacing w:before="60" w:after="60"/>
        <w:ind w:start="720"/>
        <w:rPr/>
      </w:pPr>
      <w:r>
        <w:rPr>
          <w:rFonts w:eastAsia="Courier New" w:cs="Courier New" w:ascii="Courier New" w:hAnsi="Courier New"/>
          <w:color w:val="1A56DB"/>
          <w:sz w:val="20"/>
          <w:szCs w:val="20"/>
        </w:rPr>
        <w:t>{ "event_type": "deal.purchased", "approval_id": "uuid", "user_id": "uuid",</w:t>
      </w:r>
    </w:p>
    <w:p>
      <w:pPr>
        <w:pStyle w:val="Normal"/>
        <w:shd w:val="clear" w:fill="F4F6F9"/>
        <w:spacing w:before="60" w:after="60"/>
        <w:ind w:start="720"/>
        <w:rPr/>
      </w:pPr>
      <w:r>
        <w:rPr>
          <w:rFonts w:eastAsia="Courier New" w:cs="Courier New" w:ascii="Courier New" w:hAnsi="Courier New"/>
          <w:color w:val="1A56DB"/>
          <w:sz w:val="20"/>
          <w:szCs w:val="20"/>
        </w:rPr>
        <w:t xml:space="preserve">  </w:t>
      </w:r>
      <w:r>
        <w:rPr>
          <w:rFonts w:eastAsia="Courier New" w:cs="Courier New" w:ascii="Courier New" w:hAnsi="Courier New"/>
          <w:color w:val="1A56DB"/>
          <w:sz w:val="20"/>
          <w:szCs w:val="20"/>
        </w:rPr>
        <w:t>"sku_title": "...", "buy_retailer": "Tesco", "actual_buy_price_gbp": "180.00",</w:t>
      </w:r>
    </w:p>
    <w:p>
      <w:pPr>
        <w:pStyle w:val="Normal"/>
        <w:shd w:val="clear" w:fill="F4F6F9"/>
        <w:spacing w:before="60" w:after="60"/>
        <w:ind w:start="720"/>
        <w:rPr/>
      </w:pPr>
      <w:r>
        <w:rPr>
          <w:rFonts w:eastAsia="Courier New" w:cs="Courier New" w:ascii="Courier New" w:hAnsi="Courier New"/>
          <w:color w:val="1A56DB"/>
          <w:sz w:val="20"/>
          <w:szCs w:val="20"/>
        </w:rPr>
        <w:t xml:space="preserve">  </w:t>
      </w:r>
      <w:r>
        <w:rPr>
          <w:rFonts w:eastAsia="Courier New" w:cs="Courier New" w:ascii="Courier New" w:hAnsi="Courier New"/>
          <w:color w:val="1A56DB"/>
          <w:sz w:val="20"/>
          <w:szCs w:val="20"/>
        </w:rPr>
        <w:t>"quantity": 1, "purchased_at": "...", "order_reference": "TES-1234567" }</w:t>
      </w:r>
    </w:p>
    <w:p>
      <w:pPr>
        <w:pStyle w:val="Normal"/>
        <w:spacing w:before="0" w:after="0"/>
        <w:rPr/>
      </w:pPr>
      <w:r>
        <w:rPr/>
      </w:r>
    </w:p>
    <w:p>
      <w:pPr>
        <w:pStyle w:val="Normal"/>
        <w:spacing w:before="60" w:after="60"/>
        <w:rPr/>
      </w:pPr>
      <w:r>
        <w:rPr>
          <w:rFonts w:eastAsia="Arial" w:cs="Arial"/>
          <w:color w:val="1A1A2E"/>
          <w:sz w:val="22"/>
          <w:szCs w:val="22"/>
        </w:rPr>
        <w:t>All webhook payloads are signed with HMAC-SHA256. Signature header: X-ArbitrageIQ-Signature: sha256={hex_digest}. The signing key is shown once at webhook registration and stored hashed. Deliveries retry with exponential back-off (1s, 2s, 4s, 8s ... up to 24 hours).</w:t>
      </w:r>
    </w:p>
    <w:p>
      <w:pPr>
        <w:pStyle w:val="Normal"/>
        <w:rPr/>
      </w:pPr>
      <w:r>
        <w:rPr/>
      </w:r>
      <w:r>
        <w:br w:type="page"/>
      </w:r>
    </w:p>
    <w:p>
      <w:pPr>
        <w:pStyle w:val="Normal"/>
        <w:spacing w:before="0" w:after="0"/>
        <w:rPr/>
      </w:pPr>
      <w:r>
        <w:rPr>
          <w:b/>
        </w:rPr>
        <w:t>POST /auth/login</w:t>
      </w:r>
    </w:p>
    <w:p>
      <w:pPr>
        <w:pStyle w:val="Normal"/>
        <w:rPr/>
      </w:pPr>
      <w:r>
        <w:rPr/>
        <w:t>Authenticates a user and returns JWT + refresh token.</w:t>
      </w:r>
    </w:p>
    <w:p>
      <w:pPr>
        <w:pStyle w:val="Normal"/>
        <w:rPr/>
      </w:pPr>
      <w:r>
        <w:rPr>
          <w:b/>
        </w:rPr>
        <w:t>POST /auth/refresh</w:t>
      </w:r>
    </w:p>
    <w:p>
      <w:pPr>
        <w:pStyle w:val="Normal"/>
        <w:rPr/>
      </w:pPr>
      <w:r>
        <w:rPr/>
        <w:t>Exchanges a valid refresh token for a new JWT pair.</w:t>
      </w:r>
    </w:p>
    <w:p>
      <w:pPr>
        <w:pStyle w:val="Normal"/>
        <w:rPr/>
      </w:pPr>
      <w:r>
        <w:rPr>
          <w:b/>
        </w:rPr>
        <w:t>POST /auth/validate</w:t>
      </w:r>
    </w:p>
    <w:p>
      <w:pPr>
        <w:pStyle w:val="Normal"/>
        <w:rPr/>
      </w:pPr>
      <w:r>
        <w:rPr/>
        <w:t>Validates a JWT bearer token. Returns 200 if valid, 401 if expired or invalid.</w:t>
      </w:r>
    </w:p>
    <w:p>
      <w:pPr>
        <w:pStyle w:val="Normal"/>
        <w:rPr/>
      </w:pPr>
      <w:r>
        <w:rPr>
          <w:b/>
        </w:rPr>
        <w:t>POST /auth/mfa/verify</w:t>
      </w:r>
    </w:p>
    <w:p>
      <w:pPr>
        <w:pStyle w:val="Normal"/>
        <w:rPr/>
      </w:pPr>
      <w:r>
        <w:rPr/>
        <w:t>Validates a TOTP or email OTP code during login or enrolment.</w:t>
      </w:r>
    </w:p>
    <w:p>
      <w:pPr>
        <w:pStyle w:val="Normal"/>
        <w:rPr/>
      </w:pPr>
      <w:r>
        <w:rPr>
          <w:b/>
        </w:rPr>
        <w:t>POST /auth/mfa/enrol</w:t>
      </w:r>
    </w:p>
    <w:p>
      <w:pPr>
        <w:pStyle w:val="Normal"/>
        <w:rPr/>
      </w:pPr>
      <w:r>
        <w:rPr/>
        <w:t>Initiates MFA enrolment. Returns QR code URL for TOTP or triggers email OTP.</w:t>
      </w:r>
    </w:p>
    <w:p>
      <w:pPr>
        <w:pStyle w:val="Normal"/>
        <w:rPr/>
      </w:pPr>
      <w:r>
        <w:rPr>
          <w:b/>
        </w:rPr>
        <w:t>POST /billing/webhook</w:t>
      </w:r>
    </w:p>
    <w:p>
      <w:pPr>
        <w:pStyle w:val="Normal"/>
        <w:rPr/>
      </w:pPr>
      <w:r>
        <w:rPr/>
        <w:t>Stripe webhook endpoint. Validates Stripe-Signature header. Emits plan.changed on subscription update.</w:t>
      </w:r>
    </w:p>
    <w:p>
      <w:pPr>
        <w:pStyle w:val="Normal"/>
        <w:rPr/>
      </w:pPr>
      <w:r>
        <w:rPr>
          <w:b/>
        </w:rPr>
        <w:t>GET /billing/plans</w:t>
      </w:r>
    </w:p>
    <w:p>
      <w:pPr>
        <w:pStyle w:val="Normal"/>
        <w:rPr/>
      </w:pPr>
      <w:r>
        <w:rPr/>
        <w:t>Returns available subscription plans with entitlements. No authentication required.</w:t>
      </w:r>
    </w:p>
    <w:p>
      <w:pPr>
        <w:pStyle w:val="Normal"/>
        <w:rPr/>
      </w:pPr>
      <w:r>
        <w:rPr>
          <w:b/>
        </w:rPr>
        <w:t>POST /internal/scores</w:t>
      </w:r>
    </w:p>
    <w:p>
      <w:pPr>
        <w:pStyle w:val="Normal"/>
        <w:rPr/>
      </w:pPr>
      <w:r>
        <w:rPr/>
        <w:t>Catalogue Service internal endpoint. Accepts nightly scoring results from Python service. Protected by internal API key.</w:t>
      </w:r>
    </w:p>
    <w:p>
      <w:pPr>
        <w:pStyle w:val="Normal"/>
        <w:rPr/>
      </w:pPr>
      <w:r>
        <w:rPr>
          <w:b/>
        </w:rPr>
        <w:t>GET /hangfire/dashboard</w:t>
      </w:r>
    </w:p>
    <w:p>
      <w:pPr>
        <w:pStyle w:val="Normal"/>
        <w:rPr/>
      </w:pPr>
      <w:r>
        <w:rPr/>
        <w:t>Jobs Service management UI. Enabled only in staging (HANGFIRE_DASHBOARD_ENABLED=true). Internal network only.</w:t>
      </w:r>
    </w:p>
    <w:p>
      <w:pPr>
        <w:pStyle w:val="Normal"/>
        <w:rPr/>
      </w:pPr>
      <w:r>
        <w:rPr>
          <w:b/>
        </w:rPr>
        <w:t>GET /api/v1/analytics/dashboard</w:t>
      </w:r>
    </w:p>
    <w:p>
      <w:pPr>
        <w:pStyle w:val="Normal"/>
        <w:rPr/>
      </w:pPr>
      <w:r>
        <w:rPr/>
        <w:t>Returns aggregated deal performance metrics for the authenticated user. JWT required.</w:t>
      </w:r>
    </w:p>
    <w:p>
      <w:pPr>
        <w:pStyle w:val="Normal"/>
        <w:rPr/>
      </w:pPr>
      <w:r>
        <w:rPr>
          <w:b/>
        </w:rPr>
        <w:t>GET /api/v1/analytics/export</w:t>
      </w:r>
    </w:p>
    <w:p>
      <w:pPr>
        <w:pStyle w:val="Normal"/>
        <w:rPr/>
      </w:pPr>
      <w:r>
        <w:rPr/>
        <w:t>Exports analytics data as CSV. Accepts ?format=csv or ?format=json. JWT required.</w:t>
      </w:r>
    </w:p>
    <w:p>
      <w:pPr>
        <w:pStyle w:val="Normal"/>
        <w:rPr/>
      </w:pPr>
      <w:r>
        <w:rPr>
          <w:b/>
        </w:rPr>
        <w:t>GET /vault/tokens/{user_id}/{channel}</w:t>
      </w:r>
    </w:p>
    <w:p>
      <w:pPr>
        <w:pStyle w:val="Normal"/>
        <w:rPr/>
      </w:pPr>
      <w:r>
        <w:rPr/>
        <w:t>Retrieves a decrypted OAuth token for the specified sell channel. Audit log written. Approvals Service only.</w:t>
      </w:r>
    </w:p>
    <w:p>
      <w:pPr>
        <w:pStyle w:val="Normal"/>
        <w:rPr/>
      </w:pPr>
      <w:r>
        <w:rPr>
          <w:b/>
        </w:rPr>
        <w:t>DELETE /vault/tokens/{user_id}/{channel}</w:t>
      </w:r>
    </w:p>
    <w:p>
      <w:pPr>
        <w:pStyle w:val="Normal"/>
        <w:rPr/>
      </w:pPr>
      <w:r>
        <w:rPr/>
        <w:t>Securely deletes (zeroises) a stored OAuth token. Used when user disconnects a sell channel.</w:t>
      </w:r>
    </w:p>
    <w:p>
      <w:pPr>
        <w:pStyle w:val="Heading1"/>
        <w:pBdr>
          <w:bottom w:val="single" w:sz="8" w:space="6" w:color="1A56DB"/>
        </w:pBdr>
        <w:spacing w:before="360" w:after="160"/>
        <w:rPr/>
      </w:pPr>
      <w:r>
        <w:rPr>
          <w:rFonts w:eastAsia="Arial" w:cs="Arial"/>
          <w:b/>
          <w:bCs/>
          <w:color w:val="1A56DB"/>
          <w:sz w:val="32"/>
          <w:szCs w:val="32"/>
        </w:rPr>
        <w:t>7. User Flows — Technical Detail</w:t>
      </w:r>
    </w:p>
    <w:p>
      <w:pPr>
        <w:pStyle w:val="Normal"/>
        <w:spacing w:before="60" w:after="60"/>
        <w:rPr/>
      </w:pPr>
      <w:r>
        <w:rPr>
          <w:rFonts w:eastAsia="Arial" w:cs="Arial"/>
          <w:color w:val="1A1A2E"/>
          <w:sz w:val="22"/>
          <w:szCs w:val="22"/>
        </w:rPr>
        <w:t>This section extends the high-level user flows from PRD-ARBIQ-001 Appendix A with technical state, error paths, and edge cases for each journey. Each flow identifies the services involved, the events emitted, and the failure modes the system must handle.</w:t>
      </w:r>
    </w:p>
    <w:p>
      <w:pPr>
        <w:pStyle w:val="Normal"/>
        <w:spacing w:before="0" w:after="0"/>
        <w:rPr/>
      </w:pPr>
      <w:r>
        <w:rPr/>
      </w:r>
    </w:p>
    <w:p>
      <w:pPr>
        <w:pStyle w:val="Heading2"/>
        <w:spacing w:before="280" w:after="100"/>
        <w:rPr/>
      </w:pPr>
      <w:r>
        <w:rPr>
          <w:rFonts w:eastAsia="Arial" w:cs="Arial"/>
          <w:b/>
          <w:bCs/>
          <w:color w:val="1A1A2E"/>
          <w:sz w:val="26"/>
          <w:szCs w:val="26"/>
        </w:rPr>
        <w:t>7.1 Flow: Deal Discovery (Core Loop)</w:t>
      </w:r>
    </w:p>
    <w:p>
      <w:pPr>
        <w:pStyle w:val="Heading3"/>
        <w:spacing w:before="200" w:after="80"/>
        <w:rPr/>
      </w:pPr>
      <w:r>
        <w:rPr>
          <w:rFonts w:eastAsia="Arial" w:cs="Arial"/>
          <w:b/>
          <w:bCs/>
          <w:color w:val="1A56DB"/>
          <w:sz w:val="22"/>
          <w:szCs w:val="22"/>
        </w:rPr>
        <w:t>7.1.1 Happy Path</w:t>
      </w:r>
    </w:p>
    <w:tbl>
      <w:tblPr>
        <w:tblW w:w="9360" w:type="dxa"/>
        <w:jc w:val="start"/>
        <w:tblInd w:w="0" w:type="dxa"/>
        <w:tblLayout w:type="fixed"/>
        <w:tblCellMar>
          <w:top w:w="100" w:type="dxa"/>
          <w:start w:w="140" w:type="dxa"/>
          <w:bottom w:w="100" w:type="dxa"/>
          <w:end w:w="140" w:type="dxa"/>
        </w:tblCellMar>
      </w:tblPr>
      <w:tblGrid>
        <w:gridCol w:w="398"/>
        <w:gridCol w:w="1200"/>
        <w:gridCol w:w="2362"/>
        <w:gridCol w:w="2798"/>
        <w:gridCol w:w="2602"/>
      </w:tblGrid>
      <w:tr>
        <w:trPr>
          <w:tblHeader w:val="true"/>
        </w:trPr>
        <w:tc>
          <w:tcPr>
            <w:tcW w:w="398" w:type="dxa"/>
            <w:tcBorders>
              <w:top w:val="single" w:sz="2" w:space="0" w:color="1A56DB"/>
              <w:start w:val="single" w:sz="2" w:space="0" w:color="1A56DB"/>
              <w:bottom w:val="single" w:sz="2" w:space="0" w:color="1A56DB"/>
              <w:end w:val="single" w:sz="2" w:space="0" w:color="1A56DB"/>
            </w:tcBorders>
            <w:shd w:fill="1A56DB" w:val="clear"/>
            <w:vAlign w:val="center"/>
          </w:tcPr>
          <w:p>
            <w:pPr>
              <w:pStyle w:val="Normal"/>
              <w:jc w:val="center"/>
              <w:rPr/>
            </w:pPr>
            <w:r>
              <w:rPr>
                <w:rFonts w:eastAsia="Arial" w:cs="Arial"/>
                <w:b/>
                <w:bCs/>
                <w:color w:val="FFFFFF"/>
                <w:sz w:val="19"/>
                <w:szCs w:val="19"/>
              </w:rPr>
              <w:t>Step</w:t>
            </w:r>
          </w:p>
        </w:tc>
        <w:tc>
          <w:tcPr>
            <w:tcW w:w="1200" w:type="dxa"/>
            <w:tcBorders>
              <w:top w:val="single" w:sz="2" w:space="0" w:color="1A56DB"/>
              <w:start w:val="single" w:sz="2" w:space="0" w:color="1A56DB"/>
              <w:bottom w:val="single" w:sz="2" w:space="0" w:color="1A56DB"/>
              <w:end w:val="single" w:sz="2" w:space="0" w:color="1A56DB"/>
            </w:tcBorders>
            <w:shd w:fill="1A56DB" w:val="clear"/>
            <w:vAlign w:val="center"/>
          </w:tcPr>
          <w:p>
            <w:pPr>
              <w:pStyle w:val="Normal"/>
              <w:jc w:val="center"/>
              <w:rPr/>
            </w:pPr>
            <w:r>
              <w:rPr>
                <w:rFonts w:eastAsia="Arial" w:cs="Arial"/>
                <w:b/>
                <w:bCs/>
                <w:color w:val="FFFFFF"/>
                <w:sz w:val="19"/>
                <w:szCs w:val="19"/>
              </w:rPr>
              <w:t>Actor</w:t>
            </w:r>
          </w:p>
        </w:tc>
        <w:tc>
          <w:tcPr>
            <w:tcW w:w="2362" w:type="dxa"/>
            <w:tcBorders>
              <w:top w:val="single" w:sz="2" w:space="0" w:color="1A56DB"/>
              <w:start w:val="single" w:sz="2" w:space="0" w:color="1A56DB"/>
              <w:bottom w:val="single" w:sz="2" w:space="0" w:color="1A56DB"/>
              <w:end w:val="single" w:sz="2" w:space="0" w:color="1A56DB"/>
            </w:tcBorders>
            <w:shd w:fill="1A56DB" w:val="clear"/>
            <w:vAlign w:val="center"/>
          </w:tcPr>
          <w:p>
            <w:pPr>
              <w:pStyle w:val="Normal"/>
              <w:jc w:val="center"/>
              <w:rPr/>
            </w:pPr>
            <w:r>
              <w:rPr>
                <w:rFonts w:eastAsia="Arial" w:cs="Arial"/>
                <w:b/>
                <w:bCs/>
                <w:color w:val="FFFFFF"/>
                <w:sz w:val="19"/>
                <w:szCs w:val="19"/>
              </w:rPr>
              <w:t>Action</w:t>
            </w:r>
          </w:p>
        </w:tc>
        <w:tc>
          <w:tcPr>
            <w:tcW w:w="2798" w:type="dxa"/>
            <w:tcBorders>
              <w:top w:val="single" w:sz="2" w:space="0" w:color="1A56DB"/>
              <w:start w:val="single" w:sz="2" w:space="0" w:color="1A56DB"/>
              <w:bottom w:val="single" w:sz="2" w:space="0" w:color="1A56DB"/>
              <w:end w:val="single" w:sz="2" w:space="0" w:color="1A56DB"/>
            </w:tcBorders>
            <w:shd w:fill="1A56DB" w:val="clear"/>
            <w:vAlign w:val="center"/>
          </w:tcPr>
          <w:p>
            <w:pPr>
              <w:pStyle w:val="Normal"/>
              <w:jc w:val="center"/>
              <w:rPr/>
            </w:pPr>
            <w:r>
              <w:rPr>
                <w:rFonts w:eastAsia="Arial" w:cs="Arial"/>
                <w:b/>
                <w:bCs/>
                <w:color w:val="FFFFFF"/>
                <w:sz w:val="19"/>
                <w:szCs w:val="19"/>
              </w:rPr>
              <w:t>Event / State Change</w:t>
            </w:r>
          </w:p>
        </w:tc>
        <w:tc>
          <w:tcPr>
            <w:tcW w:w="2602" w:type="dxa"/>
            <w:tcBorders>
              <w:top w:val="single" w:sz="2" w:space="0" w:color="1A56DB"/>
              <w:start w:val="single" w:sz="2" w:space="0" w:color="1A56DB"/>
              <w:bottom w:val="single" w:sz="2" w:space="0" w:color="1A56DB"/>
              <w:end w:val="single" w:sz="2" w:space="0" w:color="1A56DB"/>
            </w:tcBorders>
            <w:shd w:fill="1A56DB" w:val="clear"/>
            <w:vAlign w:val="center"/>
          </w:tcPr>
          <w:p>
            <w:pPr>
              <w:pStyle w:val="Normal"/>
              <w:jc w:val="center"/>
              <w:rPr/>
            </w:pPr>
            <w:r>
              <w:rPr>
                <w:rFonts w:eastAsia="Arial" w:cs="Arial"/>
                <w:b/>
                <w:bCs/>
                <w:color w:val="FFFFFF"/>
                <w:sz w:val="19"/>
                <w:szCs w:val="19"/>
              </w:rPr>
              <w:t>Services</w:t>
            </w:r>
          </w:p>
        </w:tc>
      </w:tr>
      <w:tr>
        <w:trPr/>
        <w:tc>
          <w:tcPr>
            <w:tcW w:w="398"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bCs/>
                <w:color w:val="1A1A2E"/>
                <w:sz w:val="19"/>
                <w:szCs w:val="19"/>
              </w:rPr>
              <w:t>1</w:t>
            </w:r>
          </w:p>
        </w:tc>
        <w:tc>
          <w:tcPr>
            <w:tcW w:w="12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Jobs Service</w:t>
            </w:r>
          </w:p>
        </w:tc>
        <w:tc>
          <w:tcPr>
            <w:tcW w:w="2362"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Fires scan job at configured cadence</w:t>
            </w:r>
          </w:p>
        </w:tc>
        <w:tc>
          <w:tcPr>
            <w:tcW w:w="2798"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job.fired published to arbitrageiq:jobs</w:t>
            </w:r>
          </w:p>
        </w:tc>
        <w:tc>
          <w:tcPr>
            <w:tcW w:w="2602"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Jobs, Ingestion</w:t>
            </w:r>
          </w:p>
        </w:tc>
      </w:tr>
      <w:tr>
        <w:trPr/>
        <w:tc>
          <w:tcPr>
            <w:tcW w:w="398"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bCs/>
                <w:color w:val="1A1A2E"/>
                <w:sz w:val="19"/>
                <w:szCs w:val="19"/>
              </w:rPr>
              <w:t>2</w:t>
            </w:r>
          </w:p>
        </w:tc>
        <w:tc>
          <w:tcPr>
            <w:tcW w:w="12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Ingestion Service</w:t>
            </w:r>
          </w:p>
        </w:tc>
        <w:tc>
          <w:tcPr>
            <w:tcW w:w="2362"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Fetches prices from retailer (API or Playwright Stealth)</w:t>
            </w:r>
          </w:p>
        </w:tc>
        <w:tc>
          <w:tcPr>
            <w:tcW w:w="2798"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price.ingested published for each normalised SKU price</w:t>
            </w:r>
          </w:p>
        </w:tc>
        <w:tc>
          <w:tcPr>
            <w:tcW w:w="2602"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Ingestion</w:t>
            </w:r>
          </w:p>
        </w:tc>
      </w:tr>
      <w:tr>
        <w:trPr/>
        <w:tc>
          <w:tcPr>
            <w:tcW w:w="398"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bCs/>
                <w:color w:val="1A1A2E"/>
                <w:sz w:val="19"/>
                <w:szCs w:val="19"/>
              </w:rPr>
              <w:t>3</w:t>
            </w:r>
          </w:p>
        </w:tc>
        <w:tc>
          <w:tcPr>
            <w:tcW w:w="12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Opportunity Engine</w:t>
            </w:r>
          </w:p>
        </w:tc>
        <w:tc>
          <w:tcPr>
            <w:tcW w:w="2362"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Consumes price.ingested; calculates net margin for each user with a matching scan job</w:t>
            </w:r>
          </w:p>
        </w:tc>
        <w:tc>
          <w:tcPr>
            <w:tcW w:w="2798"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deal.surfaced published if margin &gt;= user threshold</w:t>
            </w:r>
          </w:p>
        </w:tc>
        <w:tc>
          <w:tcPr>
            <w:tcW w:w="2602"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Opportunity Engine</w:t>
            </w:r>
          </w:p>
        </w:tc>
      </w:tr>
      <w:tr>
        <w:trPr/>
        <w:tc>
          <w:tcPr>
            <w:tcW w:w="398"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bCs/>
                <w:color w:val="1A1A2E"/>
                <w:sz w:val="19"/>
                <w:szCs w:val="19"/>
              </w:rPr>
              <w:t>4</w:t>
            </w:r>
          </w:p>
        </w:tc>
        <w:tc>
          <w:tcPr>
            <w:tcW w:w="12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Notification Service</w:t>
            </w:r>
          </w:p>
        </w:tc>
        <w:tc>
          <w:tcPr>
            <w:tcW w:w="2362"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Consumes deal.surfaced; fans out to in-app feed, email, and push per user preferences</w:t>
            </w:r>
          </w:p>
        </w:tc>
        <w:tc>
          <w:tcPr>
            <w:tcW w:w="2798"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notification_log row inserted</w:t>
            </w:r>
          </w:p>
        </w:tc>
        <w:tc>
          <w:tcPr>
            <w:tcW w:w="2602"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Notification</w:t>
            </w:r>
          </w:p>
        </w:tc>
      </w:tr>
      <w:tr>
        <w:trPr/>
        <w:tc>
          <w:tcPr>
            <w:tcW w:w="398"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bCs/>
                <w:color w:val="1A1A2E"/>
                <w:sz w:val="19"/>
                <w:szCs w:val="19"/>
              </w:rPr>
              <w:t>5</w:t>
            </w:r>
          </w:p>
        </w:tc>
        <w:tc>
          <w:tcPr>
            <w:tcW w:w="12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User</w:t>
            </w:r>
          </w:p>
        </w:tc>
        <w:tc>
          <w:tcPr>
            <w:tcW w:w="2362"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Opens deal detail; clicks Refresh Prices</w:t>
            </w:r>
          </w:p>
        </w:tc>
        <w:tc>
          <w:tcPr>
            <w:tcW w:w="2798"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Opportunity Engine called synchronously for real-time re-check</w:t>
            </w:r>
          </w:p>
        </w:tc>
        <w:tc>
          <w:tcPr>
            <w:tcW w:w="2602"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API Gateway, Opportunity Engine</w:t>
            </w:r>
          </w:p>
        </w:tc>
      </w:tr>
      <w:tr>
        <w:trPr/>
        <w:tc>
          <w:tcPr>
            <w:tcW w:w="398"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bCs/>
                <w:color w:val="1A1A2E"/>
                <w:sz w:val="19"/>
                <w:szCs w:val="19"/>
              </w:rPr>
              <w:t>6</w:t>
            </w:r>
          </w:p>
        </w:tc>
        <w:tc>
          <w:tcPr>
            <w:tcW w:w="12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User</w:t>
            </w:r>
          </w:p>
        </w:tc>
        <w:tc>
          <w:tcPr>
            <w:tcW w:w="2362"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Clicks Add to Approval Queue</w:t>
            </w:r>
          </w:p>
        </w:tc>
        <w:tc>
          <w:tcPr>
            <w:tcW w:w="2798"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approval_queue_items row inserted with status=pending</w:t>
            </w:r>
          </w:p>
        </w:tc>
        <w:tc>
          <w:tcPr>
            <w:tcW w:w="2602"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Approvals</w:t>
            </w:r>
          </w:p>
        </w:tc>
      </w:tr>
    </w:tbl>
    <w:p>
      <w:pPr>
        <w:pStyle w:val="Normal"/>
        <w:spacing w:before="0" w:after="0"/>
        <w:rPr/>
      </w:pPr>
      <w:r>
        <w:rPr/>
      </w:r>
    </w:p>
    <w:p>
      <w:pPr>
        <w:pStyle w:val="Heading3"/>
        <w:spacing w:before="200" w:after="80"/>
        <w:rPr/>
      </w:pPr>
      <w:r>
        <w:rPr>
          <w:rFonts w:eastAsia="Arial" w:cs="Arial"/>
          <w:b/>
          <w:bCs/>
          <w:color w:val="1A56DB"/>
          <w:sz w:val="22"/>
          <w:szCs w:val="22"/>
        </w:rPr>
        <w:t>7.1.2 Error Paths</w:t>
      </w:r>
    </w:p>
    <w:p>
      <w:pPr>
        <w:pStyle w:val="Heading3"/>
        <w:rPr/>
      </w:pPr>
      <w:r>
        <w:rPr/>
        <w:t>7.1.3  Performance Budget</w:t>
      </w:r>
    </w:p>
    <w:p>
      <w:pPr>
        <w:pStyle w:val="ListParagraph"/>
        <w:rPr/>
      </w:pPr>
      <w:r>
        <w:rPr/>
        <w:t>Ingestion to deal surfacing (end-to-end): &lt; 30 seconds p99.</w:t>
      </w:r>
    </w:p>
    <w:p>
      <w:pPr>
        <w:pStyle w:val="ListParagraph"/>
        <w:rPr/>
      </w:pPr>
      <w:r>
        <w:rPr/>
        <w:t>Approval execution (approve → purchased): &lt; 5 seconds p99.</w:t>
      </w:r>
    </w:p>
    <w:p>
      <w:pPr>
        <w:pStyle w:val="ListParagraph"/>
        <w:rPr/>
      </w:pPr>
      <w:r>
        <w:rPr/>
        <w:t>Next.js page load (TTFB): &lt; 500 ms p99.</w:t>
      </w:r>
    </w:p>
    <w:p>
      <w:pPr>
        <w:pStyle w:val="ListParagraph"/>
        <w:rPr/>
      </w:pPr>
      <w:r>
        <w:rPr/>
        <w:t>Catalogue search query: &lt; 200 ms p99.</w:t>
      </w:r>
    </w:p>
    <w:p>
      <w:pPr>
        <w:pStyle w:val="ListParagraph"/>
        <w:rPr/>
      </w:pPr>
      <w:r>
        <w:rPr/>
        <w:t>YARP gateway to upstream response: &lt; 200 ms p99.</w:t>
      </w:r>
    </w:p>
    <w:p>
      <w:pPr>
        <w:pStyle w:val="ListParagraph"/>
        <w:numPr>
          <w:ilvl w:val="0"/>
          <w:numId w:val="2"/>
        </w:numPr>
        <w:spacing w:before="40" w:after="40"/>
        <w:rPr/>
      </w:pPr>
      <w:r>
        <w:rPr>
          <w:rFonts w:eastAsia="Arial" w:cs="Arial"/>
          <w:color w:val="1A1A2E"/>
          <w:sz w:val="22"/>
          <w:szCs w:val="22"/>
        </w:rPr>
        <w:t>Scraper ban detected (circuit breaker opens): Ingestion Service publishes system.scraper_circuit_open event. Notification Service surfaces a warning in the user's feed. Affected scan jobs are paused for the circuit cooldown period (5 minutes). No deal events are emitted for that retailer during the outage.</w:t>
      </w:r>
    </w:p>
    <w:p>
      <w:pPr>
        <w:pStyle w:val="ListParagraph"/>
        <w:numPr>
          <w:ilvl w:val="0"/>
          <w:numId w:val="2"/>
        </w:numPr>
        <w:spacing w:before="40" w:after="40"/>
        <w:rPr/>
      </w:pPr>
      <w:r>
        <w:rPr>
          <w:rFonts w:eastAsia="Arial" w:cs="Arial"/>
          <w:color w:val="1A1A2E"/>
          <w:sz w:val="22"/>
          <w:szCs w:val="22"/>
        </w:rPr>
        <w:t>Price fetch returns anomalous value (&lt; £0.01 or &gt; £10,000): event is quarantined to a dead-letter stream (arbitrageiq:quarantine). Grafana alert fires. No deal event emitted.</w:t>
      </w:r>
    </w:p>
    <w:p>
      <w:pPr>
        <w:pStyle w:val="ListParagraph"/>
        <w:numPr>
          <w:ilvl w:val="0"/>
          <w:numId w:val="2"/>
        </w:numPr>
        <w:spacing w:before="40" w:after="40"/>
        <w:rPr/>
      </w:pPr>
      <w:r>
        <w:rPr>
          <w:rFonts w:eastAsia="Arial" w:cs="Arial"/>
          <w:color w:val="1A1A2E"/>
          <w:sz w:val="22"/>
          <w:szCs w:val="22"/>
        </w:rPr>
        <w:t>Margin calculation produces NaN or negative margin: deal event is not emitted. Error logged with correlation ID. OpenTelemetry counter arbitrageiq_margin_calc_errors incremented, visible in Aspire Dashboard metrics view.</w:t>
      </w:r>
    </w:p>
    <w:p>
      <w:pPr>
        <w:pStyle w:val="ListParagraph"/>
        <w:numPr>
          <w:ilvl w:val="0"/>
          <w:numId w:val="2"/>
        </w:numPr>
        <w:spacing w:before="40" w:after="40"/>
        <w:rPr/>
      </w:pPr>
      <w:r>
        <w:rPr>
          <w:rFonts w:eastAsia="Arial" w:cs="Arial"/>
          <w:color w:val="1A1A2E"/>
          <w:sz w:val="22"/>
          <w:szCs w:val="22"/>
        </w:rPr>
        <w:t>Notification delivery failure (email bounce, push token invalid): Notification Service retries up to 3 times with 30-second delays. On permanent failure, the delivery channel is marked inactive and the user is prompted to re-subscribe on next login.</w:t>
      </w:r>
    </w:p>
    <w:p>
      <w:pPr>
        <w:pStyle w:val="Normal"/>
        <w:spacing w:before="0" w:after="0"/>
        <w:rPr/>
      </w:pPr>
      <w:r>
        <w:rPr/>
      </w:r>
    </w:p>
    <w:p>
      <w:pPr>
        <w:pStyle w:val="Heading2"/>
        <w:spacing w:before="280" w:after="100"/>
        <w:rPr/>
      </w:pPr>
      <w:r>
        <w:rPr>
          <w:rFonts w:eastAsia="Arial" w:cs="Arial"/>
          <w:b/>
          <w:bCs/>
          <w:color w:val="1A1A2E"/>
          <w:sz w:val="26"/>
          <w:szCs w:val="26"/>
        </w:rPr>
        <w:t>7.2 Flow: Deal Execution (Core Loop)</w:t>
      </w:r>
    </w:p>
    <w:p>
      <w:pPr>
        <w:pStyle w:val="Heading3"/>
        <w:spacing w:before="200" w:after="80"/>
        <w:rPr/>
      </w:pPr>
      <w:r>
        <w:rPr>
          <w:rFonts w:eastAsia="Arial" w:cs="Arial"/>
          <w:b/>
          <w:bCs/>
          <w:color w:val="1A56DB"/>
          <w:sz w:val="22"/>
          <w:szCs w:val="22"/>
        </w:rPr>
        <w:t>7.2.1 Happy Path</w:t>
      </w:r>
    </w:p>
    <w:tbl>
      <w:tblPr>
        <w:tblW w:w="9360" w:type="dxa"/>
        <w:jc w:val="start"/>
        <w:tblInd w:w="0" w:type="dxa"/>
        <w:tblLayout w:type="fixed"/>
        <w:tblCellMar>
          <w:top w:w="100" w:type="dxa"/>
          <w:start w:w="140" w:type="dxa"/>
          <w:bottom w:w="100" w:type="dxa"/>
          <w:end w:w="140" w:type="dxa"/>
        </w:tblCellMar>
      </w:tblPr>
      <w:tblGrid>
        <w:gridCol w:w="998"/>
        <w:gridCol w:w="1200"/>
        <w:gridCol w:w="2362"/>
        <w:gridCol w:w="2000"/>
        <w:gridCol w:w="2800"/>
      </w:tblGrid>
      <w:tr>
        <w:trPr>
          <w:tblHeader w:val="true"/>
        </w:trPr>
        <w:tc>
          <w:tcPr>
            <w:tcW w:w="998" w:type="dxa"/>
            <w:tcBorders>
              <w:top w:val="single" w:sz="2" w:space="0" w:color="1A56DB"/>
              <w:start w:val="single" w:sz="2" w:space="0" w:color="1A56DB"/>
              <w:bottom w:val="single" w:sz="2" w:space="0" w:color="1A56DB"/>
              <w:end w:val="single" w:sz="2" w:space="0" w:color="1A56DB"/>
            </w:tcBorders>
            <w:shd w:fill="1A56DB" w:val="clear"/>
            <w:vAlign w:val="center"/>
          </w:tcPr>
          <w:p>
            <w:pPr>
              <w:pStyle w:val="Normal"/>
              <w:jc w:val="center"/>
              <w:rPr/>
            </w:pPr>
            <w:r>
              <w:rPr>
                <w:rFonts w:eastAsia="Arial" w:cs="Arial"/>
                <w:b/>
                <w:bCs/>
                <w:color w:val="FFFFFF"/>
                <w:sz w:val="19"/>
                <w:szCs w:val="19"/>
              </w:rPr>
              <w:t>Step</w:t>
            </w:r>
          </w:p>
        </w:tc>
        <w:tc>
          <w:tcPr>
            <w:tcW w:w="1200" w:type="dxa"/>
            <w:tcBorders>
              <w:top w:val="single" w:sz="2" w:space="0" w:color="1A56DB"/>
              <w:start w:val="single" w:sz="2" w:space="0" w:color="1A56DB"/>
              <w:bottom w:val="single" w:sz="2" w:space="0" w:color="1A56DB"/>
              <w:end w:val="single" w:sz="2" w:space="0" w:color="1A56DB"/>
            </w:tcBorders>
            <w:shd w:fill="1A56DB" w:val="clear"/>
            <w:vAlign w:val="center"/>
          </w:tcPr>
          <w:p>
            <w:pPr>
              <w:pStyle w:val="Normal"/>
              <w:jc w:val="center"/>
              <w:rPr/>
            </w:pPr>
            <w:r>
              <w:rPr>
                <w:rFonts w:eastAsia="Arial" w:cs="Arial"/>
                <w:b/>
                <w:bCs/>
                <w:color w:val="FFFFFF"/>
                <w:sz w:val="19"/>
                <w:szCs w:val="19"/>
              </w:rPr>
              <w:t>Actor</w:t>
            </w:r>
          </w:p>
        </w:tc>
        <w:tc>
          <w:tcPr>
            <w:tcW w:w="2362" w:type="dxa"/>
            <w:tcBorders>
              <w:top w:val="single" w:sz="2" w:space="0" w:color="1A56DB"/>
              <w:start w:val="single" w:sz="2" w:space="0" w:color="1A56DB"/>
              <w:bottom w:val="single" w:sz="2" w:space="0" w:color="1A56DB"/>
              <w:end w:val="single" w:sz="2" w:space="0" w:color="1A56DB"/>
            </w:tcBorders>
            <w:shd w:fill="1A56DB" w:val="clear"/>
            <w:vAlign w:val="center"/>
          </w:tcPr>
          <w:p>
            <w:pPr>
              <w:pStyle w:val="Normal"/>
              <w:jc w:val="center"/>
              <w:rPr/>
            </w:pPr>
            <w:r>
              <w:rPr>
                <w:rFonts w:eastAsia="Arial" w:cs="Arial"/>
                <w:b/>
                <w:bCs/>
                <w:color w:val="FFFFFF"/>
                <w:sz w:val="19"/>
                <w:szCs w:val="19"/>
              </w:rPr>
              <w:t>Action</w:t>
            </w:r>
          </w:p>
        </w:tc>
        <w:tc>
          <w:tcPr>
            <w:tcW w:w="2000" w:type="dxa"/>
            <w:tcBorders>
              <w:top w:val="single" w:sz="2" w:space="0" w:color="1A56DB"/>
              <w:start w:val="single" w:sz="2" w:space="0" w:color="1A56DB"/>
              <w:bottom w:val="single" w:sz="2" w:space="0" w:color="1A56DB"/>
              <w:end w:val="single" w:sz="2" w:space="0" w:color="1A56DB"/>
            </w:tcBorders>
            <w:shd w:fill="1A56DB" w:val="clear"/>
            <w:vAlign w:val="center"/>
          </w:tcPr>
          <w:p>
            <w:pPr>
              <w:pStyle w:val="Normal"/>
              <w:jc w:val="center"/>
              <w:rPr/>
            </w:pPr>
            <w:r>
              <w:rPr>
                <w:rFonts w:eastAsia="Arial" w:cs="Arial"/>
                <w:b/>
                <w:bCs/>
                <w:color w:val="FFFFFF"/>
                <w:sz w:val="19"/>
                <w:szCs w:val="19"/>
              </w:rPr>
              <w:t>State Transition</w:t>
            </w:r>
          </w:p>
        </w:tc>
        <w:tc>
          <w:tcPr>
            <w:tcW w:w="2800" w:type="dxa"/>
            <w:tcBorders>
              <w:top w:val="single" w:sz="2" w:space="0" w:color="1A56DB"/>
              <w:start w:val="single" w:sz="2" w:space="0" w:color="1A56DB"/>
              <w:bottom w:val="single" w:sz="2" w:space="0" w:color="1A56DB"/>
              <w:end w:val="single" w:sz="2" w:space="0" w:color="1A56DB"/>
            </w:tcBorders>
            <w:shd w:fill="1A56DB" w:val="clear"/>
            <w:vAlign w:val="center"/>
          </w:tcPr>
          <w:p>
            <w:pPr>
              <w:pStyle w:val="Normal"/>
              <w:jc w:val="center"/>
              <w:rPr/>
            </w:pPr>
            <w:r>
              <w:rPr>
                <w:rFonts w:eastAsia="Arial" w:cs="Arial"/>
                <w:b/>
                <w:bCs/>
                <w:color w:val="FFFFFF"/>
                <w:sz w:val="19"/>
                <w:szCs w:val="19"/>
              </w:rPr>
              <w:t>Services</w:t>
            </w:r>
          </w:p>
        </w:tc>
      </w:tr>
      <w:tr>
        <w:trPr/>
        <w:tc>
          <w:tcPr>
            <w:tcW w:w="998"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bCs/>
                <w:color w:val="1A1A2E"/>
                <w:sz w:val="19"/>
                <w:szCs w:val="19"/>
              </w:rPr>
              <w:t>1</w:t>
            </w:r>
          </w:p>
        </w:tc>
        <w:tc>
          <w:tcPr>
            <w:tcW w:w="12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User</w:t>
            </w:r>
          </w:p>
        </w:tc>
        <w:tc>
          <w:tcPr>
            <w:tcW w:w="2362"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POST /api/v1/approvals/{id}/approve</w:t>
            </w:r>
          </w:p>
        </w:tc>
        <w:tc>
          <w:tcPr>
            <w:tcW w:w="20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pending → executing</w:t>
            </w:r>
          </w:p>
        </w:tc>
        <w:tc>
          <w:tcPr>
            <w:tcW w:w="28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API Gateway, Approvals</w:t>
            </w:r>
          </w:p>
        </w:tc>
      </w:tr>
      <w:tr>
        <w:trPr/>
        <w:tc>
          <w:tcPr>
            <w:tcW w:w="998"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bCs/>
                <w:color w:val="1A1A2E"/>
                <w:sz w:val="19"/>
                <w:szCs w:val="19"/>
              </w:rPr>
              <w:t>2</w:t>
            </w:r>
          </w:p>
        </w:tc>
        <w:tc>
          <w:tcPr>
            <w:tcW w:w="12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Approvals Service</w:t>
            </w:r>
          </w:p>
        </w:tc>
        <w:tc>
          <w:tcPr>
            <w:tcW w:w="2362"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Re-fetch buy and sell prices synchronously</w:t>
            </w:r>
          </w:p>
        </w:tc>
        <w:tc>
          <w:tcPr>
            <w:tcW w:w="20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No state change</w:t>
            </w:r>
          </w:p>
        </w:tc>
        <w:tc>
          <w:tcPr>
            <w:tcW w:w="28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Approvals, Opportunity Engine</w:t>
            </w:r>
          </w:p>
        </w:tc>
      </w:tr>
      <w:tr>
        <w:trPr/>
        <w:tc>
          <w:tcPr>
            <w:tcW w:w="998"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bCs/>
                <w:color w:val="1A1A2E"/>
                <w:sz w:val="19"/>
                <w:szCs w:val="19"/>
              </w:rPr>
              <w:t>3</w:t>
            </w:r>
          </w:p>
        </w:tc>
        <w:tc>
          <w:tcPr>
            <w:tcW w:w="12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Approvals Service</w:t>
            </w:r>
          </w:p>
        </w:tc>
        <w:tc>
          <w:tcPr>
            <w:tcW w:w="2362"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Validate margin still &gt;= threshold</w:t>
            </w:r>
          </w:p>
        </w:tc>
        <w:tc>
          <w:tcPr>
            <w:tcW w:w="20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No state change (proceed) or HTTP 409 (abort)</w:t>
            </w:r>
          </w:p>
        </w:tc>
        <w:tc>
          <w:tcPr>
            <w:tcW w:w="28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Approvals</w:t>
            </w:r>
          </w:p>
        </w:tc>
      </w:tr>
      <w:tr>
        <w:trPr/>
        <w:tc>
          <w:tcPr>
            <w:tcW w:w="998"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bCs/>
                <w:color w:val="1A1A2E"/>
                <w:sz w:val="19"/>
                <w:szCs w:val="19"/>
              </w:rPr>
              <w:t>4</w:t>
            </w:r>
          </w:p>
        </w:tc>
        <w:tc>
          <w:tcPr>
            <w:tcW w:w="12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Approvals Service</w:t>
            </w:r>
          </w:p>
        </w:tc>
        <w:tc>
          <w:tcPr>
            <w:tcW w:w="2362"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Call Credential Vault Service GET /vault/tokens/{user_id}/{channel}</w:t>
            </w:r>
          </w:p>
        </w:tc>
        <w:tc>
          <w:tcPr>
            <w:tcW w:w="20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vault.accessed log written</w:t>
            </w:r>
          </w:p>
        </w:tc>
        <w:tc>
          <w:tcPr>
            <w:tcW w:w="28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Approvals, Vault</w:t>
            </w:r>
          </w:p>
        </w:tc>
      </w:tr>
      <w:tr>
        <w:trPr/>
        <w:tc>
          <w:tcPr>
            <w:tcW w:w="998"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bCs/>
                <w:color w:val="1A1A2E"/>
                <w:sz w:val="19"/>
                <w:szCs w:val="19"/>
              </w:rPr>
              <w:t>5</w:t>
            </w:r>
          </w:p>
        </w:tc>
        <w:tc>
          <w:tcPr>
            <w:tcW w:w="12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Approvals Service</w:t>
            </w:r>
          </w:p>
        </w:tc>
        <w:tc>
          <w:tcPr>
            <w:tcW w:w="2362"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Execute purchase on source retailer using decrypted JWT</w:t>
            </w:r>
          </w:p>
        </w:tc>
        <w:tc>
          <w:tcPr>
            <w:tcW w:w="20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executing → purchased</w:t>
            </w:r>
          </w:p>
        </w:tc>
        <w:tc>
          <w:tcPr>
            <w:tcW w:w="28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Approvals</w:t>
            </w:r>
          </w:p>
        </w:tc>
      </w:tr>
      <w:tr>
        <w:trPr/>
        <w:tc>
          <w:tcPr>
            <w:tcW w:w="998"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bCs/>
                <w:color w:val="1A1A2E"/>
                <w:sz w:val="19"/>
                <w:szCs w:val="19"/>
              </w:rPr>
              <w:t>6</w:t>
            </w:r>
          </w:p>
        </w:tc>
        <w:tc>
          <w:tcPr>
            <w:tcW w:w="12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Approvals Service</w:t>
            </w:r>
          </w:p>
        </w:tc>
        <w:tc>
          <w:tcPr>
            <w:tcW w:w="2362"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Publish deal.purchased event</w:t>
            </w:r>
          </w:p>
        </w:tc>
        <w:tc>
          <w:tcPr>
            <w:tcW w:w="20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Notification Service sends confirmation</w:t>
            </w:r>
          </w:p>
        </w:tc>
        <w:tc>
          <w:tcPr>
            <w:tcW w:w="28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Approvals, Notification</w:t>
            </w:r>
          </w:p>
        </w:tc>
      </w:tr>
      <w:tr>
        <w:trPr/>
        <w:tc>
          <w:tcPr>
            <w:tcW w:w="998"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bCs/>
                <w:color w:val="1A1A2E"/>
                <w:sz w:val="19"/>
                <w:szCs w:val="19"/>
              </w:rPr>
              <w:t>7</w:t>
            </w:r>
          </w:p>
        </w:tc>
        <w:tc>
          <w:tcPr>
            <w:tcW w:w="12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Approvals Service</w:t>
            </w:r>
          </w:p>
        </w:tc>
        <w:tc>
          <w:tcPr>
            <w:tcW w:w="2362"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Call sell channel listing API for each connected channel</w:t>
            </w:r>
          </w:p>
        </w:tc>
        <w:tc>
          <w:tcPr>
            <w:tcW w:w="20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purchased → listed</w:t>
            </w:r>
          </w:p>
        </w:tc>
        <w:tc>
          <w:tcPr>
            <w:tcW w:w="28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Approvals</w:t>
            </w:r>
          </w:p>
        </w:tc>
      </w:tr>
      <w:tr>
        <w:trPr/>
        <w:tc>
          <w:tcPr>
            <w:tcW w:w="998"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bCs/>
                <w:color w:val="1A1A2E"/>
                <w:sz w:val="19"/>
                <w:szCs w:val="19"/>
              </w:rPr>
              <w:t>8</w:t>
            </w:r>
          </w:p>
        </w:tc>
        <w:tc>
          <w:tcPr>
            <w:tcW w:w="12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Approvals Service</w:t>
            </w:r>
          </w:p>
        </w:tc>
        <w:tc>
          <w:tcPr>
            <w:tcW w:w="2362"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Publish deal.listed event</w:t>
            </w:r>
          </w:p>
        </w:tc>
        <w:tc>
          <w:tcPr>
            <w:tcW w:w="20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Notification Service sends listing confirmation</w:t>
            </w:r>
          </w:p>
        </w:tc>
        <w:tc>
          <w:tcPr>
            <w:tcW w:w="28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Approvals, Notification</w:t>
            </w:r>
          </w:p>
        </w:tc>
      </w:tr>
      <w:tr>
        <w:trPr/>
        <w:tc>
          <w:tcPr>
            <w:tcW w:w="998"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bCs/>
                <w:color w:val="1A1A2E"/>
                <w:sz w:val="19"/>
                <w:szCs w:val="19"/>
              </w:rPr>
              <w:t>9</w:t>
            </w:r>
          </w:p>
        </w:tc>
        <w:tc>
          <w:tcPr>
            <w:tcW w:w="12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User (or auto-detect)</w:t>
            </w:r>
          </w:p>
        </w:tc>
        <w:tc>
          <w:tcPr>
            <w:tcW w:w="2362"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Marks deal as sold</w:t>
            </w:r>
          </w:p>
        </w:tc>
        <w:tc>
          <w:tcPr>
            <w:tcW w:w="20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listed → closed</w:t>
            </w:r>
          </w:p>
        </w:tc>
        <w:tc>
          <w:tcPr>
            <w:tcW w:w="28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Approvals</w:t>
            </w:r>
          </w:p>
        </w:tc>
      </w:tr>
      <w:tr>
        <w:trPr/>
        <w:tc>
          <w:tcPr>
            <w:tcW w:w="998"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bCs/>
                <w:color w:val="1A1A2E"/>
                <w:sz w:val="19"/>
                <w:szCs w:val="19"/>
              </w:rPr>
              <w:t>10</w:t>
            </w:r>
          </w:p>
        </w:tc>
        <w:tc>
          <w:tcPr>
            <w:tcW w:w="12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Approvals Service</w:t>
            </w:r>
          </w:p>
        </w:tc>
        <w:tc>
          <w:tcPr>
            <w:tcW w:w="2362"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Publish deal.closed event with actual sale price</w:t>
            </w:r>
          </w:p>
        </w:tc>
        <w:tc>
          <w:tcPr>
            <w:tcW w:w="20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History Service writes immutable record; Catalogue updates SKU score</w:t>
            </w:r>
          </w:p>
        </w:tc>
        <w:tc>
          <w:tcPr>
            <w:tcW w:w="28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Approvals, History, Catalogue</w:t>
            </w:r>
          </w:p>
        </w:tc>
      </w:tr>
    </w:tbl>
    <w:p>
      <w:pPr>
        <w:pStyle w:val="Normal"/>
        <w:spacing w:before="0" w:after="0"/>
        <w:rPr/>
      </w:pPr>
      <w:r>
        <w:rPr/>
      </w:r>
    </w:p>
    <w:p>
      <w:pPr>
        <w:pStyle w:val="Heading3"/>
        <w:spacing w:before="200" w:after="80"/>
        <w:rPr/>
      </w:pPr>
      <w:r>
        <w:rPr>
          <w:rFonts w:eastAsia="Arial" w:cs="Arial"/>
          <w:b/>
          <w:bCs/>
          <w:color w:val="1A56DB"/>
          <w:sz w:val="22"/>
          <w:szCs w:val="22"/>
        </w:rPr>
        <w:t>7.2.2 Error Paths and Failure Modes</w:t>
      </w:r>
    </w:p>
    <w:p>
      <w:pPr>
        <w:pStyle w:val="ListParagraph"/>
        <w:numPr>
          <w:ilvl w:val="0"/>
          <w:numId w:val="2"/>
        </w:numPr>
        <w:spacing w:before="40" w:after="40"/>
        <w:rPr/>
      </w:pPr>
      <w:r>
        <w:rPr>
          <w:rFonts w:eastAsia="Arial" w:cs="Arial"/>
          <w:color w:val="1A1A2E"/>
          <w:sz w:val="22"/>
          <w:szCs w:val="22"/>
        </w:rPr>
        <w:t>Margin has dropped below threshold (Step 3): HTTP 409 returned. approval_queue_items.status remains pending. User notified with updated margin figure. Deal returned to queue for review.</w:t>
      </w:r>
    </w:p>
    <w:p>
      <w:pPr>
        <w:pStyle w:val="ListParagraph"/>
        <w:numPr>
          <w:ilvl w:val="0"/>
          <w:numId w:val="2"/>
        </w:numPr>
        <w:spacing w:before="40" w:after="40"/>
        <w:rPr/>
      </w:pPr>
      <w:r>
        <w:rPr>
          <w:rFonts w:eastAsia="Arial" w:cs="Arial"/>
          <w:color w:val="1A1A2E"/>
          <w:sz w:val="22"/>
          <w:szCs w:val="22"/>
        </w:rPr>
        <w:t>Credential Vault token expired (Step 4): HTTP 401 from Vault. Approvals Service transitions status to failed with failure_reason = 'oauth_token_expired'. User notified immediately with a link to re-authenticate the sell channel.</w:t>
      </w:r>
    </w:p>
    <w:p>
      <w:pPr>
        <w:pStyle w:val="ListParagraph"/>
        <w:numPr>
          <w:ilvl w:val="0"/>
          <w:numId w:val="2"/>
        </w:numPr>
        <w:spacing w:before="40" w:after="40"/>
        <w:rPr/>
      </w:pPr>
      <w:r>
        <w:rPr>
          <w:rFonts w:eastAsia="Arial" w:cs="Arial"/>
          <w:color w:val="1A1A2E"/>
          <w:sz w:val="22"/>
          <w:szCs w:val="22"/>
        </w:rPr>
        <w:t>executing → vault_token_expired: If the Credential Vault returns HTTP 401 during execution (token expired between queuing and approval), the state transitions to failed with failure_reason = "oauth_token_expired". This maps to the "expired" state in the OAuth Token Lifecycle (Section 5.8.5). The Notification Service fires an immediate alert with a re-authentication deep link. The approval item status is set to failed — it is not retried automatically, as re-authentication requires user action.</w:t>
      </w:r>
    </w:p>
    <w:p>
      <w:pPr>
        <w:pStyle w:val="ListParagraph"/>
        <w:numPr>
          <w:ilvl w:val="0"/>
          <w:numId w:val="2"/>
        </w:numPr>
        <w:spacing w:before="40" w:after="40"/>
        <w:rPr/>
      </w:pPr>
      <w:r>
        <w:rPr>
          <w:rFonts w:eastAsia="Arial" w:cs="Arial"/>
          <w:color w:val="1A1A2E"/>
          <w:sz w:val="22"/>
          <w:szCs w:val="22"/>
        </w:rPr>
        <w:t>executing → vault_token_revoked_external: If the Credential Vault returns HTTP 403 (token externally revoked), the same transition applies with failure_reason = "oauth_token_revoked". The OAuth Token Lifecycle transitions to revoked_external (Section 5.8.5).</w:t>
      </w:r>
    </w:p>
    <w:p>
      <w:pPr>
        <w:pStyle w:val="Normal"/>
        <w:spacing w:before="0" w:after="0"/>
        <w:rPr/>
      </w:pPr>
      <w:r>
        <w:rPr/>
      </w:r>
    </w:p>
    <w:p>
      <w:pPr>
        <w:pStyle w:val="ListParagraph"/>
        <w:numPr>
          <w:ilvl w:val="0"/>
          <w:numId w:val="2"/>
        </w:numPr>
        <w:spacing w:before="40" w:after="40"/>
        <w:rPr/>
      </w:pPr>
      <w:r>
        <w:rPr>
          <w:rFonts w:eastAsia="Arial" w:cs="Arial"/>
          <w:color w:val="1A1A2E"/>
          <w:sz w:val="22"/>
          <w:szCs w:val="22"/>
        </w:rPr>
        <w:t>Source retailer checkout fails — out of stock (Step 5): HTTP 4xx from retailer. Status → failed, failure_reason = 'out_of_stock'. deal.failed event published. User notified. Deal removed from queue.</w:t>
      </w:r>
    </w:p>
    <w:p>
      <w:pPr>
        <w:pStyle w:val="ListParagraph"/>
        <w:numPr>
          <w:ilvl w:val="0"/>
          <w:numId w:val="2"/>
        </w:numPr>
        <w:spacing w:before="40" w:after="40"/>
        <w:rPr/>
      </w:pPr>
      <w:r>
        <w:rPr>
          <w:rFonts w:eastAsia="Arial" w:cs="Arial"/>
          <w:color w:val="1A1A2E"/>
          <w:sz w:val="22"/>
          <w:szCs w:val="22"/>
        </w:rPr>
        <w:t>Source retailer checkout fails — payment declined (Step 5): Status → failed, failure_reason = 'payment_declined'. User notified with link to update payment method on the retailer site. Daily spend cap decremented by attempted amount is NOT triggered (no charge occurred).</w:t>
      </w:r>
    </w:p>
    <w:p>
      <w:pPr>
        <w:pStyle w:val="ListParagraph"/>
        <w:numPr>
          <w:ilvl w:val="0"/>
          <w:numId w:val="2"/>
        </w:numPr>
        <w:spacing w:before="40" w:after="40"/>
        <w:rPr/>
      </w:pPr>
      <w:r>
        <w:rPr>
          <w:rFonts w:eastAsia="Arial" w:cs="Arial"/>
          <w:color w:val="1A1A2E"/>
          <w:sz w:val="22"/>
          <w:szCs w:val="22"/>
        </w:rPr>
        <w:t>Sell channel listing fails — one channel (Step 7): Status → listed (partial). Failed channels recorded in approval_queue_items.failed_channels (jsonb array). User notified with deep link to manual listing on each failed channel.</w:t>
      </w:r>
    </w:p>
    <w:p>
      <w:pPr>
        <w:pStyle w:val="ListParagraph"/>
        <w:numPr>
          <w:ilvl w:val="0"/>
          <w:numId w:val="2"/>
        </w:numPr>
        <w:spacing w:before="40" w:after="40"/>
        <w:rPr/>
      </w:pPr>
      <w:r>
        <w:rPr>
          <w:rFonts w:eastAsia="Arial" w:cs="Arial"/>
          <w:color w:val="1A1A2E"/>
          <w:sz w:val="22"/>
          <w:szCs w:val="22"/>
        </w:rPr>
        <w:t>Daily spend cap would be exceeded (pre-Step 4): HTTP 402 returned. Purchase not attempted. User notified of remaining daily cap. Status remains pending.</w:t>
      </w:r>
    </w:p>
    <w:p>
      <w:pPr>
        <w:pStyle w:val="Normal"/>
        <w:spacing w:before="0" w:after="0"/>
        <w:rPr/>
      </w:pPr>
      <w:r>
        <w:rPr/>
      </w:r>
    </w:p>
    <w:p>
      <w:pPr>
        <w:pStyle w:val="Heading2"/>
        <w:spacing w:before="280" w:after="100"/>
        <w:rPr/>
      </w:pPr>
      <w:r>
        <w:rPr>
          <w:rFonts w:eastAsia="Arial" w:cs="Arial"/>
          <w:b/>
          <w:bCs/>
          <w:color w:val="1A1A2E"/>
          <w:sz w:val="26"/>
          <w:szCs w:val="26"/>
        </w:rPr>
        <w:t>7.3 Flow: User Onboarding</w:t>
      </w:r>
    </w:p>
    <w:p>
      <w:pPr>
        <w:pStyle w:val="Heading3"/>
        <w:spacing w:before="200" w:after="80"/>
        <w:rPr/>
      </w:pPr>
      <w:r>
        <w:rPr>
          <w:rFonts w:eastAsia="Arial" w:cs="Arial"/>
          <w:b/>
          <w:bCs/>
          <w:color w:val="1A56DB"/>
          <w:sz w:val="22"/>
          <w:szCs w:val="22"/>
        </w:rPr>
        <w:t>7.3.1 Service Interactions</w:t>
      </w:r>
    </w:p>
    <w:tbl>
      <w:tblPr>
        <w:tblW w:w="9360" w:type="dxa"/>
        <w:jc w:val="start"/>
        <w:tblInd w:w="0" w:type="dxa"/>
        <w:tblLayout w:type="fixed"/>
        <w:tblCellMar>
          <w:top w:w="100" w:type="dxa"/>
          <w:start w:w="140" w:type="dxa"/>
          <w:bottom w:w="100" w:type="dxa"/>
          <w:end w:w="140" w:type="dxa"/>
        </w:tblCellMar>
      </w:tblPr>
      <w:tblGrid>
        <w:gridCol w:w="426"/>
        <w:gridCol w:w="2352"/>
        <w:gridCol w:w="3291"/>
        <w:gridCol w:w="3291"/>
      </w:tblGrid>
      <w:tr>
        <w:trPr>
          <w:tblHeader w:val="true"/>
        </w:trPr>
        <w:tc>
          <w:tcPr>
            <w:tcW w:w="426" w:type="dxa"/>
            <w:tcBorders>
              <w:top w:val="single" w:sz="2" w:space="0" w:color="1A56DB"/>
              <w:start w:val="single" w:sz="2" w:space="0" w:color="1A56DB"/>
              <w:bottom w:val="single" w:sz="2" w:space="0" w:color="1A56DB"/>
              <w:end w:val="single" w:sz="2" w:space="0" w:color="1A56DB"/>
            </w:tcBorders>
            <w:shd w:fill="1A56DB" w:val="clear"/>
            <w:vAlign w:val="center"/>
          </w:tcPr>
          <w:p>
            <w:pPr>
              <w:pStyle w:val="Normal"/>
              <w:jc w:val="center"/>
              <w:rPr/>
            </w:pPr>
            <w:r>
              <w:rPr>
                <w:rFonts w:eastAsia="Arial" w:cs="Arial"/>
                <w:b/>
                <w:bCs/>
                <w:color w:val="FFFFFF"/>
                <w:sz w:val="19"/>
                <w:szCs w:val="19"/>
              </w:rPr>
              <w:t>Step</w:t>
            </w:r>
          </w:p>
        </w:tc>
        <w:tc>
          <w:tcPr>
            <w:tcW w:w="2352" w:type="dxa"/>
            <w:tcBorders>
              <w:top w:val="single" w:sz="2" w:space="0" w:color="1A56DB"/>
              <w:start w:val="single" w:sz="2" w:space="0" w:color="1A56DB"/>
              <w:bottom w:val="single" w:sz="2" w:space="0" w:color="1A56DB"/>
              <w:end w:val="single" w:sz="2" w:space="0" w:color="1A56DB"/>
            </w:tcBorders>
            <w:shd w:fill="1A56DB" w:val="clear"/>
            <w:vAlign w:val="center"/>
          </w:tcPr>
          <w:p>
            <w:pPr>
              <w:pStyle w:val="Normal"/>
              <w:jc w:val="center"/>
              <w:rPr/>
            </w:pPr>
            <w:r>
              <w:rPr>
                <w:rFonts w:eastAsia="Arial" w:cs="Arial"/>
                <w:b/>
                <w:bCs/>
                <w:color w:val="FFFFFF"/>
                <w:sz w:val="19"/>
                <w:szCs w:val="19"/>
              </w:rPr>
              <w:t>Services Involved</w:t>
            </w:r>
          </w:p>
        </w:tc>
        <w:tc>
          <w:tcPr>
            <w:tcW w:w="3291" w:type="dxa"/>
            <w:tcBorders>
              <w:top w:val="single" w:sz="2" w:space="0" w:color="1A56DB"/>
              <w:start w:val="single" w:sz="2" w:space="0" w:color="1A56DB"/>
              <w:bottom w:val="single" w:sz="2" w:space="0" w:color="1A56DB"/>
              <w:end w:val="single" w:sz="2" w:space="0" w:color="1A56DB"/>
            </w:tcBorders>
            <w:shd w:fill="1A56DB" w:val="clear"/>
            <w:vAlign w:val="center"/>
          </w:tcPr>
          <w:p>
            <w:pPr>
              <w:pStyle w:val="Normal"/>
              <w:jc w:val="center"/>
              <w:rPr/>
            </w:pPr>
            <w:r>
              <w:rPr>
                <w:rFonts w:eastAsia="Arial" w:cs="Arial"/>
                <w:b/>
                <w:bCs/>
                <w:color w:val="FFFFFF"/>
                <w:sz w:val="19"/>
                <w:szCs w:val="19"/>
              </w:rPr>
              <w:t>Key Validations</w:t>
            </w:r>
          </w:p>
        </w:tc>
        <w:tc>
          <w:tcPr>
            <w:tcW w:w="3291" w:type="dxa"/>
            <w:tcBorders>
              <w:top w:val="single" w:sz="2" w:space="0" w:color="1A56DB"/>
              <w:start w:val="single" w:sz="2" w:space="0" w:color="1A56DB"/>
              <w:bottom w:val="single" w:sz="2" w:space="0" w:color="1A56DB"/>
              <w:end w:val="single" w:sz="2" w:space="0" w:color="1A56DB"/>
            </w:tcBorders>
            <w:shd w:fill="1A56DB" w:val="clear"/>
            <w:vAlign w:val="center"/>
          </w:tcPr>
          <w:p>
            <w:pPr>
              <w:pStyle w:val="Normal"/>
              <w:jc w:val="center"/>
              <w:rPr/>
            </w:pPr>
            <w:r>
              <w:rPr>
                <w:rFonts w:eastAsia="Arial" w:cs="Arial"/>
                <w:b/>
                <w:bCs/>
                <w:color w:val="FFFFFF"/>
                <w:sz w:val="19"/>
                <w:szCs w:val="19"/>
              </w:rPr>
              <w:t>Failure Handling</w:t>
            </w:r>
          </w:p>
        </w:tc>
      </w:tr>
      <w:tr>
        <w:trPr/>
        <w:tc>
          <w:tcPr>
            <w:tcW w:w="426"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bCs/>
                <w:color w:val="1A1A2E"/>
                <w:sz w:val="19"/>
                <w:szCs w:val="19"/>
              </w:rPr>
              <w:t>Registration</w:t>
            </w:r>
          </w:p>
        </w:tc>
        <w:tc>
          <w:tcPr>
            <w:tcW w:w="2352"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Identity Service</w:t>
            </w:r>
          </w:p>
        </w:tc>
        <w:tc>
          <w:tcPr>
            <w:tcW w:w="3291"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Email uniqueness check. Password complexity (min 12 chars, 1 upper, 1 digit, 1 special). Rate limit: 5 registrations per IP per hour.</w:t>
            </w:r>
          </w:p>
        </w:tc>
        <w:tc>
          <w:tcPr>
            <w:tcW w:w="3291"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Duplicate email: HTTP 409. Rate limit: HTTP 429 with Retry-After.</w:t>
            </w:r>
          </w:p>
        </w:tc>
      </w:tr>
      <w:tr>
        <w:trPr/>
        <w:tc>
          <w:tcPr>
            <w:tcW w:w="426"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bCs/>
                <w:color w:val="1A1A2E"/>
                <w:sz w:val="19"/>
                <w:szCs w:val="19"/>
              </w:rPr>
              <w:t>Email Verification</w:t>
            </w:r>
          </w:p>
        </w:tc>
        <w:tc>
          <w:tcPr>
            <w:tcW w:w="2352"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Identity Service, Notification Service</w:t>
            </w:r>
          </w:p>
        </w:tc>
        <w:tc>
          <w:tcPr>
            <w:tcW w:w="3291"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Token is HMAC-signed, 24-hour expiry. Single-use (invalidated on click).</w:t>
            </w:r>
          </w:p>
        </w:tc>
        <w:tc>
          <w:tcPr>
            <w:tcW w:w="3291"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Expired token: user prompted to request a new verification email.</w:t>
            </w:r>
          </w:p>
        </w:tc>
      </w:tr>
      <w:tr>
        <w:trPr/>
        <w:tc>
          <w:tcPr>
            <w:tcW w:w="426"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bCs/>
                <w:color w:val="1A1A2E"/>
                <w:sz w:val="19"/>
                <w:szCs w:val="19"/>
              </w:rPr>
              <w:t>Stripe Checkout</w:t>
            </w:r>
          </w:p>
        </w:tc>
        <w:tc>
          <w:tcPr>
            <w:tcW w:w="2352"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Billing Service, Stripe</w:t>
            </w:r>
          </w:p>
        </w:tc>
        <w:tc>
          <w:tcPr>
            <w:tcW w:w="3291"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SCA / 3DS handled by Stripe. Stripe webhook fires plan.activated on success.</w:t>
            </w:r>
          </w:p>
        </w:tc>
        <w:tc>
          <w:tcPr>
            <w:tcW w:w="3291"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Payment failure: user returned to plan selection. Stripe handles retry logic.</w:t>
            </w:r>
          </w:p>
        </w:tc>
      </w:tr>
      <w:tr>
        <w:trPr/>
        <w:tc>
          <w:tcPr>
            <w:tcW w:w="426"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bCs/>
                <w:color w:val="1A1A2E"/>
                <w:sz w:val="19"/>
                <w:szCs w:val="19"/>
              </w:rPr>
              <w:t>MFA Enrolment</w:t>
            </w:r>
          </w:p>
        </w:tc>
        <w:tc>
          <w:tcPr>
            <w:tcW w:w="2352"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Identity Service</w:t>
            </w:r>
          </w:p>
        </w:tc>
        <w:tc>
          <w:tcPr>
            <w:tcW w:w="3291"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TOTP secret generated server-side. Backup codes hashed (bcrypt) before storage. Verify step requires valid TOTP code before enrolment completes.</w:t>
            </w:r>
          </w:p>
        </w:tc>
        <w:tc>
          <w:tcPr>
            <w:tcW w:w="3291"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Invalid TOTP code: HTTP 400. User must re-scan QR. Max 10 attempts before 15-min lockout.</w:t>
            </w:r>
          </w:p>
        </w:tc>
      </w:tr>
      <w:tr>
        <w:trPr/>
        <w:tc>
          <w:tcPr>
            <w:tcW w:w="426"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bCs/>
                <w:color w:val="1A1A2E"/>
                <w:sz w:val="19"/>
                <w:szCs w:val="19"/>
              </w:rPr>
              <w:t>Sell Channel OAuth</w:t>
            </w:r>
          </w:p>
        </w:tc>
        <w:tc>
          <w:tcPr>
            <w:tcW w:w="2352"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Credential Vault Service, Identity Service</w:t>
            </w:r>
          </w:p>
        </w:tc>
        <w:tc>
          <w:tcPr>
            <w:tcW w:w="3291"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OAuth flow per channel (eBay, Amazon, Shopify). Token encrypted and stored on callback. Scope validation: minimum required scopes enforced.</w:t>
            </w:r>
          </w:p>
        </w:tc>
        <w:tc>
          <w:tcPr>
            <w:tcW w:w="3291"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OAuth denied by user: graceful skip, reminded during scan job setup. Insufficient scopes: HTTP 403 with required scope list.</w:t>
            </w:r>
          </w:p>
        </w:tc>
      </w:tr>
      <w:tr>
        <w:trPr/>
        <w:tc>
          <w:tcPr>
            <w:tcW w:w="426"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bCs/>
                <w:color w:val="1A1A2E"/>
                <w:sz w:val="19"/>
                <w:szCs w:val="19"/>
              </w:rPr>
              <w:t>First Scan Job</w:t>
            </w:r>
          </w:p>
        </w:tc>
        <w:tc>
          <w:tcPr>
            <w:tcW w:w="2352"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Jobs Service, Ingestion Service</w:t>
            </w:r>
          </w:p>
        </w:tc>
        <w:tc>
          <w:tcPr>
            <w:tcW w:w="3291"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Plan entitlement checked: active scan job count vs. plan limit. Cadence set from plan tier.</w:t>
            </w:r>
          </w:p>
        </w:tc>
        <w:tc>
          <w:tcPr>
            <w:tcW w:w="3291"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Scan job limit reached: HTTP 402 with plan upgrade prompt.</w:t>
            </w:r>
          </w:p>
        </w:tc>
      </w:tr>
    </w:tbl>
    <w:p>
      <w:pPr>
        <w:pStyle w:val="Normal"/>
        <w:rPr/>
      </w:pPr>
      <w:r>
        <w:rPr/>
      </w:r>
      <w:r>
        <w:br w:type="page"/>
      </w:r>
    </w:p>
    <w:p>
      <w:pPr>
        <w:pStyle w:val="Heading1"/>
        <w:pBdr>
          <w:bottom w:val="single" w:sz="8" w:space="6" w:color="1A56DB"/>
        </w:pBdr>
        <w:spacing w:before="0" w:after="160"/>
        <w:rPr/>
      </w:pPr>
      <w:r>
        <w:rPr>
          <w:rFonts w:eastAsia="Arial" w:cs="Arial"/>
          <w:b/>
          <w:bCs/>
          <w:color w:val="1A56DB"/>
          <w:sz w:val="32"/>
          <w:szCs w:val="32"/>
        </w:rPr>
        <w:t>8. Infrastructure</w:t>
      </w:r>
    </w:p>
    <w:p>
      <w:pPr>
        <w:pStyle w:val="Heading2"/>
        <w:spacing w:before="280" w:after="100"/>
        <w:rPr/>
      </w:pPr>
      <w:r>
        <w:rPr>
          <w:rFonts w:eastAsia="Arial" w:cs="Arial"/>
          <w:b/>
          <w:bCs/>
          <w:color w:val="1A1A2E"/>
          <w:sz w:val="26"/>
          <w:szCs w:val="26"/>
        </w:rPr>
        <w:t>8.1 Hetzner Cloud Topology</w:t>
      </w:r>
    </w:p>
    <w:tbl>
      <w:tblPr>
        <w:tblW w:w="9360" w:type="dxa"/>
        <w:jc w:val="start"/>
        <w:tblInd w:w="0" w:type="dxa"/>
        <w:tblLayout w:type="fixed"/>
        <w:tblCellMar>
          <w:top w:w="100" w:type="dxa"/>
          <w:start w:w="140" w:type="dxa"/>
          <w:bottom w:w="100" w:type="dxa"/>
          <w:end w:w="140" w:type="dxa"/>
        </w:tblCellMar>
      </w:tblPr>
      <w:tblGrid>
        <w:gridCol w:w="2000"/>
        <w:gridCol w:w="898"/>
        <w:gridCol w:w="2262"/>
        <w:gridCol w:w="4200"/>
      </w:tblGrid>
      <w:tr>
        <w:trPr>
          <w:tblHeader w:val="true"/>
        </w:trPr>
        <w:tc>
          <w:tcPr>
            <w:tcW w:w="2000" w:type="dxa"/>
            <w:tcBorders>
              <w:top w:val="single" w:sz="2" w:space="0" w:color="1A56DB"/>
              <w:start w:val="single" w:sz="2" w:space="0" w:color="1A56DB"/>
              <w:bottom w:val="single" w:sz="2" w:space="0" w:color="1A56DB"/>
              <w:end w:val="single" w:sz="2" w:space="0" w:color="1A56DB"/>
            </w:tcBorders>
            <w:shd w:fill="1A56DB" w:val="clear"/>
            <w:vAlign w:val="center"/>
          </w:tcPr>
          <w:p>
            <w:pPr>
              <w:pStyle w:val="Normal"/>
              <w:jc w:val="center"/>
              <w:rPr/>
            </w:pPr>
            <w:r>
              <w:rPr>
                <w:rFonts w:eastAsia="Arial" w:cs="Arial"/>
                <w:b/>
                <w:bCs/>
                <w:color w:val="FFFFFF"/>
                <w:sz w:val="19"/>
                <w:szCs w:val="19"/>
              </w:rPr>
              <w:t>Node Type</w:t>
            </w:r>
          </w:p>
        </w:tc>
        <w:tc>
          <w:tcPr>
            <w:tcW w:w="898" w:type="dxa"/>
            <w:tcBorders>
              <w:top w:val="single" w:sz="2" w:space="0" w:color="1A56DB"/>
              <w:start w:val="single" w:sz="2" w:space="0" w:color="1A56DB"/>
              <w:bottom w:val="single" w:sz="2" w:space="0" w:color="1A56DB"/>
              <w:end w:val="single" w:sz="2" w:space="0" w:color="1A56DB"/>
            </w:tcBorders>
            <w:shd w:fill="1A56DB" w:val="clear"/>
            <w:vAlign w:val="center"/>
          </w:tcPr>
          <w:p>
            <w:pPr>
              <w:pStyle w:val="Normal"/>
              <w:jc w:val="center"/>
              <w:rPr/>
            </w:pPr>
            <w:r>
              <w:rPr>
                <w:rFonts w:eastAsia="Arial" w:cs="Arial"/>
                <w:b/>
                <w:bCs/>
                <w:color w:val="FFFFFF"/>
                <w:sz w:val="19"/>
                <w:szCs w:val="19"/>
              </w:rPr>
              <w:t>Count</w:t>
            </w:r>
          </w:p>
        </w:tc>
        <w:tc>
          <w:tcPr>
            <w:tcW w:w="2262" w:type="dxa"/>
            <w:tcBorders>
              <w:top w:val="single" w:sz="2" w:space="0" w:color="1A56DB"/>
              <w:start w:val="single" w:sz="2" w:space="0" w:color="1A56DB"/>
              <w:bottom w:val="single" w:sz="2" w:space="0" w:color="1A56DB"/>
              <w:end w:val="single" w:sz="2" w:space="0" w:color="1A56DB"/>
            </w:tcBorders>
            <w:shd w:fill="1A56DB" w:val="clear"/>
            <w:vAlign w:val="center"/>
          </w:tcPr>
          <w:p>
            <w:pPr>
              <w:pStyle w:val="Normal"/>
              <w:jc w:val="center"/>
              <w:rPr/>
            </w:pPr>
            <w:r>
              <w:rPr>
                <w:rFonts w:eastAsia="Arial" w:cs="Arial"/>
                <w:b/>
                <w:bCs/>
                <w:color w:val="FFFFFF"/>
                <w:sz w:val="19"/>
                <w:szCs w:val="19"/>
              </w:rPr>
              <w:t>Spec</w:t>
            </w:r>
          </w:p>
        </w:tc>
        <w:tc>
          <w:tcPr>
            <w:tcW w:w="4200" w:type="dxa"/>
            <w:tcBorders>
              <w:top w:val="single" w:sz="2" w:space="0" w:color="1A56DB"/>
              <w:start w:val="single" w:sz="2" w:space="0" w:color="1A56DB"/>
              <w:bottom w:val="single" w:sz="2" w:space="0" w:color="1A56DB"/>
              <w:end w:val="single" w:sz="2" w:space="0" w:color="1A56DB"/>
            </w:tcBorders>
            <w:shd w:fill="1A56DB" w:val="clear"/>
            <w:vAlign w:val="center"/>
          </w:tcPr>
          <w:p>
            <w:pPr>
              <w:pStyle w:val="Normal"/>
              <w:jc w:val="center"/>
              <w:rPr/>
            </w:pPr>
            <w:r>
              <w:rPr>
                <w:rFonts w:eastAsia="Arial" w:cs="Arial"/>
                <w:b/>
                <w:bCs/>
                <w:color w:val="FFFFFF"/>
                <w:sz w:val="19"/>
                <w:szCs w:val="19"/>
              </w:rPr>
              <w:t>Role</w:t>
            </w:r>
          </w:p>
        </w:tc>
      </w:tr>
      <w:tr>
        <w:trPr/>
        <w:tc>
          <w:tcPr>
            <w:tcW w:w="20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bCs/>
                <w:color w:val="1A1A2E"/>
                <w:sz w:val="19"/>
                <w:szCs w:val="19"/>
              </w:rPr>
              <w:t>k3s Control Plane</w:t>
            </w:r>
          </w:p>
        </w:tc>
        <w:tc>
          <w:tcPr>
            <w:tcW w:w="898"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3</w:t>
            </w:r>
          </w:p>
        </w:tc>
        <w:tc>
          <w:tcPr>
            <w:tcW w:w="2262"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CPX21 (3 vCPU, 4 GB RAM)</w:t>
            </w:r>
          </w:p>
        </w:tc>
        <w:tc>
          <w:tcPr>
            <w:tcW w:w="42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HA control plane. Etcd distributed across 3 nodes. Load balanced via Hetzner private network.</w:t>
            </w:r>
          </w:p>
        </w:tc>
      </w:tr>
      <w:tr>
        <w:trPr/>
        <w:tc>
          <w:tcPr>
            <w:tcW w:w="20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bCs/>
                <w:color w:val="1A1A2E"/>
                <w:sz w:val="19"/>
                <w:szCs w:val="19"/>
              </w:rPr>
              <w:t>Worker Nodes — General</w:t>
            </w:r>
          </w:p>
        </w:tc>
        <w:tc>
          <w:tcPr>
            <w:tcW w:w="898"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4</w:t>
            </w:r>
          </w:p>
        </w:tc>
        <w:tc>
          <w:tcPr>
            <w:tcW w:w="2262"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CPX41 (8 vCPU, 16 GB RAM)</w:t>
            </w:r>
          </w:p>
        </w:tc>
        <w:tc>
          <w:tcPr>
            <w:tcW w:w="42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All C# microservices, Next.js frontend serving, YARP gateway.</w:t>
            </w:r>
          </w:p>
        </w:tc>
      </w:tr>
      <w:tr>
        <w:trPr/>
        <w:tc>
          <w:tcPr>
            <w:tcW w:w="20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bCs/>
                <w:color w:val="1A1A2E"/>
                <w:sz w:val="19"/>
                <w:szCs w:val="19"/>
              </w:rPr>
              <w:t>Worker Nodes — Scraping</w:t>
            </w:r>
          </w:p>
        </w:tc>
        <w:tc>
          <w:tcPr>
            <w:tcW w:w="898"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2</w:t>
            </w:r>
          </w:p>
        </w:tc>
        <w:tc>
          <w:tcPr>
            <w:tcW w:w="2262"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CPX51 (16 vCPU, 32 GB RAM)</w:t>
            </w:r>
          </w:p>
        </w:tc>
        <w:tc>
          <w:tcPr>
            <w:tcW w:w="42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Playwright Stealth workers. Higher CPU for headless Chromium. Isolated node pool.</w:t>
            </w:r>
          </w:p>
        </w:tc>
      </w:tr>
      <w:tr>
        <w:trPr/>
        <w:tc>
          <w:tcPr>
            <w:tcW w:w="20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bCs/>
                <w:color w:val="1A1A2E"/>
                <w:sz w:val="19"/>
                <w:szCs w:val="19"/>
              </w:rPr>
              <w:t>Worker Nodes — Data</w:t>
            </w:r>
          </w:p>
        </w:tc>
        <w:tc>
          <w:tcPr>
            <w:tcW w:w="898"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2</w:t>
            </w:r>
          </w:p>
        </w:tc>
        <w:tc>
          <w:tcPr>
            <w:tcW w:w="2262"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CCX32 (8 vCPU, 32 GB RAM, dedicated)</w:t>
            </w:r>
          </w:p>
        </w:tc>
        <w:tc>
          <w:tcPr>
            <w:tcW w:w="42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PostgreSQL + TimescaleDB primary. Redis cluster. Memory-optimised.</w:t>
            </w:r>
          </w:p>
        </w:tc>
      </w:tr>
      <w:tr>
        <w:trPr/>
        <w:tc>
          <w:tcPr>
            <w:tcW w:w="20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bCs/>
                <w:color w:val="1A1A2E"/>
                <w:sz w:val="19"/>
                <w:szCs w:val="19"/>
              </w:rPr>
              <w:t>Backup Node</w:t>
            </w:r>
          </w:p>
        </w:tc>
        <w:tc>
          <w:tcPr>
            <w:tcW w:w="898"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1</w:t>
            </w:r>
          </w:p>
        </w:tc>
        <w:tc>
          <w:tcPr>
            <w:tcW w:w="2262"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CPX21</w:t>
            </w:r>
          </w:p>
        </w:tc>
        <w:tc>
          <w:tcPr>
            <w:tcW w:w="42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PostgreSQL streaming replica. Daily snapshot to Hetzner Object Storage.</w:t>
            </w:r>
          </w:p>
        </w:tc>
      </w:tr>
    </w:tbl>
    <w:p>
      <w:pPr>
        <w:pStyle w:val="Normal"/>
        <w:spacing w:before="0" w:after="0"/>
        <w:rPr/>
      </w:pPr>
      <w:r>
        <w:rPr/>
      </w:r>
    </w:p>
    <w:p>
      <w:pPr>
        <w:pStyle w:val="Heading2"/>
        <w:spacing w:before="280" w:after="100"/>
        <w:rPr/>
      </w:pPr>
      <w:r>
        <w:rPr>
          <w:rFonts w:eastAsia="Arial" w:cs="Arial"/>
          <w:b/>
          <w:bCs/>
          <w:color w:val="1A1A2E"/>
          <w:sz w:val="26"/>
          <w:szCs w:val="26"/>
        </w:rPr>
        <w:t>8.2 k3s Configuration</w:t>
      </w:r>
    </w:p>
    <w:p>
      <w:pPr>
        <w:pStyle w:val="ListParagraph"/>
        <w:numPr>
          <w:ilvl w:val="0"/>
          <w:numId w:val="2"/>
        </w:numPr>
        <w:spacing w:before="40" w:after="40"/>
        <w:rPr/>
      </w:pPr>
      <w:r>
        <w:rPr>
          <w:rFonts w:eastAsia="Arial" w:cs="Arial"/>
          <w:color w:val="1A1A2E"/>
          <w:sz w:val="22"/>
          <w:szCs w:val="22"/>
        </w:rPr>
        <w:t>k3s version: latest stable. Flannel CNI (default). MetalLB for LoadBalancer services.</w:t>
      </w:r>
    </w:p>
    <w:p>
      <w:pPr>
        <w:pStyle w:val="ListParagraph"/>
        <w:numPr>
          <w:ilvl w:val="0"/>
          <w:numId w:val="2"/>
        </w:numPr>
        <w:spacing w:before="40" w:after="40"/>
        <w:rPr/>
      </w:pPr>
      <w:r>
        <w:rPr>
          <w:rFonts w:eastAsia="Arial" w:cs="Arial"/>
          <w:color w:val="1A1A2E"/>
          <w:sz w:val="22"/>
          <w:szCs w:val="22"/>
        </w:rPr>
        <w:t>Namespaces: arbitrageiq-prod, arbitrageiq-staging, arbitrageiq-monitoring, kube-system.</w:t>
      </w:r>
    </w:p>
    <w:p>
      <w:pPr>
        <w:pStyle w:val="ListParagraph"/>
        <w:numPr>
          <w:ilvl w:val="0"/>
          <w:numId w:val="2"/>
        </w:numPr>
        <w:spacing w:before="40" w:after="40"/>
        <w:rPr/>
      </w:pPr>
      <w:r>
        <w:rPr>
          <w:rFonts w:eastAsia="Arial" w:cs="Arial"/>
          <w:color w:val="1A1A2E"/>
          <w:sz w:val="22"/>
          <w:szCs w:val="22"/>
        </w:rPr>
        <w:t>Resource quotas enforced per namespace. HPA configured for Ingestion Service and Opportunity Engine (CPU threshold: 70%).</w:t>
      </w:r>
    </w:p>
    <w:p>
      <w:pPr>
        <w:pStyle w:val="ListParagraph"/>
        <w:numPr>
          <w:ilvl w:val="0"/>
          <w:numId w:val="2"/>
        </w:numPr>
        <w:spacing w:before="40" w:after="40"/>
        <w:rPr/>
      </w:pPr>
      <w:r>
        <w:rPr>
          <w:rFonts w:eastAsia="Arial" w:cs="Arial"/>
          <w:color w:val="1A1A2E"/>
          <w:sz w:val="22"/>
          <w:szCs w:val="22"/>
        </w:rPr>
        <w:t>Persistent volumes: Hetzner CSI driver. PostgreSQL data on dedicated 500GB volume. Redis AOF persistence on 50GB volume.</w:t>
      </w:r>
    </w:p>
    <w:p>
      <w:pPr>
        <w:pStyle w:val="ListParagraph"/>
        <w:numPr>
          <w:ilvl w:val="0"/>
          <w:numId w:val="2"/>
        </w:numPr>
        <w:spacing w:before="40" w:after="40"/>
        <w:rPr/>
      </w:pPr>
      <w:r>
        <w:rPr>
          <w:rFonts w:eastAsia="Arial" w:cs="Arial"/>
          <w:color w:val="1A1A2E"/>
          <w:sz w:val="22"/>
          <w:szCs w:val="22"/>
        </w:rPr>
        <w:t>Ingress: Traefik (k3s default) with Cloudflare proxy in front. TLS certificates via cert-manager + Let's Encrypt.</w:t>
      </w:r>
    </w:p>
    <w:p>
      <w:pPr>
        <w:pStyle w:val="Normal"/>
        <w:spacing w:before="0" w:after="0"/>
        <w:rPr/>
      </w:pPr>
      <w:r>
        <w:rPr/>
      </w:r>
    </w:p>
    <w:p>
      <w:pPr>
        <w:pStyle w:val="Heading2"/>
        <w:spacing w:before="280" w:after="100"/>
        <w:rPr/>
      </w:pPr>
      <w:r>
        <w:rPr>
          <w:rFonts w:eastAsia="Arial" w:cs="Arial"/>
          <w:b/>
          <w:bCs/>
          <w:color w:val="1A1A2E"/>
          <w:sz w:val="26"/>
          <w:szCs w:val="26"/>
        </w:rPr>
        <w:t>8.3 CI/CD Pipeline</w:t>
      </w:r>
    </w:p>
    <w:tbl>
      <w:tblPr>
        <w:tblW w:w="9360" w:type="dxa"/>
        <w:jc w:val="start"/>
        <w:tblInd w:w="0" w:type="dxa"/>
        <w:tblLayout w:type="fixed"/>
        <w:tblCellMar>
          <w:top w:w="100" w:type="dxa"/>
          <w:start w:w="140" w:type="dxa"/>
          <w:bottom w:w="100" w:type="dxa"/>
          <w:end w:w="140" w:type="dxa"/>
        </w:tblCellMar>
      </w:tblPr>
      <w:tblGrid>
        <w:gridCol w:w="1598"/>
        <w:gridCol w:w="1602"/>
        <w:gridCol w:w="2158"/>
        <w:gridCol w:w="4002"/>
      </w:tblGrid>
      <w:tr>
        <w:trPr>
          <w:tblHeader w:val="true"/>
        </w:trPr>
        <w:tc>
          <w:tcPr>
            <w:tcW w:w="1598" w:type="dxa"/>
            <w:tcBorders>
              <w:top w:val="single" w:sz="2" w:space="0" w:color="1A56DB"/>
              <w:start w:val="single" w:sz="2" w:space="0" w:color="1A56DB"/>
              <w:bottom w:val="single" w:sz="2" w:space="0" w:color="1A56DB"/>
              <w:end w:val="single" w:sz="2" w:space="0" w:color="1A56DB"/>
            </w:tcBorders>
            <w:shd w:fill="1A56DB" w:val="clear"/>
            <w:vAlign w:val="center"/>
          </w:tcPr>
          <w:p>
            <w:pPr>
              <w:pStyle w:val="Normal"/>
              <w:jc w:val="center"/>
              <w:rPr/>
            </w:pPr>
            <w:r>
              <w:rPr>
                <w:rFonts w:eastAsia="Arial" w:cs="Arial"/>
                <w:b/>
                <w:bCs/>
                <w:color w:val="FFFFFF"/>
                <w:sz w:val="19"/>
                <w:szCs w:val="19"/>
              </w:rPr>
              <w:t>Stage</w:t>
            </w:r>
          </w:p>
        </w:tc>
        <w:tc>
          <w:tcPr>
            <w:tcW w:w="1602" w:type="dxa"/>
            <w:tcBorders>
              <w:top w:val="single" w:sz="2" w:space="0" w:color="1A56DB"/>
              <w:start w:val="single" w:sz="2" w:space="0" w:color="1A56DB"/>
              <w:bottom w:val="single" w:sz="2" w:space="0" w:color="1A56DB"/>
              <w:end w:val="single" w:sz="2" w:space="0" w:color="1A56DB"/>
            </w:tcBorders>
            <w:shd w:fill="1A56DB" w:val="clear"/>
            <w:vAlign w:val="center"/>
          </w:tcPr>
          <w:p>
            <w:pPr>
              <w:pStyle w:val="Normal"/>
              <w:jc w:val="center"/>
              <w:rPr/>
            </w:pPr>
            <w:r>
              <w:rPr>
                <w:rFonts w:eastAsia="Arial" w:cs="Arial"/>
                <w:b/>
                <w:bCs/>
                <w:color w:val="FFFFFF"/>
                <w:sz w:val="19"/>
                <w:szCs w:val="19"/>
              </w:rPr>
              <w:t>Tool</w:t>
            </w:r>
          </w:p>
        </w:tc>
        <w:tc>
          <w:tcPr>
            <w:tcW w:w="2158" w:type="dxa"/>
            <w:tcBorders>
              <w:top w:val="single" w:sz="2" w:space="0" w:color="1A56DB"/>
              <w:start w:val="single" w:sz="2" w:space="0" w:color="1A56DB"/>
              <w:bottom w:val="single" w:sz="2" w:space="0" w:color="1A56DB"/>
              <w:end w:val="single" w:sz="2" w:space="0" w:color="1A56DB"/>
            </w:tcBorders>
            <w:shd w:fill="1A56DB" w:val="clear"/>
            <w:vAlign w:val="center"/>
          </w:tcPr>
          <w:p>
            <w:pPr>
              <w:pStyle w:val="Normal"/>
              <w:jc w:val="center"/>
              <w:rPr/>
            </w:pPr>
            <w:r>
              <w:rPr>
                <w:rFonts w:eastAsia="Arial" w:cs="Arial"/>
                <w:b/>
                <w:bCs/>
                <w:color w:val="FFFFFF"/>
                <w:sz w:val="19"/>
                <w:szCs w:val="19"/>
              </w:rPr>
              <w:t>Trigger</w:t>
            </w:r>
          </w:p>
        </w:tc>
        <w:tc>
          <w:tcPr>
            <w:tcW w:w="4002" w:type="dxa"/>
            <w:tcBorders>
              <w:top w:val="single" w:sz="2" w:space="0" w:color="1A56DB"/>
              <w:start w:val="single" w:sz="2" w:space="0" w:color="1A56DB"/>
              <w:bottom w:val="single" w:sz="2" w:space="0" w:color="1A56DB"/>
              <w:end w:val="single" w:sz="2" w:space="0" w:color="1A56DB"/>
            </w:tcBorders>
            <w:shd w:fill="1A56DB" w:val="clear"/>
            <w:vAlign w:val="center"/>
          </w:tcPr>
          <w:p>
            <w:pPr>
              <w:pStyle w:val="Normal"/>
              <w:jc w:val="center"/>
              <w:rPr/>
            </w:pPr>
            <w:r>
              <w:rPr>
                <w:rFonts w:eastAsia="Arial" w:cs="Arial"/>
                <w:b/>
                <w:bCs/>
                <w:color w:val="FFFFFF"/>
                <w:sz w:val="19"/>
                <w:szCs w:val="19"/>
              </w:rPr>
              <w:t>Actions</w:t>
            </w:r>
          </w:p>
        </w:tc>
      </w:tr>
      <w:tr>
        <w:trPr/>
        <w:tc>
          <w:tcPr>
            <w:tcW w:w="1598"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bCs/>
                <w:color w:val="1A1A2E"/>
                <w:sz w:val="19"/>
                <w:szCs w:val="19"/>
              </w:rPr>
              <w:t>Build &amp; Test</w:t>
            </w:r>
          </w:p>
        </w:tc>
        <w:tc>
          <w:tcPr>
            <w:tcW w:w="1602"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GitHub Actions</w:t>
            </w:r>
          </w:p>
        </w:tc>
        <w:tc>
          <w:tcPr>
            <w:tcW w:w="2158"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Push to any branch</w:t>
            </w:r>
          </w:p>
        </w:tc>
        <w:tc>
          <w:tcPr>
            <w:tcW w:w="4002"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dotnet build, dotnet test, python -m pytest. Code coverage &gt;= 80% enforced.</w:t>
            </w:r>
          </w:p>
        </w:tc>
      </w:tr>
      <w:tr>
        <w:trPr/>
        <w:tc>
          <w:tcPr>
            <w:tcW w:w="1598"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bCs/>
                <w:color w:val="1A1A2E"/>
                <w:sz w:val="19"/>
                <w:szCs w:val="19"/>
              </w:rPr>
              <w:t>Static Analysis</w:t>
            </w:r>
          </w:p>
        </w:tc>
        <w:tc>
          <w:tcPr>
            <w:tcW w:w="1602"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GitHub Actions</w:t>
            </w:r>
          </w:p>
        </w:tc>
        <w:tc>
          <w:tcPr>
            <w:tcW w:w="2158"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Push to any branch</w:t>
            </w:r>
          </w:p>
        </w:tc>
        <w:tc>
          <w:tcPr>
            <w:tcW w:w="4002"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dotnet-sonarscanner, Roslynator. Bandit for Python. Fail on critical issues.</w:t>
            </w:r>
          </w:p>
        </w:tc>
      </w:tr>
      <w:tr>
        <w:trPr/>
        <w:tc>
          <w:tcPr>
            <w:tcW w:w="1598"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bCs/>
                <w:color w:val="1A1A2E"/>
                <w:sz w:val="19"/>
                <w:szCs w:val="19"/>
              </w:rPr>
              <w:t>Container Build</w:t>
            </w:r>
          </w:p>
        </w:tc>
        <w:tc>
          <w:tcPr>
            <w:tcW w:w="1602"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GitHub Actions</w:t>
            </w:r>
          </w:p>
        </w:tc>
        <w:tc>
          <w:tcPr>
            <w:tcW w:w="2158"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Push to main or release/*</w:t>
            </w:r>
          </w:p>
        </w:tc>
        <w:tc>
          <w:tcPr>
            <w:tcW w:w="4002"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docker build + push to GitHub Container Registry (ghcr.io). Tagged with SHA and semver.</w:t>
            </w:r>
          </w:p>
        </w:tc>
      </w:tr>
      <w:tr>
        <w:trPr/>
        <w:tc>
          <w:tcPr>
            <w:tcW w:w="1598"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bCs/>
                <w:color w:val="1A1A2E"/>
                <w:sz w:val="19"/>
                <w:szCs w:val="19"/>
              </w:rPr>
              <w:t>Staging Deploy</w:t>
            </w:r>
          </w:p>
        </w:tc>
        <w:tc>
          <w:tcPr>
            <w:tcW w:w="1602"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GitHub Actions</w:t>
            </w:r>
          </w:p>
        </w:tc>
        <w:tc>
          <w:tcPr>
            <w:tcW w:w="2158"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Push to main</w:t>
            </w:r>
          </w:p>
        </w:tc>
        <w:tc>
          <w:tcPr>
            <w:tcW w:w="4002"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kubectl apply to arbitrageiq-staging namespace. Smoke tests run post-deploy via GitHub Actions job.</w:t>
            </w:r>
          </w:p>
        </w:tc>
      </w:tr>
      <w:tr>
        <w:trPr/>
        <w:tc>
          <w:tcPr>
            <w:tcW w:w="1598"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bCs/>
                <w:color w:val="1A1A2E"/>
                <w:sz w:val="19"/>
                <w:szCs w:val="19"/>
              </w:rPr>
              <w:t>Production Deploy</w:t>
            </w:r>
          </w:p>
        </w:tc>
        <w:tc>
          <w:tcPr>
            <w:tcW w:w="1602"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GitHub Actions</w:t>
            </w:r>
          </w:p>
        </w:tc>
        <w:tc>
          <w:tcPr>
            <w:tcW w:w="2158"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Git tag on release/* branch</w:t>
            </w:r>
          </w:p>
        </w:tc>
        <w:tc>
          <w:tcPr>
            <w:tcW w:w="4002"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Manual approval gate via GitHub Actions environment protection rules. kubectl apply to arbitrageiq-prod. Automatic rollback via kubectl rollout undo on health check failure.</w:t>
            </w:r>
          </w:p>
        </w:tc>
      </w:tr>
      <w:tr>
        <w:trPr/>
        <w:tc>
          <w:tcPr>
            <w:tcW w:w="1598"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bCs/>
                <w:color w:val="1A1A2E"/>
                <w:sz w:val="19"/>
                <w:szCs w:val="19"/>
              </w:rPr>
              <w:t>Database Migrations</w:t>
            </w:r>
          </w:p>
        </w:tc>
        <w:tc>
          <w:tcPr>
            <w:tcW w:w="1602"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GitHub Actions + Flyway</w:t>
            </w:r>
          </w:p>
        </w:tc>
        <w:tc>
          <w:tcPr>
            <w:tcW w:w="2158"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Pre-deploy step</w:t>
            </w:r>
          </w:p>
        </w:tc>
        <w:tc>
          <w:tcPr>
            <w:tcW w:w="4002"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Flyway migrations run in order. Backward-compatible migrations only (no destructive schema changes without two-phase rollout).</w:t>
            </w:r>
          </w:p>
        </w:tc>
      </w:tr>
    </w:tbl>
    <w:p>
      <w:pPr>
        <w:pStyle w:val="Normal"/>
        <w:spacing w:before="0" w:after="0"/>
        <w:rPr/>
      </w:pPr>
      <w:r>
        <w:rPr/>
      </w:r>
    </w:p>
    <w:p>
      <w:pPr>
        <w:pStyle w:val="Heading2"/>
        <w:spacing w:before="280" w:after="100"/>
        <w:rPr/>
      </w:pPr>
      <w:r>
        <w:rPr>
          <w:rFonts w:eastAsia="Arial" w:cs="Arial"/>
          <w:b/>
          <w:bCs/>
          <w:color w:val="1A1A2E"/>
          <w:sz w:val="26"/>
          <w:szCs w:val="26"/>
        </w:rPr>
        <w:t>8.4 Observability Stack</w:t>
      </w:r>
    </w:p>
    <w:tbl>
      <w:tblPr>
        <w:tblW w:w="9360" w:type="dxa"/>
        <w:jc w:val="start"/>
        <w:tblInd w:w="0" w:type="dxa"/>
        <w:tblLayout w:type="fixed"/>
        <w:tblCellMar>
          <w:top w:w="100" w:type="dxa"/>
          <w:start w:w="140" w:type="dxa"/>
          <w:bottom w:w="100" w:type="dxa"/>
          <w:end w:w="140" w:type="dxa"/>
        </w:tblCellMar>
      </w:tblPr>
      <w:tblGrid>
        <w:gridCol w:w="1798"/>
        <w:gridCol w:w="2360"/>
        <w:gridCol w:w="5202"/>
      </w:tblGrid>
      <w:tr>
        <w:trPr>
          <w:tblHeader w:val="true"/>
        </w:trPr>
        <w:tc>
          <w:tcPr>
            <w:tcW w:w="1798" w:type="dxa"/>
            <w:tcBorders>
              <w:top w:val="single" w:sz="2" w:space="0" w:color="1A56DB"/>
              <w:start w:val="single" w:sz="2" w:space="0" w:color="1A56DB"/>
              <w:bottom w:val="single" w:sz="2" w:space="0" w:color="1A56DB"/>
              <w:end w:val="single" w:sz="2" w:space="0" w:color="1A56DB"/>
            </w:tcBorders>
            <w:shd w:fill="1A56DB" w:val="clear"/>
            <w:vAlign w:val="center"/>
          </w:tcPr>
          <w:p>
            <w:pPr>
              <w:pStyle w:val="Normal"/>
              <w:jc w:val="center"/>
              <w:rPr/>
            </w:pPr>
            <w:r>
              <w:rPr>
                <w:rFonts w:eastAsia="Arial" w:cs="Arial"/>
                <w:b/>
                <w:bCs/>
                <w:color w:val="FFFFFF"/>
                <w:sz w:val="19"/>
                <w:szCs w:val="19"/>
              </w:rPr>
              <w:t>Tool</w:t>
            </w:r>
          </w:p>
        </w:tc>
        <w:tc>
          <w:tcPr>
            <w:tcW w:w="2360" w:type="dxa"/>
            <w:tcBorders>
              <w:top w:val="single" w:sz="2" w:space="0" w:color="1A56DB"/>
              <w:start w:val="single" w:sz="2" w:space="0" w:color="1A56DB"/>
              <w:bottom w:val="single" w:sz="2" w:space="0" w:color="1A56DB"/>
              <w:end w:val="single" w:sz="2" w:space="0" w:color="1A56DB"/>
            </w:tcBorders>
            <w:shd w:fill="1A56DB" w:val="clear"/>
            <w:vAlign w:val="center"/>
          </w:tcPr>
          <w:p>
            <w:pPr>
              <w:pStyle w:val="Normal"/>
              <w:jc w:val="center"/>
              <w:rPr/>
            </w:pPr>
            <w:r>
              <w:rPr>
                <w:rFonts w:eastAsia="Arial" w:cs="Arial"/>
                <w:b/>
                <w:bCs/>
                <w:color w:val="FFFFFF"/>
                <w:sz w:val="19"/>
                <w:szCs w:val="19"/>
              </w:rPr>
              <w:t>Role</w:t>
            </w:r>
          </w:p>
        </w:tc>
        <w:tc>
          <w:tcPr>
            <w:tcW w:w="5202" w:type="dxa"/>
            <w:tcBorders>
              <w:top w:val="single" w:sz="2" w:space="0" w:color="1A56DB"/>
              <w:start w:val="single" w:sz="2" w:space="0" w:color="1A56DB"/>
              <w:bottom w:val="single" w:sz="2" w:space="0" w:color="1A56DB"/>
              <w:end w:val="single" w:sz="2" w:space="0" w:color="1A56DB"/>
            </w:tcBorders>
            <w:shd w:fill="1A56DB" w:val="clear"/>
            <w:vAlign w:val="center"/>
          </w:tcPr>
          <w:p>
            <w:pPr>
              <w:pStyle w:val="Normal"/>
              <w:jc w:val="center"/>
              <w:rPr/>
            </w:pPr>
            <w:r>
              <w:rPr>
                <w:rFonts w:eastAsia="Arial" w:cs="Arial"/>
                <w:b/>
                <w:bCs/>
                <w:color w:val="FFFFFF"/>
                <w:sz w:val="19"/>
                <w:szCs w:val="19"/>
              </w:rPr>
              <w:t>Key Dashboards / Alerts</w:t>
            </w:r>
          </w:p>
        </w:tc>
      </w:tr>
      <w:tr>
        <w:trPr/>
        <w:tc>
          <w:tcPr>
            <w:tcW w:w="1798"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bCs/>
                <w:color w:val="1A1A2E"/>
                <w:sz w:val="19"/>
                <w:szCs w:val="19"/>
              </w:rPr>
              <w:t>.NET Aspire Dashboard</w:t>
            </w:r>
          </w:p>
        </w:tc>
        <w:tc>
          <w:tcPr>
            <w:tcW w:w="236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Unified observability (logs, metrics, traces)</w:t>
            </w:r>
          </w:p>
        </w:tc>
        <w:tc>
          <w:tcPr>
            <w:tcW w:w="5202"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All services emit OpenTelemetry metrics to the Aspire Dashboard OTLP endpoint. Key metrics: scraper_extraction_failure_rate, margin_calc_errors, deal_surfaced_total, HTTP request rate/latency/error rate per service. Aspire Dashboard displays live metric graphs and trace waterfall views.</w:t>
            </w:r>
          </w:p>
        </w:tc>
      </w:tr>
      <w:tr>
        <w:trPr/>
        <w:tc>
          <w:tcPr>
            <w:tcW w:w="1798"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bCs/>
                <w:color w:val="1A1A2E"/>
                <w:sz w:val="19"/>
                <w:szCs w:val="19"/>
              </w:rPr>
              <w:t>.NET Aspire Dashboard (Structured Logs)</w:t>
            </w:r>
          </w:p>
        </w:tc>
        <w:tc>
          <w:tcPr>
            <w:tcW w:w="236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Structured log viewer</w:t>
            </w:r>
          </w:p>
        </w:tc>
        <w:tc>
          <w:tcPr>
            <w:tcW w:w="5202"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Structured JSON logs from all services ingested via OTLP. Searchable by service, trace ID, log level, and time range. Correlated with traces for root-cause analysis. Retention: 30 days in development. Export to persistent store (e.g. Seq or Elastic) recommended for production long-term retention.</w:t>
            </w:r>
          </w:p>
        </w:tc>
      </w:tr>
      <w:tr>
        <w:trPr/>
        <w:tc>
          <w:tcPr>
            <w:tcW w:w="1798"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bCs/>
                <w:color w:val="1A1A2E"/>
                <w:sz w:val="19"/>
                <w:szCs w:val="19"/>
              </w:rPr>
              <w:t>.NET Aspire Dashboard (Traces)</w:t>
            </w:r>
          </w:p>
        </w:tc>
        <w:tc>
          <w:tcPr>
            <w:tcW w:w="236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External uptime monitoring</w:t>
            </w:r>
          </w:p>
        </w:tc>
        <w:tc>
          <w:tcPr>
            <w:tcW w:w="5202"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Distributed traces from all C# services via OpenTelemetry SDK. Trace waterfall view in Aspire Dashboard. Sampled at 10% in production, 100% in staging.</w:t>
            </w:r>
          </w:p>
        </w:tc>
      </w:tr>
      <w:tr>
        <w:trPr/>
        <w:tc>
          <w:tcPr>
            <w:tcW w:w="1798"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bCs/>
                <w:color w:val="1A1A2E"/>
                <w:sz w:val="19"/>
                <w:szCs w:val="19"/>
              </w:rPr>
              <w:t>Uptime Kuma</w:t>
            </w:r>
          </w:p>
        </w:tc>
        <w:tc>
          <w:tcPr>
            <w:tcW w:w="236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External uptime monitoring</w:t>
            </w:r>
          </w:p>
        </w:tc>
        <w:tc>
          <w:tcPr>
            <w:tcW w:w="5202"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Public status page at status.arbitrageiq.com. Checks every 60 seconds. Alerts to PagerDuty and Slack on downtime.</w:t>
            </w:r>
          </w:p>
        </w:tc>
      </w:tr>
    </w:tbl>
    <w:p>
      <w:pPr>
        <w:pStyle w:val="Normal"/>
        <w:spacing w:before="0" w:after="0"/>
        <w:rPr/>
      </w:pPr>
      <w:r>
        <w:rPr/>
      </w:r>
    </w:p>
    <w:p>
      <w:pPr>
        <w:pStyle w:val="Heading3"/>
        <w:rPr/>
      </w:pPr>
      <w:r>
        <w:rPr/>
        <w:t>8.4.1  SLOs and SLIs</w:t>
      </w:r>
    </w:p>
    <w:p>
      <w:pPr>
        <w:pStyle w:val="Normal"/>
        <w:rPr/>
      </w:pPr>
      <w:r>
        <w:rPr/>
        <w:t>The following service-level objectives are measured via the .NET Aspire Dashboard and Uptime Kuma. Alert thresholds are configured in the Jobs Service monitoring job.</w:t>
      </w:r>
    </w:p>
    <w:tbl>
      <w:tblPr>
        <w:tblStyle w:val="TableGrid"/>
        <w:tblW w:w="5000" w:type="pct"/>
        <w:jc w:val="start"/>
        <w:tblInd w:w="0" w:type="dxa"/>
        <w:tblLayout w:type="fixed"/>
        <w:tblCellMar>
          <w:top w:w="0" w:type="dxa"/>
          <w:start w:w="108" w:type="dxa"/>
          <w:bottom w:w="0" w:type="dxa"/>
          <w:end w:w="108" w:type="dxa"/>
        </w:tblCellMar>
      </w:tblPr>
      <w:tblGrid>
        <w:gridCol w:w="2339"/>
        <w:gridCol w:w="2340"/>
        <w:gridCol w:w="2340"/>
        <w:gridCol w:w="2341"/>
      </w:tblGrid>
      <w:tr>
        <w:trPr/>
        <w:tc>
          <w:tcPr>
            <w:tcW w:w="2339" w:type="dxa"/>
            <w:tcBorders/>
          </w:tcPr>
          <w:p>
            <w:pPr>
              <w:pStyle w:val="Normal"/>
              <w:rPr/>
            </w:pPr>
            <w:r>
              <w:rPr/>
              <w:t>SLO</w:t>
            </w:r>
          </w:p>
        </w:tc>
        <w:tc>
          <w:tcPr>
            <w:tcW w:w="2340" w:type="dxa"/>
            <w:tcBorders/>
          </w:tcPr>
          <w:p>
            <w:pPr>
              <w:pStyle w:val="Normal"/>
              <w:rPr/>
            </w:pPr>
            <w:r>
              <w:rPr/>
              <w:t>Target</w:t>
            </w:r>
          </w:p>
        </w:tc>
        <w:tc>
          <w:tcPr>
            <w:tcW w:w="2340" w:type="dxa"/>
            <w:tcBorders/>
          </w:tcPr>
          <w:p>
            <w:pPr>
              <w:pStyle w:val="Normal"/>
              <w:rPr/>
            </w:pPr>
            <w:r>
              <w:rPr/>
              <w:t>Definition</w:t>
            </w:r>
          </w:p>
        </w:tc>
        <w:tc>
          <w:tcPr>
            <w:tcW w:w="2341" w:type="dxa"/>
            <w:tcBorders/>
          </w:tcPr>
          <w:p>
            <w:pPr>
              <w:pStyle w:val="Normal"/>
              <w:rPr/>
            </w:pPr>
            <w:r>
              <w:rPr/>
              <w:t>Measurement Source</w:t>
            </w:r>
          </w:p>
        </w:tc>
      </w:tr>
      <w:tr>
        <w:trPr/>
        <w:tc>
          <w:tcPr>
            <w:tcW w:w="2339" w:type="dxa"/>
            <w:tcBorders/>
          </w:tcPr>
          <w:p>
            <w:pPr>
              <w:pStyle w:val="Normal"/>
              <w:rPr/>
            </w:pPr>
            <w:r>
              <w:rPr/>
              <w:t>p99 Deal Surfacing Latency</w:t>
            </w:r>
          </w:p>
        </w:tc>
        <w:tc>
          <w:tcPr>
            <w:tcW w:w="2340" w:type="dxa"/>
            <w:tcBorders/>
          </w:tcPr>
          <w:p>
            <w:pPr>
              <w:pStyle w:val="Normal"/>
              <w:rPr/>
            </w:pPr>
            <w:r>
              <w:rPr/>
              <w:t>&lt; 30 seconds</w:t>
            </w:r>
          </w:p>
        </w:tc>
        <w:tc>
          <w:tcPr>
            <w:tcW w:w="2340" w:type="dxa"/>
            <w:tcBorders/>
          </w:tcPr>
          <w:p>
            <w:pPr>
              <w:pStyle w:val="Normal"/>
              <w:rPr/>
            </w:pPr>
            <w:r>
              <w:rPr/>
              <w:t>From price.ingested to deal.surfaced emission.</w:t>
            </w:r>
          </w:p>
        </w:tc>
        <w:tc>
          <w:tcPr>
            <w:tcW w:w="2341" w:type="dxa"/>
            <w:tcBorders/>
          </w:tcPr>
          <w:p>
            <w:pPr>
              <w:pStyle w:val="Normal"/>
              <w:rPr/>
            </w:pPr>
            <w:r>
              <w:rPr/>
              <w:t>Aspire Dashboard trace waterfall</w:t>
            </w:r>
          </w:p>
        </w:tc>
      </w:tr>
      <w:tr>
        <w:trPr/>
        <w:tc>
          <w:tcPr>
            <w:tcW w:w="2339" w:type="dxa"/>
            <w:tcBorders/>
          </w:tcPr>
          <w:p>
            <w:pPr>
              <w:pStyle w:val="Normal"/>
              <w:rPr/>
            </w:pPr>
            <w:r>
              <w:rPr/>
              <w:t>p99 API Response Latency</w:t>
            </w:r>
          </w:p>
        </w:tc>
        <w:tc>
          <w:tcPr>
            <w:tcW w:w="2340" w:type="dxa"/>
            <w:tcBorders/>
          </w:tcPr>
          <w:p>
            <w:pPr>
              <w:pStyle w:val="Normal"/>
              <w:rPr/>
            </w:pPr>
            <w:r>
              <w:rPr/>
              <w:t>&lt; 200 ms</w:t>
            </w:r>
          </w:p>
        </w:tc>
        <w:tc>
          <w:tcPr>
            <w:tcW w:w="2340" w:type="dxa"/>
            <w:tcBorders/>
          </w:tcPr>
          <w:p>
            <w:pPr>
              <w:pStyle w:val="Normal"/>
              <w:rPr/>
            </w:pPr>
            <w:r>
              <w:rPr/>
              <w:t>From YARP ingress to upstream response.</w:t>
            </w:r>
          </w:p>
        </w:tc>
        <w:tc>
          <w:tcPr>
            <w:tcW w:w="2341" w:type="dxa"/>
            <w:tcBorders/>
          </w:tcPr>
          <w:p>
            <w:pPr>
              <w:pStyle w:val="Normal"/>
              <w:rPr/>
            </w:pPr>
            <w:r>
              <w:rPr/>
              <w:t>Aspire Dashboard HTTP metrics</w:t>
            </w:r>
          </w:p>
        </w:tc>
      </w:tr>
      <w:tr>
        <w:trPr/>
        <w:tc>
          <w:tcPr>
            <w:tcW w:w="2339" w:type="dxa"/>
            <w:tcBorders/>
          </w:tcPr>
          <w:p>
            <w:pPr>
              <w:pStyle w:val="Normal"/>
              <w:rPr/>
            </w:pPr>
            <w:r>
              <w:rPr/>
              <w:t>Scraper Success Rate</w:t>
            </w:r>
          </w:p>
        </w:tc>
        <w:tc>
          <w:tcPr>
            <w:tcW w:w="2340" w:type="dxa"/>
            <w:tcBorders/>
          </w:tcPr>
          <w:p>
            <w:pPr>
              <w:pStyle w:val="Normal"/>
              <w:rPr/>
            </w:pPr>
            <w:r>
              <w:rPr/>
              <w:t>&gt; 95%</w:t>
            </w:r>
          </w:p>
        </w:tc>
        <w:tc>
          <w:tcPr>
            <w:tcW w:w="2340" w:type="dxa"/>
            <w:tcBorders/>
          </w:tcPr>
          <w:p>
            <w:pPr>
              <w:pStyle w:val="Normal"/>
              <w:rPr/>
            </w:pPr>
            <w:r>
              <w:rPr/>
              <w:t>Successful extractions per retailer per day.</w:t>
            </w:r>
          </w:p>
        </w:tc>
        <w:tc>
          <w:tcPr>
            <w:tcW w:w="2341" w:type="dxa"/>
            <w:tcBorders/>
          </w:tcPr>
          <w:p>
            <w:pPr>
              <w:pStyle w:val="Normal"/>
              <w:rPr/>
            </w:pPr>
            <w:r>
              <w:rPr/>
              <w:t>Aspire Dashboard custom metric</w:t>
            </w:r>
          </w:p>
        </w:tc>
      </w:tr>
      <w:tr>
        <w:trPr/>
        <w:tc>
          <w:tcPr>
            <w:tcW w:w="2339" w:type="dxa"/>
            <w:tcBorders/>
          </w:tcPr>
          <w:p>
            <w:pPr>
              <w:pStyle w:val="Normal"/>
              <w:rPr/>
            </w:pPr>
            <w:r>
              <w:rPr/>
              <w:t>Platform Availability</w:t>
            </w:r>
          </w:p>
        </w:tc>
        <w:tc>
          <w:tcPr>
            <w:tcW w:w="2340" w:type="dxa"/>
            <w:tcBorders/>
          </w:tcPr>
          <w:p>
            <w:pPr>
              <w:pStyle w:val="Normal"/>
              <w:rPr/>
            </w:pPr>
            <w:r>
              <w:rPr/>
              <w:t>&gt; 99.9%</w:t>
            </w:r>
          </w:p>
        </w:tc>
        <w:tc>
          <w:tcPr>
            <w:tcW w:w="2340" w:type="dxa"/>
            <w:tcBorders/>
          </w:tcPr>
          <w:p>
            <w:pPr>
              <w:pStyle w:val="Normal"/>
              <w:rPr/>
            </w:pPr>
            <w:r>
              <w:rPr/>
              <w:t>Excluding scheduled maintenance windows.</w:t>
            </w:r>
          </w:p>
        </w:tc>
        <w:tc>
          <w:tcPr>
            <w:tcW w:w="2341" w:type="dxa"/>
            <w:tcBorders/>
          </w:tcPr>
          <w:p>
            <w:pPr>
              <w:pStyle w:val="Normal"/>
              <w:rPr/>
            </w:pPr>
            <w:r>
              <w:rPr/>
              <w:t>Uptime Kuma external probe</w:t>
            </w:r>
          </w:p>
        </w:tc>
      </w:tr>
      <w:tr>
        <w:trPr/>
        <w:tc>
          <w:tcPr>
            <w:tcW w:w="2339" w:type="dxa"/>
            <w:tcBorders/>
          </w:tcPr>
          <w:p>
            <w:pPr>
              <w:pStyle w:val="Normal"/>
              <w:rPr/>
            </w:pPr>
            <w:r>
              <w:rPr/>
              <w:t>Notification Delivery Rate</w:t>
            </w:r>
          </w:p>
        </w:tc>
        <w:tc>
          <w:tcPr>
            <w:tcW w:w="2340" w:type="dxa"/>
            <w:tcBorders/>
          </w:tcPr>
          <w:p>
            <w:pPr>
              <w:pStyle w:val="Normal"/>
              <w:rPr/>
            </w:pPr>
            <w:r>
              <w:rPr/>
              <w:t>&gt; 99%</w:t>
            </w:r>
          </w:p>
        </w:tc>
        <w:tc>
          <w:tcPr>
            <w:tcW w:w="2340" w:type="dxa"/>
            <w:tcBorders/>
          </w:tcPr>
          <w:p>
            <w:pPr>
              <w:pStyle w:val="Normal"/>
              <w:rPr/>
            </w:pPr>
            <w:r>
              <w:rPr/>
              <w:t>At least one channel succeeds per deal event.</w:t>
            </w:r>
          </w:p>
        </w:tc>
        <w:tc>
          <w:tcPr>
            <w:tcW w:w="2341" w:type="dxa"/>
            <w:tcBorders/>
          </w:tcPr>
          <w:p>
            <w:pPr>
              <w:pStyle w:val="Normal"/>
              <w:rPr/>
            </w:pPr>
            <w:r>
              <w:rPr/>
              <w:t>Aspire Dashboard + notification_log</w:t>
            </w:r>
          </w:p>
        </w:tc>
      </w:tr>
    </w:tbl>
    <w:p>
      <w:pPr>
        <w:pStyle w:val="Heading2"/>
        <w:spacing w:before="280" w:after="100"/>
        <w:rPr/>
      </w:pPr>
      <w:r>
        <w:rPr>
          <w:rFonts w:eastAsia="Arial" w:cs="Arial"/>
          <w:b/>
          <w:bCs/>
          <w:color w:val="1A1A2E"/>
          <w:sz w:val="26"/>
          <w:szCs w:val="26"/>
        </w:rPr>
        <w:t>8.5 Security Architecture</w:t>
      </w:r>
    </w:p>
    <w:p>
      <w:pPr>
        <w:pStyle w:val="ListParagraph"/>
        <w:numPr>
          <w:ilvl w:val="0"/>
          <w:numId w:val="2"/>
        </w:numPr>
        <w:spacing w:before="40" w:after="40"/>
        <w:rPr/>
      </w:pPr>
      <w:r>
        <w:rPr>
          <w:rFonts w:eastAsia="Arial" w:cs="Arial"/>
          <w:color w:val="1A1A2E"/>
          <w:sz w:val="22"/>
          <w:szCs w:val="22"/>
        </w:rPr>
        <w:t>All inter-service communication within k3s is over plain HTTP on the private network. TLS terminated at Traefik ingress.</w:t>
      </w:r>
    </w:p>
    <w:p>
      <w:pPr>
        <w:pStyle w:val="ListParagraph"/>
        <w:numPr>
          <w:ilvl w:val="0"/>
          <w:numId w:val="2"/>
        </w:numPr>
        <w:spacing w:before="40" w:after="40"/>
        <w:rPr/>
      </w:pPr>
      <w:r>
        <w:rPr>
          <w:rFonts w:eastAsia="Arial" w:cs="Arial"/>
          <w:color w:val="1A1A2E"/>
          <w:sz w:val="22"/>
          <w:szCs w:val="22"/>
        </w:rPr>
        <w:t>Network policies enforced: each service can only communicate with explicitly permitted peers. Scraping worker pods cannot reach internal services directly.</w:t>
      </w:r>
    </w:p>
    <w:p>
      <w:pPr>
        <w:pStyle w:val="ListParagraph"/>
        <w:numPr>
          <w:ilvl w:val="0"/>
          <w:numId w:val="2"/>
        </w:numPr>
        <w:spacing w:before="40" w:after="40"/>
        <w:rPr/>
      </w:pPr>
      <w:r>
        <w:rPr>
          <w:rFonts w:eastAsia="Arial" w:cs="Arial"/>
          <w:color w:val="1A1A2E"/>
          <w:sz w:val="22"/>
          <w:szCs w:val="22"/>
        </w:rPr>
        <w:t>Kubernetes Secrets encrypted at rest using the AES-CBC encryption provider configured in kube-apiserver.</w:t>
      </w:r>
    </w:p>
    <w:p>
      <w:pPr>
        <w:pStyle w:val="ListParagraph"/>
        <w:numPr>
          <w:ilvl w:val="0"/>
          <w:numId w:val="2"/>
        </w:numPr>
        <w:spacing w:before="40" w:after="40"/>
        <w:rPr/>
      </w:pPr>
      <w:r>
        <w:rPr>
          <w:rFonts w:eastAsia="Arial" w:cs="Arial"/>
          <w:color w:val="1A1A2E"/>
          <w:sz w:val="22"/>
          <w:szCs w:val="22"/>
        </w:rPr>
        <w:t>Pod Security Standards: Restricted profile enforced on all namespaces (no privileged containers, no host network, read-only root filesystem).</w:t>
      </w:r>
    </w:p>
    <w:p>
      <w:pPr>
        <w:pStyle w:val="Normal"/>
        <w:rPr/>
      </w:pPr>
      <w:r>
        <w:rPr/>
        <w:t>Playwright Stealth workers mount an emptyDir volume at /tmp for Chromium profile and download cache. This satisfies the read-only root filesystem requirement while allowing headless browser operation. The volume is ephemeral and cleared on pod restart.</w:t>
      </w:r>
    </w:p>
    <w:p>
      <w:pPr>
        <w:pStyle w:val="ListParagraph"/>
        <w:numPr>
          <w:ilvl w:val="0"/>
          <w:numId w:val="2"/>
        </w:numPr>
        <w:spacing w:before="40" w:after="40"/>
        <w:rPr/>
      </w:pPr>
      <w:r>
        <w:rPr>
          <w:rFonts w:eastAsia="Arial" w:cs="Arial"/>
          <w:color w:val="1A1A2E"/>
          <w:sz w:val="22"/>
          <w:szCs w:val="22"/>
        </w:rPr>
        <w:t>Annual penetration test by third-party security firm. OWASP Top 10 coverage required. Critical findings must be resolved before next production release.</w:t>
      </w:r>
    </w:p>
    <w:p>
      <w:pPr>
        <w:pStyle w:val="Heading2"/>
        <w:spacing w:before="280" w:after="100"/>
        <w:rPr/>
      </w:pPr>
      <w:r>
        <w:rPr>
          <w:rFonts w:eastAsia="Arial" w:cs="Arial"/>
          <w:b/>
          <w:bCs/>
          <w:color w:val="1A1A2E"/>
          <w:sz w:val="26"/>
          <w:szCs w:val="26"/>
        </w:rPr>
        <w:t>8.6  Testing Strategy</w:t>
      </w:r>
    </w:p>
    <w:p>
      <w:pPr>
        <w:pStyle w:val="Normal"/>
        <w:spacing w:before="60" w:after="60"/>
        <w:rPr/>
      </w:pPr>
      <w:r>
        <w:rPr>
          <w:rFonts w:eastAsia="Arial" w:cs="Arial"/>
          <w:color w:val="1A1A2E"/>
          <w:sz w:val="22"/>
          <w:szCs w:val="22"/>
        </w:rPr>
        <w:t>Each service has a defined testing approach appropriate to its role. The CI pipeline enforces minimum coverage thresholds and blocks deployment on test failure.</w:t>
      </w:r>
    </w:p>
    <w:p>
      <w:pPr>
        <w:pStyle w:val="Normal"/>
        <w:spacing w:before="0" w:after="0"/>
        <w:rPr/>
      </w:pPr>
      <w:r>
        <w:rPr/>
      </w:r>
    </w:p>
    <w:tbl>
      <w:tblPr>
        <w:tblW w:w="9360" w:type="dxa"/>
        <w:jc w:val="start"/>
        <w:tblInd w:w="0" w:type="dxa"/>
        <w:tblLayout w:type="fixed"/>
        <w:tblCellMar>
          <w:top w:w="100" w:type="dxa"/>
          <w:start w:w="140" w:type="dxa"/>
          <w:bottom w:w="100" w:type="dxa"/>
          <w:end w:w="140" w:type="dxa"/>
        </w:tblCellMar>
      </w:tblPr>
      <w:tblGrid>
        <w:gridCol w:w="1798"/>
        <w:gridCol w:w="2200"/>
        <w:gridCol w:w="2"/>
        <w:gridCol w:w="2199"/>
        <w:gridCol w:w="1"/>
        <w:gridCol w:w="1758"/>
        <w:gridCol w:w="1402"/>
      </w:tblGrid>
      <w:tr>
        <w:trPr>
          <w:tblHeader w:val="true"/>
        </w:trPr>
        <w:tc>
          <w:tcPr>
            <w:tcW w:w="1798" w:type="dxa"/>
            <w:tcBorders>
              <w:top w:val="single" w:sz="2" w:space="0" w:color="1A56DB"/>
              <w:start w:val="single" w:sz="2" w:space="0" w:color="1A56DB"/>
              <w:bottom w:val="single" w:sz="2" w:space="0" w:color="1A56DB"/>
              <w:end w:val="single" w:sz="2" w:space="0" w:color="1A56DB"/>
            </w:tcBorders>
            <w:shd w:fill="1A56DB" w:val="clear"/>
            <w:vAlign w:val="center"/>
          </w:tcPr>
          <w:p>
            <w:pPr>
              <w:pStyle w:val="Normal"/>
              <w:jc w:val="center"/>
              <w:rPr/>
            </w:pPr>
            <w:r>
              <w:rPr>
                <w:rFonts w:eastAsia="Arial" w:cs="Arial"/>
                <w:b/>
                <w:bCs/>
                <w:color w:val="FFFFFF"/>
                <w:sz w:val="19"/>
                <w:szCs w:val="19"/>
              </w:rPr>
              <w:t>Service / Layer</w:t>
            </w:r>
          </w:p>
        </w:tc>
        <w:tc>
          <w:tcPr>
            <w:tcW w:w="2202" w:type="dxa"/>
            <w:gridSpan w:val="2"/>
            <w:tcBorders>
              <w:top w:val="single" w:sz="2" w:space="0" w:color="1A56DB"/>
              <w:start w:val="single" w:sz="2" w:space="0" w:color="1A56DB"/>
              <w:bottom w:val="single" w:sz="2" w:space="0" w:color="1A56DB"/>
              <w:end w:val="single" w:sz="2" w:space="0" w:color="1A56DB"/>
            </w:tcBorders>
            <w:shd w:fill="1A56DB" w:val="clear"/>
            <w:vAlign w:val="center"/>
          </w:tcPr>
          <w:p>
            <w:pPr>
              <w:pStyle w:val="Normal"/>
              <w:jc w:val="center"/>
              <w:rPr/>
            </w:pPr>
            <w:r>
              <w:rPr>
                <w:rFonts w:eastAsia="Arial" w:cs="Arial"/>
                <w:b/>
                <w:bCs/>
                <w:color w:val="FFFFFF"/>
                <w:sz w:val="19"/>
                <w:szCs w:val="19"/>
              </w:rPr>
              <w:t>Unit Tests</w:t>
            </w:r>
          </w:p>
        </w:tc>
        <w:tc>
          <w:tcPr>
            <w:tcW w:w="2200" w:type="dxa"/>
            <w:gridSpan w:val="2"/>
            <w:tcBorders>
              <w:top w:val="single" w:sz="2" w:space="0" w:color="1A56DB"/>
              <w:start w:val="single" w:sz="2" w:space="0" w:color="1A56DB"/>
              <w:bottom w:val="single" w:sz="2" w:space="0" w:color="1A56DB"/>
              <w:end w:val="single" w:sz="2" w:space="0" w:color="1A56DB"/>
            </w:tcBorders>
            <w:shd w:fill="1A56DB" w:val="clear"/>
            <w:vAlign w:val="center"/>
          </w:tcPr>
          <w:p>
            <w:pPr>
              <w:pStyle w:val="Normal"/>
              <w:jc w:val="center"/>
              <w:rPr/>
            </w:pPr>
            <w:r>
              <w:rPr>
                <w:rFonts w:eastAsia="Arial" w:cs="Arial"/>
                <w:b/>
                <w:bCs/>
                <w:color w:val="FFFFFF"/>
                <w:sz w:val="19"/>
                <w:szCs w:val="19"/>
              </w:rPr>
              <w:t>Integration Tests</w:t>
            </w:r>
          </w:p>
        </w:tc>
        <w:tc>
          <w:tcPr>
            <w:tcW w:w="1758" w:type="dxa"/>
            <w:tcBorders>
              <w:top w:val="single" w:sz="2" w:space="0" w:color="1A56DB"/>
              <w:start w:val="single" w:sz="2" w:space="0" w:color="1A56DB"/>
              <w:bottom w:val="single" w:sz="2" w:space="0" w:color="1A56DB"/>
              <w:end w:val="single" w:sz="2" w:space="0" w:color="1A56DB"/>
            </w:tcBorders>
            <w:shd w:fill="1A56DB" w:val="clear"/>
            <w:vAlign w:val="center"/>
          </w:tcPr>
          <w:p>
            <w:pPr>
              <w:pStyle w:val="Normal"/>
              <w:jc w:val="center"/>
              <w:rPr/>
            </w:pPr>
            <w:r>
              <w:rPr>
                <w:rFonts w:eastAsia="Arial" w:cs="Arial"/>
                <w:b/>
                <w:bCs/>
                <w:color w:val="FFFFFF"/>
                <w:sz w:val="19"/>
                <w:szCs w:val="19"/>
              </w:rPr>
              <w:t>Contract / E2E Tests</w:t>
            </w:r>
          </w:p>
        </w:tc>
        <w:tc>
          <w:tcPr>
            <w:tcW w:w="1402" w:type="dxa"/>
            <w:tcBorders>
              <w:top w:val="single" w:sz="2" w:space="0" w:color="1A56DB"/>
              <w:start w:val="single" w:sz="2" w:space="0" w:color="1A56DB"/>
              <w:bottom w:val="single" w:sz="2" w:space="0" w:color="1A56DB"/>
              <w:end w:val="single" w:sz="2" w:space="0" w:color="1A56DB"/>
            </w:tcBorders>
            <w:shd w:fill="1A56DB" w:val="clear"/>
            <w:vAlign w:val="center"/>
          </w:tcPr>
          <w:p>
            <w:pPr>
              <w:pStyle w:val="Normal"/>
              <w:jc w:val="center"/>
              <w:rPr/>
            </w:pPr>
            <w:r>
              <w:rPr>
                <w:rFonts w:eastAsia="Arial" w:cs="Arial"/>
                <w:b/>
                <w:bCs/>
                <w:color w:val="FFFFFF"/>
                <w:sz w:val="19"/>
                <w:szCs w:val="19"/>
              </w:rPr>
              <w:t>Coverage Threshold</w:t>
            </w:r>
          </w:p>
        </w:tc>
      </w:tr>
      <w:tr>
        <w:trPr/>
        <w:tc>
          <w:tcPr>
            <w:tcW w:w="1798"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bCs/>
                <w:color w:val="1A1A2E"/>
                <w:sz w:val="19"/>
                <w:szCs w:val="19"/>
              </w:rPr>
              <w:t>Opportunity Engine</w:t>
            </w:r>
          </w:p>
        </w:tc>
        <w:tc>
          <w:tcPr>
            <w:tcW w:w="2202" w:type="dxa"/>
            <w:gridSpan w:val="2"/>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Margin calculator: property-based tests (FsCheck) across all fee schedule categories, VAT combinations, and edge cases (zero margin, negative margin, anomalous prices).</w:t>
            </w:r>
          </w:p>
        </w:tc>
        <w:tc>
          <w:tcPr>
            <w:tcW w:w="2200" w:type="dxa"/>
            <w:gridSpan w:val="2"/>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Consumer group tests: real Redis Streams instance in Docker. Verify correct deal emission for given price events.</w:t>
            </w:r>
          </w:p>
        </w:tc>
        <w:tc>
          <w:tcPr>
            <w:tcW w:w="1758"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N/A</w:t>
            </w:r>
          </w:p>
        </w:tc>
        <w:tc>
          <w:tcPr>
            <w:tcW w:w="1402"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90%</w:t>
            </w:r>
          </w:p>
        </w:tc>
      </w:tr>
      <w:tr>
        <w:trPr/>
        <w:tc>
          <w:tcPr>
            <w:tcW w:w="1798"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bCs/>
                <w:color w:val="1A1A2E"/>
                <w:sz w:val="19"/>
                <w:szCs w:val="19"/>
              </w:rPr>
              <w:t>Ingestion Service</w:t>
            </w:r>
          </w:p>
        </w:tc>
        <w:tc>
          <w:tcPr>
            <w:tcW w:w="2202" w:type="dxa"/>
            <w:gridSpan w:val="2"/>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color w:val="1A1A2E"/>
                <w:sz w:val="19"/>
                <w:szCs w:val="19"/>
              </w:rPr>
              <w:t>Normalisation pipeline unit tests. Circuit breaker state transition tests.</w:t>
            </w:r>
          </w:p>
        </w:tc>
        <w:tc>
          <w:tcPr>
            <w:tcW w:w="2200" w:type="dxa"/>
            <w:gridSpan w:val="2"/>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color w:val="1A1A2E"/>
                <w:sz w:val="19"/>
                <w:szCs w:val="19"/>
              </w:rPr>
              <w:t>Playwright Stealth scraper tests against retailer fixture pages (static HTML snapshots stored in /tests/fixtures). Run in CI on fixture updates.</w:t>
            </w:r>
          </w:p>
        </w:tc>
        <w:tc>
          <w:tcPr>
            <w:tcW w:w="1758"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color w:val="1A1A2E"/>
                <w:sz w:val="19"/>
                <w:szCs w:val="19"/>
              </w:rPr>
              <w:t>Retailer API contract tests (Pact): verify Ingestion Service correctly handles API response schema changes.</w:t>
            </w:r>
          </w:p>
        </w:tc>
        <w:tc>
          <w:tcPr>
            <w:tcW w:w="1402"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color w:val="1A1A2E"/>
                <w:sz w:val="19"/>
                <w:szCs w:val="19"/>
              </w:rPr>
              <w:t>80%</w:t>
            </w:r>
          </w:p>
        </w:tc>
      </w:tr>
      <w:tr>
        <w:trPr/>
        <w:tc>
          <w:tcPr>
            <w:tcW w:w="1798"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bCs/>
                <w:color w:val="1A1A2E"/>
                <w:sz w:val="19"/>
                <w:szCs w:val="19"/>
              </w:rPr>
              <w:t>Approvals Service</w:t>
            </w:r>
          </w:p>
        </w:tc>
        <w:tc>
          <w:tcPr>
            <w:tcW w:w="2202" w:type="dxa"/>
            <w:gridSpan w:val="2"/>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State machine transition tests: verify every valid and invalid transition. Verify HTTP 409 on margin-below-threshold.</w:t>
            </w:r>
          </w:p>
        </w:tc>
        <w:tc>
          <w:tcPr>
            <w:tcW w:w="2200" w:type="dxa"/>
            <w:gridSpan w:val="2"/>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Full approval workflow integration test: queue item -&gt; approve -&gt; mock purchase -&gt; mock listing -&gt; closed. Uses testcontainers for PostgreSQL.</w:t>
            </w:r>
          </w:p>
        </w:tc>
        <w:tc>
          <w:tcPr>
            <w:tcW w:w="1758"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N/A</w:t>
            </w:r>
          </w:p>
        </w:tc>
        <w:tc>
          <w:tcPr>
            <w:tcW w:w="1402"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85%</w:t>
            </w:r>
          </w:p>
        </w:tc>
      </w:tr>
      <w:tr>
        <w:trPr/>
        <w:tc>
          <w:tcPr>
            <w:tcW w:w="1798"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bCs/>
                <w:color w:val="1A1A2E"/>
                <w:sz w:val="19"/>
                <w:szCs w:val="19"/>
              </w:rPr>
              <w:t>Catalogue Scoring (Python)</w:t>
            </w:r>
          </w:p>
        </w:tc>
        <w:tc>
          <w:tcPr>
            <w:tcW w:w="2202" w:type="dxa"/>
            <w:gridSpan w:val="2"/>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color w:val="1A1A2E"/>
                <w:sz w:val="19"/>
                <w:szCs w:val="19"/>
              </w:rPr>
              <w:t>Scoring formula unit tests: verify composite score for known inputs. Verify confidence band thresholds. Verify High Opportunity percentile logic.</w:t>
            </w:r>
          </w:p>
        </w:tc>
        <w:tc>
          <w:tcPr>
            <w:tcW w:w="2200" w:type="dxa"/>
            <w:gridSpan w:val="2"/>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color w:val="1A1A2E"/>
                <w:sz w:val="19"/>
                <w:szCs w:val="19"/>
              </w:rPr>
              <w:t>Scoring pipeline integration test: real PostgreSQL with fixture data. Verify end-to-end score output matches expected values.</w:t>
            </w:r>
          </w:p>
        </w:tc>
        <w:tc>
          <w:tcPr>
            <w:tcW w:w="1758"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color w:val="1A1A2E"/>
                <w:sz w:val="19"/>
                <w:szCs w:val="19"/>
              </w:rPr>
              <w:t>N/A</w:t>
            </w:r>
          </w:p>
        </w:tc>
        <w:tc>
          <w:tcPr>
            <w:tcW w:w="1402"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color w:val="1A1A2E"/>
                <w:sz w:val="19"/>
                <w:szCs w:val="19"/>
              </w:rPr>
              <w:t>85%</w:t>
            </w:r>
          </w:p>
        </w:tc>
      </w:tr>
      <w:tr>
        <w:trPr/>
        <w:tc>
          <w:tcPr>
            <w:tcW w:w="1798"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bCs/>
                <w:color w:val="1A1A2E"/>
                <w:sz w:val="19"/>
                <w:szCs w:val="19"/>
              </w:rPr>
              <w:t>Identity Service</w:t>
            </w:r>
          </w:p>
        </w:tc>
        <w:tc>
          <w:tcPr>
            <w:tcW w:w="2202" w:type="dxa"/>
            <w:gridSpan w:val="2"/>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JWT issuance and validation. TOTP code generation and verification. Argon2id hashing correctness.</w:t>
            </w:r>
          </w:p>
        </w:tc>
        <w:tc>
          <w:tcPr>
            <w:tcW w:w="2200" w:type="dxa"/>
            <w:gridSpan w:val="2"/>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Full auth flow integration: register -&gt; verify email -&gt; login -&gt; MFA enrol -&gt; MFA verify. Uses testcontainers.</w:t>
            </w:r>
          </w:p>
        </w:tc>
        <w:tc>
          <w:tcPr>
            <w:tcW w:w="1758"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N/A</w:t>
            </w:r>
          </w:p>
        </w:tc>
        <w:tc>
          <w:tcPr>
            <w:tcW w:w="1402"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85%</w:t>
            </w:r>
          </w:p>
        </w:tc>
      </w:tr>
      <w:tr>
        <w:trPr/>
        <w:tc>
          <w:tcPr>
            <w:tcW w:w="1798"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bCs/>
                <w:color w:val="1A1A2E"/>
                <w:sz w:val="19"/>
                <w:szCs w:val="19"/>
              </w:rPr>
              <w:t>API Gateway (YARP)</w:t>
            </w:r>
          </w:p>
        </w:tc>
        <w:tc>
          <w:tcPr>
            <w:tcW w:w="2202" w:type="dxa"/>
            <w:gridSpan w:val="2"/>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color w:val="1A1A2E"/>
                <w:sz w:val="19"/>
                <w:szCs w:val="19"/>
              </w:rPr>
              <w:t>Rate limit counter logic. JWT claim extraction. Plan entitlement enforcement.</w:t>
            </w:r>
          </w:p>
        </w:tc>
        <w:tc>
          <w:tcPr>
            <w:tcW w:w="2200" w:type="dxa"/>
            <w:gridSpan w:val="2"/>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color w:val="1A1A2E"/>
                <w:sz w:val="19"/>
                <w:szCs w:val="19"/>
              </w:rPr>
              <w:t>End-to-end routing tests: verify each route reaches correct upstream. Verify 401/402/429 responses.</w:t>
            </w:r>
          </w:p>
        </w:tc>
        <w:tc>
          <w:tcPr>
            <w:tcW w:w="1758"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color w:val="1A1A2E"/>
                <w:sz w:val="19"/>
                <w:szCs w:val="19"/>
              </w:rPr>
              <w:t>N/A</w:t>
            </w:r>
          </w:p>
        </w:tc>
        <w:tc>
          <w:tcPr>
            <w:tcW w:w="1402"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color w:val="1A1A2E"/>
                <w:sz w:val="19"/>
                <w:szCs w:val="19"/>
              </w:rPr>
              <w:t>80%</w:t>
            </w:r>
          </w:p>
        </w:tc>
      </w:tr>
      <w:tr>
        <w:trPr/>
        <w:tc>
          <w:tcPr>
            <w:tcW w:w="1798"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bCs/>
                <w:color w:val="1A1A2E"/>
                <w:sz w:val="19"/>
                <w:szCs w:val="19"/>
              </w:rPr>
              <w:t>Frontend (Next.js)</w:t>
            </w:r>
          </w:p>
        </w:tc>
        <w:tc>
          <w:tcPr>
            <w:tcW w:w="22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Component unit tests with React Testing Library. Zod schema validation tests.</w:t>
            </w:r>
          </w:p>
        </w:tc>
        <w:tc>
          <w:tcPr>
            <w:tcW w:w="2201" w:type="dxa"/>
            <w:gridSpan w:val="2"/>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BFF API route integration tests: mock Identity Service and YARP Gateway.</w:t>
            </w:r>
          </w:p>
        </w:tc>
        <w:tc>
          <w:tcPr>
            <w:tcW w:w="3161" w:type="dxa"/>
            <w:gridSpan w:val="3"/>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Playwright E2E tests: critical paths (login, create scan job, approve deal). Run against staging environment post-deploy.</w:t>
            </w:r>
          </w:p>
          <w:tbl>
            <w:tblPr>
              <w:tblW w:w="9360" w:type="dxa"/>
              <w:jc w:val="start"/>
              <w:tblInd w:w="0" w:type="dxa"/>
              <w:tblLayout w:type="fixed"/>
              <w:tblCellMar>
                <w:top w:w="100" w:type="dxa"/>
                <w:start w:w="140" w:type="dxa"/>
                <w:bottom w:w="100" w:type="dxa"/>
                <w:end w:w="140" w:type="dxa"/>
              </w:tblCellMar>
            </w:tblPr>
            <w:tblGrid>
              <w:gridCol w:w="1798"/>
              <w:gridCol w:w="3962"/>
              <w:gridCol w:w="3600"/>
            </w:tblGrid>
            <w:tr>
              <w:trPr/>
              <w:tc>
                <w:tcPr>
                  <w:tcW w:w="1798" w:type="dxa"/>
                  <w:tcBorders>
                    <w:top w:val="single" w:sz="2" w:space="0" w:color="1A56DB"/>
                    <w:start w:val="single" w:sz="2" w:space="0" w:color="1A56DB"/>
                    <w:bottom w:val="single" w:sz="2" w:space="0" w:color="1A56DB"/>
                    <w:end w:val="single" w:sz="2" w:space="0" w:color="1A56DB"/>
                  </w:tcBorders>
                  <w:shd w:fill="1A56DB" w:val="clear"/>
                  <w:vAlign w:val="center"/>
                </w:tcPr>
                <w:p>
                  <w:pPr>
                    <w:pStyle w:val="Normal"/>
                    <w:jc w:val="center"/>
                    <w:rPr/>
                  </w:pPr>
                  <w:r>
                    <w:rPr>
                      <w:rFonts w:eastAsia="Arial" w:cs="Arial"/>
                      <w:b/>
                      <w:bCs/>
                      <w:color w:val="FFFFFF"/>
                      <w:sz w:val="19"/>
                      <w:szCs w:val="19"/>
                    </w:rPr>
                    <w:t>Profile</w:t>
                  </w:r>
                </w:p>
              </w:tc>
              <w:tc>
                <w:tcPr>
                  <w:tcW w:w="3962" w:type="dxa"/>
                  <w:tcBorders>
                    <w:top w:val="single" w:sz="2" w:space="0" w:color="1A56DB"/>
                    <w:start w:val="single" w:sz="2" w:space="0" w:color="1A56DB"/>
                    <w:bottom w:val="single" w:sz="2" w:space="0" w:color="1A56DB"/>
                    <w:end w:val="single" w:sz="2" w:space="0" w:color="1A56DB"/>
                  </w:tcBorders>
                  <w:shd w:fill="1A56DB" w:val="clear"/>
                  <w:vAlign w:val="center"/>
                </w:tcPr>
                <w:p>
                  <w:pPr>
                    <w:pStyle w:val="Normal"/>
                    <w:jc w:val="center"/>
                    <w:rPr/>
                  </w:pPr>
                  <w:r>
                    <w:rPr>
                      <w:rFonts w:eastAsia="Arial" w:cs="Arial"/>
                      <w:b/>
                      <w:bCs/>
                      <w:color w:val="FFFFFF"/>
                      <w:sz w:val="19"/>
                      <w:szCs w:val="19"/>
                    </w:rPr>
                    <w:t>Services Started</w:t>
                  </w:r>
                </w:p>
              </w:tc>
              <w:tc>
                <w:tcPr>
                  <w:tcW w:w="3600" w:type="dxa"/>
                  <w:tcBorders>
                    <w:top w:val="single" w:sz="2" w:space="0" w:color="1A56DB"/>
                    <w:start w:val="single" w:sz="2" w:space="0" w:color="1A56DB"/>
                    <w:bottom w:val="single" w:sz="2" w:space="0" w:color="1A56DB"/>
                    <w:end w:val="single" w:sz="2" w:space="0" w:color="1A56DB"/>
                  </w:tcBorders>
                  <w:shd w:fill="1A56DB" w:val="clear"/>
                  <w:vAlign w:val="center"/>
                </w:tcPr>
                <w:p>
                  <w:pPr>
                    <w:pStyle w:val="Normal"/>
                    <w:jc w:val="center"/>
                    <w:rPr/>
                  </w:pPr>
                  <w:r>
                    <w:rPr>
                      <w:rFonts w:eastAsia="Arial" w:cs="Arial"/>
                      <w:b/>
                      <w:bCs/>
                      <w:color w:val="FFFFFF"/>
                      <w:sz w:val="19"/>
                      <w:szCs w:val="19"/>
                    </w:rPr>
                    <w:t>Use Case</w:t>
                  </w:r>
                </w:p>
              </w:tc>
            </w:tr>
            <w:tr>
              <w:trPr/>
              <w:tc>
                <w:tcPr>
                  <w:tcW w:w="1798"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bCs/>
                      <w:color w:val="1A1A2E"/>
                      <w:sz w:val="19"/>
                      <w:szCs w:val="19"/>
                    </w:rPr>
                    <w:t>infra</w:t>
                  </w:r>
                </w:p>
              </w:tc>
              <w:tc>
                <w:tcPr>
                  <w:tcW w:w="3962"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PostgreSQL 16 + TimescaleDB, Redis 7, .NET Aspire Dashboard</w:t>
                  </w:r>
                </w:p>
              </w:tc>
              <w:tc>
                <w:tcPr>
                  <w:tcW w:w="36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Run before any service. Provides shared infrastructure. Always start first.</w:t>
                  </w:r>
                </w:p>
              </w:tc>
            </w:tr>
            <w:tr>
              <w:trPr/>
              <w:tc>
                <w:tcPr>
                  <w:tcW w:w="1798"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bCs/>
                      <w:color w:val="1A1A2E"/>
                      <w:sz w:val="19"/>
                      <w:szCs w:val="19"/>
                    </w:rPr>
                    <w:t>core</w:t>
                  </w:r>
                </w:p>
              </w:tc>
              <w:tc>
                <w:tcPr>
                  <w:tcW w:w="3962"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color w:val="1A1A2E"/>
                      <w:sz w:val="19"/>
                      <w:szCs w:val="19"/>
                    </w:rPr>
                    <w:t>infra + Ingestion Service + Opportunity Engine + Catalogue Service + Jobs Service</w:t>
                  </w:r>
                </w:p>
              </w:tc>
              <w:tc>
                <w:tcPr>
                  <w:tcW w:w="36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color w:val="1A1A2E"/>
                      <w:sz w:val="19"/>
                      <w:szCs w:val="19"/>
                    </w:rPr>
                    <w:t>Backend development on the core deal pipeline.</w:t>
                  </w:r>
                </w:p>
              </w:tc>
            </w:tr>
            <w:tr>
              <w:trPr/>
              <w:tc>
                <w:tcPr>
                  <w:tcW w:w="1798"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bCs/>
                      <w:color w:val="1A1A2E"/>
                      <w:sz w:val="19"/>
                      <w:szCs w:val="19"/>
                    </w:rPr>
                    <w:t>execution</w:t>
                  </w:r>
                </w:p>
              </w:tc>
              <w:tc>
                <w:tcPr>
                  <w:tcW w:w="3962"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infra + Approvals Service + Credential Vault Service + Identity Service + Billing Service</w:t>
                  </w:r>
                </w:p>
              </w:tc>
              <w:tc>
                <w:tcPr>
                  <w:tcW w:w="36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Backend development on the execution and auth flows.</w:t>
                  </w:r>
                </w:p>
              </w:tc>
            </w:tr>
            <w:tr>
              <w:trPr/>
              <w:tc>
                <w:tcPr>
                  <w:tcW w:w="1798"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bCs/>
                      <w:color w:val="1A1A2E"/>
                      <w:sz w:val="19"/>
                      <w:szCs w:val="19"/>
                    </w:rPr>
                    <w:t>notifications</w:t>
                  </w:r>
                </w:p>
              </w:tc>
              <w:tc>
                <w:tcPr>
                  <w:tcW w:w="3962"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color w:val="1A1A2E"/>
                      <w:sz w:val="19"/>
                      <w:szCs w:val="19"/>
                    </w:rPr>
                    <w:t>infra + Notification Service</w:t>
                  </w:r>
                </w:p>
              </w:tc>
              <w:tc>
                <w:tcPr>
                  <w:tcW w:w="36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color w:val="1A1A2E"/>
                      <w:sz w:val="19"/>
                      <w:szCs w:val="19"/>
                    </w:rPr>
                    <w:t>Notification delivery development and testing.</w:t>
                  </w:r>
                </w:p>
              </w:tc>
            </w:tr>
            <w:tr>
              <w:trPr/>
              <w:tc>
                <w:tcPr>
                  <w:tcW w:w="1798"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bCs/>
                      <w:color w:val="1A1A2E"/>
                      <w:sz w:val="19"/>
                      <w:szCs w:val="19"/>
                    </w:rPr>
                    <w:t>api</w:t>
                  </w:r>
                </w:p>
              </w:tc>
              <w:tc>
                <w:tcPr>
                  <w:tcW w:w="3962"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infra + API Gateway (YARP) + Identity Service</w:t>
                  </w:r>
                </w:p>
              </w:tc>
              <w:tc>
                <w:tcPr>
                  <w:tcW w:w="36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API and gateway development.</w:t>
                  </w:r>
                </w:p>
              </w:tc>
            </w:tr>
            <w:tr>
              <w:trPr/>
              <w:tc>
                <w:tcPr>
                  <w:tcW w:w="1798"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bCs/>
                      <w:color w:val="1A1A2E"/>
                      <w:sz w:val="19"/>
                      <w:szCs w:val="19"/>
                    </w:rPr>
                    <w:t>frontend</w:t>
                  </w:r>
                </w:p>
              </w:tc>
              <w:tc>
                <w:tcPr>
                  <w:tcW w:w="3962"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color w:val="1A1A2E"/>
                      <w:sz w:val="19"/>
                      <w:szCs w:val="19"/>
                    </w:rPr>
                    <w:t>infra + API Gateway + Identity Service + Next.js (dev mode)</w:t>
                  </w:r>
                </w:p>
              </w:tc>
              <w:tc>
                <w:tcPr>
                  <w:tcW w:w="36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color w:val="1A1A2E"/>
                      <w:sz w:val="19"/>
                      <w:szCs w:val="19"/>
                    </w:rPr>
                    <w:t>Frontend development with hot reload.</w:t>
                  </w:r>
                </w:p>
              </w:tc>
            </w:tr>
            <w:tr>
              <w:trPr/>
              <w:tc>
                <w:tcPr>
                  <w:tcW w:w="1798"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bCs/>
                      <w:color w:val="1A1A2E"/>
                      <w:sz w:val="19"/>
                      <w:szCs w:val="19"/>
                    </w:rPr>
                    <w:t>full</w:t>
                  </w:r>
                </w:p>
              </w:tc>
              <w:tc>
                <w:tcPr>
                  <w:tcW w:w="3962"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All services</w:t>
                  </w:r>
                </w:p>
              </w:tc>
              <w:tc>
                <w:tcPr>
                  <w:tcW w:w="36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Integration testing and pre-commit verification. Slow to start.</w:t>
                  </w:r>
                </w:p>
              </w:tc>
            </w:tr>
          </w:tbl>
          <w:p>
            <w:pPr>
              <w:pStyle w:val="Normal"/>
              <w:rPr/>
            </w:pPr>
            <w:r>
              <w:rPr>
                <w:rFonts w:eastAsia="Arial" w:cs="Arial"/>
                <w:color w:val="1A1A2E"/>
                <w:sz w:val="19"/>
                <w:szCs w:val="19"/>
              </w:rPr>
              <w:t>75%</w:t>
            </w:r>
          </w:p>
        </w:tc>
      </w:tr>
      <w:tr>
        <w:trPr/>
        <w:tc>
          <w:tcPr>
            <w:tcW w:w="1798"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bCs/>
                <w:color w:val="1A1A2E"/>
                <w:sz w:val="19"/>
                <w:szCs w:val="19"/>
              </w:rPr>
              <w:t>All services</w:t>
            </w:r>
          </w:p>
        </w:tc>
        <w:tc>
          <w:tcPr>
            <w:tcW w:w="2202" w:type="dxa"/>
            <w:gridSpan w:val="2"/>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color w:val="1A1A2E"/>
                <w:sz w:val="19"/>
                <w:szCs w:val="19"/>
              </w:rPr>
              <w:t>No test should hit external retailer APIs or live Stripe. Use mocks/stubs.</w:t>
            </w:r>
          </w:p>
        </w:tc>
        <w:tc>
          <w:tcPr>
            <w:tcW w:w="2200" w:type="dxa"/>
            <w:gridSpan w:val="2"/>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color w:val="1A1A2E"/>
                <w:sz w:val="19"/>
                <w:szCs w:val="19"/>
              </w:rPr>
              <w:t>Docker Compose test environment defined in /tests/docker-compose.test.yml.</w:t>
            </w:r>
          </w:p>
        </w:tc>
        <w:tc>
          <w:tcPr>
            <w:tcW w:w="1758"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color w:val="1A1A2E"/>
                <w:sz w:val="19"/>
                <w:szCs w:val="19"/>
              </w:rPr>
              <w:t>N/A</w:t>
            </w:r>
          </w:p>
        </w:tc>
        <w:tc>
          <w:tcPr>
            <w:tcW w:w="1402"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color w:val="1A1A2E"/>
                <w:sz w:val="19"/>
                <w:szCs w:val="19"/>
              </w:rPr>
              <w:t>See above</w:t>
            </w:r>
          </w:p>
        </w:tc>
      </w:tr>
    </w:tbl>
    <w:p>
      <w:pPr>
        <w:pStyle w:val="Heading2"/>
        <w:spacing w:before="280" w:after="100"/>
        <w:rPr/>
      </w:pPr>
      <w:r>
        <w:rPr>
          <w:rFonts w:eastAsia="Arial" w:cs="Arial"/>
          <w:b/>
          <w:bCs/>
          <w:color w:val="1A1A2E"/>
          <w:sz w:val="26"/>
          <w:szCs w:val="26"/>
        </w:rPr>
        <w:t>8.7  Local Development Setup</w:t>
      </w:r>
    </w:p>
    <w:p>
      <w:pPr>
        <w:pStyle w:val="Normal"/>
        <w:spacing w:before="60" w:after="60"/>
        <w:rPr/>
      </w:pPr>
      <w:r>
        <w:rPr>
          <w:rFonts w:eastAsia="Arial" w:cs="Arial"/>
          <w:color w:val="1A1A2E"/>
          <w:sz w:val="22"/>
          <w:szCs w:val="22"/>
        </w:rPr>
        <w:t>A Docker Compose configuration provides a complete local development environment. All 13 services do not need to run locally simultaneously — the compose file is split into profiles for focused development.</w:t>
      </w:r>
    </w:p>
    <w:p>
      <w:pPr>
        <w:pStyle w:val="Normal"/>
        <w:spacing w:before="0" w:after="0"/>
        <w:rPr/>
      </w:pPr>
      <w:r>
        <w:rPr/>
      </w:r>
    </w:p>
    <w:p>
      <w:pPr>
        <w:pStyle w:val="Heading3"/>
        <w:spacing w:before="200" w:after="80"/>
        <w:rPr/>
      </w:pPr>
      <w:r>
        <w:rPr>
          <w:rFonts w:eastAsia="Arial" w:cs="Arial"/>
          <w:b/>
          <w:bCs/>
          <w:color w:val="1A56DB"/>
          <w:sz w:val="22"/>
          <w:szCs w:val="22"/>
        </w:rPr>
        <w:t>8.7.1  Prerequisites</w:t>
      </w:r>
    </w:p>
    <w:p>
      <w:pPr>
        <w:pStyle w:val="ListParagraph"/>
        <w:numPr>
          <w:ilvl w:val="0"/>
          <w:numId w:val="2"/>
        </w:numPr>
        <w:spacing w:before="40" w:after="40"/>
        <w:rPr/>
      </w:pPr>
      <w:r>
        <w:rPr>
          <w:rFonts w:eastAsia="Arial" w:cs="Arial"/>
          <w:color w:val="1A1A2E"/>
          <w:sz w:val="22"/>
          <w:szCs w:val="22"/>
        </w:rPr>
        <w:t>Docker Desktop (macOS/Windows) or Docker Engine + Docker Compose v2 (Linux).</w:t>
      </w:r>
    </w:p>
    <w:p>
      <w:pPr>
        <w:pStyle w:val="ListParagraph"/>
        <w:numPr>
          <w:ilvl w:val="0"/>
          <w:numId w:val="2"/>
        </w:numPr>
        <w:spacing w:before="40" w:after="40"/>
        <w:rPr/>
      </w:pPr>
      <w:r>
        <w:rPr>
          <w:rFonts w:eastAsia="Arial" w:cs="Arial"/>
          <w:color w:val="1A1A2E"/>
          <w:sz w:val="22"/>
          <w:szCs w:val="22"/>
        </w:rPr>
        <w:t>.NET 10 SDK (for running C# services outside Docker during active development).</w:t>
      </w:r>
    </w:p>
    <w:p>
      <w:pPr>
        <w:pStyle w:val="ListParagraph"/>
        <w:numPr>
          <w:ilvl w:val="0"/>
          <w:numId w:val="2"/>
        </w:numPr>
        <w:spacing w:before="40" w:after="40"/>
        <w:rPr/>
      </w:pPr>
      <w:r>
        <w:rPr>
          <w:rFonts w:eastAsia="Arial" w:cs="Arial"/>
          <w:color w:val="1A1A2E"/>
          <w:sz w:val="22"/>
          <w:szCs w:val="22"/>
        </w:rPr>
        <w:t>Python 3.12 + pip (for Catalogue scoring service development).</w:t>
      </w:r>
    </w:p>
    <w:p>
      <w:pPr>
        <w:pStyle w:val="ListParagraph"/>
        <w:numPr>
          <w:ilvl w:val="0"/>
          <w:numId w:val="2"/>
        </w:numPr>
        <w:spacing w:before="40" w:after="40"/>
        <w:rPr/>
      </w:pPr>
      <w:r>
        <w:rPr>
          <w:rFonts w:eastAsia="Arial" w:cs="Arial"/>
          <w:color w:val="1A1A2E"/>
          <w:sz w:val="22"/>
          <w:szCs w:val="22"/>
        </w:rPr>
        <w:t>Node.js 22 LTS + npm (for Next.js frontend development).</w:t>
      </w:r>
    </w:p>
    <w:p>
      <w:pPr>
        <w:pStyle w:val="ListParagraph"/>
        <w:numPr>
          <w:ilvl w:val="0"/>
          <w:numId w:val="2"/>
        </w:numPr>
        <w:spacing w:before="40" w:after="40"/>
        <w:rPr/>
      </w:pPr>
      <w:r>
        <w:rPr>
          <w:rFonts w:eastAsia="Arial" w:cs="Arial"/>
          <w:color w:val="1A1A2E"/>
          <w:sz w:val="22"/>
          <w:szCs w:val="22"/>
        </w:rPr>
        <w:t>k9s or kubectl (optional, for interacting with the local k3s cluster if needed).</w:t>
      </w:r>
    </w:p>
    <w:p>
      <w:pPr>
        <w:pStyle w:val="Normal"/>
        <w:spacing w:before="0" w:after="0"/>
        <w:rPr/>
      </w:pPr>
      <w:r>
        <w:rPr/>
      </w:r>
    </w:p>
    <w:p>
      <w:pPr>
        <w:pStyle w:val="Heading3"/>
        <w:spacing w:before="200" w:after="80"/>
        <w:rPr/>
      </w:pPr>
      <w:r>
        <w:rPr>
          <w:rFonts w:eastAsia="Arial" w:cs="Arial"/>
          <w:b/>
          <w:bCs/>
          <w:color w:val="1A56DB"/>
          <w:sz w:val="22"/>
          <w:szCs w:val="22"/>
        </w:rPr>
        <w:t>8.7.2  Docker Compose Profiles</w:t>
      </w:r>
    </w:p>
    <w:p>
      <w:pPr>
        <w:pStyle w:val="Normal"/>
        <w:spacing w:before="0" w:after="0"/>
        <w:rPr/>
      </w:pPr>
      <w:r>
        <w:rPr/>
      </w:r>
    </w:p>
    <w:p>
      <w:pPr>
        <w:pStyle w:val="Heading3"/>
        <w:spacing w:before="200" w:after="80"/>
        <w:rPr/>
      </w:pPr>
      <w:r>
        <w:rPr>
          <w:rFonts w:eastAsia="Arial" w:cs="Arial"/>
          <w:b/>
          <w:bCs/>
          <w:color w:val="1A56DB"/>
          <w:sz w:val="22"/>
          <w:szCs w:val="22"/>
        </w:rPr>
        <w:t>8.7.3  Quick Start</w:t>
      </w:r>
    </w:p>
    <w:p>
      <w:pPr>
        <w:pStyle w:val="Normal"/>
        <w:shd w:val="clear" w:fill="F4F6F9"/>
        <w:spacing w:before="60" w:after="60"/>
        <w:ind w:start="720"/>
        <w:rPr/>
      </w:pPr>
      <w:r>
        <w:rPr>
          <w:rFonts w:eastAsia="Courier New" w:cs="Courier New" w:ascii="Courier New" w:hAnsi="Courier New"/>
          <w:color w:val="1A56DB"/>
          <w:sz w:val="20"/>
          <w:szCs w:val="20"/>
        </w:rPr>
        <w:t>git clone https://github.com/arbitrageiq/platform</w:t>
      </w:r>
    </w:p>
    <w:p>
      <w:pPr>
        <w:pStyle w:val="Normal"/>
        <w:shd w:val="clear" w:fill="F4F6F9"/>
        <w:spacing w:before="60" w:after="60"/>
        <w:ind w:start="720"/>
        <w:rPr/>
      </w:pPr>
      <w:r>
        <w:rPr>
          <w:rFonts w:eastAsia="Courier New" w:cs="Courier New" w:ascii="Courier New" w:hAnsi="Courier New"/>
          <w:color w:val="1A56DB"/>
          <w:sz w:val="20"/>
          <w:szCs w:val="20"/>
        </w:rPr>
        <w:t>cd platform</w:t>
      </w:r>
    </w:p>
    <w:p>
      <w:pPr>
        <w:pStyle w:val="Normal"/>
        <w:shd w:val="clear" w:fill="F4F6F9"/>
        <w:spacing w:before="60" w:after="60"/>
        <w:ind w:start="720"/>
        <w:rPr/>
      </w:pPr>
      <w:r>
        <w:rPr>
          <w:rFonts w:eastAsia="Courier New" w:cs="Courier New" w:ascii="Courier New" w:hAnsi="Courier New"/>
          <w:color w:val="1A56DB"/>
          <w:sz w:val="20"/>
          <w:szCs w:val="20"/>
        </w:rPr>
        <w:t>cp .env.local.example .env.local          # Fill in required secrets</w:t>
      </w:r>
    </w:p>
    <w:p>
      <w:pPr>
        <w:pStyle w:val="Normal"/>
        <w:shd w:val="clear" w:fill="F4F6F9"/>
        <w:spacing w:before="60" w:after="60"/>
        <w:ind w:start="720"/>
        <w:rPr/>
      </w:pPr>
      <w:r>
        <w:rPr>
          <w:rFonts w:eastAsia="Courier New" w:cs="Courier New" w:ascii="Courier New" w:hAnsi="Courier New"/>
          <w:color w:val="1A56DB"/>
          <w:sz w:val="20"/>
          <w:szCs w:val="20"/>
        </w:rPr>
        <w:t>docker compose --profile infra up -d       # Start infrastructure</w:t>
      </w:r>
    </w:p>
    <w:p>
      <w:pPr>
        <w:pStyle w:val="Normal"/>
        <w:shd w:val="clear" w:fill="F4F6F9"/>
        <w:spacing w:before="60" w:after="60"/>
        <w:ind w:start="720"/>
        <w:rPr/>
      </w:pPr>
      <w:r>
        <w:rPr>
          <w:rFonts w:eastAsia="Courier New" w:cs="Courier New" w:ascii="Courier New" w:hAnsi="Courier New"/>
          <w:color w:val="1A56DB"/>
          <w:sz w:val="20"/>
          <w:szCs w:val="20"/>
        </w:rPr>
        <w:t>docker compose run --rm migrations         # Run Flyway migrations</w:t>
      </w:r>
    </w:p>
    <w:p>
      <w:pPr>
        <w:pStyle w:val="Normal"/>
        <w:shd w:val="clear" w:fill="F4F6F9"/>
        <w:spacing w:before="60" w:after="60"/>
        <w:ind w:start="720"/>
        <w:rPr/>
      </w:pPr>
      <w:r>
        <w:rPr>
          <w:rFonts w:eastAsia="Courier New" w:cs="Courier New" w:ascii="Courier New" w:hAnsi="Courier New"/>
          <w:color w:val="1A56DB"/>
          <w:sz w:val="20"/>
          <w:szCs w:val="20"/>
        </w:rPr>
        <w:t>docker compose --profile core up           # Start core services</w:t>
      </w:r>
    </w:p>
    <w:p>
      <w:pPr>
        <w:pStyle w:val="Normal"/>
        <w:spacing w:before="0" w:after="0"/>
        <w:rPr/>
      </w:pPr>
      <w:r>
        <w:rPr/>
      </w:r>
    </w:p>
    <w:p>
      <w:pPr>
        <w:pStyle w:val="ListParagraph"/>
        <w:numPr>
          <w:ilvl w:val="0"/>
          <w:numId w:val="2"/>
        </w:numPr>
        <w:spacing w:before="40" w:after="40"/>
        <w:rPr/>
      </w:pPr>
      <w:r>
        <w:rPr>
          <w:rFonts w:eastAsia="Arial" w:cs="Arial"/>
          <w:color w:val="1A1A2E"/>
          <w:sz w:val="22"/>
          <w:szCs w:val="22"/>
        </w:rPr>
        <w:t>Database migrations are managed by Flyway. Migration files live in /db/migrations/. Run docker compose run --rm migrations to apply pending migrations.</w:t>
      </w:r>
    </w:p>
    <w:p>
      <w:pPr>
        <w:pStyle w:val="ListParagraph"/>
        <w:numPr>
          <w:ilvl w:val="0"/>
          <w:numId w:val="2"/>
        </w:numPr>
        <w:spacing w:before="40" w:after="40"/>
        <w:rPr/>
      </w:pPr>
      <w:r>
        <w:rPr>
          <w:rFonts w:eastAsia="Arial" w:cs="Arial"/>
          <w:color w:val="1A1A2E"/>
          <w:sz w:val="22"/>
          <w:szCs w:val="22"/>
        </w:rPr>
        <w:t>The Aspire Dashboard is available at http://localhost:18888 when the infra profile is running. All services are pre-configured to send OTLP telemetry to it.</w:t>
      </w:r>
    </w:p>
    <w:p>
      <w:pPr>
        <w:pStyle w:val="ListParagraph"/>
        <w:numPr>
          <w:ilvl w:val="0"/>
          <w:numId w:val="2"/>
        </w:numPr>
        <w:spacing w:before="40" w:after="40"/>
        <w:rPr/>
      </w:pPr>
      <w:r>
        <w:rPr>
          <w:rFonts w:eastAsia="Arial" w:cs="Arial"/>
          <w:color w:val="1A1A2E"/>
          <w:sz w:val="22"/>
          <w:szCs w:val="22"/>
        </w:rPr>
        <w:t>Seed data for local development (test users, sample scan jobs, fixture SKUs) is applied by docker compose run --rm seed after migrations.</w:t>
      </w:r>
    </w:p>
    <w:p>
      <w:pPr>
        <w:pStyle w:val="ListParagraph"/>
        <w:numPr>
          <w:ilvl w:val="0"/>
          <w:numId w:val="2"/>
        </w:numPr>
        <w:spacing w:before="40" w:after="40"/>
        <w:rPr/>
      </w:pPr>
      <w:r>
        <w:rPr>
          <w:rFonts w:eastAsia="Arial" w:cs="Arial"/>
          <w:color w:val="1A1A2E"/>
          <w:sz w:val="22"/>
          <w:szCs w:val="22"/>
        </w:rPr>
        <w:t>The .env.local.example file documents all required environment variables. Stripe and SendGrid use test/sandbox credentials in local development. Playwright Stealth scraping is disabled locally by default (PLAYWRIGHT_SCRAPING_ENABLED=false) — fixture data is used instead.</w:t>
      </w:r>
    </w:p>
    <w:p>
      <w:pPr>
        <w:pStyle w:val="Heading3"/>
        <w:rPr/>
      </w:pPr>
      <w:r>
        <w:rPr/>
        <w:t>8.7.4  Troubleshooting</w:t>
      </w:r>
    </w:p>
    <w:p>
      <w:pPr>
        <w:pStyle w:val="ListParagraph"/>
        <w:rPr/>
      </w:pPr>
      <w:r>
        <w:rPr/>
        <w:t>Port conflicts: docker compose binds ports 18888, 5432, 6379. If occupied, override in .env.local or use docker compose port mapping.</w:t>
      </w:r>
    </w:p>
    <w:p>
      <w:pPr>
        <w:pStyle w:val="ListParagraph"/>
        <w:rPr/>
      </w:pPr>
      <w:r>
        <w:rPr/>
        <w:t>Seed data fails: verify Flyway migrations ran first. Run docker compose run --rm seed --verbose for detailed output.</w:t>
      </w:r>
    </w:p>
    <w:p>
      <w:pPr>
        <w:pStyle w:val="ListParagraph"/>
        <w:rPr/>
      </w:pPr>
      <w:r>
        <w:rPr/>
        <w:t>Playwright scraping disabled locally: verify PLAYWRIGHT_SCRAPING_ENABLED=false in .env.local. Fixture data is used by default.</w:t>
      </w:r>
    </w:p>
    <w:p>
      <w:pPr>
        <w:pStyle w:val="ListParagraph"/>
        <w:rPr/>
      </w:pPr>
      <w:r>
        <w:rPr/>
        <w:t>Aspire Dashboard not reachable: ensure the infra profile is running (docker compose --profile infra ps). Check that port 18888 is not blocked by a local firewall.</w:t>
      </w:r>
    </w:p>
    <w:p>
      <w:pPr>
        <w:pStyle w:val="ListParagraph"/>
        <w:rPr/>
      </w:pPr>
      <w:r>
        <w:rPr/>
        <w:t>Service fails to start: check docker compose logs &lt;service_name&gt;. Common causes: missing env vars, PostgreSQL not ready (wait for migrations), Redis not reachable.</w:t>
      </w:r>
    </w:p>
    <w:p>
      <w:pPr>
        <w:pStyle w:val="Normal"/>
        <w:spacing w:before="0" w:after="0"/>
        <w:rPr/>
      </w:pPr>
      <w:r>
        <w:rPr/>
      </w:r>
    </w:p>
    <w:p>
      <w:pPr>
        <w:pStyle w:val="Normal"/>
        <w:spacing w:before="0" w:after="0"/>
        <w:rPr/>
      </w:pPr>
      <w:r>
        <w:rPr/>
      </w:r>
    </w:p>
    <w:p>
      <w:pPr>
        <w:pStyle w:val="Normal"/>
        <w:spacing w:before="40" w:after="40"/>
        <w:rPr/>
      </w:pPr>
      <w:r>
        <w:rPr>
          <w:rFonts w:eastAsia="Arial" w:cs="Arial"/>
          <w:i/>
          <w:iCs/>
          <w:color w:val="5D6D7E"/>
          <w:sz w:val="20"/>
          <w:szCs w:val="20"/>
        </w:rPr>
        <w:t>Property-based testing with FsCheck (.NET) is mandatory for the Opportunity Engine margin calculator. Random inputs across all valid fee schedule combinations must all produce results consistent with the deterministic formula in Section 5.3.1. This is the highest-risk calculation in the platform.</w:t>
      </w:r>
    </w:p>
    <w:p>
      <w:pPr>
        <w:pStyle w:val="Normal"/>
        <w:spacing w:before="0" w:after="0"/>
        <w:rPr/>
      </w:pPr>
      <w:r>
        <w:rPr/>
      </w:r>
    </w:p>
    <w:p>
      <w:pPr>
        <w:pStyle w:val="ListParagraph"/>
        <w:numPr>
          <w:ilvl w:val="0"/>
          <w:numId w:val="2"/>
        </w:numPr>
        <w:spacing w:before="40" w:after="40"/>
        <w:rPr/>
      </w:pPr>
      <w:r>
        <w:rPr>
          <w:rFonts w:eastAsia="Arial" w:cs="Arial"/>
          <w:color w:val="1A1A2E"/>
          <w:sz w:val="22"/>
          <w:szCs w:val="22"/>
        </w:rPr>
        <w:t>GDPR / UK GDPR: Data export endpoint (GET /api/v1/user/export) and erasure endpoint (DELETE /api/v1/user) implemented in Identity Service. Erasure NULLs PII fields and sets deleted_at. History records retain anonymised financial data for 7-year tax compliance.</w:t>
      </w:r>
    </w:p>
    <w:p>
      <w:pPr>
        <w:pStyle w:val="Normal"/>
        <w:rPr/>
      </w:pPr>
      <w:r>
        <w:rPr/>
      </w:r>
      <w:r>
        <w:br w:type="page"/>
      </w:r>
    </w:p>
    <w:p>
      <w:pPr>
        <w:pStyle w:val="Heading1"/>
        <w:pBdr>
          <w:bottom w:val="single" w:sz="8" w:space="6" w:color="1A56DB"/>
        </w:pBdr>
        <w:spacing w:before="0" w:after="160"/>
        <w:rPr/>
      </w:pPr>
      <w:r>
        <w:rPr>
          <w:rFonts w:eastAsia="Arial" w:cs="Arial"/>
          <w:b/>
          <w:bCs/>
          <w:color w:val="1A56DB"/>
          <w:sz w:val="32"/>
          <w:szCs w:val="32"/>
        </w:rPr>
        <w:t>9. Appendices</w:t>
      </w:r>
    </w:p>
    <w:p>
      <w:pPr>
        <w:pStyle w:val="Heading2"/>
        <w:spacing w:before="280" w:after="100"/>
        <w:rPr/>
      </w:pPr>
      <w:r>
        <w:rPr>
          <w:rFonts w:eastAsia="Arial" w:cs="Arial"/>
          <w:b/>
          <w:bCs/>
          <w:color w:val="1A1A2E"/>
          <w:sz w:val="26"/>
          <w:szCs w:val="26"/>
        </w:rPr>
        <w:t>Appendix A — ADR Index</w:t>
      </w:r>
    </w:p>
    <w:p>
      <w:pPr>
        <w:pStyle w:val="Normal"/>
        <w:spacing w:before="40" w:after="40"/>
        <w:rPr/>
      </w:pPr>
      <w:r>
        <w:rPr>
          <w:rFonts w:eastAsia="Arial" w:cs="Arial"/>
          <w:i/>
          <w:iCs/>
          <w:color w:val="5D6D7E"/>
          <w:sz w:val="20"/>
          <w:szCs w:val="20"/>
        </w:rPr>
        <w:t>Architecture Decision Records will be created alongside sprints. Each ADR covers: context, decision, rationale, consequences, and status. To be maintained in the repository at /docs/adr/. Initial ADRs to be authored before Sprint 1:</w:t>
      </w:r>
    </w:p>
    <w:p>
      <w:pPr>
        <w:pStyle w:val="ListParagraph"/>
        <w:numPr>
          <w:ilvl w:val="0"/>
          <w:numId w:val="2"/>
        </w:numPr>
        <w:spacing w:before="40" w:after="40"/>
        <w:rPr/>
      </w:pPr>
      <w:r>
        <w:rPr>
          <w:rFonts w:eastAsia="Arial" w:cs="Arial"/>
          <w:color w:val="1A1A2E"/>
          <w:sz w:val="22"/>
          <w:szCs w:val="22"/>
        </w:rPr>
        <w:t>ADR-001: PostgreSQL as the sole relational database (rationale: operational simplicity, TimescaleDB extension).</w:t>
      </w:r>
    </w:p>
    <w:p>
      <w:pPr>
        <w:pStyle w:val="ListParagraph"/>
        <w:numPr>
          <w:ilvl w:val="0"/>
          <w:numId w:val="2"/>
        </w:numPr>
        <w:spacing w:before="40" w:after="40"/>
        <w:rPr/>
      </w:pPr>
      <w:r>
        <w:rPr>
          <w:rFonts w:eastAsia="Arial" w:cs="Arial"/>
          <w:color w:val="1A1A2E"/>
          <w:sz w:val="22"/>
          <w:szCs w:val="22"/>
        </w:rPr>
        <w:t>ADR-002: Redis Streams as Event Bus v1 (rationale: existing Redis dependency, migration path to Kafka documented).</w:t>
      </w:r>
    </w:p>
    <w:p>
      <w:pPr>
        <w:pStyle w:val="ListParagraph"/>
        <w:numPr>
          <w:ilvl w:val="0"/>
          <w:numId w:val="2"/>
        </w:numPr>
        <w:spacing w:before="40" w:after="40"/>
        <w:rPr/>
      </w:pPr>
      <w:r>
        <w:rPr>
          <w:rFonts w:eastAsia="Arial" w:cs="Arial"/>
          <w:color w:val="1A1A2E"/>
          <w:sz w:val="22"/>
          <w:szCs w:val="22"/>
        </w:rPr>
        <w:t>ADR-003: YARP as API Gateway (rationale: C# consistency, native .NET middleware ecosystem, first-class rate limiting and JWT validation without external proxy dependency).</w:t>
      </w:r>
    </w:p>
    <w:p>
      <w:pPr>
        <w:pStyle w:val="ListParagraph"/>
        <w:numPr>
          <w:ilvl w:val="0"/>
          <w:numId w:val="2"/>
        </w:numPr>
        <w:spacing w:before="40" w:after="40"/>
        <w:rPr/>
      </w:pPr>
      <w:r>
        <w:rPr>
          <w:rFonts w:eastAsia="Arial" w:cs="Arial"/>
          <w:color w:val="1A1A2E"/>
          <w:sz w:val="22"/>
          <w:szCs w:val="22"/>
        </w:rPr>
        <w:t>ADR-004: Hangfire as job scheduler (rationale: C# consistency, PostgreSQL backend for durable persistence, built-in management dashboard, replaces BullMQ which is Node.js-specific).</w:t>
      </w:r>
    </w:p>
    <w:p>
      <w:pPr>
        <w:pStyle w:val="ListParagraph"/>
        <w:numPr>
          <w:ilvl w:val="0"/>
          <w:numId w:val="2"/>
        </w:numPr>
        <w:spacing w:before="40" w:after="40"/>
        <w:rPr/>
      </w:pPr>
      <w:r>
        <w:rPr>
          <w:rFonts w:eastAsia="Arial" w:cs="Arial"/>
          <w:color w:val="1A1A2E"/>
          <w:sz w:val="22"/>
          <w:szCs w:val="22"/>
        </w:rPr>
        <w:t>ADR-005: Playwright .NET Stealth as scraping approach (rationale: no residential proxy cost, ToS-permissive posture). ADR-006: Post-quantum hybrid KEM (ML-KEM-768 + X25519, NIST FIPS 203) for Credential Vault OAuth JWT encryption (rationale: harvest-now-decrypt-later threat mitigation, .NET 10 native support).</w:t>
      </w:r>
    </w:p>
    <w:p>
      <w:pPr>
        <w:pStyle w:val="Normal"/>
        <w:spacing w:before="0" w:after="0"/>
        <w:rPr/>
      </w:pPr>
      <w:r>
        <w:rPr/>
      </w:r>
    </w:p>
    <w:p>
      <w:pPr>
        <w:pStyle w:val="Heading2"/>
        <w:spacing w:before="280" w:after="100"/>
        <w:rPr/>
      </w:pPr>
      <w:r>
        <w:rPr>
          <w:rFonts w:eastAsia="Arial" w:cs="Arial"/>
          <w:b/>
          <w:bCs/>
          <w:color w:val="1A1A2E"/>
          <w:sz w:val="26"/>
          <w:szCs w:val="26"/>
        </w:rPr>
        <w:t>Appendix B — Environment Variables Reference</w:t>
      </w:r>
    </w:p>
    <w:p>
      <w:pPr>
        <w:pStyle w:val="Normal"/>
        <w:spacing w:before="40" w:after="40"/>
        <w:rPr/>
      </w:pPr>
      <w:r>
        <w:rPr>
          <w:rFonts w:eastAsia="Arial" w:cs="Arial"/>
          <w:i/>
          <w:iCs/>
          <w:color w:val="5D6D7E"/>
          <w:sz w:val="20"/>
          <w:szCs w:val="20"/>
        </w:rPr>
        <w:t>Critical environment variables per service. Full reference to be maintained in the repository at /docs/env-reference.md. Sample:</w:t>
      </w:r>
    </w:p>
    <w:tbl>
      <w:tblPr>
        <w:tblW w:w="9360" w:type="dxa"/>
        <w:jc w:val="start"/>
        <w:tblInd w:w="0" w:type="dxa"/>
        <w:tblLayout w:type="fixed"/>
        <w:tblCellMar>
          <w:top w:w="100" w:type="dxa"/>
          <w:start w:w="140" w:type="dxa"/>
          <w:bottom w:w="100" w:type="dxa"/>
          <w:end w:w="140" w:type="dxa"/>
        </w:tblCellMar>
      </w:tblPr>
      <w:tblGrid>
        <w:gridCol w:w="2798"/>
        <w:gridCol w:w="2000"/>
        <w:gridCol w:w="1561"/>
        <w:gridCol w:w="2001"/>
        <w:gridCol w:w="1000"/>
      </w:tblGrid>
      <w:tr>
        <w:trPr>
          <w:tblHeader w:val="true"/>
        </w:trPr>
        <w:tc>
          <w:tcPr>
            <w:tcW w:w="2798" w:type="dxa"/>
            <w:tcBorders>
              <w:top w:val="single" w:sz="2" w:space="0" w:color="1A56DB"/>
              <w:start w:val="single" w:sz="2" w:space="0" w:color="1A56DB"/>
              <w:bottom w:val="single" w:sz="2" w:space="0" w:color="1A56DB"/>
              <w:end w:val="single" w:sz="2" w:space="0" w:color="1A56DB"/>
            </w:tcBorders>
            <w:shd w:fill="1A56DB" w:val="clear"/>
            <w:vAlign w:val="center"/>
          </w:tcPr>
          <w:p>
            <w:pPr>
              <w:pStyle w:val="Normal"/>
              <w:jc w:val="center"/>
              <w:rPr/>
            </w:pPr>
            <w:r>
              <w:rPr>
                <w:rFonts w:eastAsia="Arial" w:cs="Arial"/>
                <w:b/>
                <w:bCs/>
                <w:color w:val="FFFFFF"/>
                <w:sz w:val="19"/>
                <w:szCs w:val="19"/>
              </w:rPr>
              <w:t>Variable</w:t>
            </w:r>
          </w:p>
        </w:tc>
        <w:tc>
          <w:tcPr>
            <w:tcW w:w="2000" w:type="dxa"/>
            <w:tcBorders>
              <w:top w:val="single" w:sz="2" w:space="0" w:color="1A56DB"/>
              <w:start w:val="single" w:sz="2" w:space="0" w:color="1A56DB"/>
              <w:bottom w:val="single" w:sz="2" w:space="0" w:color="1A56DB"/>
              <w:end w:val="single" w:sz="2" w:space="0" w:color="1A56DB"/>
            </w:tcBorders>
            <w:shd w:fill="1A56DB" w:val="clear"/>
            <w:vAlign w:val="center"/>
          </w:tcPr>
          <w:p>
            <w:pPr>
              <w:pStyle w:val="Normal"/>
              <w:jc w:val="center"/>
              <w:rPr/>
            </w:pPr>
            <w:r>
              <w:rPr>
                <w:rFonts w:eastAsia="Arial" w:cs="Arial"/>
                <w:b/>
                <w:bCs/>
                <w:color w:val="FFFFFF"/>
                <w:sz w:val="19"/>
                <w:szCs w:val="19"/>
              </w:rPr>
              <w:t>Service</w:t>
            </w:r>
          </w:p>
        </w:tc>
        <w:tc>
          <w:tcPr>
            <w:tcW w:w="3562" w:type="dxa"/>
            <w:gridSpan w:val="2"/>
            <w:tcBorders>
              <w:top w:val="single" w:sz="2" w:space="0" w:color="1A56DB"/>
              <w:start w:val="single" w:sz="2" w:space="0" w:color="1A56DB"/>
              <w:bottom w:val="single" w:sz="2" w:space="0" w:color="1A56DB"/>
              <w:end w:val="single" w:sz="2" w:space="0" w:color="1A56DB"/>
            </w:tcBorders>
            <w:shd w:fill="1A56DB" w:val="clear"/>
            <w:vAlign w:val="center"/>
          </w:tcPr>
          <w:p>
            <w:pPr>
              <w:pStyle w:val="Normal"/>
              <w:jc w:val="center"/>
              <w:rPr/>
            </w:pPr>
            <w:r>
              <w:rPr>
                <w:rFonts w:eastAsia="Arial" w:cs="Arial"/>
                <w:b/>
                <w:bCs/>
                <w:color w:val="FFFFFF"/>
                <w:sz w:val="19"/>
                <w:szCs w:val="19"/>
              </w:rPr>
              <w:t>Description</w:t>
            </w:r>
          </w:p>
        </w:tc>
        <w:tc>
          <w:tcPr>
            <w:tcW w:w="1000" w:type="dxa"/>
            <w:tcBorders>
              <w:top w:val="single" w:sz="2" w:space="0" w:color="1A56DB"/>
              <w:start w:val="single" w:sz="2" w:space="0" w:color="1A56DB"/>
              <w:bottom w:val="single" w:sz="2" w:space="0" w:color="1A56DB"/>
              <w:end w:val="single" w:sz="2" w:space="0" w:color="1A56DB"/>
            </w:tcBorders>
            <w:shd w:fill="1A56DB" w:val="clear"/>
            <w:vAlign w:val="center"/>
          </w:tcPr>
          <w:p>
            <w:pPr>
              <w:pStyle w:val="Normal"/>
              <w:jc w:val="center"/>
              <w:rPr/>
            </w:pPr>
            <w:r>
              <w:rPr>
                <w:rFonts w:eastAsia="Arial" w:cs="Arial"/>
                <w:b/>
                <w:bCs/>
                <w:color w:val="FFFFFF"/>
                <w:sz w:val="19"/>
                <w:szCs w:val="19"/>
              </w:rPr>
              <w:t>Secret?</w:t>
            </w:r>
          </w:p>
        </w:tc>
      </w:tr>
      <w:tr>
        <w:trPr/>
        <w:tc>
          <w:tcPr>
            <w:tcW w:w="2798"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bCs/>
                <w:color w:val="1A1A2E"/>
                <w:sz w:val="19"/>
                <w:szCs w:val="19"/>
              </w:rPr>
              <w:t>POSTGRES_CONNECTION_STRING</w:t>
            </w:r>
          </w:p>
        </w:tc>
        <w:tc>
          <w:tcPr>
            <w:tcW w:w="20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All services</w:t>
            </w:r>
          </w:p>
        </w:tc>
        <w:tc>
          <w:tcPr>
            <w:tcW w:w="3562" w:type="dxa"/>
            <w:gridSpan w:val="2"/>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PostgreSQL connection string per service schema.</w:t>
            </w:r>
          </w:p>
        </w:tc>
        <w:tc>
          <w:tcPr>
            <w:tcW w:w="10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Yes</w:t>
            </w:r>
          </w:p>
        </w:tc>
      </w:tr>
      <w:tr>
        <w:trPr/>
        <w:tc>
          <w:tcPr>
            <w:tcW w:w="2798"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bCs/>
                <w:color w:val="1A1A2E"/>
                <w:sz w:val="19"/>
                <w:szCs w:val="19"/>
              </w:rPr>
              <w:t>REDIS_CONNECTION_STRING</w:t>
            </w:r>
          </w:p>
        </w:tc>
        <w:tc>
          <w:tcPr>
            <w:tcW w:w="20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All services</w:t>
            </w:r>
          </w:p>
        </w:tc>
        <w:tc>
          <w:tcPr>
            <w:tcW w:w="3562" w:type="dxa"/>
            <w:gridSpan w:val="2"/>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Redis cluster connection string.</w:t>
            </w:r>
          </w:p>
        </w:tc>
        <w:tc>
          <w:tcPr>
            <w:tcW w:w="10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Yes</w:t>
            </w:r>
          </w:p>
        </w:tc>
      </w:tr>
      <w:tr>
        <w:trPr/>
        <w:tc>
          <w:tcPr>
            <w:tcW w:w="2798"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bCs/>
                <w:color w:val="1A1A2E"/>
                <w:sz w:val="19"/>
                <w:szCs w:val="19"/>
              </w:rPr>
              <w:t>JWT_SIGNING_KEY</w:t>
            </w:r>
          </w:p>
        </w:tc>
        <w:tc>
          <w:tcPr>
            <w:tcW w:w="20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Identity Service</w:t>
            </w:r>
          </w:p>
        </w:tc>
        <w:tc>
          <w:tcPr>
            <w:tcW w:w="3562" w:type="dxa"/>
            <w:gridSpan w:val="2"/>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HMAC-SHA256 signing key for JWT issuance.</w:t>
            </w:r>
          </w:p>
        </w:tc>
        <w:tc>
          <w:tcPr>
            <w:tcW w:w="10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Yes</w:t>
            </w:r>
          </w:p>
        </w:tc>
      </w:tr>
      <w:tr>
        <w:trPr/>
        <w:tc>
          <w:tcPr>
            <w:tcW w:w="2798"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bCs/>
                <w:color w:val="1A1A2E"/>
                <w:sz w:val="19"/>
                <w:szCs w:val="19"/>
              </w:rPr>
              <w:t>CREDENTIAL_VAULT_ENCRYPTION_KEY</w:t>
            </w:r>
          </w:p>
        </w:tc>
        <w:tc>
          <w:tcPr>
            <w:tcW w:w="20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Credential Vault</w:t>
            </w:r>
          </w:p>
        </w:tc>
        <w:tc>
          <w:tcPr>
            <w:tcW w:w="3562" w:type="dxa"/>
            <w:gridSpan w:val="2"/>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ML-KEM-768 + X25519 recipient private key pair for hybrid PQC key encapsulation.</w:t>
            </w:r>
          </w:p>
        </w:tc>
        <w:tc>
          <w:tcPr>
            <w:tcW w:w="10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Yes</w:t>
            </w:r>
          </w:p>
        </w:tc>
      </w:tr>
      <w:tr>
        <w:trPr/>
        <w:tc>
          <w:tcPr>
            <w:tcW w:w="2798"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bCs/>
                <w:color w:val="1A1A2E"/>
                <w:sz w:val="19"/>
                <w:szCs w:val="19"/>
              </w:rPr>
              <w:t>STRIPE_SECRET_KEY</w:t>
            </w:r>
          </w:p>
        </w:tc>
        <w:tc>
          <w:tcPr>
            <w:tcW w:w="20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Billing Service</w:t>
            </w:r>
          </w:p>
        </w:tc>
        <w:tc>
          <w:tcPr>
            <w:tcW w:w="3562" w:type="dxa"/>
            <w:gridSpan w:val="2"/>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Stripe secret API key.</w:t>
            </w:r>
          </w:p>
        </w:tc>
        <w:tc>
          <w:tcPr>
            <w:tcW w:w="10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Yes</w:t>
            </w:r>
          </w:p>
        </w:tc>
      </w:tr>
      <w:tr>
        <w:trPr/>
        <w:tc>
          <w:tcPr>
            <w:tcW w:w="2798"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bCs/>
                <w:color w:val="1A1A2E"/>
                <w:sz w:val="19"/>
                <w:szCs w:val="19"/>
              </w:rPr>
              <w:t>STRIPE_WEBHOOK_SECRET</w:t>
            </w:r>
          </w:p>
        </w:tc>
        <w:tc>
          <w:tcPr>
            <w:tcW w:w="20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Billing Service</w:t>
            </w:r>
          </w:p>
        </w:tc>
        <w:tc>
          <w:tcPr>
            <w:tcW w:w="3562" w:type="dxa"/>
            <w:gridSpan w:val="2"/>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Stripe webhook signing secret.</w:t>
            </w:r>
          </w:p>
        </w:tc>
        <w:tc>
          <w:tcPr>
            <w:tcW w:w="10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Yes</w:t>
            </w:r>
          </w:p>
        </w:tc>
      </w:tr>
      <w:tr>
        <w:trPr/>
        <w:tc>
          <w:tcPr>
            <w:tcW w:w="2798"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bCs/>
                <w:color w:val="1A1A2E"/>
                <w:sz w:val="19"/>
                <w:szCs w:val="19"/>
              </w:rPr>
              <w:t>SENDGRID_API_KEY</w:t>
            </w:r>
          </w:p>
        </w:tc>
        <w:tc>
          <w:tcPr>
            <w:tcW w:w="20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Notification Service</w:t>
            </w:r>
          </w:p>
        </w:tc>
        <w:tc>
          <w:tcPr>
            <w:tcW w:w="3562" w:type="dxa"/>
            <w:gridSpan w:val="2"/>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SendGrid API key for email delivery.</w:t>
            </w:r>
          </w:p>
        </w:tc>
        <w:tc>
          <w:tcPr>
            <w:tcW w:w="10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Yes</w:t>
            </w:r>
          </w:p>
        </w:tc>
      </w:tr>
      <w:tr>
        <w:trPr/>
        <w:tc>
          <w:tcPr>
            <w:tcW w:w="2798"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bCs/>
                <w:color w:val="1A1A2E"/>
                <w:sz w:val="19"/>
                <w:szCs w:val="19"/>
              </w:rPr>
              <w:t>VAPID_PRIVATE_KEY</w:t>
            </w:r>
          </w:p>
        </w:tc>
        <w:tc>
          <w:tcPr>
            <w:tcW w:w="20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Notification Service</w:t>
            </w:r>
          </w:p>
        </w:tc>
        <w:tc>
          <w:tcPr>
            <w:tcW w:w="3562" w:type="dxa"/>
            <w:gridSpan w:val="2"/>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VAPID private key for Web Push.</w:t>
            </w:r>
          </w:p>
        </w:tc>
        <w:tc>
          <w:tcPr>
            <w:tcW w:w="10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Yes</w:t>
            </w:r>
          </w:p>
        </w:tc>
      </w:tr>
      <w:tr>
        <w:trPr/>
        <w:tc>
          <w:tcPr>
            <w:tcW w:w="2798"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bCs/>
                <w:color w:val="1A1A2E"/>
                <w:sz w:val="19"/>
                <w:szCs w:val="19"/>
              </w:rPr>
              <w:t>PLAYWRIGHT_HEADLESS</w:t>
            </w:r>
          </w:p>
        </w:tc>
        <w:tc>
          <w:tcPr>
            <w:tcW w:w="20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Ingestion Service</w:t>
            </w:r>
          </w:p>
        </w:tc>
        <w:tc>
          <w:tcPr>
            <w:tcW w:w="3562" w:type="dxa"/>
            <w:gridSpan w:val="2"/>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true in production. false for local debugging.</w:t>
            </w:r>
          </w:p>
        </w:tc>
        <w:tc>
          <w:tcPr>
            <w:tcW w:w="10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No</w:t>
            </w:r>
          </w:p>
        </w:tc>
      </w:tr>
      <w:tr>
        <w:trPr/>
        <w:tc>
          <w:tcPr>
            <w:tcW w:w="2798"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bCs/>
                <w:color w:val="1A1A2E"/>
                <w:sz w:val="19"/>
                <w:szCs w:val="19"/>
              </w:rPr>
              <w:t>HANGFIRE_DASHBOARD_ENABLED</w:t>
            </w:r>
          </w:p>
        </w:tc>
        <w:tc>
          <w:tcPr>
            <w:tcW w:w="2000"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Jobs Service</w:t>
            </w:r>
          </w:p>
        </w:tc>
        <w:tc>
          <w:tcPr>
            <w:tcW w:w="4562" w:type="dxa"/>
            <w:gridSpan w:val="3"/>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false in production. true in staging only.</w:t>
            </w:r>
          </w:p>
        </w:tc>
      </w:tr>
      <w:tr>
        <w:trPr/>
        <w:tc>
          <w:tcPr>
            <w:tcW w:w="2798"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bCs/>
                <w:color w:val="1A1A2E"/>
                <w:sz w:val="19"/>
                <w:szCs w:val="19"/>
              </w:rPr>
              <w:t>ASPIRE_DASHBOARD_OTLP_ENDPOINT</w:t>
            </w:r>
          </w:p>
        </w:tc>
        <w:tc>
          <w:tcPr>
            <w:tcW w:w="3561" w:type="dxa"/>
            <w:gridSpan w:val="2"/>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OTLP endpoint URL for .NET Aspire Dashboard. All C# services send logs, metrics, and traces here. e.g. http://aspire-dashboard:4317</w:t>
            </w:r>
          </w:p>
        </w:tc>
        <w:tc>
          <w:tcPr>
            <w:tcW w:w="3001" w:type="dxa"/>
            <w:gridSpan w:val="2"/>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No</w:t>
            </w:r>
          </w:p>
        </w:tc>
      </w:tr>
      <w:tr>
        <w:trPr/>
        <w:tc>
          <w:tcPr>
            <w:tcW w:w="2798"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bCs/>
                <w:color w:val="1A1A2E"/>
                <w:sz w:val="19"/>
                <w:szCs w:val="19"/>
              </w:rPr>
              <w:t>CATALOGUE_SCORING_SERVICE_URL</w:t>
            </w:r>
          </w:p>
        </w:tc>
        <w:tc>
          <w:tcPr>
            <w:tcW w:w="20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Catalogue Service</w:t>
            </w:r>
          </w:p>
        </w:tc>
        <w:tc>
          <w:tcPr>
            <w:tcW w:w="3562" w:type="dxa"/>
            <w:gridSpan w:val="2"/>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Internal URL of Python scoring service.</w:t>
            </w:r>
          </w:p>
        </w:tc>
        <w:tc>
          <w:tcPr>
            <w:tcW w:w="1000"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No</w:t>
            </w:r>
          </w:p>
        </w:tc>
      </w:tr>
    </w:tbl>
    <w:p>
      <w:pPr>
        <w:pStyle w:val="Normal"/>
        <w:spacing w:before="0" w:after="0"/>
        <w:rPr/>
      </w:pPr>
      <w:r>
        <w:rPr/>
      </w:r>
    </w:p>
    <w:p>
      <w:pPr>
        <w:pStyle w:val="Heading2"/>
        <w:spacing w:before="280" w:after="100"/>
        <w:rPr/>
      </w:pPr>
      <w:r>
        <w:rPr>
          <w:rFonts w:eastAsia="Arial" w:cs="Arial"/>
          <w:b/>
          <w:bCs/>
          <w:color w:val="1A1A2E"/>
          <w:sz w:val="26"/>
          <w:szCs w:val="26"/>
        </w:rPr>
        <w:t>Appendix C — Glossary of Technical Terms</w:t>
      </w:r>
    </w:p>
    <w:tbl>
      <w:tblPr>
        <w:tblW w:w="9360" w:type="dxa"/>
        <w:jc w:val="start"/>
        <w:tblInd w:w="0" w:type="dxa"/>
        <w:tblLayout w:type="fixed"/>
        <w:tblCellMar>
          <w:top w:w="100" w:type="dxa"/>
          <w:start w:w="140" w:type="dxa"/>
          <w:bottom w:w="100" w:type="dxa"/>
          <w:end w:w="140" w:type="dxa"/>
        </w:tblCellMar>
      </w:tblPr>
      <w:tblGrid>
        <w:gridCol w:w="2798"/>
        <w:gridCol w:w="322"/>
        <w:gridCol w:w="3120"/>
        <w:gridCol w:w="3120"/>
      </w:tblGrid>
      <w:tr>
        <w:trPr/>
        <w:tc>
          <w:tcPr>
            <w:tcW w:w="2798"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bCs/>
                <w:color w:val="1A1A2E"/>
                <w:sz w:val="19"/>
                <w:szCs w:val="19"/>
              </w:rPr>
              <w:t>AES-256-GCM</w:t>
            </w:r>
          </w:p>
        </w:tc>
        <w:tc>
          <w:tcPr>
            <w:tcW w:w="6562" w:type="dxa"/>
            <w:gridSpan w:val="3"/>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Advanced Encryption Standard, 256-bit key, Galois/Counter Mode. Data encryption algorithm for OAuth JWT storage in the Credential Vault. Combined with hybrid ML-KEM-768 + X25519 key encapsulation for post-quantum security (NIST FIPS 203).</w:t>
            </w:r>
          </w:p>
        </w:tc>
      </w:tr>
      <w:tr>
        <w:trPr/>
        <w:tc>
          <w:tcPr>
            <w:tcW w:w="2798"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bCs/>
                <w:color w:val="1A1A2E"/>
                <w:sz w:val="19"/>
                <w:szCs w:val="19"/>
              </w:rPr>
              <w:t>GitHub Actions</w:t>
            </w:r>
          </w:p>
        </w:tc>
        <w:tc>
          <w:tcPr>
            <w:tcW w:w="6562" w:type="dxa"/>
            <w:gridSpan w:val="3"/>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CI/CD pipeline platform for build, test, and deployment to k3s via kubectl. Environment protection rules enforce manual approval gate on production deploys.</w:t>
            </w:r>
          </w:p>
        </w:tc>
      </w:tr>
      <w:tr>
        <w:trPr/>
        <w:tc>
          <w:tcPr>
            <w:tcW w:w="2798"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bCs/>
                <w:color w:val="1A1A2E"/>
                <w:sz w:val="19"/>
                <w:szCs w:val="19"/>
              </w:rPr>
              <w:t>HKDF</w:t>
            </w:r>
          </w:p>
        </w:tc>
        <w:tc>
          <w:tcPr>
            <w:tcW w:w="6562" w:type="dxa"/>
            <w:gridSpan w:val="3"/>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color w:val="1A1A2E"/>
                <w:sz w:val="19"/>
                <w:szCs w:val="19"/>
              </w:rPr>
              <w:t>HMAC-based Key Derivation Function. Used in the hybrid PQC scheme to combine the X25519 and ML-KEM-768 shared secrets into a single symmetric key: HKDF-SHA512(ss_x || ss_mlkem).</w:t>
            </w:r>
          </w:p>
        </w:tc>
      </w:tr>
      <w:tr>
        <w:trPr/>
        <w:tc>
          <w:tcPr>
            <w:tcW w:w="2798"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bCs/>
                <w:color w:val="1A1A2E"/>
                <w:sz w:val="19"/>
                <w:szCs w:val="19"/>
              </w:rPr>
              <w:t>ML-KEM-768</w:t>
            </w:r>
          </w:p>
        </w:tc>
        <w:tc>
          <w:tcPr>
            <w:tcW w:w="6562" w:type="dxa"/>
            <w:gridSpan w:val="3"/>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color w:val="1A1A2E"/>
                <w:sz w:val="19"/>
                <w:szCs w:val="19"/>
              </w:rPr>
              <w:t>Module Lattice Key Encapsulation Mechanism, 768-bit parameter set. NIST FIPS 203 post-quantum KEM standard (formerly CRYSTALS-Kyber). Used in the Credential Vault hybrid encryption scheme.</w:t>
            </w:r>
          </w:p>
        </w:tc>
      </w:tr>
      <w:tr>
        <w:trPr/>
        <w:tc>
          <w:tcPr>
            <w:tcW w:w="2798"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bCs/>
                <w:color w:val="1A1A2E"/>
                <w:sz w:val="19"/>
                <w:szCs w:val="19"/>
              </w:rPr>
              <w:t>BullMQ</w:t>
            </w:r>
          </w:p>
        </w:tc>
        <w:tc>
          <w:tcPr>
            <w:tcW w:w="6562" w:type="dxa"/>
            <w:gridSpan w:val="3"/>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Node.js-specific Redis-backed job queue. Replaced by Hangfire in this C# platform.</w:t>
            </w:r>
          </w:p>
        </w:tc>
      </w:tr>
      <w:tr>
        <w:trPr/>
        <w:tc>
          <w:tcPr>
            <w:tcW w:w="2798"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bCs/>
                <w:color w:val="1A1A2E"/>
                <w:sz w:val="19"/>
                <w:szCs w:val="19"/>
              </w:rPr>
              <w:t>Circuit Breaker</w:t>
            </w:r>
          </w:p>
        </w:tc>
        <w:tc>
          <w:tcPr>
            <w:tcW w:w="6562" w:type="dxa"/>
            <w:gridSpan w:val="3"/>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Polly resilience pattern. Opens when failure threshold is exceeded; prevents cascading failures.</w:t>
            </w:r>
          </w:p>
        </w:tc>
      </w:tr>
      <w:tr>
        <w:trPr/>
        <w:tc>
          <w:tcPr>
            <w:tcW w:w="2798"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bCs/>
                <w:color w:val="1A1A2E"/>
                <w:sz w:val="19"/>
                <w:szCs w:val="19"/>
              </w:rPr>
              <w:t>Dead-letter Stream</w:t>
            </w:r>
          </w:p>
        </w:tc>
        <w:tc>
          <w:tcPr>
            <w:tcW w:w="6562" w:type="dxa"/>
            <w:gridSpan w:val="3"/>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Redis Stream receiving events that failed processing. Used for anomalous price events.</w:t>
            </w:r>
          </w:p>
        </w:tc>
      </w:tr>
      <w:tr>
        <w:trPr/>
        <w:tc>
          <w:tcPr>
            <w:tcW w:w="2798"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bCs/>
                <w:color w:val="1A1A2E"/>
                <w:sz w:val="19"/>
                <w:szCs w:val="19"/>
              </w:rPr>
              <w:t>Hangfire</w:t>
            </w:r>
          </w:p>
        </w:tc>
        <w:tc>
          <w:tcPr>
            <w:tcW w:w="6562" w:type="dxa"/>
            <w:gridSpan w:val="3"/>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C# job scheduling library with PostgreSQL-backed persistence, retry, and a management dashboard.</w:t>
            </w:r>
          </w:p>
        </w:tc>
      </w:tr>
      <w:tr>
        <w:trPr/>
        <w:tc>
          <w:tcPr>
            <w:tcW w:w="2798"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bCs/>
                <w:color w:val="1A1A2E"/>
                <w:sz w:val="19"/>
                <w:szCs w:val="19"/>
              </w:rPr>
              <w:t>HPA</w:t>
            </w:r>
          </w:p>
        </w:tc>
        <w:tc>
          <w:tcPr>
            <w:tcW w:w="6562" w:type="dxa"/>
            <w:gridSpan w:val="3"/>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Horizontal Pod Autoscaler — Kubernetes component that scales pod count based on CPU/memory metrics.</w:t>
            </w:r>
          </w:p>
        </w:tc>
      </w:tr>
      <w:tr>
        <w:trPr/>
        <w:tc>
          <w:tcPr>
            <w:tcW w:w="2798"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bCs/>
                <w:color w:val="1A1A2E"/>
                <w:sz w:val="19"/>
                <w:szCs w:val="19"/>
              </w:rPr>
              <w:t>Hypertable</w:t>
            </w:r>
          </w:p>
        </w:tc>
        <w:tc>
          <w:tcPr>
            <w:tcW w:w="6562" w:type="dxa"/>
            <w:gridSpan w:val="3"/>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TimescaleDB concept: a PostgreSQL table partitioned automatically by time for efficient time-series queries.</w:t>
            </w:r>
          </w:p>
        </w:tc>
      </w:tr>
      <w:tr>
        <w:trPr/>
        <w:tc>
          <w:tcPr>
            <w:tcW w:w="2798"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bCs/>
                <w:color w:val="1A1A2E"/>
                <w:sz w:val="19"/>
                <w:szCs w:val="19"/>
              </w:rPr>
              <w:t>k3s</w:t>
            </w:r>
          </w:p>
        </w:tc>
        <w:tc>
          <w:tcPr>
            <w:tcW w:w="6562" w:type="dxa"/>
            <w:gridSpan w:val="3"/>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Lightweight Kubernetes distribution. Full Kubernetes API with reduced operational overhead.</w:t>
            </w:r>
          </w:p>
        </w:tc>
      </w:tr>
      <w:tr>
        <w:trPr/>
        <w:tc>
          <w:tcPr>
            <w:tcW w:w="2798"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bCs/>
                <w:color w:val="1A1A2E"/>
                <w:sz w:val="19"/>
                <w:szCs w:val="19"/>
              </w:rPr>
              <w:t>OpenTelemetry</w:t>
            </w:r>
          </w:p>
        </w:tc>
        <w:tc>
          <w:tcPr>
            <w:tcW w:w="6562" w:type="dxa"/>
            <w:gridSpan w:val="3"/>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Vendor-neutral observability framework. Used for distributed tracing across all C# services.</w:t>
            </w:r>
          </w:p>
        </w:tc>
      </w:tr>
      <w:tr>
        <w:trPr/>
        <w:tc>
          <w:tcPr>
            <w:tcW w:w="2798"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bCs/>
                <w:color w:val="1A1A2E"/>
                <w:sz w:val="19"/>
                <w:szCs w:val="19"/>
              </w:rPr>
              <w:t>Polly</w:t>
            </w:r>
          </w:p>
        </w:tc>
        <w:tc>
          <w:tcPr>
            <w:tcW w:w="6562" w:type="dxa"/>
            <w:gridSpan w:val="3"/>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C# resilience and transient-fault-handling library. Used for circuit breakers and retry policies.</w:t>
            </w:r>
          </w:p>
        </w:tc>
      </w:tr>
      <w:tr>
        <w:trPr/>
        <w:tc>
          <w:tcPr>
            <w:tcW w:w="2798"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bCs/>
                <w:color w:val="1A1A2E"/>
                <w:sz w:val="19"/>
                <w:szCs w:val="19"/>
              </w:rPr>
              <w:t>RBAC</w:t>
            </w:r>
          </w:p>
        </w:tc>
        <w:tc>
          <w:tcPr>
            <w:tcW w:w="6562" w:type="dxa"/>
            <w:gridSpan w:val="3"/>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Role-Based Access Control. Identity Service enforces roles (trader, admin) on API routes.</w:t>
            </w:r>
          </w:p>
        </w:tc>
      </w:tr>
      <w:tr>
        <w:trPr/>
        <w:tc>
          <w:tcPr>
            <w:tcW w:w="2798"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bCs/>
                <w:color w:val="1A1A2E"/>
                <w:sz w:val="19"/>
                <w:szCs w:val="19"/>
              </w:rPr>
              <w:t>.NET Aspire Dashboard</w:t>
            </w:r>
          </w:p>
        </w:tc>
        <w:tc>
          <w:tcPr>
            <w:tcW w:w="6562" w:type="dxa"/>
            <w:gridSpan w:val="3"/>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Standalone observability dashboard for .NET applications providing unified logging, metrics, and distributed tracing via the OTLP protocol. Replaces Grafana, Prometheus, Loki, and Tempo.</w:t>
            </w:r>
          </w:p>
        </w:tc>
      </w:tr>
      <w:tr>
        <w:trPr/>
        <w:tc>
          <w:tcPr>
            <w:tcW w:w="2798"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bCs/>
                <w:color w:val="1A1A2E"/>
                <w:sz w:val="19"/>
                <w:szCs w:val="19"/>
              </w:rPr>
              <w:t>TimescaleDB</w:t>
            </w:r>
          </w:p>
        </w:tc>
        <w:tc>
          <w:tcPr>
            <w:tcW w:w="6562" w:type="dxa"/>
            <w:gridSpan w:val="3"/>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PostgreSQL extension for time-series data. Adds hypertables, continuous aggregates, and compression.</w:t>
            </w:r>
          </w:p>
        </w:tc>
      </w:tr>
      <w:tr>
        <w:trPr/>
        <w:tc>
          <w:tcPr>
            <w:tcW w:w="2798" w:type="dxa"/>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bCs/>
                <w:color w:val="1A1A2E"/>
                <w:sz w:val="19"/>
                <w:szCs w:val="19"/>
              </w:rPr>
              <w:t>VAPID</w:t>
            </w:r>
          </w:p>
        </w:tc>
        <w:tc>
          <w:tcPr>
            <w:tcW w:w="6562" w:type="dxa"/>
            <w:gridSpan w:val="3"/>
            <w:tcBorders>
              <w:top w:val="single" w:sz="2" w:space="0" w:color="BDC3C7"/>
              <w:start w:val="single" w:sz="2" w:space="0" w:color="BDC3C7"/>
              <w:bottom w:val="single" w:sz="2" w:space="0" w:color="BDC3C7"/>
              <w:end w:val="single" w:sz="2" w:space="0" w:color="BDC3C7"/>
            </w:tcBorders>
            <w:shd w:fill="EBF5FF" w:val="clear"/>
            <w:vAlign w:val="center"/>
          </w:tcPr>
          <w:p>
            <w:pPr>
              <w:pStyle w:val="Normal"/>
              <w:rPr/>
            </w:pPr>
            <w:r>
              <w:rPr>
                <w:rFonts w:eastAsia="Arial" w:cs="Arial"/>
                <w:b w:val="false"/>
                <w:bCs w:val="false"/>
                <w:color w:val="1A1A2E"/>
                <w:sz w:val="19"/>
                <w:szCs w:val="19"/>
              </w:rPr>
              <w:t>Voluntary Application Server Identification. Protocol for authenticated Web Push notification delivery.</w:t>
            </w:r>
          </w:p>
        </w:tc>
      </w:tr>
      <w:tr>
        <w:trPr/>
        <w:tc>
          <w:tcPr>
            <w:tcW w:w="2798" w:type="dxa"/>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bCs/>
                <w:color w:val="1A1A2E"/>
                <w:sz w:val="19"/>
                <w:szCs w:val="19"/>
              </w:rPr>
              <w:t>YARP</w:t>
            </w:r>
          </w:p>
        </w:tc>
        <w:tc>
          <w:tcPr>
            <w:tcW w:w="6562" w:type="dxa"/>
            <w:gridSpan w:val="3"/>
            <w:tcBorders>
              <w:top w:val="single" w:sz="2" w:space="0" w:color="BDC3C7"/>
              <w:start w:val="single" w:sz="2" w:space="0" w:color="BDC3C7"/>
              <w:bottom w:val="single" w:sz="2" w:space="0" w:color="BDC3C7"/>
              <w:end w:val="single" w:sz="2" w:space="0" w:color="BDC3C7"/>
            </w:tcBorders>
            <w:shd w:fill="FFFFFF" w:val="clear"/>
            <w:vAlign w:val="center"/>
          </w:tcPr>
          <w:p>
            <w:pPr>
              <w:pStyle w:val="Normal"/>
              <w:rPr/>
            </w:pPr>
            <w:r>
              <w:rPr>
                <w:rFonts w:eastAsia="Arial" w:cs="Arial"/>
                <w:b w:val="false"/>
                <w:bCs w:val="false"/>
                <w:color w:val="1A1A2E"/>
                <w:sz w:val="19"/>
                <w:szCs w:val="19"/>
              </w:rPr>
              <w:t>Yet Another Reverse Proxy. Microsoft's C# reverse proxy library. Used as the API Gateway.</w:t>
            </w:r>
          </w:p>
        </w:tc>
      </w:tr>
      <w:tr>
        <w:trPr/>
        <w:tc>
          <w:tcPr>
            <w:tcW w:w="3120" w:type="dxa"/>
            <w:gridSpan w:val="2"/>
            <w:tcBorders>
              <w:top w:val="single" w:sz="4" w:space="0" w:color="000000"/>
              <w:start w:val="single" w:sz="4" w:space="0" w:color="000000"/>
              <w:bottom w:val="single" w:sz="4" w:space="0" w:color="000000"/>
              <w:end w:val="single" w:sz="4" w:space="0" w:color="000000"/>
            </w:tcBorders>
            <w:tcMar>
              <w:top w:w="0" w:type="dxa"/>
              <w:start w:w="108" w:type="dxa"/>
              <w:bottom w:w="0" w:type="dxa"/>
              <w:end w:w="108" w:type="dxa"/>
            </w:tcMar>
          </w:tcPr>
          <w:p>
            <w:pPr>
              <w:pStyle w:val="Normal"/>
              <w:rPr/>
            </w:pPr>
            <w:r>
              <w:rPr/>
              <w:t>REDIS Streams stream prefix</w:t>
            </w:r>
          </w:p>
        </w:tc>
        <w:tc>
          <w:tcPr>
            <w:tcW w:w="3120" w:type="dxa"/>
            <w:tcBorders>
              <w:top w:val="single" w:sz="4" w:space="0" w:color="000000"/>
              <w:start w:val="single" w:sz="4" w:space="0" w:color="000000"/>
              <w:bottom w:val="single" w:sz="4" w:space="0" w:color="000000"/>
              <w:end w:val="single" w:sz="4" w:space="0" w:color="000000"/>
            </w:tcBorders>
            <w:tcMar>
              <w:top w:w="0" w:type="dxa"/>
              <w:start w:w="108" w:type="dxa"/>
              <w:bottom w:w="0" w:type="dxa"/>
              <w:end w:w="108" w:type="dxa"/>
            </w:tcMar>
          </w:tcPr>
          <w:p>
            <w:pPr>
              <w:pStyle w:val="Normal"/>
              <w:rPr/>
            </w:pPr>
            <w:r>
              <w:rPr/>
              <w:t>All services</w:t>
            </w:r>
          </w:p>
        </w:tc>
        <w:tc>
          <w:tcPr>
            <w:tcW w:w="3120" w:type="dxa"/>
            <w:tcBorders>
              <w:top w:val="single" w:sz="4" w:space="0" w:color="000000"/>
              <w:start w:val="single" w:sz="4" w:space="0" w:color="000000"/>
              <w:bottom w:val="single" w:sz="4" w:space="0" w:color="000000"/>
              <w:end w:val="single" w:sz="4" w:space="0" w:color="000000"/>
            </w:tcBorders>
            <w:tcMar>
              <w:top w:w="0" w:type="dxa"/>
              <w:start w:w="108" w:type="dxa"/>
              <w:bottom w:w="0" w:type="dxa"/>
              <w:end w:w="108" w:type="dxa"/>
            </w:tcMar>
          </w:tcPr>
          <w:p>
            <w:pPr>
              <w:pStyle w:val="Normal"/>
              <w:rPr/>
            </w:pPr>
            <w:r>
              <w:rPr/>
              <w:t>Stream namespace prefix. Default: arbitrageiq.</w:t>
            </w:r>
          </w:p>
        </w:tc>
      </w:tr>
      <w:tr>
        <w:trPr/>
        <w:tc>
          <w:tcPr>
            <w:tcW w:w="3120" w:type="dxa"/>
            <w:gridSpan w:val="2"/>
            <w:tcBorders>
              <w:top w:val="single" w:sz="4" w:space="0" w:color="000000"/>
              <w:start w:val="single" w:sz="4" w:space="0" w:color="000000"/>
              <w:bottom w:val="single" w:sz="4" w:space="0" w:color="000000"/>
              <w:end w:val="single" w:sz="4" w:space="0" w:color="000000"/>
            </w:tcBorders>
            <w:tcMar>
              <w:top w:w="0" w:type="dxa"/>
              <w:start w:w="108" w:type="dxa"/>
              <w:bottom w:w="0" w:type="dxa"/>
              <w:end w:w="108" w:type="dxa"/>
            </w:tcMar>
          </w:tcPr>
          <w:p>
            <w:pPr>
              <w:pStyle w:val="Normal"/>
              <w:rPr/>
            </w:pPr>
            <w:r>
              <w:rPr/>
              <w:t>OTEL_SERVICE_NAME</w:t>
            </w:r>
          </w:p>
        </w:tc>
        <w:tc>
          <w:tcPr>
            <w:tcW w:w="3120" w:type="dxa"/>
            <w:tcBorders>
              <w:top w:val="single" w:sz="4" w:space="0" w:color="000000"/>
              <w:start w:val="single" w:sz="4" w:space="0" w:color="000000"/>
              <w:bottom w:val="single" w:sz="4" w:space="0" w:color="000000"/>
              <w:end w:val="single" w:sz="4" w:space="0" w:color="000000"/>
            </w:tcBorders>
            <w:tcMar>
              <w:top w:w="0" w:type="dxa"/>
              <w:start w:w="108" w:type="dxa"/>
              <w:bottom w:w="0" w:type="dxa"/>
              <w:end w:w="108" w:type="dxa"/>
            </w:tcMar>
          </w:tcPr>
          <w:p>
            <w:pPr>
              <w:pStyle w:val="Normal"/>
              <w:rPr/>
            </w:pPr>
            <w:r>
              <w:rPr/>
              <w:t>All C# services</w:t>
            </w:r>
          </w:p>
        </w:tc>
        <w:tc>
          <w:tcPr>
            <w:tcW w:w="3120" w:type="dxa"/>
            <w:tcBorders>
              <w:top w:val="single" w:sz="4" w:space="0" w:color="000000"/>
              <w:start w:val="single" w:sz="4" w:space="0" w:color="000000"/>
              <w:bottom w:val="single" w:sz="4" w:space="0" w:color="000000"/>
              <w:end w:val="single" w:sz="4" w:space="0" w:color="000000"/>
            </w:tcBorders>
            <w:tcMar>
              <w:top w:w="0" w:type="dxa"/>
              <w:start w:w="108" w:type="dxa"/>
              <w:bottom w:w="0" w:type="dxa"/>
              <w:end w:w="108" w:type="dxa"/>
            </w:tcMar>
          </w:tcPr>
          <w:p>
            <w:pPr>
              <w:pStyle w:val="Normal"/>
              <w:rPr/>
            </w:pPr>
            <w:r>
              <w:rPr/>
              <w:t>OpenTelemetry service name for Aspire Dashboard tracing.</w:t>
            </w:r>
          </w:p>
        </w:tc>
      </w:tr>
      <w:tr>
        <w:trPr/>
        <w:tc>
          <w:tcPr>
            <w:tcW w:w="3120" w:type="dxa"/>
            <w:gridSpan w:val="2"/>
            <w:tcBorders>
              <w:top w:val="single" w:sz="4" w:space="0" w:color="000000"/>
              <w:start w:val="single" w:sz="4" w:space="0" w:color="000000"/>
              <w:bottom w:val="single" w:sz="4" w:space="0" w:color="000000"/>
              <w:end w:val="single" w:sz="4" w:space="0" w:color="000000"/>
            </w:tcBorders>
            <w:tcMar>
              <w:top w:w="0" w:type="dxa"/>
              <w:start w:w="108" w:type="dxa"/>
              <w:bottom w:w="0" w:type="dxa"/>
              <w:end w:w="108" w:type="dxa"/>
            </w:tcMar>
          </w:tcPr>
          <w:p>
            <w:pPr>
              <w:pStyle w:val="Normal"/>
              <w:rPr/>
            </w:pPr>
            <w:r>
              <w:rPr/>
              <w:t>OTEL_EXPORTER_OTLP_ENDPOINT</w:t>
            </w:r>
          </w:p>
        </w:tc>
        <w:tc>
          <w:tcPr>
            <w:tcW w:w="3120" w:type="dxa"/>
            <w:tcBorders>
              <w:top w:val="single" w:sz="4" w:space="0" w:color="000000"/>
              <w:start w:val="single" w:sz="4" w:space="0" w:color="000000"/>
              <w:bottom w:val="single" w:sz="4" w:space="0" w:color="000000"/>
              <w:end w:val="single" w:sz="4" w:space="0" w:color="000000"/>
            </w:tcBorders>
            <w:tcMar>
              <w:top w:w="0" w:type="dxa"/>
              <w:start w:w="108" w:type="dxa"/>
              <w:bottom w:w="0" w:type="dxa"/>
              <w:end w:w="108" w:type="dxa"/>
            </w:tcMar>
          </w:tcPr>
          <w:p>
            <w:pPr>
              <w:pStyle w:val="Normal"/>
              <w:rPr/>
            </w:pPr>
            <w:r>
              <w:rPr/>
              <w:t>All C# services</w:t>
            </w:r>
          </w:p>
        </w:tc>
        <w:tc>
          <w:tcPr>
            <w:tcW w:w="3120" w:type="dxa"/>
            <w:tcBorders>
              <w:top w:val="single" w:sz="4" w:space="0" w:color="000000"/>
              <w:start w:val="single" w:sz="4" w:space="0" w:color="000000"/>
              <w:bottom w:val="single" w:sz="4" w:space="0" w:color="000000"/>
              <w:end w:val="single" w:sz="4" w:space="0" w:color="000000"/>
            </w:tcBorders>
            <w:tcMar>
              <w:top w:w="0" w:type="dxa"/>
              <w:start w:w="108" w:type="dxa"/>
              <w:bottom w:w="0" w:type="dxa"/>
              <w:end w:w="108" w:type="dxa"/>
            </w:tcMar>
          </w:tcPr>
          <w:p>
            <w:pPr>
              <w:pStyle w:val="Normal"/>
              <w:rPr/>
            </w:pPr>
            <w:r>
              <w:rPr/>
              <w:t>Aspire Dashboard OTLP endpoint URL.</w:t>
            </w:r>
          </w:p>
        </w:tc>
      </w:tr>
      <w:tr>
        <w:trPr/>
        <w:tc>
          <w:tcPr>
            <w:tcW w:w="3120" w:type="dxa"/>
            <w:gridSpan w:val="2"/>
            <w:tcBorders>
              <w:top w:val="single" w:sz="4" w:space="0" w:color="000000"/>
              <w:start w:val="single" w:sz="4" w:space="0" w:color="000000"/>
              <w:bottom w:val="single" w:sz="4" w:space="0" w:color="000000"/>
              <w:end w:val="single" w:sz="4" w:space="0" w:color="000000"/>
            </w:tcBorders>
            <w:tcMar>
              <w:top w:w="0" w:type="dxa"/>
              <w:start w:w="108" w:type="dxa"/>
              <w:bottom w:w="0" w:type="dxa"/>
              <w:end w:w="108" w:type="dxa"/>
            </w:tcMar>
          </w:tcPr>
          <w:p>
            <w:pPr>
              <w:pStyle w:val="Normal"/>
              <w:rPr/>
            </w:pPr>
            <w:r>
              <w:rPr/>
              <w:t>STRIPE_PUBLISHABLE_KEY</w:t>
            </w:r>
          </w:p>
        </w:tc>
        <w:tc>
          <w:tcPr>
            <w:tcW w:w="3120" w:type="dxa"/>
            <w:tcBorders>
              <w:top w:val="single" w:sz="4" w:space="0" w:color="000000"/>
              <w:start w:val="single" w:sz="4" w:space="0" w:color="000000"/>
              <w:bottom w:val="single" w:sz="4" w:space="0" w:color="000000"/>
              <w:end w:val="single" w:sz="4" w:space="0" w:color="000000"/>
            </w:tcBorders>
            <w:tcMar>
              <w:top w:w="0" w:type="dxa"/>
              <w:start w:w="108" w:type="dxa"/>
              <w:bottom w:w="0" w:type="dxa"/>
              <w:end w:w="108" w:type="dxa"/>
            </w:tcMar>
          </w:tcPr>
          <w:p>
            <w:pPr>
              <w:pStyle w:val="Normal"/>
              <w:rPr/>
            </w:pPr>
            <w:r>
              <w:rPr/>
              <w:t>Billing Service</w:t>
            </w:r>
          </w:p>
        </w:tc>
        <w:tc>
          <w:tcPr>
            <w:tcW w:w="3120" w:type="dxa"/>
            <w:tcBorders>
              <w:top w:val="single" w:sz="4" w:space="0" w:color="000000"/>
              <w:start w:val="single" w:sz="4" w:space="0" w:color="000000"/>
              <w:bottom w:val="single" w:sz="4" w:space="0" w:color="000000"/>
              <w:end w:val="single" w:sz="4" w:space="0" w:color="000000"/>
            </w:tcBorders>
            <w:tcMar>
              <w:top w:w="0" w:type="dxa"/>
              <w:start w:w="108" w:type="dxa"/>
              <w:bottom w:w="0" w:type="dxa"/>
              <w:end w:w="108" w:type="dxa"/>
            </w:tcMar>
          </w:tcPr>
          <w:p>
            <w:pPr>
              <w:pStyle w:val="Normal"/>
              <w:rPr/>
            </w:pPr>
            <w:r>
              <w:rPr/>
              <w:t>Stripe publishable key for frontend Stripe.js.</w:t>
            </w:r>
          </w:p>
        </w:tc>
      </w:tr>
      <w:tr>
        <w:trPr/>
        <w:tc>
          <w:tcPr>
            <w:tcW w:w="3120" w:type="dxa"/>
            <w:gridSpan w:val="2"/>
            <w:tcBorders>
              <w:top w:val="single" w:sz="4" w:space="0" w:color="000000"/>
              <w:start w:val="single" w:sz="4" w:space="0" w:color="000000"/>
              <w:bottom w:val="single" w:sz="4" w:space="0" w:color="000000"/>
              <w:end w:val="single" w:sz="4" w:space="0" w:color="000000"/>
            </w:tcBorders>
            <w:tcMar>
              <w:top w:w="0" w:type="dxa"/>
              <w:start w:w="108" w:type="dxa"/>
              <w:bottom w:w="0" w:type="dxa"/>
              <w:end w:w="108" w:type="dxa"/>
            </w:tcMar>
          </w:tcPr>
          <w:p>
            <w:pPr>
              <w:pStyle w:val="Normal"/>
              <w:rPr/>
            </w:pPr>
            <w:r>
              <w:rPr/>
              <w:t>NEXTAUTH_URL</w:t>
            </w:r>
          </w:p>
        </w:tc>
        <w:tc>
          <w:tcPr>
            <w:tcW w:w="3120" w:type="dxa"/>
            <w:tcBorders>
              <w:top w:val="single" w:sz="4" w:space="0" w:color="000000"/>
              <w:start w:val="single" w:sz="4" w:space="0" w:color="000000"/>
              <w:bottom w:val="single" w:sz="4" w:space="0" w:color="000000"/>
              <w:end w:val="single" w:sz="4" w:space="0" w:color="000000"/>
            </w:tcBorders>
            <w:tcMar>
              <w:top w:w="0" w:type="dxa"/>
              <w:start w:w="108" w:type="dxa"/>
              <w:bottom w:w="0" w:type="dxa"/>
              <w:end w:w="108" w:type="dxa"/>
            </w:tcMar>
          </w:tcPr>
          <w:p>
            <w:pPr>
              <w:pStyle w:val="Normal"/>
              <w:rPr/>
            </w:pPr>
            <w:r>
              <w:rPr/>
              <w:t>Frontend</w:t>
            </w:r>
          </w:p>
        </w:tc>
        <w:tc>
          <w:tcPr>
            <w:tcW w:w="3120" w:type="dxa"/>
            <w:tcBorders>
              <w:top w:val="single" w:sz="4" w:space="0" w:color="000000"/>
              <w:start w:val="single" w:sz="4" w:space="0" w:color="000000"/>
              <w:bottom w:val="single" w:sz="4" w:space="0" w:color="000000"/>
              <w:end w:val="single" w:sz="4" w:space="0" w:color="000000"/>
            </w:tcBorders>
            <w:tcMar>
              <w:top w:w="0" w:type="dxa"/>
              <w:start w:w="108" w:type="dxa"/>
              <w:bottom w:w="0" w:type="dxa"/>
              <w:end w:w="108" w:type="dxa"/>
            </w:tcMar>
          </w:tcPr>
          <w:p>
            <w:pPr>
              <w:pStyle w:val="Normal"/>
              <w:rPr/>
            </w:pPr>
            <w:r>
              <w:rPr/>
              <w:t>Next.js public base URL for auth callbacks.</w:t>
            </w:r>
          </w:p>
        </w:tc>
      </w:tr>
      <w:tr>
        <w:trPr/>
        <w:tc>
          <w:tcPr>
            <w:tcW w:w="3120" w:type="dxa"/>
            <w:gridSpan w:val="2"/>
            <w:tcBorders>
              <w:top w:val="single" w:sz="4" w:space="0" w:color="000000"/>
              <w:start w:val="single" w:sz="4" w:space="0" w:color="000000"/>
              <w:bottom w:val="single" w:sz="4" w:space="0" w:color="000000"/>
              <w:end w:val="single" w:sz="4" w:space="0" w:color="000000"/>
            </w:tcBorders>
            <w:tcMar>
              <w:top w:w="0" w:type="dxa"/>
              <w:start w:w="108" w:type="dxa"/>
              <w:bottom w:w="0" w:type="dxa"/>
              <w:end w:w="108" w:type="dxa"/>
            </w:tcMar>
          </w:tcPr>
          <w:p>
            <w:pPr>
              <w:pStyle w:val="Normal"/>
              <w:rPr/>
            </w:pPr>
            <w:r>
              <w:rPr/>
              <w:t>NEXTAUTH_SECRET</w:t>
            </w:r>
          </w:p>
        </w:tc>
        <w:tc>
          <w:tcPr>
            <w:tcW w:w="3120" w:type="dxa"/>
            <w:tcBorders>
              <w:top w:val="single" w:sz="4" w:space="0" w:color="000000"/>
              <w:start w:val="single" w:sz="4" w:space="0" w:color="000000"/>
              <w:bottom w:val="single" w:sz="4" w:space="0" w:color="000000"/>
              <w:end w:val="single" w:sz="4" w:space="0" w:color="000000"/>
            </w:tcBorders>
            <w:tcMar>
              <w:top w:w="0" w:type="dxa"/>
              <w:start w:w="108" w:type="dxa"/>
              <w:bottom w:w="0" w:type="dxa"/>
              <w:end w:w="108" w:type="dxa"/>
            </w:tcMar>
          </w:tcPr>
          <w:p>
            <w:pPr>
              <w:pStyle w:val="Normal"/>
              <w:rPr/>
            </w:pPr>
            <w:r>
              <w:rPr/>
              <w:t>Frontend</w:t>
            </w:r>
          </w:p>
        </w:tc>
        <w:tc>
          <w:tcPr>
            <w:tcW w:w="3120" w:type="dxa"/>
            <w:tcBorders>
              <w:top w:val="single" w:sz="4" w:space="0" w:color="000000"/>
              <w:start w:val="single" w:sz="4" w:space="0" w:color="000000"/>
              <w:bottom w:val="single" w:sz="4" w:space="0" w:color="000000"/>
              <w:end w:val="single" w:sz="4" w:space="0" w:color="000000"/>
            </w:tcBorders>
            <w:tcMar>
              <w:top w:w="0" w:type="dxa"/>
              <w:start w:w="108" w:type="dxa"/>
              <w:bottom w:w="0" w:type="dxa"/>
              <w:end w:w="108" w:type="dxa"/>
            </w:tcMar>
          </w:tcPr>
          <w:p>
            <w:pPr>
              <w:pStyle w:val="Normal"/>
              <w:rPr/>
            </w:pPr>
            <w:r>
              <w:rPr/>
              <w:t>Secret for signing Next.js session cookies.</w:t>
            </w:r>
          </w:p>
        </w:tc>
      </w:tr>
      <w:tr>
        <w:trPr/>
        <w:tc>
          <w:tcPr>
            <w:tcW w:w="3120" w:type="dxa"/>
            <w:gridSpan w:val="2"/>
            <w:tcBorders>
              <w:top w:val="single" w:sz="4" w:space="0" w:color="000000"/>
              <w:start w:val="single" w:sz="4" w:space="0" w:color="000000"/>
              <w:bottom w:val="single" w:sz="4" w:space="0" w:color="000000"/>
              <w:end w:val="single" w:sz="4" w:space="0" w:color="000000"/>
            </w:tcBorders>
            <w:tcMar>
              <w:top w:w="0" w:type="dxa"/>
              <w:start w:w="108" w:type="dxa"/>
              <w:bottom w:w="0" w:type="dxa"/>
              <w:end w:w="108" w:type="dxa"/>
            </w:tcMar>
          </w:tcPr>
          <w:p>
            <w:pPr>
              <w:pStyle w:val="Normal"/>
              <w:rPr/>
            </w:pPr>
            <w:r>
              <w:rPr/>
              <w:t>API_GATEWAY_INTERNAL_URL</w:t>
            </w:r>
          </w:p>
        </w:tc>
        <w:tc>
          <w:tcPr>
            <w:tcW w:w="3120" w:type="dxa"/>
            <w:tcBorders>
              <w:top w:val="single" w:sz="4" w:space="0" w:color="000000"/>
              <w:start w:val="single" w:sz="4" w:space="0" w:color="000000"/>
              <w:bottom w:val="single" w:sz="4" w:space="0" w:color="000000"/>
              <w:end w:val="single" w:sz="4" w:space="0" w:color="000000"/>
            </w:tcBorders>
            <w:tcMar>
              <w:top w:w="0" w:type="dxa"/>
              <w:start w:w="108" w:type="dxa"/>
              <w:bottom w:w="0" w:type="dxa"/>
              <w:end w:w="108" w:type="dxa"/>
            </w:tcMar>
          </w:tcPr>
          <w:p>
            <w:pPr>
              <w:pStyle w:val="Normal"/>
              <w:rPr/>
            </w:pPr>
            <w:r>
              <w:rPr/>
              <w:t>All services</w:t>
            </w:r>
          </w:p>
        </w:tc>
        <w:tc>
          <w:tcPr>
            <w:tcW w:w="3120" w:type="dxa"/>
            <w:tcBorders>
              <w:top w:val="single" w:sz="4" w:space="0" w:color="000000"/>
              <w:start w:val="single" w:sz="4" w:space="0" w:color="000000"/>
              <w:bottom w:val="single" w:sz="4" w:space="0" w:color="000000"/>
              <w:end w:val="single" w:sz="4" w:space="0" w:color="000000"/>
            </w:tcBorders>
            <w:tcMar>
              <w:top w:w="0" w:type="dxa"/>
              <w:start w:w="108" w:type="dxa"/>
              <w:bottom w:w="0" w:type="dxa"/>
              <w:end w:w="108" w:type="dxa"/>
            </w:tcMar>
          </w:tcPr>
          <w:p>
            <w:pPr>
              <w:pStyle w:val="Normal"/>
              <w:rPr/>
            </w:pPr>
            <w:r>
              <w:rPr/>
              <w:t>Internal k8s DNS name of YARP gateway.</w:t>
            </w:r>
          </w:p>
        </w:tc>
      </w:tr>
      <w:tr>
        <w:trPr/>
        <w:tc>
          <w:tcPr>
            <w:tcW w:w="3120" w:type="dxa"/>
            <w:gridSpan w:val="2"/>
            <w:tcBorders>
              <w:top w:val="single" w:sz="4" w:space="0" w:color="000000"/>
              <w:start w:val="single" w:sz="4" w:space="0" w:color="000000"/>
              <w:bottom w:val="single" w:sz="4" w:space="0" w:color="000000"/>
              <w:end w:val="single" w:sz="4" w:space="0" w:color="000000"/>
            </w:tcBorders>
            <w:tcMar>
              <w:top w:w="0" w:type="dxa"/>
              <w:start w:w="108" w:type="dxa"/>
              <w:bottom w:w="0" w:type="dxa"/>
              <w:end w:w="108" w:type="dxa"/>
            </w:tcMar>
          </w:tcPr>
          <w:p>
            <w:pPr>
              <w:pStyle w:val="Normal"/>
              <w:rPr/>
            </w:pPr>
            <w:r>
              <w:rPr/>
              <w:t>HANGFIRE_CONNECTION_STRING</w:t>
            </w:r>
          </w:p>
        </w:tc>
        <w:tc>
          <w:tcPr>
            <w:tcW w:w="3120" w:type="dxa"/>
            <w:tcBorders>
              <w:top w:val="single" w:sz="4" w:space="0" w:color="000000"/>
              <w:start w:val="single" w:sz="4" w:space="0" w:color="000000"/>
              <w:bottom w:val="single" w:sz="4" w:space="0" w:color="000000"/>
              <w:end w:val="single" w:sz="4" w:space="0" w:color="000000"/>
            </w:tcBorders>
            <w:tcMar>
              <w:top w:w="0" w:type="dxa"/>
              <w:start w:w="108" w:type="dxa"/>
              <w:bottom w:w="0" w:type="dxa"/>
              <w:end w:w="108" w:type="dxa"/>
            </w:tcMar>
          </w:tcPr>
          <w:p>
            <w:pPr>
              <w:pStyle w:val="Normal"/>
              <w:rPr/>
            </w:pPr>
            <w:r>
              <w:rPr/>
              <w:t>Jobs Service</w:t>
            </w:r>
          </w:p>
        </w:tc>
        <w:tc>
          <w:tcPr>
            <w:tcW w:w="3120" w:type="dxa"/>
            <w:tcBorders>
              <w:top w:val="single" w:sz="4" w:space="0" w:color="000000"/>
              <w:start w:val="single" w:sz="4" w:space="0" w:color="000000"/>
              <w:bottom w:val="single" w:sz="4" w:space="0" w:color="000000"/>
              <w:end w:val="single" w:sz="4" w:space="0" w:color="000000"/>
            </w:tcBorders>
            <w:tcMar>
              <w:top w:w="0" w:type="dxa"/>
              <w:start w:w="108" w:type="dxa"/>
              <w:bottom w:w="0" w:type="dxa"/>
              <w:end w:w="108" w:type="dxa"/>
            </w:tcMar>
          </w:tcPr>
          <w:p>
            <w:pPr>
              <w:pStyle w:val="Normal"/>
              <w:rPr/>
            </w:pPr>
            <w:r>
              <w:rPr/>
              <w:t>PostgreSQL connection string for Hangfire schema.</w:t>
            </w:r>
          </w:p>
        </w:tc>
      </w:tr>
      <w:tr>
        <w:trPr/>
        <w:tc>
          <w:tcPr>
            <w:tcW w:w="3120" w:type="dxa"/>
            <w:gridSpan w:val="2"/>
            <w:tcBorders>
              <w:top w:val="single" w:sz="4" w:space="0" w:color="000000"/>
              <w:start w:val="single" w:sz="4" w:space="0" w:color="000000"/>
              <w:bottom w:val="single" w:sz="4" w:space="0" w:color="000000"/>
              <w:end w:val="single" w:sz="4" w:space="0" w:color="000000"/>
            </w:tcBorders>
            <w:tcMar>
              <w:top w:w="0" w:type="dxa"/>
              <w:start w:w="108" w:type="dxa"/>
              <w:bottom w:w="0" w:type="dxa"/>
              <w:end w:w="108" w:type="dxa"/>
            </w:tcMar>
          </w:tcPr>
          <w:p>
            <w:pPr>
              <w:pStyle w:val="Normal"/>
              <w:rPr/>
            </w:pPr>
            <w:r>
              <w:rPr/>
              <w:t>FLYWAY_URL</w:t>
            </w:r>
          </w:p>
        </w:tc>
        <w:tc>
          <w:tcPr>
            <w:tcW w:w="3120" w:type="dxa"/>
            <w:tcBorders>
              <w:top w:val="single" w:sz="4" w:space="0" w:color="000000"/>
              <w:start w:val="single" w:sz="4" w:space="0" w:color="000000"/>
              <w:bottom w:val="single" w:sz="4" w:space="0" w:color="000000"/>
              <w:end w:val="single" w:sz="4" w:space="0" w:color="000000"/>
            </w:tcBorders>
            <w:tcMar>
              <w:top w:w="0" w:type="dxa"/>
              <w:start w:w="108" w:type="dxa"/>
              <w:bottom w:w="0" w:type="dxa"/>
              <w:end w:w="108" w:type="dxa"/>
            </w:tcMar>
          </w:tcPr>
          <w:p>
            <w:pPr>
              <w:pStyle w:val="Normal"/>
              <w:rPr/>
            </w:pPr>
            <w:r>
              <w:rPr/>
              <w:t>Migrations</w:t>
            </w:r>
          </w:p>
        </w:tc>
        <w:tc>
          <w:tcPr>
            <w:tcW w:w="3120" w:type="dxa"/>
            <w:tcBorders>
              <w:top w:val="single" w:sz="4" w:space="0" w:color="000000"/>
              <w:start w:val="single" w:sz="4" w:space="0" w:color="000000"/>
              <w:bottom w:val="single" w:sz="4" w:space="0" w:color="000000"/>
              <w:end w:val="single" w:sz="4" w:space="0" w:color="000000"/>
            </w:tcBorders>
            <w:tcMar>
              <w:top w:w="0" w:type="dxa"/>
              <w:start w:w="108" w:type="dxa"/>
              <w:bottom w:w="0" w:type="dxa"/>
              <w:end w:w="108" w:type="dxa"/>
            </w:tcMar>
          </w:tcPr>
          <w:p>
            <w:pPr>
              <w:pStyle w:val="Normal"/>
              <w:rPr/>
            </w:pPr>
            <w:r>
              <w:rPr/>
              <w:t>JDBC URL for Flyway migrations.</w:t>
            </w:r>
          </w:p>
        </w:tc>
      </w:tr>
      <w:tr>
        <w:trPr/>
        <w:tc>
          <w:tcPr>
            <w:tcW w:w="3120" w:type="dxa"/>
            <w:gridSpan w:val="2"/>
            <w:tcBorders>
              <w:top w:val="single" w:sz="4" w:space="0" w:color="000000"/>
              <w:start w:val="single" w:sz="4" w:space="0" w:color="000000"/>
              <w:bottom w:val="single" w:sz="4" w:space="0" w:color="000000"/>
              <w:end w:val="single" w:sz="4" w:space="0" w:color="000000"/>
            </w:tcBorders>
            <w:tcMar>
              <w:top w:w="0" w:type="dxa"/>
              <w:start w:w="108" w:type="dxa"/>
              <w:bottom w:w="0" w:type="dxa"/>
              <w:end w:w="108" w:type="dxa"/>
            </w:tcMar>
          </w:tcPr>
          <w:p>
            <w:pPr>
              <w:pStyle w:val="Normal"/>
              <w:rPr/>
            </w:pPr>
            <w:r>
              <w:rPr/>
              <w:t>FLYWAY_USER</w:t>
            </w:r>
          </w:p>
        </w:tc>
        <w:tc>
          <w:tcPr>
            <w:tcW w:w="3120" w:type="dxa"/>
            <w:tcBorders>
              <w:top w:val="single" w:sz="4" w:space="0" w:color="000000"/>
              <w:start w:val="single" w:sz="4" w:space="0" w:color="000000"/>
              <w:bottom w:val="single" w:sz="4" w:space="0" w:color="000000"/>
              <w:end w:val="single" w:sz="4" w:space="0" w:color="000000"/>
            </w:tcBorders>
            <w:tcMar>
              <w:top w:w="0" w:type="dxa"/>
              <w:start w:w="108" w:type="dxa"/>
              <w:bottom w:w="0" w:type="dxa"/>
              <w:end w:w="108" w:type="dxa"/>
            </w:tcMar>
          </w:tcPr>
          <w:p>
            <w:pPr>
              <w:pStyle w:val="Normal"/>
              <w:rPr/>
            </w:pPr>
            <w:r>
              <w:rPr/>
              <w:t>Migrations</w:t>
            </w:r>
          </w:p>
        </w:tc>
        <w:tc>
          <w:tcPr>
            <w:tcW w:w="3120" w:type="dxa"/>
            <w:tcBorders>
              <w:top w:val="single" w:sz="4" w:space="0" w:color="000000"/>
              <w:start w:val="single" w:sz="4" w:space="0" w:color="000000"/>
              <w:bottom w:val="single" w:sz="4" w:space="0" w:color="000000"/>
              <w:end w:val="single" w:sz="4" w:space="0" w:color="000000"/>
            </w:tcBorders>
            <w:tcMar>
              <w:top w:w="0" w:type="dxa"/>
              <w:start w:w="108" w:type="dxa"/>
              <w:bottom w:w="0" w:type="dxa"/>
              <w:end w:w="108" w:type="dxa"/>
            </w:tcMar>
          </w:tcPr>
          <w:p>
            <w:pPr>
              <w:pStyle w:val="Normal"/>
              <w:rPr/>
            </w:pPr>
            <w:r>
              <w:rPr/>
              <w:t>PostgreSQL username for migrations.</w:t>
            </w:r>
          </w:p>
        </w:tc>
      </w:tr>
      <w:tr>
        <w:trPr/>
        <w:tc>
          <w:tcPr>
            <w:tcW w:w="3120" w:type="dxa"/>
            <w:gridSpan w:val="2"/>
            <w:tcBorders>
              <w:top w:val="single" w:sz="4" w:space="0" w:color="000000"/>
              <w:start w:val="single" w:sz="4" w:space="0" w:color="000000"/>
              <w:bottom w:val="single" w:sz="4" w:space="0" w:color="000000"/>
              <w:end w:val="single" w:sz="4" w:space="0" w:color="000000"/>
            </w:tcBorders>
            <w:tcMar>
              <w:top w:w="0" w:type="dxa"/>
              <w:start w:w="108" w:type="dxa"/>
              <w:bottom w:w="0" w:type="dxa"/>
              <w:end w:w="108" w:type="dxa"/>
            </w:tcMar>
          </w:tcPr>
          <w:p>
            <w:pPr>
              <w:pStyle w:val="Normal"/>
              <w:rPr/>
            </w:pPr>
            <w:r>
              <w:rPr/>
              <w:t>FLYWAY_PASSWORD</w:t>
            </w:r>
          </w:p>
        </w:tc>
        <w:tc>
          <w:tcPr>
            <w:tcW w:w="3120" w:type="dxa"/>
            <w:tcBorders>
              <w:top w:val="single" w:sz="4" w:space="0" w:color="000000"/>
              <w:start w:val="single" w:sz="4" w:space="0" w:color="000000"/>
              <w:bottom w:val="single" w:sz="4" w:space="0" w:color="000000"/>
              <w:end w:val="single" w:sz="4" w:space="0" w:color="000000"/>
            </w:tcBorders>
            <w:tcMar>
              <w:top w:w="0" w:type="dxa"/>
              <w:start w:w="108" w:type="dxa"/>
              <w:bottom w:w="0" w:type="dxa"/>
              <w:end w:w="108" w:type="dxa"/>
            </w:tcMar>
          </w:tcPr>
          <w:p>
            <w:pPr>
              <w:pStyle w:val="Normal"/>
              <w:rPr/>
            </w:pPr>
            <w:r>
              <w:rPr/>
              <w:t>Migrations</w:t>
            </w:r>
          </w:p>
        </w:tc>
        <w:tc>
          <w:tcPr>
            <w:tcW w:w="3120" w:type="dxa"/>
            <w:tcBorders>
              <w:top w:val="single" w:sz="4" w:space="0" w:color="000000"/>
              <w:start w:val="single" w:sz="4" w:space="0" w:color="000000"/>
              <w:bottom w:val="single" w:sz="4" w:space="0" w:color="000000"/>
              <w:end w:val="single" w:sz="4" w:space="0" w:color="000000"/>
            </w:tcBorders>
            <w:tcMar>
              <w:top w:w="0" w:type="dxa"/>
              <w:start w:w="108" w:type="dxa"/>
              <w:bottom w:w="0" w:type="dxa"/>
              <w:end w:w="108" w:type="dxa"/>
            </w:tcMar>
          </w:tcPr>
          <w:p>
            <w:pPr>
              <w:pStyle w:val="Normal"/>
              <w:rPr/>
            </w:pPr>
            <w:r>
              <w:rPr/>
              <w:t>PostgreSQL password for migrations.</w:t>
            </w:r>
          </w:p>
        </w:tc>
      </w:tr>
      <w:tr>
        <w:trPr/>
        <w:tc>
          <w:tcPr>
            <w:tcW w:w="3120" w:type="dxa"/>
            <w:gridSpan w:val="2"/>
            <w:tcBorders>
              <w:top w:val="single" w:sz="4" w:space="0" w:color="000000"/>
              <w:start w:val="single" w:sz="4" w:space="0" w:color="000000"/>
              <w:bottom w:val="single" w:sz="4" w:space="0" w:color="000000"/>
              <w:end w:val="single" w:sz="4" w:space="0" w:color="000000"/>
            </w:tcBorders>
            <w:tcMar>
              <w:top w:w="0" w:type="dxa"/>
              <w:start w:w="108" w:type="dxa"/>
              <w:bottom w:w="0" w:type="dxa"/>
              <w:end w:w="108" w:type="dxa"/>
            </w:tcMar>
          </w:tcPr>
          <w:p>
            <w:pPr>
              <w:pStyle w:val="Normal"/>
              <w:rPr/>
            </w:pPr>
            <w:r>
              <w:rPr/>
              <w:t>PLAYWRIGHT_SCRAPING_ENABLED</w:t>
            </w:r>
          </w:p>
        </w:tc>
        <w:tc>
          <w:tcPr>
            <w:tcW w:w="3120" w:type="dxa"/>
            <w:tcBorders>
              <w:top w:val="single" w:sz="4" w:space="0" w:color="000000"/>
              <w:start w:val="single" w:sz="4" w:space="0" w:color="000000"/>
              <w:bottom w:val="single" w:sz="4" w:space="0" w:color="000000"/>
              <w:end w:val="single" w:sz="4" w:space="0" w:color="000000"/>
            </w:tcBorders>
            <w:tcMar>
              <w:top w:w="0" w:type="dxa"/>
              <w:start w:w="108" w:type="dxa"/>
              <w:bottom w:w="0" w:type="dxa"/>
              <w:end w:w="108" w:type="dxa"/>
            </w:tcMar>
          </w:tcPr>
          <w:p>
            <w:pPr>
              <w:pStyle w:val="Normal"/>
              <w:rPr/>
            </w:pPr>
            <w:r>
              <w:rPr/>
              <w:t>Ingestion Service</w:t>
            </w:r>
          </w:p>
        </w:tc>
        <w:tc>
          <w:tcPr>
            <w:tcW w:w="3120" w:type="dxa"/>
            <w:tcBorders>
              <w:top w:val="single" w:sz="4" w:space="0" w:color="000000"/>
              <w:start w:val="single" w:sz="4" w:space="0" w:color="000000"/>
              <w:bottom w:val="single" w:sz="4" w:space="0" w:color="000000"/>
              <w:end w:val="single" w:sz="4" w:space="0" w:color="000000"/>
            </w:tcBorders>
            <w:tcMar>
              <w:top w:w="0" w:type="dxa"/>
              <w:start w:w="108" w:type="dxa"/>
              <w:bottom w:w="0" w:type="dxa"/>
              <w:end w:w="108" w:type="dxa"/>
            </w:tcMar>
          </w:tcPr>
          <w:p>
            <w:pPr>
              <w:pStyle w:val="Normal"/>
              <w:rPr/>
            </w:pPr>
            <w:r>
              <w:rPr/>
              <w:t>true in production. false in local development.</w:t>
            </w:r>
          </w:p>
        </w:tc>
      </w:tr>
      <w:tr>
        <w:trPr/>
        <w:tc>
          <w:tcPr>
            <w:tcW w:w="3120" w:type="dxa"/>
            <w:gridSpan w:val="2"/>
            <w:tcBorders>
              <w:top w:val="single" w:sz="4" w:space="0" w:color="000000"/>
              <w:start w:val="single" w:sz="4" w:space="0" w:color="000000"/>
              <w:bottom w:val="single" w:sz="4" w:space="0" w:color="000000"/>
              <w:end w:val="single" w:sz="4" w:space="0" w:color="000000"/>
            </w:tcBorders>
            <w:tcMar>
              <w:top w:w="0" w:type="dxa"/>
              <w:start w:w="108" w:type="dxa"/>
              <w:bottom w:w="0" w:type="dxa"/>
              <w:end w:w="108" w:type="dxa"/>
            </w:tcMar>
          </w:tcPr>
          <w:p>
            <w:pPr>
              <w:pStyle w:val="Normal"/>
              <w:rPr/>
            </w:pPr>
            <w:r>
              <w:rPr/>
              <w:t>MAX_SCAN_JOBS_PER_USER</w:t>
            </w:r>
          </w:p>
        </w:tc>
        <w:tc>
          <w:tcPr>
            <w:tcW w:w="3120" w:type="dxa"/>
            <w:tcBorders>
              <w:top w:val="single" w:sz="4" w:space="0" w:color="000000"/>
              <w:start w:val="single" w:sz="4" w:space="0" w:color="000000"/>
              <w:bottom w:val="single" w:sz="4" w:space="0" w:color="000000"/>
              <w:end w:val="single" w:sz="4" w:space="0" w:color="000000"/>
            </w:tcBorders>
            <w:tcMar>
              <w:top w:w="0" w:type="dxa"/>
              <w:start w:w="108" w:type="dxa"/>
              <w:bottom w:w="0" w:type="dxa"/>
              <w:end w:w="108" w:type="dxa"/>
            </w:tcMar>
          </w:tcPr>
          <w:p>
            <w:pPr>
              <w:pStyle w:val="Normal"/>
              <w:rPr/>
            </w:pPr>
            <w:r>
              <w:rPr/>
              <w:t>Jobs Service</w:t>
            </w:r>
          </w:p>
        </w:tc>
        <w:tc>
          <w:tcPr>
            <w:tcW w:w="3120" w:type="dxa"/>
            <w:tcBorders>
              <w:top w:val="single" w:sz="4" w:space="0" w:color="000000"/>
              <w:start w:val="single" w:sz="4" w:space="0" w:color="000000"/>
              <w:bottom w:val="single" w:sz="4" w:space="0" w:color="000000"/>
              <w:end w:val="single" w:sz="4" w:space="0" w:color="000000"/>
            </w:tcBorders>
            <w:tcMar>
              <w:top w:w="0" w:type="dxa"/>
              <w:start w:w="108" w:type="dxa"/>
              <w:bottom w:w="0" w:type="dxa"/>
              <w:end w:w="108" w:type="dxa"/>
            </w:tcMar>
          </w:tcPr>
          <w:p>
            <w:pPr>
              <w:pStyle w:val="Normal"/>
              <w:rPr/>
            </w:pPr>
            <w:r>
              <w:rPr/>
              <w:t>Hard cap on active scan jobs regardless of plan. Default: 50.</w:t>
            </w:r>
          </w:p>
        </w:tc>
      </w:tr>
      <w:tr>
        <w:trPr/>
        <w:tc>
          <w:tcPr>
            <w:tcW w:w="3120" w:type="dxa"/>
            <w:gridSpan w:val="2"/>
            <w:tcBorders>
              <w:top w:val="single" w:sz="4" w:space="0" w:color="000000"/>
              <w:start w:val="single" w:sz="4" w:space="0" w:color="000000"/>
              <w:bottom w:val="single" w:sz="4" w:space="0" w:color="000000"/>
              <w:end w:val="single" w:sz="4" w:space="0" w:color="000000"/>
            </w:tcBorders>
            <w:tcMar>
              <w:top w:w="0" w:type="dxa"/>
              <w:start w:w="108" w:type="dxa"/>
              <w:bottom w:w="0" w:type="dxa"/>
              <w:end w:w="108" w:type="dxa"/>
            </w:tcMar>
          </w:tcPr>
          <w:p>
            <w:pPr>
              <w:pStyle w:val="Normal"/>
              <w:rPr/>
            </w:pPr>
            <w:r>
              <w:rPr/>
              <w:t>DAILY_SPEND_CAP_GBP</w:t>
            </w:r>
          </w:p>
        </w:tc>
        <w:tc>
          <w:tcPr>
            <w:tcW w:w="3120" w:type="dxa"/>
            <w:tcBorders>
              <w:top w:val="single" w:sz="4" w:space="0" w:color="000000"/>
              <w:start w:val="single" w:sz="4" w:space="0" w:color="000000"/>
              <w:bottom w:val="single" w:sz="4" w:space="0" w:color="000000"/>
              <w:end w:val="single" w:sz="4" w:space="0" w:color="000000"/>
            </w:tcBorders>
            <w:tcMar>
              <w:top w:w="0" w:type="dxa"/>
              <w:start w:w="108" w:type="dxa"/>
              <w:bottom w:w="0" w:type="dxa"/>
              <w:end w:w="108" w:type="dxa"/>
            </w:tcMar>
          </w:tcPr>
          <w:p>
            <w:pPr>
              <w:pStyle w:val="Normal"/>
              <w:rPr/>
            </w:pPr>
            <w:r>
              <w:rPr/>
              <w:t>Approvals Service</w:t>
            </w:r>
          </w:p>
        </w:tc>
        <w:tc>
          <w:tcPr>
            <w:tcW w:w="3120" w:type="dxa"/>
            <w:tcBorders>
              <w:top w:val="single" w:sz="4" w:space="0" w:color="000000"/>
              <w:start w:val="single" w:sz="4" w:space="0" w:color="000000"/>
              <w:bottom w:val="single" w:sz="4" w:space="0" w:color="000000"/>
              <w:end w:val="single" w:sz="4" w:space="0" w:color="000000"/>
            </w:tcBorders>
            <w:tcMar>
              <w:top w:w="0" w:type="dxa"/>
              <w:start w:w="108" w:type="dxa"/>
              <w:bottom w:w="0" w:type="dxa"/>
              <w:end w:w="108" w:type="dxa"/>
            </w:tcMar>
          </w:tcPr>
          <w:p>
            <w:pPr>
              <w:pStyle w:val="Normal"/>
              <w:rPr/>
            </w:pPr>
            <w:r>
              <w:rPr/>
              <w:t>Maximum daily GBP spend per user. Default: 5000.</w:t>
            </w:r>
          </w:p>
        </w:tc>
      </w:tr>
      <w:tr>
        <w:trPr/>
        <w:tc>
          <w:tcPr>
            <w:tcW w:w="3120" w:type="dxa"/>
            <w:gridSpan w:val="2"/>
            <w:tcBorders>
              <w:top w:val="single" w:sz="4" w:space="0" w:color="000000"/>
              <w:start w:val="single" w:sz="4" w:space="0" w:color="000000"/>
              <w:bottom w:val="single" w:sz="4" w:space="0" w:color="000000"/>
              <w:end w:val="single" w:sz="4" w:space="0" w:color="000000"/>
            </w:tcBorders>
            <w:tcMar>
              <w:top w:w="0" w:type="dxa"/>
              <w:start w:w="108" w:type="dxa"/>
              <w:bottom w:w="0" w:type="dxa"/>
              <w:end w:w="108" w:type="dxa"/>
            </w:tcMar>
          </w:tcPr>
          <w:p>
            <w:pPr>
              <w:pStyle w:val="Normal"/>
              <w:rPr/>
            </w:pPr>
            <w:r>
              <w:rPr/>
              <w:t>NOTIFICATION_RETRY_MAX</w:t>
            </w:r>
          </w:p>
        </w:tc>
        <w:tc>
          <w:tcPr>
            <w:tcW w:w="3120" w:type="dxa"/>
            <w:tcBorders>
              <w:top w:val="single" w:sz="4" w:space="0" w:color="000000"/>
              <w:start w:val="single" w:sz="4" w:space="0" w:color="000000"/>
              <w:bottom w:val="single" w:sz="4" w:space="0" w:color="000000"/>
              <w:end w:val="single" w:sz="4" w:space="0" w:color="000000"/>
            </w:tcBorders>
            <w:tcMar>
              <w:top w:w="0" w:type="dxa"/>
              <w:start w:w="108" w:type="dxa"/>
              <w:bottom w:w="0" w:type="dxa"/>
              <w:end w:w="108" w:type="dxa"/>
            </w:tcMar>
          </w:tcPr>
          <w:p>
            <w:pPr>
              <w:pStyle w:val="Normal"/>
              <w:rPr/>
            </w:pPr>
            <w:r>
              <w:rPr/>
              <w:t>Notification Service</w:t>
            </w:r>
          </w:p>
        </w:tc>
        <w:tc>
          <w:tcPr>
            <w:tcW w:w="3120" w:type="dxa"/>
            <w:tcBorders>
              <w:top w:val="single" w:sz="4" w:space="0" w:color="000000"/>
              <w:start w:val="single" w:sz="4" w:space="0" w:color="000000"/>
              <w:bottom w:val="single" w:sz="4" w:space="0" w:color="000000"/>
              <w:end w:val="single" w:sz="4" w:space="0" w:color="000000"/>
            </w:tcBorders>
            <w:tcMar>
              <w:top w:w="0" w:type="dxa"/>
              <w:start w:w="108" w:type="dxa"/>
              <w:bottom w:w="0" w:type="dxa"/>
              <w:end w:w="108" w:type="dxa"/>
            </w:tcMar>
          </w:tcPr>
          <w:p>
            <w:pPr>
              <w:pStyle w:val="Normal"/>
              <w:rPr/>
            </w:pPr>
            <w:r>
              <w:rPr/>
              <w:t>Max retry attempts per channel. Default: 3.</w:t>
            </w:r>
          </w:p>
        </w:tc>
      </w:tr>
      <w:tr>
        <w:trPr/>
        <w:tc>
          <w:tcPr>
            <w:tcW w:w="3120" w:type="dxa"/>
            <w:gridSpan w:val="2"/>
            <w:tcBorders>
              <w:top w:val="single" w:sz="4" w:space="0" w:color="000000"/>
              <w:start w:val="single" w:sz="4" w:space="0" w:color="000000"/>
              <w:bottom w:val="single" w:sz="4" w:space="0" w:color="000000"/>
              <w:end w:val="single" w:sz="4" w:space="0" w:color="000000"/>
            </w:tcBorders>
            <w:tcMar>
              <w:top w:w="0" w:type="dxa"/>
              <w:start w:w="108" w:type="dxa"/>
              <w:bottom w:w="0" w:type="dxa"/>
              <w:end w:w="108" w:type="dxa"/>
            </w:tcMar>
          </w:tcPr>
          <w:p>
            <w:pPr>
              <w:pStyle w:val="Normal"/>
              <w:rPr/>
            </w:pPr>
            <w:r>
              <w:rPr/>
              <w:t>VAPID_PUBLIC_KEY</w:t>
            </w:r>
          </w:p>
        </w:tc>
        <w:tc>
          <w:tcPr>
            <w:tcW w:w="3120" w:type="dxa"/>
            <w:tcBorders>
              <w:top w:val="single" w:sz="4" w:space="0" w:color="000000"/>
              <w:start w:val="single" w:sz="4" w:space="0" w:color="000000"/>
              <w:bottom w:val="single" w:sz="4" w:space="0" w:color="000000"/>
              <w:end w:val="single" w:sz="4" w:space="0" w:color="000000"/>
            </w:tcBorders>
            <w:tcMar>
              <w:top w:w="0" w:type="dxa"/>
              <w:start w:w="108" w:type="dxa"/>
              <w:bottom w:w="0" w:type="dxa"/>
              <w:end w:w="108" w:type="dxa"/>
            </w:tcMar>
          </w:tcPr>
          <w:p>
            <w:pPr>
              <w:pStyle w:val="Normal"/>
              <w:rPr/>
            </w:pPr>
            <w:r>
              <w:rPr/>
              <w:t>Notification Service</w:t>
            </w:r>
          </w:p>
        </w:tc>
        <w:tc>
          <w:tcPr>
            <w:tcW w:w="3120" w:type="dxa"/>
            <w:tcBorders>
              <w:top w:val="single" w:sz="4" w:space="0" w:color="000000"/>
              <w:start w:val="single" w:sz="4" w:space="0" w:color="000000"/>
              <w:bottom w:val="single" w:sz="4" w:space="0" w:color="000000"/>
              <w:end w:val="single" w:sz="4" w:space="0" w:color="000000"/>
            </w:tcBorders>
            <w:tcMar>
              <w:top w:w="0" w:type="dxa"/>
              <w:start w:w="108" w:type="dxa"/>
              <w:bottom w:w="0" w:type="dxa"/>
              <w:end w:w="108" w:type="dxa"/>
            </w:tcMar>
          </w:tcPr>
          <w:p>
            <w:pPr>
              <w:pStyle w:val="Normal"/>
              <w:rPr/>
            </w:pPr>
            <w:r>
              <w:rPr/>
              <w:t>VAPID public key for Web Push subscription verification.</w:t>
            </w:r>
          </w:p>
        </w:tc>
      </w:tr>
      <w:tr>
        <w:trPr/>
        <w:tc>
          <w:tcPr>
            <w:tcW w:w="3120" w:type="dxa"/>
            <w:gridSpan w:val="2"/>
            <w:tcBorders>
              <w:top w:val="single" w:sz="4" w:space="0" w:color="000000"/>
              <w:start w:val="single" w:sz="4" w:space="0" w:color="000000"/>
              <w:bottom w:val="single" w:sz="4" w:space="0" w:color="000000"/>
              <w:end w:val="single" w:sz="4" w:space="0" w:color="000000"/>
            </w:tcBorders>
            <w:tcMar>
              <w:top w:w="0" w:type="dxa"/>
              <w:start w:w="108" w:type="dxa"/>
              <w:bottom w:w="0" w:type="dxa"/>
              <w:end w:w="108" w:type="dxa"/>
            </w:tcMar>
          </w:tcPr>
          <w:p>
            <w:pPr>
              <w:pStyle w:val="Normal"/>
              <w:rPr/>
            </w:pPr>
            <w:r>
              <w:rPr/>
              <w:t>EMAIL_FROM_ADDRESS</w:t>
            </w:r>
          </w:p>
        </w:tc>
        <w:tc>
          <w:tcPr>
            <w:tcW w:w="3120" w:type="dxa"/>
            <w:tcBorders>
              <w:top w:val="single" w:sz="4" w:space="0" w:color="000000"/>
              <w:start w:val="single" w:sz="4" w:space="0" w:color="000000"/>
              <w:bottom w:val="single" w:sz="4" w:space="0" w:color="000000"/>
              <w:end w:val="single" w:sz="4" w:space="0" w:color="000000"/>
            </w:tcBorders>
            <w:tcMar>
              <w:top w:w="0" w:type="dxa"/>
              <w:start w:w="108" w:type="dxa"/>
              <w:bottom w:w="0" w:type="dxa"/>
              <w:end w:w="108" w:type="dxa"/>
            </w:tcMar>
          </w:tcPr>
          <w:p>
            <w:pPr>
              <w:pStyle w:val="Normal"/>
              <w:rPr/>
            </w:pPr>
            <w:r>
              <w:rPr/>
              <w:t>Notification Service</w:t>
            </w:r>
          </w:p>
        </w:tc>
        <w:tc>
          <w:tcPr>
            <w:tcW w:w="3120" w:type="dxa"/>
            <w:tcBorders>
              <w:top w:val="single" w:sz="4" w:space="0" w:color="000000"/>
              <w:start w:val="single" w:sz="4" w:space="0" w:color="000000"/>
              <w:bottom w:val="single" w:sz="4" w:space="0" w:color="000000"/>
              <w:end w:val="single" w:sz="4" w:space="0" w:color="000000"/>
            </w:tcBorders>
            <w:tcMar>
              <w:top w:w="0" w:type="dxa"/>
              <w:start w:w="108" w:type="dxa"/>
              <w:bottom w:w="0" w:type="dxa"/>
              <w:end w:w="108" w:type="dxa"/>
            </w:tcMar>
          </w:tcPr>
          <w:p>
            <w:pPr>
              <w:pStyle w:val="Normal"/>
              <w:rPr/>
            </w:pPr>
            <w:r>
              <w:rPr/>
              <w:t>From address for SendGrid transactional email.</w:t>
            </w:r>
          </w:p>
        </w:tc>
      </w:tr>
      <w:tr>
        <w:trPr/>
        <w:tc>
          <w:tcPr>
            <w:tcW w:w="3120" w:type="dxa"/>
            <w:gridSpan w:val="2"/>
            <w:tcBorders>
              <w:top w:val="single" w:sz="4" w:space="0" w:color="000000"/>
              <w:start w:val="single" w:sz="4" w:space="0" w:color="000000"/>
              <w:bottom w:val="single" w:sz="4" w:space="0" w:color="000000"/>
              <w:end w:val="single" w:sz="4" w:space="0" w:color="000000"/>
            </w:tcBorders>
            <w:tcMar>
              <w:top w:w="0" w:type="dxa"/>
              <w:start w:w="108" w:type="dxa"/>
              <w:bottom w:w="0" w:type="dxa"/>
              <w:end w:w="108" w:type="dxa"/>
            </w:tcMar>
          </w:tcPr>
          <w:p>
            <w:pPr>
              <w:pStyle w:val="Normal"/>
              <w:rPr/>
            </w:pPr>
            <w:r>
              <w:rPr/>
              <w:t>SLACK_WEBHOOK_URL</w:t>
            </w:r>
          </w:p>
        </w:tc>
        <w:tc>
          <w:tcPr>
            <w:tcW w:w="3120" w:type="dxa"/>
            <w:tcBorders>
              <w:top w:val="single" w:sz="4" w:space="0" w:color="000000"/>
              <w:start w:val="single" w:sz="4" w:space="0" w:color="000000"/>
              <w:bottom w:val="single" w:sz="4" w:space="0" w:color="000000"/>
              <w:end w:val="single" w:sz="4" w:space="0" w:color="000000"/>
            </w:tcBorders>
            <w:tcMar>
              <w:top w:w="0" w:type="dxa"/>
              <w:start w:w="108" w:type="dxa"/>
              <w:bottom w:w="0" w:type="dxa"/>
              <w:end w:w="108" w:type="dxa"/>
            </w:tcMar>
          </w:tcPr>
          <w:p>
            <w:pPr>
              <w:pStyle w:val="Normal"/>
              <w:rPr/>
            </w:pPr>
            <w:r>
              <w:rPr/>
              <w:t>Jobs Service</w:t>
            </w:r>
          </w:p>
        </w:tc>
        <w:tc>
          <w:tcPr>
            <w:tcW w:w="3120" w:type="dxa"/>
            <w:tcBorders>
              <w:top w:val="single" w:sz="4" w:space="0" w:color="000000"/>
              <w:start w:val="single" w:sz="4" w:space="0" w:color="000000"/>
              <w:bottom w:val="single" w:sz="4" w:space="0" w:color="000000"/>
              <w:end w:val="single" w:sz="4" w:space="0" w:color="000000"/>
            </w:tcBorders>
            <w:tcMar>
              <w:top w:w="0" w:type="dxa"/>
              <w:start w:w="108" w:type="dxa"/>
              <w:bottom w:w="0" w:type="dxa"/>
              <w:end w:w="108" w:type="dxa"/>
            </w:tcMar>
          </w:tcPr>
          <w:p>
            <w:pPr>
              <w:pStyle w:val="Normal"/>
              <w:rPr/>
            </w:pPr>
            <w:r>
              <w:rPr/>
              <w:t>Webhook for critical alerting. Optional.</w:t>
            </w:r>
          </w:p>
        </w:tc>
      </w:tr>
      <w:tr>
        <w:trPr/>
        <w:tc>
          <w:tcPr>
            <w:tcW w:w="3120" w:type="dxa"/>
            <w:gridSpan w:val="2"/>
            <w:tcBorders>
              <w:top w:val="single" w:sz="4" w:space="0" w:color="000000"/>
              <w:start w:val="single" w:sz="4" w:space="0" w:color="000000"/>
              <w:bottom w:val="single" w:sz="4" w:space="0" w:color="000000"/>
              <w:end w:val="single" w:sz="4" w:space="0" w:color="000000"/>
            </w:tcBorders>
            <w:tcMar>
              <w:top w:w="0" w:type="dxa"/>
              <w:start w:w="108" w:type="dxa"/>
              <w:bottom w:w="0" w:type="dxa"/>
              <w:end w:w="108" w:type="dxa"/>
            </w:tcMar>
          </w:tcPr>
          <w:p>
            <w:pPr>
              <w:pStyle w:val="Normal"/>
              <w:rPr/>
            </w:pPr>
            <w:r>
              <w:rPr/>
              <w:t>PAGERDUTY_INTEGRATION_KEY</w:t>
            </w:r>
          </w:p>
        </w:tc>
        <w:tc>
          <w:tcPr>
            <w:tcW w:w="3120" w:type="dxa"/>
            <w:tcBorders>
              <w:top w:val="single" w:sz="4" w:space="0" w:color="000000"/>
              <w:start w:val="single" w:sz="4" w:space="0" w:color="000000"/>
              <w:bottom w:val="single" w:sz="4" w:space="0" w:color="000000"/>
              <w:end w:val="single" w:sz="4" w:space="0" w:color="000000"/>
            </w:tcBorders>
            <w:tcMar>
              <w:top w:w="0" w:type="dxa"/>
              <w:start w:w="108" w:type="dxa"/>
              <w:bottom w:w="0" w:type="dxa"/>
              <w:end w:w="108" w:type="dxa"/>
            </w:tcMar>
          </w:tcPr>
          <w:p>
            <w:pPr>
              <w:pStyle w:val="Normal"/>
              <w:rPr/>
            </w:pPr>
            <w:r>
              <w:rPr/>
              <w:t>Jobs Service</w:t>
            </w:r>
          </w:p>
        </w:tc>
        <w:tc>
          <w:tcPr>
            <w:tcW w:w="3120" w:type="dxa"/>
            <w:tcBorders>
              <w:top w:val="single" w:sz="4" w:space="0" w:color="000000"/>
              <w:start w:val="single" w:sz="4" w:space="0" w:color="000000"/>
              <w:bottom w:val="single" w:sz="4" w:space="0" w:color="000000"/>
              <w:end w:val="single" w:sz="4" w:space="0" w:color="000000"/>
            </w:tcBorders>
            <w:tcMar>
              <w:top w:w="0" w:type="dxa"/>
              <w:start w:w="108" w:type="dxa"/>
              <w:bottom w:w="0" w:type="dxa"/>
              <w:end w:w="108" w:type="dxa"/>
            </w:tcMar>
          </w:tcPr>
          <w:p>
            <w:pPr>
              <w:pStyle w:val="Normal"/>
              <w:rPr/>
            </w:pPr>
            <w:r>
              <w:rPr/>
              <w:t>PagerDuty Events API v2 integration key. Optional.</w:t>
            </w:r>
          </w:p>
        </w:tc>
      </w:tr>
    </w:tbl>
    <w:p>
      <w:pPr>
        <w:pStyle w:val="Normal"/>
        <w:spacing w:before="0" w:after="0"/>
        <w:rPr/>
      </w:pPr>
      <w:r>
        <w:rPr/>
      </w:r>
    </w:p>
    <w:p>
      <w:pPr>
        <w:pStyle w:val="Normal"/>
        <w:pBdr>
          <w:top w:val="single" w:sz="4" w:space="8" w:color="1A56DB"/>
        </w:pBdr>
        <w:spacing w:before="80" w:after="40"/>
        <w:jc w:val="center"/>
        <w:rPr/>
      </w:pPr>
      <w:r>
        <w:rPr>
          <w:rFonts w:eastAsia="Arial" w:cs="Arial"/>
          <w:i/>
          <w:iCs/>
          <w:color w:val="5D6D7E"/>
          <w:sz w:val="18"/>
          <w:szCs w:val="18"/>
        </w:rPr>
        <w:t>ArbitrageIQ TDD v0.5.1 — TDD-ARBIQ-001 — CONFIDENTIAL — © 2026</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Courier New">
    <w:charset w:val="01" w:characterSet="utf-8"/>
    <w:family w:val="roman"/>
    <w:pitch w:val="variable"/>
  </w:font>
  <w:font w:name="Symbol">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OpenSymbol" w:hAnsi="OpenSymbol" w:cs="OpenSymbol" w:hint="default"/>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OpenSymbol" w:hAnsi="OpenSymbol" w:cs="OpenSymbol" w:hint="default"/>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2"/>
    <w:lvlOverride w:ilvl="0">
      <w:startOverride w:val="1"/>
    </w:lvlOverride>
  </w:num>
</w:numbering>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GB"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Arial" w:hAnsi="Arial" w:eastAsia="Arial" w:cs="Arial"/>
      <w:color w:val="auto"/>
      <w:kern w:val="0"/>
      <w:sz w:val="22"/>
      <w:szCs w:val="22"/>
      <w:lang w:val="en-GB" w:eastAsia="zh-CN" w:bidi="hi-IN"/>
    </w:rPr>
  </w:style>
  <w:style w:type="paragraph" w:styleId="Heading1">
    <w:name w:val="heading 1"/>
    <w:basedOn w:val="Heading"/>
    <w:qFormat/>
    <w:pPr>
      <w:spacing w:before="360" w:after="160"/>
      <w:outlineLvl w:val="0"/>
    </w:pPr>
    <w:rPr>
      <w:rFonts w:ascii="Arial" w:hAnsi="Arial" w:eastAsia="Arial" w:cs="Arial"/>
      <w:b/>
      <w:bCs/>
      <w:color w:val="1A56DB"/>
      <w:sz w:val="32"/>
      <w:szCs w:val="32"/>
    </w:rPr>
  </w:style>
  <w:style w:type="paragraph" w:styleId="Heading2">
    <w:name w:val="heading 2"/>
    <w:basedOn w:val="Heading"/>
    <w:qFormat/>
    <w:pPr>
      <w:spacing w:before="280" w:after="100"/>
      <w:outlineLvl w:val="1"/>
    </w:pPr>
    <w:rPr>
      <w:rFonts w:ascii="Arial" w:hAnsi="Arial" w:eastAsia="Arial" w:cs="Arial"/>
      <w:b/>
      <w:bCs/>
      <w:color w:val="1A1A2E"/>
      <w:sz w:val="26"/>
      <w:szCs w:val="26"/>
    </w:rPr>
  </w:style>
  <w:style w:type="paragraph" w:styleId="Heading3">
    <w:name w:val="heading 3"/>
    <w:basedOn w:val="Heading"/>
    <w:qFormat/>
    <w:pPr>
      <w:spacing w:before="200" w:after="80"/>
      <w:outlineLvl w:val="2"/>
    </w:pPr>
    <w:rPr>
      <w:rFonts w:ascii="Arial" w:hAnsi="Arial" w:eastAsia="Arial" w:cs="Arial"/>
      <w:b/>
      <w:bCs/>
      <w:color w:val="1A56DB"/>
      <w:sz w:val="22"/>
      <w:szCs w:val="22"/>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user">
    <w:name w:val="Endnote Characters (user)"/>
    <w:uiPriority w:val="99"/>
    <w:semiHidden/>
    <w:unhideWhenUsed/>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start"/>
    </w:pPr>
    <w:rPr>
      <w:rFonts w:ascii="Arial" w:hAnsi="Arial" w:eastAsia="Arial" w:cs="Arial"/>
      <w:b/>
      <w:bCs/>
      <w:color w:val="auto"/>
      <w:kern w:val="0"/>
      <w:sz w:val="22"/>
      <w:szCs w:val="22"/>
      <w:lang w:val="en-GB" w:eastAsia="zh-CN" w:bidi="hi-IN"/>
    </w:rPr>
  </w:style>
  <w:style w:type="paragraph" w:styleId="ListParagraph">
    <w:name w:val="List Paragraph"/>
    <w:qFormat/>
    <w:pPr>
      <w:widowControl/>
      <w:suppressAutoHyphens w:val="true"/>
      <w:bidi w:val="0"/>
      <w:spacing w:before="0" w:after="0"/>
      <w:jc w:val="start"/>
    </w:pPr>
    <w:rPr>
      <w:rFonts w:ascii="Arial" w:hAnsi="Arial" w:eastAsia="Arial" w:cs="Arial"/>
      <w:color w:val="auto"/>
      <w:kern w:val="0"/>
      <w:sz w:val="22"/>
      <w:szCs w:val="22"/>
      <w:lang w:val="en-GB"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42</TotalTime>
  <Application>LibreOffice/26.2.3.2$Linux_X86_64 LibreOffice_project/620$Build-2</Application>
  <AppVersion>15.0000</AppVersion>
  <Pages>55</Pages>
  <Words>11960</Words>
  <Characters>78548</Characters>
  <CharactersWithSpaces>88617</CharactersWithSpaces>
  <Paragraphs>2117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2026-06-02T21:29:37Z</dcterms:created>
  <dc:creator>Un-named</dc:creator>
  <dc:description/>
  <dc:language>en-GB</dc:language>
  <cp:lastModifiedBy/>
  <dcterms:modified xsi:type="dcterms:W3CDTF">2026-06-03T17:28:28Z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