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896A3" w14:textId="77777777" w:rsidR="00FB7492" w:rsidRPr="00FB7492" w:rsidRDefault="00FB7492" w:rsidP="00FB7492">
      <w:pPr>
        <w:pStyle w:val="Title"/>
        <w:jc w:val="center"/>
      </w:pPr>
      <w:r w:rsidRPr="00FB7492">
        <w:t>Psychological Interventions for</w:t>
      </w:r>
    </w:p>
    <w:p w14:paraId="63B7A2A9" w14:textId="77777777" w:rsidR="00FB7492" w:rsidRPr="00FB7492" w:rsidRDefault="00FB7492" w:rsidP="00FB7492">
      <w:pPr>
        <w:pStyle w:val="Title"/>
        <w:jc w:val="center"/>
      </w:pPr>
      <w:r w:rsidRPr="00FB7492">
        <w:t>Functional Neurological Disorders (FND):</w:t>
      </w:r>
    </w:p>
    <w:p w14:paraId="153417D9" w14:textId="16E8171F" w:rsidR="00FB7492" w:rsidRDefault="00FB7492" w:rsidP="00FB7492">
      <w:pPr>
        <w:pStyle w:val="Title"/>
        <w:jc w:val="center"/>
      </w:pPr>
      <w:r w:rsidRPr="00FB7492">
        <w:t>Meta-Analyses &amp; Future Directions</w:t>
      </w:r>
    </w:p>
    <w:p w14:paraId="25B9E45A" w14:textId="30325002" w:rsidR="00FB7492" w:rsidRPr="00FB7492" w:rsidRDefault="00FB7492" w:rsidP="00FB7492">
      <w:pPr>
        <w:pStyle w:val="Heading1"/>
      </w:pPr>
      <w:r w:rsidRPr="00FB7492">
        <w:t>Introduction</w:t>
      </w:r>
    </w:p>
    <w:p w14:paraId="677A2763" w14:textId="77777777" w:rsidR="00FB7492" w:rsidRPr="00FB7492" w:rsidRDefault="00FB7492" w:rsidP="00FB7492">
      <w:pPr>
        <w:numPr>
          <w:ilvl w:val="0"/>
          <w:numId w:val="1"/>
        </w:numPr>
      </w:pPr>
      <w:r w:rsidRPr="00FB7492">
        <w:rPr>
          <w:b/>
          <w:bCs/>
        </w:rPr>
        <w:t>Functional Dissociative Seizures (FDS):</w:t>
      </w:r>
      <w:r w:rsidRPr="00FB7492">
        <w:t xml:space="preserve"> can be conceptualised as an involuntary response to internal or external triggers associated with dysfunctional emotion regulation. These are also at times referred to as non-epileptic seizures or non-epileptic attacks.</w:t>
      </w:r>
    </w:p>
    <w:p w14:paraId="5445E0DF" w14:textId="77777777" w:rsidR="00FB7492" w:rsidRPr="00FB7492" w:rsidRDefault="00FB7492" w:rsidP="00FB7492">
      <w:pPr>
        <w:numPr>
          <w:ilvl w:val="0"/>
          <w:numId w:val="1"/>
        </w:numPr>
      </w:pPr>
      <w:r w:rsidRPr="00FB7492">
        <w:rPr>
          <w:b/>
          <w:bCs/>
        </w:rPr>
        <w:t>Treatment:</w:t>
      </w:r>
      <w:r w:rsidRPr="00FB7492">
        <w:t xml:space="preserve"> Psychological interventions, such as Cognitive Behavioural Therapy (CBT), Psychodynamic psychotherapy and Acceptance and Commitment Therapy (ACT), are the most commonly recommended treatments for adults presenting with FDS.</w:t>
      </w:r>
    </w:p>
    <w:p w14:paraId="7898DE6B" w14:textId="19BBE1C4" w:rsidR="00FB7492" w:rsidRPr="00FB7492" w:rsidRDefault="00FB7492" w:rsidP="00FB7492">
      <w:pPr>
        <w:numPr>
          <w:ilvl w:val="0"/>
          <w:numId w:val="1"/>
        </w:numPr>
      </w:pPr>
      <w:r w:rsidRPr="00FB7492">
        <w:t>Although a range of trials have been published in this area, there is still uncertainty regarding:</w:t>
      </w:r>
    </w:p>
    <w:p w14:paraId="3D30EFC3" w14:textId="77777777" w:rsidR="00FB7492" w:rsidRPr="00FB7492" w:rsidRDefault="00FB7492" w:rsidP="00FB7492">
      <w:pPr>
        <w:numPr>
          <w:ilvl w:val="0"/>
          <w:numId w:val="2"/>
        </w:numPr>
      </w:pPr>
      <w:r w:rsidRPr="00FB7492">
        <w:t>How effective psychological treatments are for FDS</w:t>
      </w:r>
    </w:p>
    <w:p w14:paraId="196AD20D" w14:textId="77777777" w:rsidR="00FB7492" w:rsidRPr="00FB7492" w:rsidRDefault="00FB7492" w:rsidP="00FB7492">
      <w:pPr>
        <w:numPr>
          <w:ilvl w:val="0"/>
          <w:numId w:val="2"/>
        </w:numPr>
      </w:pPr>
      <w:r w:rsidRPr="00FB7492">
        <w:t>What treatment conditions are most conducive to treatment effectiveness (i.e., group vs individual therapy, the use of different therapeutic modalities)</w:t>
      </w:r>
    </w:p>
    <w:p w14:paraId="3208F7C4" w14:textId="77777777" w:rsidR="00FB7492" w:rsidRPr="00FB7492" w:rsidRDefault="00FB7492" w:rsidP="00FB7492">
      <w:pPr>
        <w:numPr>
          <w:ilvl w:val="0"/>
          <w:numId w:val="2"/>
        </w:numPr>
      </w:pPr>
      <w:r w:rsidRPr="00FB7492">
        <w:t>Who is more likely to benefit from therapy</w:t>
      </w:r>
    </w:p>
    <w:p w14:paraId="1D15F924" w14:textId="77777777" w:rsidR="00FB7492" w:rsidRPr="00FB7492" w:rsidRDefault="00FB7492" w:rsidP="00FB7492">
      <w:pPr>
        <w:numPr>
          <w:ilvl w:val="0"/>
          <w:numId w:val="2"/>
        </w:numPr>
      </w:pPr>
      <w:r w:rsidRPr="00FB7492">
        <w:t>How durable clinical improvements are following treatment completion</w:t>
      </w:r>
    </w:p>
    <w:p w14:paraId="6F0392DF" w14:textId="77777777" w:rsidR="00FB7492" w:rsidRDefault="00FB7492" w:rsidP="00FB7492">
      <w:pPr>
        <w:numPr>
          <w:ilvl w:val="0"/>
          <w:numId w:val="2"/>
        </w:numPr>
      </w:pPr>
      <w:r w:rsidRPr="00FB7492">
        <w:t>Which outcome measures are most sensitive to treatment-related change (i.e., seizure-related outcomes vs non-seizure related outcomes).</w:t>
      </w:r>
    </w:p>
    <w:p w14:paraId="4C89E901" w14:textId="77777777" w:rsidR="00FB7492" w:rsidRPr="00FB7492" w:rsidRDefault="00FB7492" w:rsidP="00FB7492"/>
    <w:p w14:paraId="1B518221" w14:textId="5691ED7E" w:rsidR="00FB7492" w:rsidRPr="00FB7492" w:rsidRDefault="00FB7492" w:rsidP="00FB7492">
      <w:r w:rsidRPr="00FB7492">
        <w:t>We set out to address these questions via a systematic review of the evidence and a series of meta-analytic analyses.</w:t>
      </w:r>
    </w:p>
    <w:p w14:paraId="1799E5AE" w14:textId="77777777" w:rsidR="00FB7492" w:rsidRPr="00FB7492" w:rsidRDefault="00FB7492" w:rsidP="00FB7492">
      <w:pPr>
        <w:pStyle w:val="Heading1"/>
      </w:pPr>
      <w:r w:rsidRPr="00FB7492">
        <w:t>Methods</w:t>
      </w:r>
    </w:p>
    <w:p w14:paraId="060D0DB8" w14:textId="5F415B60" w:rsidR="00FB7492" w:rsidRPr="00FB7492" w:rsidRDefault="00FB7492" w:rsidP="00FB7492">
      <w:pPr>
        <w:numPr>
          <w:ilvl w:val="0"/>
          <w:numId w:val="3"/>
        </w:numPr>
      </w:pPr>
      <w:r w:rsidRPr="00FB7492">
        <w:t xml:space="preserve">Our reviews </w:t>
      </w:r>
      <w:r>
        <w:t>(G</w:t>
      </w:r>
      <w:r w:rsidRPr="00FB7492">
        <w:t>askell</w:t>
      </w:r>
      <w:r>
        <w:t xml:space="preserve"> et al., </w:t>
      </w:r>
      <w:r w:rsidRPr="00FB7492">
        <w:t xml:space="preserve">2023; </w:t>
      </w:r>
      <w:r>
        <w:t xml:space="preserve">Gaskell et al., </w:t>
      </w:r>
      <w:r w:rsidRPr="00FB7492">
        <w:t>2024</w:t>
      </w:r>
      <w:r>
        <w:t xml:space="preserve">) </w:t>
      </w:r>
      <w:r w:rsidRPr="00FB7492">
        <w:t>followed PRISMA guidelines for systematic reviews and meta-analyses.</w:t>
      </w:r>
    </w:p>
    <w:p w14:paraId="3DD40697" w14:textId="77777777" w:rsidR="00FB7492" w:rsidRPr="00FB7492" w:rsidRDefault="00FB7492" w:rsidP="00FB7492">
      <w:pPr>
        <w:numPr>
          <w:ilvl w:val="0"/>
          <w:numId w:val="3"/>
        </w:numPr>
      </w:pPr>
      <w:r w:rsidRPr="00FB7492">
        <w:t xml:space="preserve">A systematic search of four electronic databases (CINAHL, </w:t>
      </w:r>
      <w:proofErr w:type="spellStart"/>
      <w:r w:rsidRPr="00FB7492">
        <w:t>PsychINFO</w:t>
      </w:r>
      <w:proofErr w:type="spellEnd"/>
      <w:r w:rsidRPr="00FB7492">
        <w:t>, Medline, and Cochrane Reviews) to identify relevant articles in February 2022, with a repeat search in 2023 to allow for additional analyses.</w:t>
      </w:r>
    </w:p>
    <w:p w14:paraId="0A0D91EB" w14:textId="77777777" w:rsidR="00FB7492" w:rsidRPr="00FB7492" w:rsidRDefault="00FB7492" w:rsidP="00FB7492">
      <w:pPr>
        <w:numPr>
          <w:ilvl w:val="0"/>
          <w:numId w:val="3"/>
        </w:numPr>
      </w:pPr>
      <w:r w:rsidRPr="00FB7492">
        <w:t>Studies must have included adults with FDS receiving any form of psychological therapy and where self-reported outcome measures were administered to measure treatment effectiveness.</w:t>
      </w:r>
    </w:p>
    <w:p w14:paraId="45A3ADA7" w14:textId="77777777" w:rsidR="00FB7492" w:rsidRPr="00FB7492" w:rsidRDefault="00FB7492" w:rsidP="00FB7492">
      <w:pPr>
        <w:numPr>
          <w:ilvl w:val="0"/>
          <w:numId w:val="3"/>
        </w:numPr>
      </w:pPr>
      <w:r w:rsidRPr="00FB7492">
        <w:t>Risk of Bias (</w:t>
      </w:r>
      <w:proofErr w:type="spellStart"/>
      <w:r w:rsidRPr="00FB7492">
        <w:t>RoB</w:t>
      </w:r>
      <w:proofErr w:type="spellEnd"/>
      <w:r w:rsidRPr="00FB7492">
        <w:t>) was assessed using the Cochrane Collaboration tool for assessing risk of bias (ROB-2).</w:t>
      </w:r>
    </w:p>
    <w:p w14:paraId="3349ABDF" w14:textId="77777777" w:rsidR="00FB7492" w:rsidRPr="00FB7492" w:rsidRDefault="00FB7492" w:rsidP="00FB7492">
      <w:pPr>
        <w:numPr>
          <w:ilvl w:val="0"/>
          <w:numId w:val="3"/>
        </w:numPr>
      </w:pPr>
      <w:r w:rsidRPr="00FB7492">
        <w:t>The quality of evidence was further assessed using the Grading of Recommendations Assessment, Development, and Evaluation (GRADE) approach.</w:t>
      </w:r>
    </w:p>
    <w:p w14:paraId="2C535970" w14:textId="77777777" w:rsidR="00FB7492" w:rsidRPr="00FB7492" w:rsidRDefault="00FB7492" w:rsidP="00FB7492">
      <w:pPr>
        <w:numPr>
          <w:ilvl w:val="0"/>
          <w:numId w:val="3"/>
        </w:numPr>
      </w:pPr>
      <w:r w:rsidRPr="00FB7492">
        <w:t xml:space="preserve">All analyses were conducted in R using the </w:t>
      </w:r>
      <w:proofErr w:type="spellStart"/>
      <w:r w:rsidRPr="00FB7492">
        <w:t>metafor</w:t>
      </w:r>
      <w:proofErr w:type="spellEnd"/>
      <w:r w:rsidRPr="00FB7492">
        <w:t xml:space="preserve"> [@metafor] package.</w:t>
      </w:r>
    </w:p>
    <w:p w14:paraId="149AE5D9" w14:textId="77777777" w:rsidR="00FB7492" w:rsidRPr="00FB7492" w:rsidRDefault="00FB7492" w:rsidP="00FB7492">
      <w:pPr>
        <w:pStyle w:val="Heading1"/>
      </w:pPr>
      <w:r w:rsidRPr="00FB7492">
        <w:lastRenderedPageBreak/>
        <w:t>Results</w:t>
      </w:r>
    </w:p>
    <w:p w14:paraId="1570663D" w14:textId="77777777" w:rsidR="00FB7492" w:rsidRPr="00FB7492" w:rsidRDefault="00FB7492" w:rsidP="00FB7492">
      <w:pPr>
        <w:numPr>
          <w:ilvl w:val="0"/>
          <w:numId w:val="4"/>
        </w:numPr>
      </w:pPr>
      <w:r w:rsidRPr="00FB7492">
        <w:t>Data from up to 1300 individuals with FDS across 44 studies were analysed.</w:t>
      </w:r>
    </w:p>
    <w:p w14:paraId="140EF2AD" w14:textId="77777777" w:rsidR="00FB7492" w:rsidRPr="00FB7492" w:rsidRDefault="00FB7492" w:rsidP="00FB7492">
      <w:pPr>
        <w:numPr>
          <w:ilvl w:val="0"/>
          <w:numId w:val="4"/>
        </w:numPr>
      </w:pPr>
      <w:r w:rsidRPr="00FB7492">
        <w:t>Data points for 171 non-</w:t>
      </w:r>
      <w:proofErr w:type="gramStart"/>
      <w:r w:rsidRPr="00FB7492">
        <w:t>seizure</w:t>
      </w:r>
      <w:proofErr w:type="gramEnd"/>
      <w:r w:rsidRPr="00FB7492">
        <w:t xml:space="preserve"> related and 135 seizure-related outcomes were analysed.</w:t>
      </w:r>
    </w:p>
    <w:p w14:paraId="1C809963" w14:textId="77777777" w:rsidR="00FB7492" w:rsidRPr="00FB7492" w:rsidRDefault="00FB7492" w:rsidP="00FB7492">
      <w:pPr>
        <w:numPr>
          <w:ilvl w:val="0"/>
          <w:numId w:val="4"/>
        </w:numPr>
      </w:pPr>
      <w:r w:rsidRPr="00FB7492">
        <w:t>Seizure frequency was the commonest outcome measure; however, there is great variation in how this is measured.</w:t>
      </w:r>
    </w:p>
    <w:p w14:paraId="0C8929D5" w14:textId="77777777" w:rsidR="00FB7492" w:rsidRPr="00FB7492" w:rsidRDefault="00FB7492" w:rsidP="00FB7492">
      <w:pPr>
        <w:numPr>
          <w:ilvl w:val="0"/>
          <w:numId w:val="4"/>
        </w:numPr>
      </w:pPr>
      <w:r w:rsidRPr="00FB7492">
        <w:t xml:space="preserve">Most studies were </w:t>
      </w:r>
      <w:proofErr w:type="spellStart"/>
      <w:r w:rsidRPr="00FB7492">
        <w:t>catergorised</w:t>
      </w:r>
      <w:proofErr w:type="spellEnd"/>
      <w:r w:rsidRPr="00FB7492">
        <w:t xml:space="preserve"> as “high” or “medium” risk of bias.</w:t>
      </w:r>
    </w:p>
    <w:p w14:paraId="05169312" w14:textId="77777777" w:rsidR="00FB7492" w:rsidRPr="00FB7492" w:rsidRDefault="00FB7492" w:rsidP="00FB7492">
      <w:pPr>
        <w:numPr>
          <w:ilvl w:val="0"/>
          <w:numId w:val="4"/>
        </w:numPr>
      </w:pPr>
      <w:r w:rsidRPr="00FB7492">
        <w:t>Meta-analyses were judged to be “low” quality based on GRADE criteria.</w:t>
      </w:r>
    </w:p>
    <w:p w14:paraId="4E14BFFA" w14:textId="77777777" w:rsidR="00FB7492" w:rsidRPr="00FB7492" w:rsidRDefault="00FB7492" w:rsidP="00FB7492">
      <w:pPr>
        <w:numPr>
          <w:ilvl w:val="0"/>
          <w:numId w:val="4"/>
        </w:numPr>
      </w:pPr>
      <w:r w:rsidRPr="00FB7492">
        <w:t xml:space="preserve">None of the included moderators were significant for seizure frequency; for non-seizure related outcomes, the focus of the measure (e.g., measure of functioning vs </w:t>
      </w:r>
      <w:proofErr w:type="spellStart"/>
      <w:r w:rsidRPr="00FB7492">
        <w:t>HRQoL</w:t>
      </w:r>
      <w:proofErr w:type="spellEnd"/>
      <w:r w:rsidRPr="00FB7492">
        <w:t>; Fig 1) and type of treatment significantly moderated the outcome.</w:t>
      </w:r>
    </w:p>
    <w:p w14:paraId="0D15BAA2" w14:textId="77777777" w:rsidR="00FB7492" w:rsidRPr="00FB7492" w:rsidRDefault="00FB7492" w:rsidP="00FB7492">
      <w:pPr>
        <w:numPr>
          <w:ilvl w:val="0"/>
          <w:numId w:val="4"/>
        </w:numPr>
      </w:pPr>
      <w:r w:rsidRPr="00FB7492">
        <w:t xml:space="preserve">Treatments with a behavioural focus were associated with greater outcomes, although the number of trials were limited. Age, gender, </w:t>
      </w:r>
      <w:proofErr w:type="spellStart"/>
      <w:r w:rsidRPr="00FB7492">
        <w:t>RoB</w:t>
      </w:r>
      <w:proofErr w:type="spellEnd"/>
      <w:r w:rsidRPr="00FB7492">
        <w:t xml:space="preserve"> or interventions characteristics (delivery format, delivery setting or treatment length) were not significant moderators.</w:t>
      </w:r>
    </w:p>
    <w:p w14:paraId="15A5800B" w14:textId="77777777" w:rsidR="00FB7492" w:rsidRPr="00FB7492" w:rsidRDefault="00FB7492" w:rsidP="00FB7492">
      <w:pPr>
        <w:numPr>
          <w:ilvl w:val="0"/>
          <w:numId w:val="4"/>
        </w:numPr>
      </w:pPr>
      <w:r w:rsidRPr="00FB7492">
        <w:t>Psychological interventions appear to be most effective for the reduction, as opposed to cessation, of seizure frequency.</w:t>
      </w:r>
    </w:p>
    <w:p w14:paraId="092DD967" w14:textId="77777777" w:rsidR="00FB7492" w:rsidRPr="00FB7492" w:rsidRDefault="00FB7492" w:rsidP="00FB7492">
      <w:pPr>
        <w:numPr>
          <w:ilvl w:val="0"/>
          <w:numId w:val="4"/>
        </w:numPr>
      </w:pPr>
      <w:r w:rsidRPr="00FB7492">
        <w:t>On the group level, treatment was associated with an improvement of 6.5 seizures per month.</w:t>
      </w:r>
    </w:p>
    <w:p w14:paraId="3D67B2C3" w14:textId="77777777" w:rsidR="00FB7492" w:rsidRPr="00FB7492" w:rsidRDefault="00FB7492" w:rsidP="00FB7492">
      <w:pPr>
        <w:pStyle w:val="Heading1"/>
      </w:pPr>
      <w:r w:rsidRPr="00FB7492">
        <w:t>Implications</w:t>
      </w:r>
    </w:p>
    <w:p w14:paraId="4E41B21D" w14:textId="77777777" w:rsidR="00FB7492" w:rsidRPr="00FB7492" w:rsidRDefault="00FB7492" w:rsidP="00FB7492">
      <w:pPr>
        <w:numPr>
          <w:ilvl w:val="0"/>
          <w:numId w:val="5"/>
        </w:numPr>
      </w:pPr>
      <w:r w:rsidRPr="00FB7492">
        <w:t>A reduction rather than cessation of FDS frequency is more likely following psychological therapy; these seem important goals to differentiate when counselling patients about the expected response to treatment.</w:t>
      </w:r>
    </w:p>
    <w:p w14:paraId="495AE31E" w14:textId="77777777" w:rsidR="00FB7492" w:rsidRPr="00FB7492" w:rsidRDefault="00FB7492" w:rsidP="00FB7492">
      <w:pPr>
        <w:numPr>
          <w:ilvl w:val="0"/>
          <w:numId w:val="5"/>
        </w:numPr>
      </w:pPr>
      <w:r w:rsidRPr="00FB7492">
        <w:t>The heterogeneity of outcomes and reporting detail limits the type of analyses we were able to perform.</w:t>
      </w:r>
    </w:p>
    <w:p w14:paraId="3EC7D4E8" w14:textId="77777777" w:rsidR="00FB7492" w:rsidRPr="00FB7492" w:rsidRDefault="00FB7492" w:rsidP="00FB7492">
      <w:pPr>
        <w:numPr>
          <w:ilvl w:val="0"/>
          <w:numId w:val="5"/>
        </w:numPr>
      </w:pPr>
      <w:r w:rsidRPr="00FB7492">
        <w:t>Research is required to identify how best to standardise methods, in particular the examination and reporting of seizure measurements.</w:t>
      </w:r>
    </w:p>
    <w:p w14:paraId="1D83FF76" w14:textId="27C92781" w:rsidR="00FB7492" w:rsidRPr="00FB7492" w:rsidRDefault="00FB7492" w:rsidP="00FB7492">
      <w:pPr>
        <w:pStyle w:val="Heading1"/>
      </w:pPr>
      <w:r w:rsidRPr="00FB7492">
        <w:t>Conclusions</w:t>
      </w:r>
    </w:p>
    <w:p w14:paraId="6BEC1B85" w14:textId="77777777" w:rsidR="00FB7492" w:rsidRPr="00FB7492" w:rsidRDefault="00FB7492" w:rsidP="00FB7492">
      <w:pPr>
        <w:numPr>
          <w:ilvl w:val="0"/>
          <w:numId w:val="6"/>
        </w:numPr>
      </w:pPr>
      <w:r w:rsidRPr="00FB7492">
        <w:t>This body of work represents the most comprehensive review of the data collected investigating psychological interventions for FDS.</w:t>
      </w:r>
    </w:p>
    <w:p w14:paraId="5BE8AC5C" w14:textId="77777777" w:rsidR="00FB7492" w:rsidRPr="00FB7492" w:rsidRDefault="00FB7492" w:rsidP="00FB7492">
      <w:pPr>
        <w:numPr>
          <w:ilvl w:val="0"/>
          <w:numId w:val="6"/>
        </w:numPr>
      </w:pPr>
      <w:r w:rsidRPr="00FB7492">
        <w:t>Findings suggest psychological treatments are associated with improvements in seizure-related and non-seizure-related outcomes.</w:t>
      </w:r>
    </w:p>
    <w:p w14:paraId="0829269C" w14:textId="77777777" w:rsidR="00FB7492" w:rsidRPr="00FB7492" w:rsidRDefault="00FB7492" w:rsidP="00FB7492">
      <w:pPr>
        <w:numPr>
          <w:ilvl w:val="0"/>
          <w:numId w:val="6"/>
        </w:numPr>
      </w:pPr>
      <w:r w:rsidRPr="00FB7492">
        <w:t>While several moderator analyses could be performed, these findings should be interpreted with caution recognising the limited amount of data that could be included and the observational nature of analyses.</w:t>
      </w:r>
    </w:p>
    <w:p w14:paraId="2DBAD257" w14:textId="77777777" w:rsidR="00FB7492" w:rsidRPr="00FB7492" w:rsidRDefault="00FB7492" w:rsidP="00FB7492">
      <w:pPr>
        <w:numPr>
          <w:ilvl w:val="0"/>
          <w:numId w:val="6"/>
        </w:numPr>
      </w:pPr>
      <w:r w:rsidRPr="00FB7492">
        <w:t>While there is a considerable number of trials, the variability in research methodologies and the reporting of findings hindered some attempts at collating the results.</w:t>
      </w:r>
    </w:p>
    <w:p w14:paraId="732418C3" w14:textId="77777777" w:rsidR="00FB7492" w:rsidRPr="00FB7492" w:rsidRDefault="00FB7492" w:rsidP="00FB7492">
      <w:pPr>
        <w:numPr>
          <w:ilvl w:val="0"/>
          <w:numId w:val="6"/>
        </w:numPr>
      </w:pPr>
      <w:r w:rsidRPr="00FB7492">
        <w:t>Further research on the most appropriate measure to capture treatment-related change in people with FDS is needed.</w:t>
      </w:r>
    </w:p>
    <w:p w14:paraId="6A47A920" w14:textId="0857ED2B" w:rsidR="003D6382" w:rsidRDefault="00FB7492" w:rsidP="00FB7492">
      <w:r w:rsidRPr="00FB7492">
        <w:fldChar w:fldCharType="begin"/>
      </w:r>
      <w:r w:rsidRPr="00FB7492">
        <w:instrText xml:space="preserve"> INCLUDEPICTURE "qr-effectiveness.png" \* MERGEFORMATINET </w:instrText>
      </w:r>
      <w:r w:rsidRPr="00FB7492">
        <w:fldChar w:fldCharType="separate"/>
      </w:r>
      <w:r w:rsidRPr="00FB7492">
        <mc:AlternateContent>
          <mc:Choice Requires="wps">
            <w:drawing>
              <wp:inline distT="0" distB="0" distL="0" distR="0" wp14:anchorId="74FB6ABE" wp14:editId="348F8181">
                <wp:extent cx="304800" cy="304800"/>
                <wp:effectExtent l="0" t="0" r="0" b="0"/>
                <wp:docPr id="958334328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9C3787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FB7492">
        <w:fldChar w:fldCharType="end"/>
      </w:r>
      <w:r w:rsidRPr="00FB7492">
        <w:fldChar w:fldCharType="begin"/>
      </w:r>
      <w:r w:rsidRPr="00FB7492">
        <w:instrText xml:space="preserve"> INCLUDEPICTURE "qr-seizure.png" \* MERGEFORMATINET </w:instrText>
      </w:r>
      <w:r w:rsidRPr="00FB7492">
        <w:fldChar w:fldCharType="separate"/>
      </w:r>
      <w:r w:rsidRPr="00FB7492">
        <mc:AlternateContent>
          <mc:Choice Requires="wps">
            <w:drawing>
              <wp:inline distT="0" distB="0" distL="0" distR="0" wp14:anchorId="6C3AF1EF" wp14:editId="0C8A4784">
                <wp:extent cx="304800" cy="304800"/>
                <wp:effectExtent l="0" t="0" r="0" b="0"/>
                <wp:docPr id="62810390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9B1E28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FB7492">
        <w:fldChar w:fldCharType="end"/>
      </w:r>
    </w:p>
    <w:sectPr w:rsidR="003D6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966E4"/>
    <w:multiLevelType w:val="multilevel"/>
    <w:tmpl w:val="EF0E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C08C9"/>
    <w:multiLevelType w:val="multilevel"/>
    <w:tmpl w:val="78B0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4721C"/>
    <w:multiLevelType w:val="multilevel"/>
    <w:tmpl w:val="E1E6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600F42"/>
    <w:multiLevelType w:val="multilevel"/>
    <w:tmpl w:val="F8A0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6D7133"/>
    <w:multiLevelType w:val="multilevel"/>
    <w:tmpl w:val="0B20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2A06E1"/>
    <w:multiLevelType w:val="multilevel"/>
    <w:tmpl w:val="1C22C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0367283">
    <w:abstractNumId w:val="4"/>
  </w:num>
  <w:num w:numId="2" w16cid:durableId="168447689">
    <w:abstractNumId w:val="5"/>
  </w:num>
  <w:num w:numId="3" w16cid:durableId="1876500839">
    <w:abstractNumId w:val="3"/>
  </w:num>
  <w:num w:numId="4" w16cid:durableId="299649291">
    <w:abstractNumId w:val="1"/>
  </w:num>
  <w:num w:numId="5" w16cid:durableId="1813670315">
    <w:abstractNumId w:val="0"/>
  </w:num>
  <w:num w:numId="6" w16cid:durableId="799417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492"/>
    <w:rsid w:val="003D6382"/>
    <w:rsid w:val="004B3C06"/>
    <w:rsid w:val="009C6A64"/>
    <w:rsid w:val="00FB7492"/>
    <w:rsid w:val="00FC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8D4C8"/>
  <w15:chartTrackingRefBased/>
  <w15:docId w15:val="{48E190C1-3EB8-1F4C-895D-D979EC72C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4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4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4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4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4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4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4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4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4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4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4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4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4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4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4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4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4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4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4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4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4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4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4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4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4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4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4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4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69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33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57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49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1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2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2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50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7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687</Words>
  <Characters>3917</Characters>
  <Application>Microsoft Office Word</Application>
  <DocSecurity>0</DocSecurity>
  <Lines>32</Lines>
  <Paragraphs>9</Paragraphs>
  <ScaleCrop>false</ScaleCrop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Gaskell</dc:creator>
  <cp:keywords/>
  <dc:description/>
  <cp:lastModifiedBy>Chris Gaskell</cp:lastModifiedBy>
  <cp:revision>1</cp:revision>
  <dcterms:created xsi:type="dcterms:W3CDTF">2024-10-24T16:19:00Z</dcterms:created>
  <dcterms:modified xsi:type="dcterms:W3CDTF">2024-10-24T16:24:00Z</dcterms:modified>
</cp:coreProperties>
</file>