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3E00" w14:textId="77777777" w:rsidR="0016079D" w:rsidRDefault="00B23CA6">
      <w:pPr>
        <w:pStyle w:val="Title"/>
      </w:pPr>
      <w:r>
        <w:t>The Effectiveness of Psychotherapy Delivered in Routine Care Settings: A Systematic Review and Meta-Analysis</w:t>
      </w:r>
    </w:p>
    <w:p w14:paraId="2CA63F52" w14:textId="77777777" w:rsidR="0016079D" w:rsidRDefault="00B23CA6">
      <w:pPr>
        <w:pStyle w:val="Author"/>
      </w:pPr>
      <w:r>
        <w:t>Chris Gaskell</w:t>
      </w:r>
    </w:p>
    <w:p w14:paraId="00D804E9" w14:textId="77777777" w:rsidR="0016079D" w:rsidRDefault="00B23CA6">
      <w:pPr>
        <w:pStyle w:val="Date"/>
      </w:pPr>
      <w:r>
        <w:t>2021-12-29</w:t>
      </w:r>
    </w:p>
    <w:p w14:paraId="7A410322" w14:textId="77777777" w:rsidR="0016079D" w:rsidRDefault="00B23CA6">
      <w:pPr>
        <w:pStyle w:val="Heading1"/>
      </w:pPr>
      <w:bookmarkStart w:id="0" w:name="Abstract"/>
      <w:r>
        <w:t>Abstract</w:t>
      </w:r>
    </w:p>
    <w:p w14:paraId="2B221ACD" w14:textId="77777777" w:rsidR="0016079D" w:rsidRDefault="00B23CA6">
      <w:pPr>
        <w:pStyle w:val="FirstParagraph"/>
      </w:pPr>
      <w:r>
        <w:rPr>
          <w:b/>
        </w:rPr>
        <w:t>Objective:</w:t>
      </w:r>
      <w:r>
        <w:t xml:space="preserve"> Most psychotherapy is delivered in naturalistic settings. There has been a substantial increase in recent decades in the amount of evidence generated by routine services and so this review sought to examine the effectiveness of routinely delivered psychological therapies.</w:t>
      </w:r>
    </w:p>
    <w:p w14:paraId="566AFB9E" w14:textId="77777777" w:rsidR="0016079D" w:rsidRDefault="00B23CA6">
      <w:pPr>
        <w:pStyle w:val="BodyText"/>
      </w:pPr>
      <w:r>
        <w:rPr>
          <w:b/>
        </w:rPr>
        <w:t>Method:</w:t>
      </w:r>
      <w:r>
        <w:t xml:space="preserve"> A pre-registered systematic-review and random-effects meta-analysis on studies meeting pre-specified inclusion criteria was conducted (CRD42020175235). Between-study heterogeneity was explored using methodological and clinical variables in univariate and multivariate moderator analyses.</w:t>
      </w:r>
    </w:p>
    <w:p w14:paraId="6143D1BC" w14:textId="77777777" w:rsidR="0016079D" w:rsidRDefault="00B23CA6">
      <w:pPr>
        <w:pStyle w:val="BodyText"/>
      </w:pPr>
      <w:r>
        <w:rPr>
          <w:b/>
        </w:rPr>
        <w:t>Results:</w:t>
      </w:r>
      <w:r>
        <w:t xml:space="preserve"> The systematic search identified 252 studies (</w:t>
      </w:r>
      <w:r>
        <w:rPr>
          <w:i/>
        </w:rPr>
        <w:t>k</w:t>
      </w:r>
      <w:r>
        <w:t xml:space="preserve"> = 298 samples), of which 223 (</w:t>
      </w:r>
      <w:r>
        <w:rPr>
          <w:i/>
        </w:rPr>
        <w:t>k</w:t>
      </w:r>
      <w:r>
        <w:t xml:space="preserve"> = 263 samples) were eligible for inclusion in the meta-analysis. Results showed large effects for depression (</w:t>
      </w:r>
      <w:r>
        <w:rPr>
          <w:i/>
        </w:rPr>
        <w:t>d</w:t>
      </w:r>
      <w:r>
        <w:t xml:space="preserve"> = 0.96, [CI 0.88-1.04], </w:t>
      </w:r>
      <w:r>
        <w:rPr>
          <w:i/>
        </w:rPr>
        <w:t>p</w:t>
      </w:r>
      <w:r>
        <w:t xml:space="preserve"> = &lt; 0.001, </w:t>
      </w:r>
      <w:r>
        <w:rPr>
          <w:i/>
        </w:rPr>
        <w:t>k</w:t>
      </w:r>
      <w:r>
        <w:t xml:space="preserve"> = 122), anxiety (</w:t>
      </w:r>
      <w:r>
        <w:rPr>
          <w:i/>
        </w:rPr>
        <w:t>d</w:t>
      </w:r>
      <w:r>
        <w:t xml:space="preserve"> = 0.8 [CI 0.71-0.9], </w:t>
      </w:r>
      <w:r>
        <w:rPr>
          <w:i/>
        </w:rPr>
        <w:t>p</w:t>
      </w:r>
      <w:r>
        <w:t xml:space="preserve"> = &lt; 0.001, </w:t>
      </w:r>
      <w:r>
        <w:rPr>
          <w:i/>
        </w:rPr>
        <w:t>k</w:t>
      </w:r>
      <w:r>
        <w:t xml:space="preserve"> = 69), and miscellaneous outcomes (</w:t>
      </w:r>
      <w:r>
        <w:rPr>
          <w:i/>
        </w:rPr>
        <w:t>d</w:t>
      </w:r>
      <w:r>
        <w:t xml:space="preserve"> = 1.01 [CI 0.93-1.09], </w:t>
      </w:r>
      <w:r>
        <w:rPr>
          <w:i/>
        </w:rPr>
        <w:t>p</w:t>
      </w:r>
      <w:r>
        <w:t xml:space="preserve"> = &lt; 0.001, </w:t>
      </w:r>
      <w:r>
        <w:rPr>
          <w:i/>
        </w:rPr>
        <w:t>k</w:t>
      </w:r>
      <w:r>
        <w:t xml:space="preserve"> = 158). Continent was the only significant moderator of treatment effects across all outcome domains.</w:t>
      </w:r>
    </w:p>
    <w:p w14:paraId="01D20460" w14:textId="77777777" w:rsidR="0016079D" w:rsidRDefault="00B23CA6">
      <w:pPr>
        <w:pStyle w:val="BodyText"/>
      </w:pPr>
      <w:r>
        <w:rPr>
          <w:b/>
        </w:rPr>
        <w:t>Conclusion:</w:t>
      </w:r>
      <w:r>
        <w:t xml:space="preserve"> This review provides support for the effectiveness of routinely delivered psychological therapy. Findings should be interpreted with caution due to the observational </w:t>
      </w:r>
      <w:r>
        <w:lastRenderedPageBreak/>
        <w:t>nature of effectiveness studies and also the marked heterogeneity shown across study designs and characteristics.</w:t>
      </w:r>
    </w:p>
    <w:p w14:paraId="70FE79A4" w14:textId="77777777" w:rsidR="0016079D" w:rsidRDefault="00B23CA6">
      <w:pPr>
        <w:pStyle w:val="BodyText"/>
      </w:pPr>
      <w:r>
        <w:rPr>
          <w:b/>
        </w:rPr>
        <w:t>Keywords:</w:t>
      </w:r>
      <w:r>
        <w:t xml:space="preserve"> ‘Psychotherapy,’ ‘Effectiveness,’ ‘Naturalistic,’ ‘Routine Outcomes,’ ‘Meta-analysis.’</w:t>
      </w:r>
    </w:p>
    <w:p w14:paraId="6D8D6D35" w14:textId="77777777" w:rsidR="0016079D" w:rsidRDefault="00B23CA6">
      <w:pPr>
        <w:pStyle w:val="BodyText"/>
      </w:pPr>
      <w:r>
        <w:rPr>
          <w:b/>
        </w:rPr>
        <w:t>Clinical Significance of this Article:</w:t>
      </w:r>
      <w:r>
        <w:t xml:space="preserve"> The present study is the most comprehensive systematic review and meta-analysis of outcome data from practice-based psychotherapy studies. Pooling data from various countries, clinical contexts, therapy modalities and outcome measures, this study provides robust evidence that routinely delivered psychological interventions are effective for the treatment of depression, anxiety and global psychological distress, with large effect sizes across these domains (</w:t>
      </w:r>
      <w:r>
        <w:rPr>
          <w:i/>
        </w:rPr>
        <w:t>d</w:t>
      </w:r>
      <w:r>
        <w:t xml:space="preserve"> &gt; .80). Psychological treatments delivered in naturalistic settings are broadly effective for the alleviation of common indicators of psychological distress.</w:t>
      </w:r>
    </w:p>
    <w:p w14:paraId="65A378EC" w14:textId="77777777" w:rsidR="0016079D" w:rsidRDefault="00B23CA6">
      <w:r>
        <w:br w:type="page"/>
      </w:r>
    </w:p>
    <w:p w14:paraId="4B62DA83" w14:textId="77777777" w:rsidR="0016079D" w:rsidRDefault="00B23CA6">
      <w:pPr>
        <w:pStyle w:val="Heading1"/>
      </w:pPr>
      <w:bookmarkStart w:id="1" w:name="Xbae1f576b6e3f2403b5087379f51edee7c277ef"/>
      <w:bookmarkEnd w:id="0"/>
      <w:r>
        <w:lastRenderedPageBreak/>
        <w:t>The Effectiveness of Psychotherapy Delivered in Routine Care Settings: A Systematic Review and Meta-Analysis</w:t>
      </w:r>
    </w:p>
    <w:p w14:paraId="2A65B932" w14:textId="77777777" w:rsidR="0016079D" w:rsidRDefault="00B23CA6">
      <w:pPr>
        <w:pStyle w:val="Heading1"/>
      </w:pPr>
      <w:bookmarkStart w:id="2" w:name="introduction"/>
      <w:bookmarkEnd w:id="1"/>
      <w:r>
        <w:t>Introduction</w:t>
      </w:r>
    </w:p>
    <w:p w14:paraId="1B7E7255" w14:textId="75A461AB" w:rsidR="0016079D" w:rsidRDefault="00B23CA6">
      <w:pPr>
        <w:pStyle w:val="FirstParagraph"/>
      </w:pPr>
      <w:r>
        <w:t>Meta-analyses of clinical trials support the efficacy of psychotherapy for common mental health problems such as depression (</w:t>
      </w:r>
      <w:proofErr w:type="spellStart"/>
      <w:r>
        <w:fldChar w:fldCharType="begin"/>
      </w:r>
      <w:r>
        <w:instrText xml:space="preserve"> HYPERLINK \l "ref-Cuijpers2008" \h </w:instrText>
      </w:r>
      <w:r>
        <w:fldChar w:fldCharType="separate"/>
      </w:r>
      <w:r w:rsidR="002362CA">
        <w:rPr>
          <w:rStyle w:val="Hyperlink"/>
        </w:rPr>
        <w:t>Cuijpers</w:t>
      </w:r>
      <w:proofErr w:type="spellEnd"/>
      <w:r>
        <w:rPr>
          <w:rStyle w:val="Hyperlink"/>
        </w:rPr>
        <w:t xml:space="preserve"> et al., 2008</w:t>
      </w:r>
      <w:r>
        <w:rPr>
          <w:rStyle w:val="Hyperlink"/>
        </w:rPr>
        <w:fldChar w:fldCharType="end"/>
      </w:r>
      <w:r>
        <w:t xml:space="preserve">), anxiety disorders (e.g., </w:t>
      </w:r>
      <w:hyperlink w:anchor="ref-Cuijpers2014">
        <w:proofErr w:type="spellStart"/>
        <w:r w:rsidR="002362CA">
          <w:rPr>
            <w:rStyle w:val="Hyperlink"/>
          </w:rPr>
          <w:t>Cuijpers</w:t>
        </w:r>
        <w:proofErr w:type="spellEnd"/>
        <w:r>
          <w:rPr>
            <w:rStyle w:val="Hyperlink"/>
          </w:rPr>
          <w:t xml:space="preserve">, </w:t>
        </w:r>
        <w:proofErr w:type="spellStart"/>
        <w:r>
          <w:rPr>
            <w:rStyle w:val="Hyperlink"/>
          </w:rPr>
          <w:t>Sijbrandij</w:t>
        </w:r>
        <w:proofErr w:type="spellEnd"/>
        <w:r>
          <w:rPr>
            <w:rStyle w:val="Hyperlink"/>
          </w:rPr>
          <w:t>, et al., 2014</w:t>
        </w:r>
      </w:hyperlink>
      <w:r>
        <w:t xml:space="preserve">; </w:t>
      </w:r>
      <w:hyperlink w:anchor="ref-Mayo-Wilson2014">
        <w:r>
          <w:rPr>
            <w:rStyle w:val="Hyperlink"/>
          </w:rPr>
          <w:t>Mayo-Wilson et al., 2014</w:t>
        </w:r>
      </w:hyperlink>
      <w:r>
        <w:t xml:space="preserve">; </w:t>
      </w:r>
      <w:hyperlink w:anchor="ref-Olatunji2014">
        <w:r>
          <w:rPr>
            <w:rStyle w:val="Hyperlink"/>
          </w:rPr>
          <w:t>Olatunji et al., 2014</w:t>
        </w:r>
      </w:hyperlink>
      <w:r>
        <w:t xml:space="preserve">; </w:t>
      </w:r>
      <w:hyperlink w:anchor="ref-Sanchez-Meca2010">
        <w:r>
          <w:rPr>
            <w:rStyle w:val="Hyperlink"/>
          </w:rPr>
          <w:t>Sánchez-Meca et al., 2010</w:t>
        </w:r>
      </w:hyperlink>
      <w:r>
        <w:t xml:space="preserve">; </w:t>
      </w:r>
      <w:hyperlink w:anchor="ref-Wolitzky-Taylor2008">
        <w:r>
          <w:rPr>
            <w:rStyle w:val="Hyperlink"/>
          </w:rPr>
          <w:t>Wolitzky-Taylor et al., 2008</w:t>
        </w:r>
      </w:hyperlink>
      <w:r>
        <w:t>), post-traumatic stress disorder (</w:t>
      </w:r>
      <w:hyperlink w:anchor="ref-Lewis2020">
        <w:r>
          <w:rPr>
            <w:rStyle w:val="Hyperlink"/>
          </w:rPr>
          <w:t>Lewis et al., 2020</w:t>
        </w:r>
      </w:hyperlink>
      <w:r>
        <w:t>), obsessive-compulsive disorder (</w:t>
      </w:r>
      <w:hyperlink w:anchor="ref-Rosa-Alcazar2008">
        <w:r>
          <w:rPr>
            <w:rStyle w:val="Hyperlink"/>
          </w:rPr>
          <w:t>Rosa-Alcázar et al., 2008</w:t>
        </w:r>
      </w:hyperlink>
      <w:r>
        <w:t>), eating disorders (</w:t>
      </w:r>
      <w:hyperlink w:anchor="ref-Linardon2017">
        <w:r>
          <w:rPr>
            <w:rStyle w:val="Hyperlink"/>
          </w:rPr>
          <w:t>Linardon et al., 2017</w:t>
        </w:r>
      </w:hyperlink>
      <w:r>
        <w:t>), psychosis (</w:t>
      </w:r>
      <w:hyperlink w:anchor="ref-Turner2020">
        <w:r>
          <w:rPr>
            <w:rStyle w:val="Hyperlink"/>
          </w:rPr>
          <w:t>Turner et al., 2020</w:t>
        </w:r>
      </w:hyperlink>
      <w:r>
        <w:t xml:space="preserve">) and other conditions. Grounded in this evidence, clinical guidelines endorse the use of psychological interventions in routine clinical care and support their inclusion in organized health care systems (e.g., </w:t>
      </w:r>
      <w:hyperlink w:anchor="ref-Chambless1998">
        <w:r>
          <w:rPr>
            <w:rStyle w:val="Hyperlink"/>
          </w:rPr>
          <w:t>Chambless &amp; Hollon, 1998</w:t>
        </w:r>
      </w:hyperlink>
      <w:r>
        <w:t xml:space="preserve">; </w:t>
      </w:r>
      <w:hyperlink w:anchor="ref-Chambless2001">
        <w:r>
          <w:rPr>
            <w:rStyle w:val="Hyperlink"/>
          </w:rPr>
          <w:t>Chambless &amp; Ollendick, 2001</w:t>
        </w:r>
      </w:hyperlink>
      <w:r>
        <w:t xml:space="preserve">; </w:t>
      </w:r>
      <w:hyperlink w:anchor="X1365249553c325c79277ff2a4223a8026d6607c">
        <w:r>
          <w:rPr>
            <w:rStyle w:val="Hyperlink"/>
          </w:rPr>
          <w:t>2011</w:t>
        </w:r>
      </w:hyperlink>
      <w:r>
        <w:t xml:space="preserve">). These guidelines typically advocate the implementation of evidence-based models of psychotherapy, closely following the procedures implemented in clinical trials and specified in treatment manuals. To this end, competency frameworks have been developed to support the dissemination of empirically supported treatments through clinical training programmes and clinical supervision (e.g., </w:t>
      </w:r>
      <w:hyperlink w:anchor="ref-Lemma2008">
        <w:r>
          <w:rPr>
            <w:rStyle w:val="Hyperlink"/>
          </w:rPr>
          <w:t>Lemma et al., 2008</w:t>
        </w:r>
      </w:hyperlink>
      <w:r>
        <w:t xml:space="preserve">; </w:t>
      </w:r>
      <w:hyperlink w:anchor="ref-Roth2009">
        <w:r>
          <w:rPr>
            <w:rStyle w:val="Hyperlink"/>
          </w:rPr>
          <w:t>Roth et al., 2009</w:t>
        </w:r>
      </w:hyperlink>
      <w:r>
        <w:t xml:space="preserve">; </w:t>
      </w:r>
      <w:hyperlink w:anchor="ref-Roth2008">
        <w:r>
          <w:rPr>
            <w:rStyle w:val="Hyperlink"/>
          </w:rPr>
          <w:t>Roth &amp; Pilling, 2008</w:t>
        </w:r>
      </w:hyperlink>
      <w:r>
        <w:t>).</w:t>
      </w:r>
    </w:p>
    <w:p w14:paraId="5CF4DF13" w14:textId="77777777" w:rsidR="0016079D" w:rsidRDefault="00B23CA6">
      <w:pPr>
        <w:pStyle w:val="BodyText"/>
      </w:pPr>
      <w:r>
        <w:t xml:space="preserve">Despite its convincing experimental evidence base, there are reasons to expect that the effects of psychotherapy delivered in routine care settings may differ from those observed in clinical trials. Surveys of practicing clinicians reveal that many hold negative attitudes towards protocol-driven therapy and subsequently do not follow treatment manuals (e.g., </w:t>
      </w:r>
      <w:hyperlink w:anchor="ref-Addis2000">
        <w:r>
          <w:rPr>
            <w:rStyle w:val="Hyperlink"/>
          </w:rPr>
          <w:t>Addis &amp; Krasnow, 2000</w:t>
        </w:r>
      </w:hyperlink>
      <w:r>
        <w:t>). Hence, the extent to which routinely delivered psychotherapy resembles trial-based empirically supported treatments is unclear (</w:t>
      </w:r>
      <w:hyperlink w:anchor="ref-Freedland2011">
        <w:r>
          <w:rPr>
            <w:rStyle w:val="Hyperlink"/>
          </w:rPr>
          <w:t>Freedland et al., 2011</w:t>
        </w:r>
      </w:hyperlink>
      <w:r>
        <w:t xml:space="preserve">). It has also been argued that the strict selection criteria applied in clinical trials may result in </w:t>
      </w:r>
      <w:r>
        <w:lastRenderedPageBreak/>
        <w:t xml:space="preserve">unusually homogeneous samples that do not adequately reflect clinical populations that are typical of routine care settings (e.g., </w:t>
      </w:r>
      <w:hyperlink w:anchor="ref-Lambert2013a">
        <w:r>
          <w:rPr>
            <w:rStyle w:val="Hyperlink"/>
          </w:rPr>
          <w:t>Lambert, 2013</w:t>
        </w:r>
      </w:hyperlink>
      <w:r>
        <w:t xml:space="preserve">; </w:t>
      </w:r>
      <w:hyperlink w:anchor="ref-Zimmerman2002">
        <w:r>
          <w:rPr>
            <w:rStyle w:val="Hyperlink"/>
          </w:rPr>
          <w:t>Zimmerman et al., 2002</w:t>
        </w:r>
      </w:hyperlink>
      <w:r>
        <w:t>). It has also been argued that using control conditions within practice-based psychotherapy poses ethical concerns (e.g., leaving severely distressed samples untreated) and therefore various patient subgroups are likely to be under represented (</w:t>
      </w:r>
      <w:hyperlink w:anchor="ref-Nordmo2020">
        <w:r>
          <w:rPr>
            <w:rStyle w:val="Hyperlink"/>
          </w:rPr>
          <w:t>Nordmo et al., 2020</w:t>
        </w:r>
      </w:hyperlink>
      <w:r>
        <w:t xml:space="preserve">; </w:t>
      </w:r>
      <w:hyperlink w:anchor="ref-Philips2021">
        <w:r>
          <w:rPr>
            <w:rStyle w:val="Hyperlink"/>
          </w:rPr>
          <w:t>Philips &amp; Falkenström, 2021</w:t>
        </w:r>
      </w:hyperlink>
      <w:r>
        <w:t xml:space="preserve">). Differences in the clinical profiles of patients included and excluded from psychotherapy trials have been demonstrated (e.g., </w:t>
      </w:r>
      <w:hyperlink w:anchor="ref-vanderLem2012a">
        <w:r>
          <w:rPr>
            <w:rStyle w:val="Hyperlink"/>
          </w:rPr>
          <w:t>van der Lem et al., 2012</w:t>
        </w:r>
      </w:hyperlink>
      <w:r>
        <w:t>), some studies have nevertheless found similar clinical outcomes when comparing samples from efficacy trials and routine practice (</w:t>
      </w:r>
      <w:hyperlink w:anchor="ref-Lutz2016a">
        <w:r>
          <w:rPr>
            <w:rStyle w:val="Hyperlink"/>
          </w:rPr>
          <w:t>Lutz et al., 2016</w:t>
        </w:r>
      </w:hyperlink>
      <w:r>
        <w:t xml:space="preserve">; </w:t>
      </w:r>
      <w:hyperlink w:anchor="ref-Persons1999">
        <w:r>
          <w:rPr>
            <w:rStyle w:val="Hyperlink"/>
          </w:rPr>
          <w:t>Persons et al., 1999</w:t>
        </w:r>
      </w:hyperlink>
      <w:r>
        <w:t>). However, this adequate transportability and effectiveness of evidence-based interventions is unlikely to be a general rule across all routine care settings. For example, significant variability in clinical outcomes has been found between clinics that implemented protocol-driven and highly standardized interventions in England (</w:t>
      </w:r>
      <w:hyperlink w:anchor="ref-Gyani2013">
        <w:r>
          <w:rPr>
            <w:rStyle w:val="Hyperlink"/>
          </w:rPr>
          <w:t>Gyani et al., 2013</w:t>
        </w:r>
      </w:hyperlink>
      <w:r>
        <w:t>). This variability may be partly explained by differences in clinical and demographic features of local populations (i.e., case-mix) and partly explained by implementation degrees of freedom: differences in how clinics manage treatment selection and treatment duration (</w:t>
      </w:r>
      <w:hyperlink w:anchor="ref-Clark2018">
        <w:r>
          <w:rPr>
            <w:rStyle w:val="Hyperlink"/>
          </w:rPr>
          <w:t>Clark et al., 2018</w:t>
        </w:r>
      </w:hyperlink>
      <w:r>
        <w:t>). For all of these reasons, it is plausible to assume that the effects of routinely delivered therapy may vary across settings and clinical populations, and may not necessarily conform to benchmarks from efficacy trials.</w:t>
      </w:r>
    </w:p>
    <w:p w14:paraId="391EBE95" w14:textId="77777777" w:rsidR="0016079D" w:rsidRDefault="00B23CA6">
      <w:pPr>
        <w:pStyle w:val="BodyText"/>
      </w:pPr>
      <w:r>
        <w:t xml:space="preserve">Given the above sources of uncertainty and variability, psychotherapy researchers have taken interest in evaluating the effectiveness of routinely delivered psychotherapy. A tradition of practice-based evidence (PBE, </w:t>
      </w:r>
      <w:hyperlink w:anchor="ref-Margison2000">
        <w:r>
          <w:rPr>
            <w:rStyle w:val="Hyperlink"/>
          </w:rPr>
          <w:t>Margison et al., 2000</w:t>
        </w:r>
      </w:hyperlink>
      <w:r>
        <w:t xml:space="preserve">) has emerged in recent decades, with numerous studies that examine the effects of routine care psychological interventions in various settings. Narrative reviews of PBE generally confirm that moderate-to-large uncontrolled (pre-to-post treatment) effect sizes are observed in routine care settings, </w:t>
      </w:r>
      <w:r>
        <w:lastRenderedPageBreak/>
        <w:t xml:space="preserve">supporting the effectiveness of psychotherapy but also demonstrating considerable variability across patient samples, therapists and clinics (e.g., see </w:t>
      </w:r>
      <w:hyperlink w:anchor="ref-Barkham2010b">
        <w:r>
          <w:rPr>
            <w:rStyle w:val="Hyperlink"/>
          </w:rPr>
          <w:t>Barkham et al., 2010</w:t>
        </w:r>
      </w:hyperlink>
      <w:r>
        <w:t xml:space="preserve">; </w:t>
      </w:r>
      <w:hyperlink w:anchor="ref-Castonguay2013">
        <w:r>
          <w:rPr>
            <w:rStyle w:val="Hyperlink"/>
          </w:rPr>
          <w:t>Castonguay et al., 2013</w:t>
        </w:r>
      </w:hyperlink>
      <w:r>
        <w:t xml:space="preserve">, </w:t>
      </w:r>
      <w:hyperlink w:anchor="ref-Castonguay2021">
        <w:r>
          <w:rPr>
            <w:rStyle w:val="Hyperlink"/>
          </w:rPr>
          <w:t>2021</w:t>
        </w:r>
      </w:hyperlink>
      <w:r>
        <w:t xml:space="preserve">). An inherent limitation of such narrative reviews is that they perform a selective rather than systematic and comprehensive synthesis of available data. Benchmarking studies that pool practice-based data across multiple clinics tend to report favourable pooled effects sizes, but also variability in effects across clinics (e.g., </w:t>
      </w:r>
      <w:hyperlink w:anchor="ref-Barkham2001a">
        <w:r>
          <w:rPr>
            <w:rStyle w:val="Hyperlink"/>
          </w:rPr>
          <w:t>Barkham et al., 2001</w:t>
        </w:r>
      </w:hyperlink>
      <w:r>
        <w:t xml:space="preserve">; </w:t>
      </w:r>
      <w:hyperlink w:anchor="ref-Connell2007a">
        <w:r>
          <w:rPr>
            <w:rStyle w:val="Hyperlink"/>
          </w:rPr>
          <w:t>Connell et al., 2007</w:t>
        </w:r>
      </w:hyperlink>
      <w:r>
        <w:t xml:space="preserve">; </w:t>
      </w:r>
      <w:hyperlink w:anchor="ref-Delgadillo2014a">
        <w:r>
          <w:rPr>
            <w:rStyle w:val="Hyperlink"/>
          </w:rPr>
          <w:t>Delgadillo et al., 2014</w:t>
        </w:r>
      </w:hyperlink>
      <w:r>
        <w:t xml:space="preserve">; </w:t>
      </w:r>
      <w:hyperlink w:anchor="ref-Gyani2013">
        <w:r>
          <w:rPr>
            <w:rStyle w:val="Hyperlink"/>
          </w:rPr>
          <w:t>Gyani et al., 2013</w:t>
        </w:r>
      </w:hyperlink>
      <w:r>
        <w:t>). Although these studies help to quantify the expected magnitude of treatment effects observed in ordinary clinical settings, most are nevertheless circumscribed to small sets of clinics or geographical areas, offering limited insights into possible sources of heterogeneity in treatment outcomes. As such, systematic reviews and meta-analyses may be most illuminating.</w:t>
      </w:r>
    </w:p>
    <w:p w14:paraId="6B823C6F" w14:textId="77777777" w:rsidR="0016079D" w:rsidRDefault="00B23CA6">
      <w:pPr>
        <w:pStyle w:val="BodyText"/>
      </w:pPr>
      <w:r>
        <w:t>Some meta-analytic investigations have reported that outcomes of clinic-based studies were not as favourable as those based in research settings (</w:t>
      </w:r>
      <w:hyperlink w:anchor="ref-Weisz1995">
        <w:r>
          <w:rPr>
            <w:rStyle w:val="Hyperlink"/>
          </w:rPr>
          <w:t>Weisz et al., 1995</w:t>
        </w:r>
      </w:hyperlink>
      <w:r>
        <w:t xml:space="preserve">). Other meta-analyses suggest that there are no differences in treatment effects when comparing clinic-based and efficacy studies when case-mix differences are accounted for (e.g., </w:t>
      </w:r>
      <w:hyperlink w:anchor="ref-Shadish1997a">
        <w:r>
          <w:rPr>
            <w:rStyle w:val="Hyperlink"/>
          </w:rPr>
          <w:t>Shadish et al., 1997</w:t>
        </w:r>
      </w:hyperlink>
      <w:r>
        <w:t xml:space="preserve">, </w:t>
      </w:r>
      <w:hyperlink w:anchor="ref-Shadish2000">
        <w:r>
          <w:rPr>
            <w:rStyle w:val="Hyperlink"/>
          </w:rPr>
          <w:t>2000</w:t>
        </w:r>
      </w:hyperlink>
      <w:r>
        <w:t xml:space="preserve">); however, many of the included clinic-based studies applied stringent controls on the treatment procedures – making them more akin to lab-based studies. Later reviews have attempted to systematically identify available PBE studies and to derive generalizable information on the general effectiveness of psychotherapy in routine care. </w:t>
      </w:r>
      <w:hyperlink w:anchor="ref-Hunsley2007">
        <w:r>
          <w:rPr>
            <w:rStyle w:val="Hyperlink"/>
          </w:rPr>
          <w:t>Hunsley &amp; Lee</w:t>
        </w:r>
      </w:hyperlink>
      <w:r>
        <w:t xml:space="preserve"> (</w:t>
      </w:r>
      <w:hyperlink w:anchor="ref-Hunsley2007">
        <w:r>
          <w:rPr>
            <w:rStyle w:val="Hyperlink"/>
          </w:rPr>
          <w:t>2007</w:t>
        </w:r>
      </w:hyperlink>
      <w:r>
        <w:t xml:space="preserve">) reviewed 35 studies and concluded that the completion and improvement rates observed in PBE studies were comparable to those from efficacy trials. </w:t>
      </w:r>
      <w:hyperlink w:anchor="ref-Cahill2010">
        <w:r>
          <w:rPr>
            <w:rStyle w:val="Hyperlink"/>
          </w:rPr>
          <w:t>Cahill et al.</w:t>
        </w:r>
      </w:hyperlink>
      <w:r>
        <w:t xml:space="preserve"> (</w:t>
      </w:r>
      <w:hyperlink w:anchor="ref-Cahill2010">
        <w:r>
          <w:rPr>
            <w:rStyle w:val="Hyperlink"/>
          </w:rPr>
          <w:t>2010</w:t>
        </w:r>
      </w:hyperlink>
      <w:r>
        <w:t xml:space="preserve">) reviewed 31 studies, concluding that psychotherapy was most effective for the treatment of common mental disorders with a pooled uncontrolled effect size of </w:t>
      </w:r>
      <w:r>
        <w:rPr>
          <w:i/>
        </w:rPr>
        <w:t>d</w:t>
      </w:r>
      <w:r>
        <w:t xml:space="preserve"> = 1.29. More recently, </w:t>
      </w:r>
      <w:hyperlink w:anchor="ref-Wakefield2021">
        <w:r>
          <w:rPr>
            <w:rStyle w:val="Hyperlink"/>
          </w:rPr>
          <w:t>Wakefield et al.</w:t>
        </w:r>
      </w:hyperlink>
      <w:r>
        <w:t xml:space="preserve"> (</w:t>
      </w:r>
      <w:hyperlink w:anchor="ref-Wakefield2021">
        <w:r>
          <w:rPr>
            <w:rStyle w:val="Hyperlink"/>
          </w:rPr>
          <w:t>2021</w:t>
        </w:r>
      </w:hyperlink>
      <w:r>
        <w:t xml:space="preserve">) reviewed 60 studies, of which 47 were eligible for meta-analysis. </w:t>
      </w:r>
      <w:r>
        <w:lastRenderedPageBreak/>
        <w:t>They reported large uncontrolled effect sizes for depression (</w:t>
      </w:r>
      <w:r>
        <w:rPr>
          <w:i/>
        </w:rPr>
        <w:t>d</w:t>
      </w:r>
      <w:r>
        <w:t xml:space="preserve"> = 0.87) and anxiety (</w:t>
      </w:r>
      <w:r>
        <w:rPr>
          <w:i/>
        </w:rPr>
        <w:t>d</w:t>
      </w:r>
      <w:r>
        <w:t xml:space="preserve"> = 0.88), and a moderate effect on functional impairment (</w:t>
      </w:r>
      <w:r>
        <w:rPr>
          <w:i/>
        </w:rPr>
        <w:t>d</w:t>
      </w:r>
      <w:r>
        <w:t xml:space="preserve"> = 0.55).</w:t>
      </w:r>
    </w:p>
    <w:p w14:paraId="7E555426" w14:textId="77777777" w:rsidR="0016079D" w:rsidRDefault="00B23CA6">
      <w:pPr>
        <w:pStyle w:val="BodyText"/>
      </w:pPr>
      <w:r>
        <w:t>Heterogeneous effects are commonly found in psychotherapy meta-analyses, and can, to some extent, be explained through potential moderator variables (</w:t>
      </w:r>
      <w:hyperlink w:anchor="ref-Spielmans2018">
        <w:r>
          <w:rPr>
            <w:rStyle w:val="Hyperlink"/>
          </w:rPr>
          <w:t>Spielmans &amp; Flückiger, 2018</w:t>
        </w:r>
      </w:hyperlink>
      <w:r>
        <w:t>). More recent PBE meta-analyses have started to provide insights into plausible methodological (e.g., completers analyses vs. inclusion of patients lost to follow-up) and clinical sources of heterogeneity in effectiveness (e.g., larger effects for common mental disorders, lower effects for patients with comorbidities and socioeconomic disadvantages, larger effects for lengthier interventions). Nevertheless, these meta-analyses are over a decade old (</w:t>
      </w:r>
      <w:hyperlink w:anchor="ref-Cahill2010">
        <w:r>
          <w:rPr>
            <w:rStyle w:val="Hyperlink"/>
          </w:rPr>
          <w:t>Cahill et al., 2010</w:t>
        </w:r>
      </w:hyperlink>
      <w:r>
        <w:t xml:space="preserve">; </w:t>
      </w:r>
      <w:hyperlink w:anchor="ref-Hunsley2007">
        <w:r>
          <w:rPr>
            <w:rStyle w:val="Hyperlink"/>
          </w:rPr>
          <w:t>Hunsley &amp; Lee, 2007</w:t>
        </w:r>
      </w:hyperlink>
      <w:r>
        <w:t>) or limited to a specific primary care setting (</w:t>
      </w:r>
      <w:hyperlink w:anchor="ref-Wakefield2021">
        <w:r>
          <w:rPr>
            <w:rStyle w:val="Hyperlink"/>
          </w:rPr>
          <w:t>Wakefield et al., 2021</w:t>
        </w:r>
      </w:hyperlink>
      <w:r>
        <w:t>). Further research into the methodological and clinical sources of treatment heterogeneity is needed for a more complete understanding of underlying differences in how people respond to treatment (</w:t>
      </w:r>
      <w:hyperlink w:anchor="ref-Spielmans2018">
        <w:r>
          <w:rPr>
            <w:rStyle w:val="Hyperlink"/>
          </w:rPr>
          <w:t>Spielmans &amp; Flückiger, 2018</w:t>
        </w:r>
      </w:hyperlink>
      <w:r>
        <w:t>).</w:t>
      </w:r>
    </w:p>
    <w:p w14:paraId="2A8A3050" w14:textId="066D49CD" w:rsidR="0016079D" w:rsidRDefault="00B23CA6">
      <w:pPr>
        <w:pStyle w:val="BodyText"/>
      </w:pPr>
      <w:r>
        <w:t xml:space="preserve">Recent meta-analyses of efficacy trials have provided evidence for a range of potential moderators variables that are yet to be confirmed through meta-analysis of PBE. Methodological risk of bias criteria have often been associated with overestimates of treatment effect (for a review see </w:t>
      </w:r>
      <w:hyperlink w:anchor="ref-Munder2018">
        <w:r>
          <w:rPr>
            <w:rStyle w:val="Hyperlink"/>
          </w:rPr>
          <w:t>Munder &amp; Barth, 2018</w:t>
        </w:r>
      </w:hyperlink>
      <w:r>
        <w:t xml:space="preserve">). </w:t>
      </w:r>
      <w:hyperlink w:anchor="ref-Barth2013a">
        <w:r>
          <w:rPr>
            <w:rStyle w:val="Hyperlink"/>
          </w:rPr>
          <w:t>Barth et al.</w:t>
        </w:r>
      </w:hyperlink>
      <w:r>
        <w:t xml:space="preserve"> (</w:t>
      </w:r>
      <w:hyperlink w:anchor="ref-Barth2013a">
        <w:r>
          <w:rPr>
            <w:rStyle w:val="Hyperlink"/>
          </w:rPr>
          <w:t>2013</w:t>
        </w:r>
      </w:hyperlink>
      <w:r>
        <w:t xml:space="preserve">) for example observed inflated effect sizes for psychotherapy treatment studies of depression that: (i) lacked concealment of randomization, (ii) used non-blinded outcome assessors, and (iii) employed small samples. </w:t>
      </w:r>
      <w:hyperlink w:anchor="ref-Cuijpers2010">
        <w:proofErr w:type="spellStart"/>
        <w:r w:rsidR="002362CA">
          <w:rPr>
            <w:rStyle w:val="Hyperlink"/>
          </w:rPr>
          <w:t>Cuijpers</w:t>
        </w:r>
        <w:proofErr w:type="spellEnd"/>
        <w:r>
          <w:rPr>
            <w:rStyle w:val="Hyperlink"/>
          </w:rPr>
          <w:t xml:space="preserve"> et al.</w:t>
        </w:r>
      </w:hyperlink>
      <w:r>
        <w:t xml:space="preserve"> (</w:t>
      </w:r>
      <w:hyperlink w:anchor="ref-Cuijpers2010">
        <w:r>
          <w:rPr>
            <w:rStyle w:val="Hyperlink"/>
          </w:rPr>
          <w:t>2010</w:t>
        </w:r>
      </w:hyperlink>
      <w:r>
        <w:t xml:space="preserve">) also found that exclusion of patients lost to follow-up (i.e., completer samples) produced inflated effect-sizes over studies that included such patients (i.e., intention-to-treat); although </w:t>
      </w:r>
      <w:hyperlink w:anchor="ref-Barth2013a">
        <w:r>
          <w:rPr>
            <w:rStyle w:val="Hyperlink"/>
          </w:rPr>
          <w:t>Barth et al.</w:t>
        </w:r>
      </w:hyperlink>
      <w:r>
        <w:t xml:space="preserve"> (</w:t>
      </w:r>
      <w:hyperlink w:anchor="ref-Barth2013a">
        <w:r>
          <w:rPr>
            <w:rStyle w:val="Hyperlink"/>
          </w:rPr>
          <w:t>2013</w:t>
        </w:r>
      </w:hyperlink>
      <w:r>
        <w:t>) found conflicting evidence.</w:t>
      </w:r>
    </w:p>
    <w:p w14:paraId="126C464E" w14:textId="29B4F6DF" w:rsidR="0016079D" w:rsidRDefault="00B23CA6">
      <w:pPr>
        <w:pStyle w:val="BodyText"/>
      </w:pPr>
      <w:r>
        <w:t xml:space="preserve">Various clinical factors have been considered for their potential to explain heterogeneity of psychotherapy treatment findings (see </w:t>
      </w:r>
      <w:hyperlink w:anchor="ref-Spielmans2018">
        <w:r>
          <w:rPr>
            <w:rStyle w:val="Hyperlink"/>
          </w:rPr>
          <w:t>Spielmans &amp; Flückiger, 2018</w:t>
        </w:r>
      </w:hyperlink>
      <w:r>
        <w:t xml:space="preserve"> for a </w:t>
      </w:r>
      <w:r>
        <w:lastRenderedPageBreak/>
        <w:t>review). For treatment modality (e.g., cognitive-behavioural, psychodynamic) recent meta-analyses of RCTs directly comparing different treatments have provided limited evidence that there are significant differences between treatments for depression (</w:t>
      </w:r>
      <w:hyperlink w:anchor="ref-Barth2013a">
        <w:r>
          <w:rPr>
            <w:rStyle w:val="Hyperlink"/>
          </w:rPr>
          <w:t>Barth et al., 2013</w:t>
        </w:r>
      </w:hyperlink>
      <w:r>
        <w:t xml:space="preserve">; </w:t>
      </w:r>
      <w:hyperlink w:anchor="ref-Cuijpers2008">
        <w:proofErr w:type="spellStart"/>
        <w:r w:rsidR="002362CA">
          <w:rPr>
            <w:rStyle w:val="Hyperlink"/>
          </w:rPr>
          <w:t>Cuijpers</w:t>
        </w:r>
        <w:proofErr w:type="spellEnd"/>
        <w:r>
          <w:rPr>
            <w:rStyle w:val="Hyperlink"/>
          </w:rPr>
          <w:t xml:space="preserve"> et al., 2008</w:t>
        </w:r>
      </w:hyperlink>
      <w:r>
        <w:t>). Similar investigations in other conditions (e.g., generalised anxiety) have been restricted by the lack of evidence from direct comparison trials (</w:t>
      </w:r>
      <w:proofErr w:type="spellStart"/>
      <w:r>
        <w:fldChar w:fldCharType="begin"/>
      </w:r>
      <w:r>
        <w:instrText xml:space="preserve"> HYPERLINK \l "ref-Cuijpers2014" \h </w:instrText>
      </w:r>
      <w:r>
        <w:fldChar w:fldCharType="separate"/>
      </w:r>
      <w:r w:rsidR="002362CA">
        <w:rPr>
          <w:rStyle w:val="Hyperlink"/>
        </w:rPr>
        <w:t>Cuijpers</w:t>
      </w:r>
      <w:proofErr w:type="spellEnd"/>
      <w:r>
        <w:rPr>
          <w:rStyle w:val="Hyperlink"/>
        </w:rPr>
        <w:t xml:space="preserve">, </w:t>
      </w:r>
      <w:proofErr w:type="spellStart"/>
      <w:r>
        <w:rPr>
          <w:rStyle w:val="Hyperlink"/>
        </w:rPr>
        <w:t>Sijbrandij</w:t>
      </w:r>
      <w:proofErr w:type="spellEnd"/>
      <w:r>
        <w:rPr>
          <w:rStyle w:val="Hyperlink"/>
        </w:rPr>
        <w:t>, et al., 2014</w:t>
      </w:r>
      <w:r>
        <w:rPr>
          <w:rStyle w:val="Hyperlink"/>
        </w:rPr>
        <w:fldChar w:fldCharType="end"/>
      </w:r>
      <w:r>
        <w:t>). Aggregation of evidence for specific treatment modalities from non-comparative studies, although observational and highly susceptible to confounds, can allow for indirect comparisons of treatments.</w:t>
      </w:r>
    </w:p>
    <w:p w14:paraId="5ED1DE9F" w14:textId="16B13EFE" w:rsidR="0016079D" w:rsidRDefault="00B23CA6">
      <w:pPr>
        <w:pStyle w:val="BodyText"/>
      </w:pPr>
      <w:r>
        <w:t>Treatment dosage (or duration) is a clinically and economically relevant treatment variable however is often absent from psychotherapy meta-analytic reviews (</w:t>
      </w:r>
      <w:hyperlink w:anchor="ref-Spielmans2018">
        <w:r>
          <w:rPr>
            <w:rStyle w:val="Hyperlink"/>
          </w:rPr>
          <w:t>Spielmans &amp; Flückiger, 2018</w:t>
        </w:r>
      </w:hyperlink>
      <w:r>
        <w:t xml:space="preserve">). While there are various dosage prototypes available (see </w:t>
      </w:r>
      <w:hyperlink w:anchor="ref-Fluckiger2020">
        <w:r>
          <w:rPr>
            <w:rStyle w:val="Hyperlink"/>
          </w:rPr>
          <w:t>Flückiger et al., 2020</w:t>
        </w:r>
      </w:hyperlink>
      <w:r>
        <w:t xml:space="preserve">) it is generally recommended that meta-analytic reviewers code it </w:t>
      </w:r>
      <w:r w:rsidR="00373551">
        <w:t>dosage</w:t>
      </w:r>
      <w:r>
        <w:t xml:space="preserve"> </w:t>
      </w:r>
      <w:r w:rsidR="00373551">
        <w:t xml:space="preserve">as </w:t>
      </w:r>
      <w:r>
        <w:t>a continuous variable (</w:t>
      </w:r>
      <w:proofErr w:type="spellStart"/>
      <w:r>
        <w:fldChar w:fldCharType="begin"/>
      </w:r>
      <w:r>
        <w:instrText xml:space="preserve"> HYPERLINK \l "ref-Spielmans2018" \h </w:instrText>
      </w:r>
      <w:r>
        <w:fldChar w:fldCharType="separate"/>
      </w:r>
      <w:r>
        <w:rPr>
          <w:rStyle w:val="Hyperlink"/>
        </w:rPr>
        <w:t>Spielmans</w:t>
      </w:r>
      <w:proofErr w:type="spellEnd"/>
      <w:r>
        <w:rPr>
          <w:rStyle w:val="Hyperlink"/>
        </w:rPr>
        <w:t xml:space="preserve"> &amp; </w:t>
      </w:r>
      <w:proofErr w:type="spellStart"/>
      <w:r>
        <w:rPr>
          <w:rStyle w:val="Hyperlink"/>
        </w:rPr>
        <w:t>Flückiger</w:t>
      </w:r>
      <w:proofErr w:type="spellEnd"/>
      <w:r>
        <w:rPr>
          <w:rStyle w:val="Hyperlink"/>
        </w:rPr>
        <w:t>, 2018</w:t>
      </w:r>
      <w:r>
        <w:rPr>
          <w:rStyle w:val="Hyperlink"/>
        </w:rPr>
        <w:fldChar w:fldCharType="end"/>
      </w:r>
      <w:r>
        <w:t xml:space="preserve">). Several recent meta-analyses have failed to demonstrate a significant differential effect for dosage in depression (e.g., </w:t>
      </w:r>
      <w:hyperlink w:anchor="ref-Barth2013a">
        <w:r>
          <w:rPr>
            <w:rStyle w:val="Hyperlink"/>
          </w:rPr>
          <w:t>Barth et al., 2013</w:t>
        </w:r>
      </w:hyperlink>
      <w:r>
        <w:t xml:space="preserve">; </w:t>
      </w:r>
      <w:hyperlink w:anchor="ref-Cuijpers2013">
        <w:proofErr w:type="spellStart"/>
        <w:r w:rsidR="002362CA">
          <w:rPr>
            <w:rStyle w:val="Hyperlink"/>
          </w:rPr>
          <w:t>Cuijpers</w:t>
        </w:r>
        <w:proofErr w:type="spellEnd"/>
        <w:r>
          <w:rPr>
            <w:rStyle w:val="Hyperlink"/>
          </w:rPr>
          <w:t xml:space="preserve"> et al., 2013</w:t>
        </w:r>
      </w:hyperlink>
      <w:r>
        <w:t xml:space="preserve">), anxiety (e.g., </w:t>
      </w:r>
      <w:hyperlink w:anchor="ref-Carpenter2018">
        <w:r>
          <w:rPr>
            <w:rStyle w:val="Hyperlink"/>
          </w:rPr>
          <w:t>Carpenter et al., 2018</w:t>
        </w:r>
      </w:hyperlink>
      <w:r>
        <w:t xml:space="preserve">) and OCD (e.g., </w:t>
      </w:r>
      <w:hyperlink w:anchor="ref-Olatunji2015">
        <w:r>
          <w:rPr>
            <w:rStyle w:val="Hyperlink"/>
          </w:rPr>
          <w:t>Olatunji et al., 2015</w:t>
        </w:r>
      </w:hyperlink>
      <w:r>
        <w:t xml:space="preserve">); although there remain exceptions to this rule (e.g., </w:t>
      </w:r>
      <w:hyperlink w:anchor="ref-Olatunji2014">
        <w:r>
          <w:rPr>
            <w:rStyle w:val="Hyperlink"/>
          </w:rPr>
          <w:t>Olatunji et al., 2014</w:t>
        </w:r>
      </w:hyperlink>
      <w:r>
        <w:t xml:space="preserve">; </w:t>
      </w:r>
      <w:hyperlink w:anchor="ref-Turner2020">
        <w:r>
          <w:rPr>
            <w:rStyle w:val="Hyperlink"/>
          </w:rPr>
          <w:t>Turner et al., 2020</w:t>
        </w:r>
      </w:hyperlink>
      <w:r>
        <w:t>). Consideration of dosage within naturalistic settings is particularly relevant as the range of sessions is often treated more flexibly (</w:t>
      </w:r>
      <w:hyperlink w:anchor="ref-Lambert2013a">
        <w:r>
          <w:rPr>
            <w:rStyle w:val="Hyperlink"/>
          </w:rPr>
          <w:t>Lambert, 2013</w:t>
        </w:r>
      </w:hyperlink>
      <w:r>
        <w:t>) and varies between services and mental health systems (</w:t>
      </w:r>
      <w:hyperlink w:anchor="ref-Fluckiger2020">
        <w:r>
          <w:rPr>
            <w:rStyle w:val="Hyperlink"/>
          </w:rPr>
          <w:t>Flückiger et al., 2020</w:t>
        </w:r>
      </w:hyperlink>
      <w:r>
        <w:t>).</w:t>
      </w:r>
    </w:p>
    <w:p w14:paraId="3456741F" w14:textId="30FE0F0F" w:rsidR="0016079D" w:rsidRDefault="00B23CA6">
      <w:pPr>
        <w:pStyle w:val="BodyText"/>
      </w:pPr>
      <w:r>
        <w:t xml:space="preserve">Sample severity (i.e., clinical complexity of the sample) has been widely considered to be negatively associated with treatment effect. This has received meta-analytic support through comparatively smaller </w:t>
      </w:r>
      <w:r w:rsidR="00373551">
        <w:t>pooled</w:t>
      </w:r>
      <w:r>
        <w:t xml:space="preserve"> effect-sizes shown in meta-analyses of severe depression (e.g., </w:t>
      </w:r>
      <w:hyperlink w:anchor="ref-Cuijpers2010">
        <w:proofErr w:type="spellStart"/>
        <w:r w:rsidR="002362CA">
          <w:rPr>
            <w:rStyle w:val="Hyperlink"/>
          </w:rPr>
          <w:t>Cuijpers</w:t>
        </w:r>
        <w:proofErr w:type="spellEnd"/>
        <w:r>
          <w:rPr>
            <w:rStyle w:val="Hyperlink"/>
          </w:rPr>
          <w:t xml:space="preserve"> et al., 2010</w:t>
        </w:r>
      </w:hyperlink>
      <w:r>
        <w:t>) and inpatient samples (</w:t>
      </w:r>
      <w:proofErr w:type="spellStart"/>
      <w:r>
        <w:fldChar w:fldCharType="begin"/>
      </w:r>
      <w:r>
        <w:instrText xml:space="preserve"> HYPERLINK \l "ref-Cuijpers2011" \h </w:instrText>
      </w:r>
      <w:r>
        <w:fldChar w:fldCharType="separate"/>
      </w:r>
      <w:r w:rsidR="002362CA">
        <w:rPr>
          <w:rStyle w:val="Hyperlink"/>
        </w:rPr>
        <w:t>Cuijpers</w:t>
      </w:r>
      <w:proofErr w:type="spellEnd"/>
      <w:r>
        <w:rPr>
          <w:rStyle w:val="Hyperlink"/>
        </w:rPr>
        <w:t xml:space="preserve"> et al., 2011</w:t>
      </w:r>
      <w:r>
        <w:rPr>
          <w:rStyle w:val="Hyperlink"/>
        </w:rPr>
        <w:fldChar w:fldCharType="end"/>
      </w:r>
      <w:r>
        <w:t>). Differences between stratifications of depression severity have also been shown, with more severe samples showing smaller effect sizes (</w:t>
      </w:r>
      <w:hyperlink w:anchor="ref-Whiston2019">
        <w:r>
          <w:rPr>
            <w:rStyle w:val="Hyperlink"/>
          </w:rPr>
          <w:t>Whiston et al., 2019</w:t>
        </w:r>
      </w:hyperlink>
      <w:r>
        <w:t xml:space="preserve">). Despite this, conflicting </w:t>
      </w:r>
      <w:r>
        <w:lastRenderedPageBreak/>
        <w:t>evidence ha</w:t>
      </w:r>
      <w:r w:rsidR="00373551">
        <w:t>ve</w:t>
      </w:r>
      <w:r>
        <w:t xml:space="preserve"> been reported through study level meta analyses of depression (</w:t>
      </w:r>
      <w:proofErr w:type="spellStart"/>
      <w:r>
        <w:fldChar w:fldCharType="begin"/>
      </w:r>
      <w:r>
        <w:instrText xml:space="preserve"> HYPERLINK \l "ref-Cuijpers2014a" \h </w:instrText>
      </w:r>
      <w:r>
        <w:fldChar w:fldCharType="separate"/>
      </w:r>
      <w:r w:rsidR="002362CA">
        <w:rPr>
          <w:rStyle w:val="Hyperlink"/>
        </w:rPr>
        <w:t>Cuijpers</w:t>
      </w:r>
      <w:proofErr w:type="spellEnd"/>
      <w:r>
        <w:rPr>
          <w:rStyle w:val="Hyperlink"/>
        </w:rPr>
        <w:t>, Turner, et al., 2014</w:t>
      </w:r>
      <w:r>
        <w:rPr>
          <w:rStyle w:val="Hyperlink"/>
        </w:rPr>
        <w:fldChar w:fldCharType="end"/>
      </w:r>
      <w:r>
        <w:t xml:space="preserve">; </w:t>
      </w:r>
      <w:hyperlink w:anchor="ref-Driessen2010">
        <w:r>
          <w:rPr>
            <w:rStyle w:val="Hyperlink"/>
          </w:rPr>
          <w:t>Driessen et al., 2010</w:t>
        </w:r>
      </w:hyperlink>
      <w:r>
        <w:t>), and health anxiety (</w:t>
      </w:r>
      <w:hyperlink w:anchor="ref-Olatunji2014">
        <w:r>
          <w:rPr>
            <w:rStyle w:val="Hyperlink"/>
          </w:rPr>
          <w:t>Olatunji et al., 2014</w:t>
        </w:r>
      </w:hyperlink>
      <w:r>
        <w:t>) and independent patient level meta-analyses of depression (</w:t>
      </w:r>
      <w:hyperlink w:anchor="ref-Furukawa2017">
        <w:r>
          <w:rPr>
            <w:rStyle w:val="Hyperlink"/>
          </w:rPr>
          <w:t>Furukawa et al., 2017</w:t>
        </w:r>
      </w:hyperlink>
      <w:r>
        <w:t>) and psychosis (</w:t>
      </w:r>
      <w:hyperlink w:anchor="ref-Turner2020">
        <w:r>
          <w:rPr>
            <w:rStyle w:val="Hyperlink"/>
          </w:rPr>
          <w:t>Turner et al., 2020</w:t>
        </w:r>
      </w:hyperlink>
      <w:r>
        <w:t xml:space="preserve">). </w:t>
      </w:r>
      <w:hyperlink w:anchor="ref-Furukawa2017">
        <w:r>
          <w:rPr>
            <w:rStyle w:val="Hyperlink"/>
          </w:rPr>
          <w:t>Furukawa et al.</w:t>
        </w:r>
      </w:hyperlink>
      <w:r>
        <w:t xml:space="preserve"> (</w:t>
      </w:r>
      <w:hyperlink w:anchor="ref-Furukawa2017">
        <w:r>
          <w:rPr>
            <w:rStyle w:val="Hyperlink"/>
          </w:rPr>
          <w:t>2017</w:t>
        </w:r>
      </w:hyperlink>
      <w:r>
        <w:t xml:space="preserve">) for example found that patients receiving CBT can benefit across the spectrum of pre-treatment severity of depression. Varying levels of support have also been provided for differential rates of effectiveness based upon role of the outcome assessor (self-report vs clinician, </w:t>
      </w:r>
      <w:hyperlink w:anchor="ref-Cuijpers2014">
        <w:proofErr w:type="spellStart"/>
        <w:r w:rsidR="002362CA">
          <w:rPr>
            <w:rStyle w:val="Hyperlink"/>
          </w:rPr>
          <w:t>Cuijpers</w:t>
        </w:r>
        <w:proofErr w:type="spellEnd"/>
        <w:r>
          <w:rPr>
            <w:rStyle w:val="Hyperlink"/>
          </w:rPr>
          <w:t xml:space="preserve">, </w:t>
        </w:r>
        <w:proofErr w:type="spellStart"/>
        <w:r>
          <w:rPr>
            <w:rStyle w:val="Hyperlink"/>
          </w:rPr>
          <w:t>Sijbrandij</w:t>
        </w:r>
        <w:proofErr w:type="spellEnd"/>
        <w:r>
          <w:rPr>
            <w:rStyle w:val="Hyperlink"/>
          </w:rPr>
          <w:t>, et al., 2014</w:t>
        </w:r>
      </w:hyperlink>
      <w:r>
        <w:t xml:space="preserve">; </w:t>
      </w:r>
      <w:hyperlink w:anchor="ref-Cuijpers2008">
        <w:proofErr w:type="spellStart"/>
        <w:r w:rsidR="002362CA">
          <w:rPr>
            <w:rStyle w:val="Hyperlink"/>
          </w:rPr>
          <w:t>Cuijpers</w:t>
        </w:r>
        <w:proofErr w:type="spellEnd"/>
        <w:r>
          <w:rPr>
            <w:rStyle w:val="Hyperlink"/>
          </w:rPr>
          <w:t xml:space="preserve"> et al., 2008</w:t>
        </w:r>
      </w:hyperlink>
      <w:r>
        <w:t xml:space="preserve">), sensitivity of measurement tool (e.g., </w:t>
      </w:r>
      <w:hyperlink w:anchor="ref-Cuijpers2014">
        <w:proofErr w:type="spellStart"/>
        <w:r w:rsidR="002362CA">
          <w:rPr>
            <w:rStyle w:val="Hyperlink"/>
          </w:rPr>
          <w:t>Cuijpers</w:t>
        </w:r>
        <w:proofErr w:type="spellEnd"/>
        <w:r>
          <w:rPr>
            <w:rStyle w:val="Hyperlink"/>
          </w:rPr>
          <w:t xml:space="preserve">, </w:t>
        </w:r>
        <w:proofErr w:type="spellStart"/>
        <w:r>
          <w:rPr>
            <w:rStyle w:val="Hyperlink"/>
          </w:rPr>
          <w:t>Sijbrandij</w:t>
        </w:r>
        <w:proofErr w:type="spellEnd"/>
        <w:r>
          <w:rPr>
            <w:rStyle w:val="Hyperlink"/>
          </w:rPr>
          <w:t>, et al., 2014</w:t>
        </w:r>
      </w:hyperlink>
      <w:r>
        <w:t>), and country. The degree to which these moderator variables findings are consistent within naturalistic settings remains unclear.</w:t>
      </w:r>
    </w:p>
    <w:p w14:paraId="73B1947D" w14:textId="77777777" w:rsidR="0016079D" w:rsidRDefault="00B23CA6">
      <w:pPr>
        <w:pStyle w:val="BodyText"/>
      </w:pPr>
      <w:r>
        <w:t>The considerable growth of the PBE literature in the last decade and implementation of empirically supported treatments across many settings warrants a comprehensive review and quantitative synthesis of the literature. This would enable us to gain a more precise understanding of [1] the magnitude of effect sizes across multiple outcome domains and [2] sources of heterogeneity. The aim of the present study was to systematically review available PBE studies using a meta-analytic synthesis of quantitative data and pre-specified moderator analyses informed by earlier studies.</w:t>
      </w:r>
    </w:p>
    <w:p w14:paraId="7E9A6755" w14:textId="4E72CCDF" w:rsidR="0016079D" w:rsidRDefault="00B23CA6">
      <w:pPr>
        <w:pStyle w:val="BodyText"/>
      </w:pPr>
      <w:r>
        <w:rPr>
          <w:b/>
        </w:rPr>
        <w:t>Note:</w:t>
      </w:r>
      <w:r>
        <w:t xml:space="preserve"> The authors recognise that use of the term </w:t>
      </w:r>
      <w:r>
        <w:rPr>
          <w:i/>
        </w:rPr>
        <w:t>effectiveness</w:t>
      </w:r>
      <w:r>
        <w:t xml:space="preserve"> may be somewhat misleading. The pre-post (uncontrolled) methodology which forms the body of evidence in this review is unable to disentangle treatments effects from other potential causes of change (e.g., regression to the mean, placebo). Observed change in symptoms may therefore not exclusively represent treatment effectiveness. We have opted to retain use of this term within the current review because it has frequently been </w:t>
      </w:r>
      <w:r w:rsidR="00373551">
        <w:t>used as such</w:t>
      </w:r>
      <w:r>
        <w:t xml:space="preserve"> in the extant literature (e.g., </w:t>
      </w:r>
      <w:hyperlink w:anchor="ref-Lambert2013a">
        <w:r>
          <w:rPr>
            <w:rStyle w:val="Hyperlink"/>
          </w:rPr>
          <w:t>Lambert, 2013</w:t>
        </w:r>
      </w:hyperlink>
      <w:r>
        <w:t xml:space="preserve">; </w:t>
      </w:r>
      <w:hyperlink w:anchor="ref-Nordmo2020">
        <w:r>
          <w:rPr>
            <w:rStyle w:val="Hyperlink"/>
          </w:rPr>
          <w:t>Nordmo et al., 2020</w:t>
        </w:r>
      </w:hyperlink>
      <w:r>
        <w:t>).</w:t>
      </w:r>
    </w:p>
    <w:p w14:paraId="047B25B0" w14:textId="77777777" w:rsidR="0016079D" w:rsidRDefault="00B23CA6">
      <w:r>
        <w:lastRenderedPageBreak/>
        <w:br w:type="page"/>
      </w:r>
    </w:p>
    <w:p w14:paraId="03618385" w14:textId="77777777" w:rsidR="0016079D" w:rsidRDefault="00B23CA6">
      <w:pPr>
        <w:pStyle w:val="Heading1"/>
      </w:pPr>
      <w:bookmarkStart w:id="3" w:name="method"/>
      <w:bookmarkEnd w:id="2"/>
      <w:r>
        <w:lastRenderedPageBreak/>
        <w:t>Method</w:t>
      </w:r>
    </w:p>
    <w:p w14:paraId="4EFF29BB" w14:textId="77777777" w:rsidR="0016079D" w:rsidRDefault="00B23CA6">
      <w:pPr>
        <w:pStyle w:val="Heading2"/>
      </w:pPr>
      <w:bookmarkStart w:id="4" w:name="search-strategy-and-eligibility"/>
      <w:r>
        <w:t>Search Strategy and Eligibility</w:t>
      </w:r>
    </w:p>
    <w:p w14:paraId="2DF0CF6A" w14:textId="1FE7C3B8" w:rsidR="0016079D" w:rsidRDefault="00B23CA6">
      <w:pPr>
        <w:pStyle w:val="FirstParagraph"/>
      </w:pPr>
      <w:r>
        <w:t xml:space="preserve">A systematic review and meta-analysis were conducted and reported using the Preferred Reporting Items for Systematic Review and Meta-Analysis guidelines (PRISMA, </w:t>
      </w:r>
      <w:hyperlink w:anchor="ref-Page2021">
        <w:r>
          <w:rPr>
            <w:rStyle w:val="Hyperlink"/>
          </w:rPr>
          <w:t>Page et al., 2021</w:t>
        </w:r>
      </w:hyperlink>
      <w:r>
        <w:t xml:space="preserve">) and the meta-analyses in psychotherapy (MAP-24, </w:t>
      </w:r>
      <w:hyperlink w:anchor="ref-Fluckiger2018">
        <w:r>
          <w:rPr>
            <w:rStyle w:val="Hyperlink"/>
          </w:rPr>
          <w:t>Flückiger et al., 2018</w:t>
        </w:r>
      </w:hyperlink>
      <w:r>
        <w:t>) guidelines. The review protocol was pre-registered through PROSPERO (CRD42020175235)</w:t>
      </w:r>
      <w:r w:rsidR="00970937">
        <w:rPr>
          <w:rStyle w:val="FootnoteReference"/>
        </w:rPr>
        <w:footnoteReference w:id="1"/>
      </w:r>
      <w:r>
        <w:t>.</w:t>
      </w:r>
    </w:p>
    <w:p w14:paraId="0A51DF3E" w14:textId="7D50D735" w:rsidR="0016079D" w:rsidRDefault="00B23CA6">
      <w:pPr>
        <w:pStyle w:val="BodyText"/>
      </w:pPr>
      <w:r>
        <w:t xml:space="preserve">Literature was searched for articles reported prior to the search date (-April 2020) using the following inclusion criteria: (a) treatment delivered in a service which offers routine treatment (i.e., not primarily for research); (b) all adult sample (no patients under 16); (c) employed a </w:t>
      </w:r>
      <w:r>
        <w:rPr>
          <w:i/>
        </w:rPr>
        <w:t>psychological treatment</w:t>
      </w:r>
      <w:r>
        <w:t xml:space="preserve"> (i.e., driven by psychological theory and intended to be therapeutic </w:t>
      </w:r>
      <w:r w:rsidR="00970937">
        <w:t>[</w:t>
      </w:r>
      <w:proofErr w:type="spellStart"/>
      <w:r>
        <w:fldChar w:fldCharType="begin"/>
      </w:r>
      <w:r>
        <w:instrText xml:space="preserve"> HYPERLINK \l "ref-Spielmans2018" \h </w:instrText>
      </w:r>
      <w:r>
        <w:fldChar w:fldCharType="separate"/>
      </w:r>
      <w:r>
        <w:rPr>
          <w:rStyle w:val="Hyperlink"/>
        </w:rPr>
        <w:t>Spielmans</w:t>
      </w:r>
      <w:proofErr w:type="spellEnd"/>
      <w:r>
        <w:rPr>
          <w:rStyle w:val="Hyperlink"/>
        </w:rPr>
        <w:t xml:space="preserve"> &amp; </w:t>
      </w:r>
      <w:proofErr w:type="spellStart"/>
      <w:r>
        <w:rPr>
          <w:rStyle w:val="Hyperlink"/>
        </w:rPr>
        <w:t>Flückiger</w:t>
      </w:r>
      <w:proofErr w:type="spellEnd"/>
      <w:r>
        <w:rPr>
          <w:rStyle w:val="Hyperlink"/>
        </w:rPr>
        <w:t>, 2018</w:t>
      </w:r>
      <w:r>
        <w:rPr>
          <w:rStyle w:val="Hyperlink"/>
        </w:rPr>
        <w:fldChar w:fldCharType="end"/>
      </w:r>
      <w:r w:rsidR="00970937">
        <w:t>]</w:t>
      </w:r>
      <w:r>
        <w:t xml:space="preserve">, as inferred or described by study manuscripts, family/group treatments were excluded); and (d) conducted face-to-face. Studies were then excluded if they: (e) were not available in English; (f) did not employ a self-report measure of treatment effectiveness (i.e. process, predictor, well-being or satisfaction measures not accepted); (g) did not provide an outcome for the acute treatment stage (i.e., pre-post comparison, or in the absence of post-treatment score the soonest available follow-up measurement to a maximum of 6-months); or (f) employed randomization procedures or control groups. Although randomised control trials seek to reduce internal bias, their conditions are often not typical of routine services as the need for patient consent will lead to bias in who is offered and who accepts these conditions, therefore reducing representativeness. For </w:t>
      </w:r>
      <w:r w:rsidR="00970937">
        <w:t>review</w:t>
      </w:r>
      <w:r>
        <w:t xml:space="preserve"> PICO table see supplementary Table 1.</w:t>
      </w:r>
    </w:p>
    <w:p w14:paraId="01EDF6D0" w14:textId="64228995" w:rsidR="0016079D" w:rsidRDefault="00B23CA6">
      <w:pPr>
        <w:pStyle w:val="BodyText"/>
      </w:pPr>
      <w:r>
        <w:lastRenderedPageBreak/>
        <w:t xml:space="preserve">There were three phases to the systematic search. Phase one was a systematic search of three electronic literature databases (MEDLINE, CINAHL and PsycInfo) via EBSCO using a pre-developed list of key terms. Study titles/abstracts were required to have a methodologically </w:t>
      </w:r>
      <w:r>
        <w:rPr>
          <w:i/>
        </w:rPr>
        <w:t>AND</w:t>
      </w:r>
      <w:r>
        <w:t xml:space="preserve"> psychologically relevant term. Methodological terms (indicating effectiveness) included: </w:t>
      </w:r>
      <w:r>
        <w:rPr>
          <w:i/>
        </w:rPr>
        <w:t>practice-based evidence</w:t>
      </w:r>
      <w:r>
        <w:t xml:space="preserve">, </w:t>
      </w:r>
      <w:r>
        <w:rPr>
          <w:i/>
        </w:rPr>
        <w:t>routine practice</w:t>
      </w:r>
      <w:r>
        <w:t xml:space="preserve">, </w:t>
      </w:r>
      <w:r>
        <w:rPr>
          <w:i/>
        </w:rPr>
        <w:t>benchmarking</w:t>
      </w:r>
      <w:r>
        <w:t xml:space="preserve">, </w:t>
      </w:r>
      <w:r>
        <w:rPr>
          <w:i/>
        </w:rPr>
        <w:t>transportability</w:t>
      </w:r>
      <w:r>
        <w:t xml:space="preserve">, </w:t>
      </w:r>
      <w:r>
        <w:rPr>
          <w:i/>
        </w:rPr>
        <w:t>transferability</w:t>
      </w:r>
      <w:r>
        <w:t xml:space="preserve">, </w:t>
      </w:r>
      <w:r>
        <w:rPr>
          <w:i/>
        </w:rPr>
        <w:t>clinically representative</w:t>
      </w:r>
      <w:r>
        <w:t xml:space="preserve">, </w:t>
      </w:r>
      <w:r>
        <w:rPr>
          <w:i/>
        </w:rPr>
        <w:t>managed care setting</w:t>
      </w:r>
      <w:r>
        <w:t xml:space="preserve">, </w:t>
      </w:r>
      <w:r>
        <w:rPr>
          <w:i/>
        </w:rPr>
        <w:t>uncontrolled</w:t>
      </w:r>
      <w:r>
        <w:t xml:space="preserve">, </w:t>
      </w:r>
      <w:r>
        <w:rPr>
          <w:i/>
        </w:rPr>
        <w:t>external validity</w:t>
      </w:r>
      <w:r>
        <w:t xml:space="preserve">, </w:t>
      </w:r>
      <w:r>
        <w:rPr>
          <w:i/>
        </w:rPr>
        <w:t>applicable findings</w:t>
      </w:r>
      <w:r>
        <w:t xml:space="preserve">, </w:t>
      </w:r>
      <w:r>
        <w:rPr>
          <w:i/>
        </w:rPr>
        <w:t>empirically supported</w:t>
      </w:r>
      <w:r>
        <w:t xml:space="preserve">, </w:t>
      </w:r>
      <w:r>
        <w:rPr>
          <w:i/>
        </w:rPr>
        <w:t>dissemination</w:t>
      </w:r>
      <w:r>
        <w:t xml:space="preserve">, and </w:t>
      </w:r>
      <w:r>
        <w:rPr>
          <w:i/>
        </w:rPr>
        <w:t>clinical effectiveness evaluation</w:t>
      </w:r>
      <w:r>
        <w:t>. These terms were selected based on their use in prior reviews of psychotherapy effectiveness (</w:t>
      </w:r>
      <w:hyperlink w:anchor="ref-Cahill2010">
        <w:r>
          <w:rPr>
            <w:rStyle w:val="Hyperlink"/>
          </w:rPr>
          <w:t>Cahill et al., 2010</w:t>
        </w:r>
      </w:hyperlink>
      <w:r>
        <w:t xml:space="preserve">; </w:t>
      </w:r>
      <w:hyperlink w:anchor="ref-Stewart2009a">
        <w:r>
          <w:rPr>
            <w:rStyle w:val="Hyperlink"/>
          </w:rPr>
          <w:t>Stewart &amp; Chambless, 2009</w:t>
        </w:r>
      </w:hyperlink>
      <w:r>
        <w:t xml:space="preserve">). </w:t>
      </w:r>
      <w:r>
        <w:rPr>
          <w:i/>
        </w:rPr>
        <w:t>Effectiveness</w:t>
      </w:r>
      <w:r>
        <w:t xml:space="preserve"> and </w:t>
      </w:r>
      <w:r>
        <w:rPr>
          <w:i/>
        </w:rPr>
        <w:t>evaluation</w:t>
      </w:r>
      <w:r>
        <w:t xml:space="preserve"> were not used as single word terms due to producing unmanageable numbers of hits. For the psychologically relevant term: </w:t>
      </w:r>
      <w:r w:rsidRPr="00970937">
        <w:rPr>
          <w:i/>
          <w:iCs/>
        </w:rPr>
        <w:t>psycho</w:t>
      </w:r>
      <w:r>
        <w:t xml:space="preserve">* OR </w:t>
      </w:r>
      <w:proofErr w:type="spellStart"/>
      <w:r w:rsidRPr="00970937">
        <w:rPr>
          <w:i/>
          <w:iCs/>
        </w:rPr>
        <w:t>therap</w:t>
      </w:r>
      <w:proofErr w:type="spellEnd"/>
      <w:r>
        <w:t xml:space="preserve">* was used for </w:t>
      </w:r>
      <w:proofErr w:type="spellStart"/>
      <w:r>
        <w:t>PsycInfo</w:t>
      </w:r>
      <w:proofErr w:type="spellEnd"/>
      <w:r>
        <w:t xml:space="preserve"> while </w:t>
      </w:r>
      <w:r w:rsidRPr="00AC3EEF">
        <w:rPr>
          <w:i/>
          <w:iCs/>
        </w:rPr>
        <w:t>psycho</w:t>
      </w:r>
      <w:r>
        <w:t>* alone was used for MEDLINE and CINAHL (</w:t>
      </w:r>
      <w:proofErr w:type="spellStart"/>
      <w:r w:rsidRPr="00AC3EEF">
        <w:rPr>
          <w:i/>
          <w:iCs/>
        </w:rPr>
        <w:t>therap</w:t>
      </w:r>
      <w:proofErr w:type="spellEnd"/>
      <w:r>
        <w:t xml:space="preserve">* was removed due to </w:t>
      </w:r>
      <w:r w:rsidR="00AC3EEF">
        <w:t xml:space="preserve">producing an </w:t>
      </w:r>
      <w:r>
        <w:t xml:space="preserve">unmanageable number of irrelevant hits). Limiters included </w:t>
      </w:r>
      <w:r>
        <w:rPr>
          <w:i/>
        </w:rPr>
        <w:t>adult population</w:t>
      </w:r>
      <w:r>
        <w:t xml:space="preserve"> and </w:t>
      </w:r>
      <w:r>
        <w:rPr>
          <w:i/>
        </w:rPr>
        <w:t>English language</w:t>
      </w:r>
      <w:r>
        <w:t xml:space="preserve">. No exclusions were made based on the type of publication. Key term combinations and Boolean operators are reported in supplementary Table 2. Phase two included (a) a manual search of reference lists, and (b) forward citation searching (using Google Scholar) for all studies identified in phase one. Article titles relevant to the current review were identified by the first author using the search terms. Finally, phase three was a pragmatic grey literature search using the terms </w:t>
      </w:r>
      <w:r>
        <w:rPr>
          <w:i/>
        </w:rPr>
        <w:t>psychotherapy</w:t>
      </w:r>
      <w:r>
        <w:t xml:space="preserve"> AND </w:t>
      </w:r>
      <w:r>
        <w:rPr>
          <w:i/>
        </w:rPr>
        <w:t>routine-practice</w:t>
      </w:r>
      <w:r>
        <w:t xml:space="preserve"> AND </w:t>
      </w:r>
      <w:r>
        <w:rPr>
          <w:i/>
        </w:rPr>
        <w:t>effectiveness</w:t>
      </w:r>
      <w:r>
        <w:t xml:space="preserve"> in GoogleScholar before reviewing the first 50 pages of results. When contacting study authors for additional information an accompanying invitation to recommend additional studies was made.</w:t>
      </w:r>
    </w:p>
    <w:p w14:paraId="21224043" w14:textId="77777777" w:rsidR="0016079D" w:rsidRDefault="00B23CA6">
      <w:pPr>
        <w:pStyle w:val="BodyText"/>
      </w:pPr>
      <w:r>
        <w:t xml:space="preserve">After removal of duplicates search results were imported to </w:t>
      </w:r>
      <w:r>
        <w:rPr>
          <w:i/>
        </w:rPr>
        <w:t>Rayyan</w:t>
      </w:r>
      <w:r>
        <w:t xml:space="preserve"> (</w:t>
      </w:r>
      <w:hyperlink w:anchor="ref-Ouzzani2016">
        <w:r>
          <w:rPr>
            <w:rStyle w:val="Hyperlink"/>
          </w:rPr>
          <w:t>Ouzzani et al., 2016</w:t>
        </w:r>
      </w:hyperlink>
      <w:r>
        <w:t xml:space="preserve">). Rayyan is a web-platform that supports title/abstract screening through blinding decision results among collaborators and sorting abstracts by probability of inclusion through </w:t>
      </w:r>
      <w:r>
        <w:lastRenderedPageBreak/>
        <w:t>text mining. Studies identified from the systematic search were screened by the first author using a pre-developed and piloted screening tool. A sub-sample were screened by a second coder at each stage. Percentage agreement and inter-rater reliability statistics (Kappa [</w:t>
      </w:r>
      <m:oMath>
        <m:r>
          <w:rPr>
            <w:rFonts w:ascii="Cambria Math" w:hAnsi="Cambria Math"/>
          </w:rPr>
          <m:t>κ</m:t>
        </m:r>
      </m:oMath>
      <w:r>
        <w:t xml:space="preserve">], </w:t>
      </w:r>
      <w:hyperlink w:anchor="ref-Cohen1960">
        <w:r>
          <w:rPr>
            <w:rStyle w:val="Hyperlink"/>
          </w:rPr>
          <w:t>Cohen, 1960</w:t>
        </w:r>
      </w:hyperlink>
      <w:r>
        <w:t xml:space="preserve">) were used to quantify screening precision. Descriptive classifiers available for interpreting </w:t>
      </w:r>
      <m:oMath>
        <m:r>
          <w:rPr>
            <w:rFonts w:ascii="Cambria Math" w:hAnsi="Cambria Math"/>
          </w:rPr>
          <m:t>κ</m:t>
        </m:r>
      </m:oMath>
      <w:r>
        <w:t xml:space="preserve"> were employed (</w:t>
      </w:r>
      <w:hyperlink w:anchor="ref-Landis1977">
        <w:r>
          <w:rPr>
            <w:rStyle w:val="Hyperlink"/>
          </w:rPr>
          <w:t>Landis &amp; Koch, 1977</w:t>
        </w:r>
      </w:hyperlink>
      <w:r>
        <w:t xml:space="preserve">), consisting of </w:t>
      </w:r>
      <w:r>
        <w:rPr>
          <w:i/>
        </w:rPr>
        <w:t>slight</w:t>
      </w:r>
      <w:r>
        <w:t xml:space="preserve"> (0-0.2), </w:t>
      </w:r>
      <w:r>
        <w:rPr>
          <w:i/>
        </w:rPr>
        <w:t>fair</w:t>
      </w:r>
      <w:r>
        <w:t xml:space="preserve"> (0.2-0.4), </w:t>
      </w:r>
      <w:r>
        <w:rPr>
          <w:i/>
        </w:rPr>
        <w:t>moderate</w:t>
      </w:r>
      <w:r>
        <w:t xml:space="preserve"> (0.4-0.6), </w:t>
      </w:r>
      <w:r>
        <w:rPr>
          <w:i/>
        </w:rPr>
        <w:t>substantial</w:t>
      </w:r>
      <w:r>
        <w:t xml:space="preserve"> (0.6-0.8), and </w:t>
      </w:r>
      <w:r>
        <w:rPr>
          <w:i/>
        </w:rPr>
        <w:t>almost perfect</w:t>
      </w:r>
      <w:r>
        <w:t xml:space="preserve"> (0.8-1.0). 20% of titles/abstracts were coded by a trainee clinical psychologist showing substantial reliability (</w:t>
      </w:r>
      <m:oMath>
        <m:r>
          <w:rPr>
            <w:rFonts w:ascii="Cambria Math" w:hAnsi="Cambria Math"/>
          </w:rPr>
          <m:t>κ</m:t>
        </m:r>
      </m:oMath>
      <w:r>
        <w:t xml:space="preserve"> = 0.78, 1713/1740, 98.45%) and 10% of full texts were coded by a clinical psychologist, showing strong reliability (</w:t>
      </w:r>
      <m:oMath>
        <m:r>
          <w:rPr>
            <w:rFonts w:ascii="Cambria Math" w:hAnsi="Cambria Math"/>
          </w:rPr>
          <m:t>κ</m:t>
        </m:r>
      </m:oMath>
      <w:r>
        <w:t xml:space="preserve"> = 0.65, 24/30, 80%). For many included studies (212/252, 84.13%) authors were contacted via e-mail for additional information (two-week response time). 177 requests were for missing correlations while 35 were for additional data (e.g. M, SD etc.). E-mail responses were received for 76 authors (35.85%) while data was provided for 41 samples (19.34%).</w:t>
      </w:r>
    </w:p>
    <w:p w14:paraId="3A0814BF" w14:textId="77777777" w:rsidR="0016079D" w:rsidRDefault="00B23CA6">
      <w:pPr>
        <w:pStyle w:val="Heading2"/>
      </w:pPr>
      <w:bookmarkStart w:id="5" w:name="extraction"/>
      <w:bookmarkEnd w:id="4"/>
      <w:r>
        <w:t>Extraction</w:t>
      </w:r>
    </w:p>
    <w:p w14:paraId="6310BC06" w14:textId="77777777" w:rsidR="0016079D" w:rsidRDefault="00B23CA6">
      <w:pPr>
        <w:pStyle w:val="FirstParagraph"/>
      </w:pPr>
      <w:r>
        <w:t xml:space="preserve">There was three separate outcome domains (and subsequently three meta-analyses) for </w:t>
      </w:r>
      <w:r>
        <w:rPr>
          <w:i/>
        </w:rPr>
        <w:t>depression</w:t>
      </w:r>
      <w:r>
        <w:t xml:space="preserve">, </w:t>
      </w:r>
      <w:r>
        <w:rPr>
          <w:i/>
        </w:rPr>
        <w:t>anxiety</w:t>
      </w:r>
      <w:r>
        <w:t xml:space="preserve"> and </w:t>
      </w:r>
      <w:r>
        <w:rPr>
          <w:i/>
        </w:rPr>
        <w:t>miscellaneous</w:t>
      </w:r>
      <w:r>
        <w:t xml:space="preserve"> outcomes. For anxiety and depression, domain allocation was informed by the measure employed (i.e., depression measures in </w:t>
      </w:r>
      <w:r>
        <w:rPr>
          <w:i/>
        </w:rPr>
        <w:t>depression</w:t>
      </w:r>
      <w:r>
        <w:t xml:space="preserve">, anxiety measures in </w:t>
      </w:r>
      <w:r>
        <w:rPr>
          <w:i/>
        </w:rPr>
        <w:t>anxiety</w:t>
      </w:r>
      <w:r>
        <w:t xml:space="preserve">). All other effectiveness measures were placed in the </w:t>
      </w:r>
      <w:r>
        <w:rPr>
          <w:i/>
        </w:rPr>
        <w:t>miscellaneous</w:t>
      </w:r>
      <w:r>
        <w:t xml:space="preserve"> domain; which commonly consisted of (i) general psychological distress scales, and then to a lesser extent (ii) peripheral outcomes scales indicating symptom amelioration (e.g., functioning, quality of life), or (iii) diagnosis-specific outcome scales (e.g., OCD, PTSD). Samples were not exclusive to disorder specific populations/treatments and therefore domains should not be seen as synonymous with diagnosis/treatment.</w:t>
      </w:r>
    </w:p>
    <w:p w14:paraId="140A2DD0" w14:textId="51963174" w:rsidR="0016079D" w:rsidRDefault="00B23CA6">
      <w:pPr>
        <w:pStyle w:val="BodyText"/>
      </w:pPr>
      <w:r>
        <w:lastRenderedPageBreak/>
        <w:t>A standardised extraction sheet was developed and pilot-tested with a sample of studies (</w:t>
      </w:r>
      <w:r>
        <w:rPr>
          <w:i/>
        </w:rPr>
        <w:t>k</w:t>
      </w:r>
      <w:r>
        <w:t xml:space="preserve"> = 10). When extracting, pooled study samples were preferred. When only multiple independent samples were reported then effect-sizes were aggregated prior to meta-analysis to reduce bias of statistical dependency (</w:t>
      </w:r>
      <w:hyperlink w:anchor="ref-Gleser2009">
        <w:r>
          <w:rPr>
            <w:rStyle w:val="Hyperlink"/>
          </w:rPr>
          <w:t>Gleser &amp; Olkin, 2009</w:t>
        </w:r>
      </w:hyperlink>
      <w:r>
        <w:t xml:space="preserve">; </w:t>
      </w:r>
      <w:hyperlink w:anchor="ref-Hoyt2018">
        <w:r>
          <w:rPr>
            <w:rStyle w:val="Hyperlink"/>
          </w:rPr>
          <w:t>Hoyt &amp; Del Re, 2018</w:t>
        </w:r>
      </w:hyperlink>
      <w:r>
        <w:t>). To avoid loss of information, study samples were disaggregated for moderator analyses (</w:t>
      </w:r>
      <w:hyperlink w:anchor="ref-Cooper1998">
        <w:r>
          <w:rPr>
            <w:rStyle w:val="Hyperlink"/>
          </w:rPr>
          <w:t>Cooper, 1998</w:t>
        </w:r>
      </w:hyperlink>
      <w:r>
        <w:t xml:space="preserve">). Studies with overlapping datasets were excluded. Samples which analysed patients lost to follow up were preferred to completer samples </w:t>
      </w:r>
      <w:r w:rsidR="003431B8">
        <w:t>due to being</w:t>
      </w:r>
      <w:r>
        <w:t xml:space="preserve"> less prone to attrition bias (</w:t>
      </w:r>
      <w:hyperlink w:anchor="ref-Juni2001">
        <w:r>
          <w:rPr>
            <w:rStyle w:val="Hyperlink"/>
          </w:rPr>
          <w:t>Jüni et al., 2001</w:t>
        </w:r>
      </w:hyperlink>
      <w:r>
        <w:t>). As extraction of multiple study effect-sizes within a single domain would lead to statistical dependency (</w:t>
      </w:r>
      <w:hyperlink w:anchor="ref-Borenstein2021">
        <w:r>
          <w:rPr>
            <w:rStyle w:val="Hyperlink"/>
          </w:rPr>
          <w:t>Borenstein et al., 2021</w:t>
        </w:r>
      </w:hyperlink>
      <w:r>
        <w:t>) we selected a single effect-size per sample, per domain (</w:t>
      </w:r>
      <w:hyperlink w:anchor="ref-Card2015">
        <w:r>
          <w:rPr>
            <w:rStyle w:val="Hyperlink"/>
          </w:rPr>
          <w:t>Card, 2015</w:t>
        </w:r>
      </w:hyperlink>
      <w:r>
        <w:t xml:space="preserve">; </w:t>
      </w:r>
      <w:hyperlink w:anchor="ref-Cuijpers2016">
        <w:proofErr w:type="spellStart"/>
        <w:r w:rsidR="002362CA">
          <w:rPr>
            <w:rStyle w:val="Hyperlink"/>
          </w:rPr>
          <w:t>Cuijpers</w:t>
        </w:r>
        <w:proofErr w:type="spellEnd"/>
        <w:r>
          <w:rPr>
            <w:rStyle w:val="Hyperlink"/>
          </w:rPr>
          <w:t>, 2016</w:t>
        </w:r>
      </w:hyperlink>
      <w:r>
        <w:t>), using a preference system (defined a priori, supplementary material)</w:t>
      </w:r>
      <w:r w:rsidR="003431B8">
        <w:t xml:space="preserve"> that</w:t>
      </w:r>
      <w:r>
        <w:t xml:space="preserve"> </w:t>
      </w:r>
      <w:r w:rsidR="003431B8">
        <w:t>favored the</w:t>
      </w:r>
      <w:r>
        <w:t xml:space="preserve"> most commonly employed measures in routine practice. As the current review only included self-report measures the need to select among multiple measures was rarely required. Reliability of coding for effect-size data was computed using a second coder for a sub-sample of manuscripts (n = 29) demonstrating almost perfect reliability across all values ( </w:t>
      </w:r>
      <m:oMath>
        <m:r>
          <w:rPr>
            <w:rFonts w:ascii="Cambria Math" w:hAnsi="Cambria Math"/>
          </w:rPr>
          <m:t>κ</m:t>
        </m:r>
      </m:oMath>
      <w:r>
        <w:t xml:space="preserve"> = 0.97, agreement = 97.56%) and perfect reliability for effect-size values (</w:t>
      </w:r>
      <m:oMath>
        <m:r>
          <w:rPr>
            <w:rFonts w:ascii="Cambria Math" w:hAnsi="Cambria Math"/>
          </w:rPr>
          <m:t>κ</m:t>
        </m:r>
      </m:oMath>
      <w:r>
        <w:t xml:space="preserve"> = 1.00). Key categorical and numerical variables extracted from manuscripts for moderator analyses are reported in </w:t>
      </w:r>
      <w:r w:rsidR="003431B8">
        <w:t>T</w:t>
      </w:r>
      <w:r>
        <w:t xml:space="preserve">able </w:t>
      </w:r>
      <w:r w:rsidR="003431B8">
        <w:t>1</w:t>
      </w:r>
      <w:r>
        <w:t>.</w:t>
      </w:r>
    </w:p>
    <w:p w14:paraId="658C5329" w14:textId="77777777" w:rsidR="0016079D" w:rsidRDefault="00B23CA6">
      <w:r>
        <w:br w:type="page"/>
      </w:r>
    </w:p>
    <w:tbl>
      <w:tblPr>
        <w:tblStyle w:val="TableGrid"/>
        <w:tblW w:w="0" w:type="auto"/>
        <w:tblLook w:val="04A0" w:firstRow="1" w:lastRow="0" w:firstColumn="1" w:lastColumn="0" w:noHBand="0" w:noVBand="1"/>
      </w:tblPr>
      <w:tblGrid>
        <w:gridCol w:w="9010"/>
      </w:tblGrid>
      <w:tr w:rsidR="003431B8" w14:paraId="6AB98266" w14:textId="77777777" w:rsidTr="002C4AEA">
        <w:tc>
          <w:tcPr>
            <w:tcW w:w="9010" w:type="dxa"/>
            <w:tcBorders>
              <w:top w:val="nil"/>
              <w:left w:val="nil"/>
              <w:bottom w:val="single" w:sz="4" w:space="0" w:color="auto"/>
              <w:right w:val="nil"/>
            </w:tcBorders>
          </w:tcPr>
          <w:p w14:paraId="3EDEAF64" w14:textId="4954C085" w:rsidR="003431B8" w:rsidRPr="00A716B4" w:rsidRDefault="003431B8" w:rsidP="003431B8">
            <w:pPr>
              <w:pStyle w:val="Heading3"/>
              <w:spacing w:line="276" w:lineRule="auto"/>
              <w:ind w:firstLine="0"/>
              <w:outlineLvl w:val="2"/>
              <w:rPr>
                <w:rFonts w:cs="Times New Roman"/>
              </w:rPr>
            </w:pPr>
            <w:bookmarkStart w:id="6" w:name="categorical-variables"/>
            <w:bookmarkStart w:id="7" w:name="continuous-variables"/>
            <w:r w:rsidRPr="00A716B4">
              <w:rPr>
                <w:rFonts w:cs="Times New Roman"/>
              </w:rPr>
              <w:lastRenderedPageBreak/>
              <w:t>Table 1</w:t>
            </w:r>
            <w:r>
              <w:rPr>
                <w:rFonts w:cs="Times New Roman"/>
              </w:rPr>
              <w:t>:</w:t>
            </w:r>
          </w:p>
          <w:p w14:paraId="7FFB675E" w14:textId="77777777" w:rsidR="003431B8" w:rsidRPr="0010785A" w:rsidRDefault="003431B8" w:rsidP="003431B8">
            <w:pPr>
              <w:pStyle w:val="BodyText"/>
              <w:spacing w:line="276" w:lineRule="auto"/>
              <w:ind w:firstLine="0"/>
              <w:rPr>
                <w:lang w:val="en-US"/>
              </w:rPr>
            </w:pPr>
            <w:r w:rsidRPr="00A716B4">
              <w:rPr>
                <w:rFonts w:cs="Times New Roman"/>
                <w:lang w:val="en-US"/>
              </w:rPr>
              <w:t xml:space="preserve">Summary coding sheet for extracting study information. These moderators form the subgroup </w:t>
            </w:r>
            <w:r>
              <w:rPr>
                <w:rFonts w:cs="Times New Roman"/>
                <w:lang w:val="en-US"/>
              </w:rPr>
              <w:t xml:space="preserve">and continuous </w:t>
            </w:r>
            <w:r w:rsidRPr="00A716B4">
              <w:rPr>
                <w:rFonts w:cs="Times New Roman"/>
                <w:lang w:val="en-US"/>
              </w:rPr>
              <w:t xml:space="preserve">variables </w:t>
            </w:r>
            <w:r>
              <w:rPr>
                <w:rFonts w:cs="Times New Roman"/>
                <w:lang w:val="en-US"/>
              </w:rPr>
              <w:t xml:space="preserve">moderator variables </w:t>
            </w:r>
            <w:r w:rsidRPr="00A716B4">
              <w:rPr>
                <w:rFonts w:cs="Times New Roman"/>
                <w:lang w:val="en-US"/>
              </w:rPr>
              <w:t>for the current study.</w:t>
            </w:r>
          </w:p>
        </w:tc>
      </w:tr>
      <w:tr w:rsidR="003431B8" w14:paraId="61FD38E0" w14:textId="77777777" w:rsidTr="002C4AEA">
        <w:tc>
          <w:tcPr>
            <w:tcW w:w="9010" w:type="dxa"/>
            <w:tcBorders>
              <w:top w:val="single" w:sz="4" w:space="0" w:color="auto"/>
              <w:left w:val="nil"/>
              <w:bottom w:val="nil"/>
              <w:right w:val="nil"/>
            </w:tcBorders>
          </w:tcPr>
          <w:p w14:paraId="69CC69A1" w14:textId="77777777" w:rsidR="003431B8" w:rsidRPr="00F173D7" w:rsidRDefault="003431B8" w:rsidP="002C4AEA">
            <w:pPr>
              <w:pStyle w:val="Heading3"/>
              <w:spacing w:line="240" w:lineRule="auto"/>
              <w:ind w:firstLine="0"/>
              <w:outlineLvl w:val="2"/>
              <w:rPr>
                <w:sz w:val="22"/>
                <w:szCs w:val="22"/>
              </w:rPr>
            </w:pPr>
            <w:r w:rsidRPr="00F173D7">
              <w:rPr>
                <w:sz w:val="22"/>
                <w:szCs w:val="22"/>
              </w:rPr>
              <w:t>Categorical variables</w:t>
            </w:r>
          </w:p>
        </w:tc>
      </w:tr>
      <w:tr w:rsidR="003431B8" w14:paraId="0D2A368C" w14:textId="77777777" w:rsidTr="002C4AEA">
        <w:tc>
          <w:tcPr>
            <w:tcW w:w="9010" w:type="dxa"/>
            <w:tcBorders>
              <w:top w:val="nil"/>
              <w:left w:val="nil"/>
              <w:bottom w:val="nil"/>
              <w:right w:val="nil"/>
            </w:tcBorders>
          </w:tcPr>
          <w:p w14:paraId="4A7BDF16"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Setting:</w:t>
            </w:r>
            <w:r w:rsidRPr="00F173D7">
              <w:rPr>
                <w:sz w:val="22"/>
                <w:szCs w:val="22"/>
              </w:rPr>
              <w:t xml:space="preserve"> the study was (</w:t>
            </w:r>
            <w:proofErr w:type="spellStart"/>
            <w:r w:rsidRPr="00F173D7">
              <w:rPr>
                <w:sz w:val="22"/>
                <w:szCs w:val="22"/>
              </w:rPr>
              <w:t>i</w:t>
            </w:r>
            <w:proofErr w:type="spellEnd"/>
            <w:r w:rsidRPr="00F173D7">
              <w:rPr>
                <w:sz w:val="22"/>
                <w:szCs w:val="22"/>
              </w:rPr>
              <w:t xml:space="preserve">) </w:t>
            </w:r>
            <w:r w:rsidRPr="00F173D7">
              <w:rPr>
                <w:i/>
                <w:sz w:val="22"/>
                <w:szCs w:val="22"/>
              </w:rPr>
              <w:t>out-patient</w:t>
            </w:r>
            <w:r w:rsidRPr="00F173D7">
              <w:rPr>
                <w:sz w:val="22"/>
                <w:szCs w:val="22"/>
              </w:rPr>
              <w:t xml:space="preserve">, (ii) </w:t>
            </w:r>
            <w:r w:rsidRPr="00F173D7">
              <w:rPr>
                <w:i/>
                <w:sz w:val="22"/>
                <w:szCs w:val="22"/>
              </w:rPr>
              <w:t>inpatient</w:t>
            </w:r>
            <w:r w:rsidRPr="00F173D7">
              <w:rPr>
                <w:sz w:val="22"/>
                <w:szCs w:val="22"/>
              </w:rPr>
              <w:t xml:space="preserve"> or (iii) </w:t>
            </w:r>
            <w:r w:rsidRPr="00F173D7">
              <w:rPr>
                <w:i/>
                <w:sz w:val="22"/>
                <w:szCs w:val="22"/>
              </w:rPr>
              <w:t>mixed.</w:t>
            </w:r>
          </w:p>
        </w:tc>
      </w:tr>
      <w:tr w:rsidR="003431B8" w14:paraId="40548F1B" w14:textId="77777777" w:rsidTr="002C4AEA">
        <w:tc>
          <w:tcPr>
            <w:tcW w:w="9010" w:type="dxa"/>
            <w:tcBorders>
              <w:top w:val="nil"/>
              <w:left w:val="nil"/>
              <w:bottom w:val="nil"/>
              <w:right w:val="nil"/>
            </w:tcBorders>
            <w:shd w:val="clear" w:color="auto" w:fill="F2F2F2" w:themeFill="background1" w:themeFillShade="F2"/>
          </w:tcPr>
          <w:p w14:paraId="277B4D63" w14:textId="5ABDA963" w:rsidR="003431B8" w:rsidRPr="00F173D7" w:rsidRDefault="003431B8" w:rsidP="003431B8">
            <w:pPr>
              <w:pStyle w:val="Compact"/>
              <w:numPr>
                <w:ilvl w:val="0"/>
                <w:numId w:val="22"/>
              </w:numPr>
              <w:spacing w:line="240" w:lineRule="auto"/>
              <w:rPr>
                <w:sz w:val="22"/>
                <w:szCs w:val="22"/>
              </w:rPr>
            </w:pPr>
            <w:r w:rsidRPr="00F173D7">
              <w:rPr>
                <w:b/>
                <w:sz w:val="22"/>
                <w:szCs w:val="22"/>
              </w:rPr>
              <w:t>Analysis:</w:t>
            </w:r>
            <w:r w:rsidRPr="00F173D7">
              <w:rPr>
                <w:sz w:val="22"/>
                <w:szCs w:val="22"/>
              </w:rPr>
              <w:t xml:space="preserve"> samples (</w:t>
            </w:r>
            <w:proofErr w:type="spellStart"/>
            <w:r w:rsidRPr="00F173D7">
              <w:rPr>
                <w:sz w:val="22"/>
                <w:szCs w:val="22"/>
              </w:rPr>
              <w:t>i</w:t>
            </w:r>
            <w:proofErr w:type="spellEnd"/>
            <w:r w:rsidRPr="00F173D7">
              <w:rPr>
                <w:sz w:val="22"/>
                <w:szCs w:val="22"/>
              </w:rPr>
              <w:t xml:space="preserve">) </w:t>
            </w:r>
            <w:r w:rsidRPr="00F173D7">
              <w:rPr>
                <w:i/>
                <w:sz w:val="22"/>
                <w:szCs w:val="22"/>
              </w:rPr>
              <w:t>included</w:t>
            </w:r>
            <w:r w:rsidRPr="00F173D7">
              <w:rPr>
                <w:sz w:val="22"/>
                <w:szCs w:val="22"/>
              </w:rPr>
              <w:t xml:space="preserve"> or (ii) </w:t>
            </w:r>
            <w:r w:rsidRPr="00F173D7">
              <w:rPr>
                <w:i/>
                <w:sz w:val="22"/>
                <w:szCs w:val="22"/>
              </w:rPr>
              <w:t>excluded</w:t>
            </w:r>
            <w:r w:rsidRPr="00F173D7">
              <w:rPr>
                <w:sz w:val="22"/>
                <w:szCs w:val="22"/>
              </w:rPr>
              <w:t xml:space="preserve"> (completers) patients lost to follow up.</w:t>
            </w:r>
          </w:p>
        </w:tc>
      </w:tr>
      <w:tr w:rsidR="003431B8" w14:paraId="10474C1F" w14:textId="77777777" w:rsidTr="002C4AEA">
        <w:tc>
          <w:tcPr>
            <w:tcW w:w="9010" w:type="dxa"/>
            <w:tcBorders>
              <w:top w:val="nil"/>
              <w:left w:val="nil"/>
              <w:bottom w:val="nil"/>
              <w:right w:val="nil"/>
            </w:tcBorders>
          </w:tcPr>
          <w:p w14:paraId="0702C4DF"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Severity:</w:t>
            </w:r>
            <w:r w:rsidRPr="00F173D7">
              <w:rPr>
                <w:sz w:val="22"/>
                <w:szCs w:val="22"/>
              </w:rPr>
              <w:t xml:space="preserve"> was determined through a stratification of studies based on characteristics of the service (</w:t>
            </w:r>
            <w:proofErr w:type="gramStart"/>
            <w:r w:rsidRPr="00F173D7">
              <w:rPr>
                <w:sz w:val="22"/>
                <w:szCs w:val="22"/>
              </w:rPr>
              <w:t>similar to</w:t>
            </w:r>
            <w:proofErr w:type="gramEnd"/>
            <w:r w:rsidRPr="00F173D7">
              <w:rPr>
                <w:sz w:val="22"/>
                <w:szCs w:val="22"/>
              </w:rPr>
              <w:t xml:space="preserve"> the approach used by </w:t>
            </w:r>
            <w:hyperlink w:anchor="ref-deJong2021a">
              <w:r w:rsidRPr="00F173D7">
                <w:rPr>
                  <w:rStyle w:val="Hyperlink"/>
                  <w:sz w:val="22"/>
                  <w:szCs w:val="22"/>
                </w:rPr>
                <w:t>de Jong et al., 2021</w:t>
              </w:r>
            </w:hyperlink>
            <w:r w:rsidRPr="00F173D7">
              <w:rPr>
                <w:sz w:val="22"/>
                <w:szCs w:val="22"/>
              </w:rPr>
              <w:t>). (</w:t>
            </w:r>
            <w:proofErr w:type="spellStart"/>
            <w:r w:rsidRPr="00F173D7">
              <w:rPr>
                <w:sz w:val="22"/>
                <w:szCs w:val="22"/>
              </w:rPr>
              <w:t>i</w:t>
            </w:r>
            <w:proofErr w:type="spellEnd"/>
            <w:r w:rsidRPr="00F173D7">
              <w:rPr>
                <w:sz w:val="22"/>
                <w:szCs w:val="22"/>
              </w:rPr>
              <w:t xml:space="preserve">) </w:t>
            </w:r>
            <w:r w:rsidRPr="00F173D7">
              <w:rPr>
                <w:i/>
                <w:sz w:val="22"/>
                <w:szCs w:val="22"/>
              </w:rPr>
              <w:t>Mild services</w:t>
            </w:r>
            <w:r w:rsidRPr="00F173D7">
              <w:rPr>
                <w:sz w:val="22"/>
                <w:szCs w:val="22"/>
              </w:rPr>
              <w:t xml:space="preserve"> included primary care, physical health, University counselling, voluntary, private (independent or group) and employee assistance programmes; (ii) </w:t>
            </w:r>
            <w:r w:rsidRPr="00F173D7">
              <w:rPr>
                <w:i/>
                <w:sz w:val="22"/>
                <w:szCs w:val="22"/>
              </w:rPr>
              <w:t>Moderate services</w:t>
            </w:r>
            <w:r w:rsidRPr="00F173D7">
              <w:rPr>
                <w:sz w:val="22"/>
                <w:szCs w:val="22"/>
              </w:rPr>
              <w:t xml:space="preserve"> included secondary care, community mental health </w:t>
            </w:r>
            <w:proofErr w:type="spellStart"/>
            <w:r w:rsidRPr="00F173D7">
              <w:rPr>
                <w:sz w:val="22"/>
                <w:szCs w:val="22"/>
              </w:rPr>
              <w:t>centers</w:t>
            </w:r>
            <w:proofErr w:type="spellEnd"/>
            <w:r w:rsidRPr="00F173D7">
              <w:rPr>
                <w:sz w:val="22"/>
                <w:szCs w:val="22"/>
              </w:rPr>
              <w:t xml:space="preserve">, specialist psychotherapy </w:t>
            </w:r>
            <w:proofErr w:type="spellStart"/>
            <w:r w:rsidRPr="00F173D7">
              <w:rPr>
                <w:sz w:val="22"/>
                <w:szCs w:val="22"/>
              </w:rPr>
              <w:t>centers</w:t>
            </w:r>
            <w:proofErr w:type="spellEnd"/>
            <w:r w:rsidRPr="00F173D7">
              <w:rPr>
                <w:sz w:val="22"/>
                <w:szCs w:val="22"/>
              </w:rPr>
              <w:t xml:space="preserve">, managed care settings, or intensive outpatient programmes; (iii) </w:t>
            </w:r>
            <w:r w:rsidRPr="00F173D7">
              <w:rPr>
                <w:i/>
                <w:sz w:val="22"/>
                <w:szCs w:val="22"/>
              </w:rPr>
              <w:t>severe services</w:t>
            </w:r>
            <w:r w:rsidRPr="00F173D7">
              <w:rPr>
                <w:sz w:val="22"/>
                <w:szCs w:val="22"/>
              </w:rPr>
              <w:t xml:space="preserve"> represented inpatient samples; and (iv) </w:t>
            </w:r>
            <w:r w:rsidRPr="00F173D7">
              <w:rPr>
                <w:i/>
                <w:sz w:val="22"/>
                <w:szCs w:val="22"/>
              </w:rPr>
              <w:t>university</w:t>
            </w:r>
            <w:r w:rsidRPr="00F173D7">
              <w:rPr>
                <w:sz w:val="22"/>
                <w:szCs w:val="22"/>
              </w:rPr>
              <w:t xml:space="preserve"> included University out-patient and training clinics.</w:t>
            </w:r>
          </w:p>
        </w:tc>
      </w:tr>
      <w:tr w:rsidR="003431B8" w14:paraId="249C7150" w14:textId="77777777" w:rsidTr="002C4AEA">
        <w:tc>
          <w:tcPr>
            <w:tcW w:w="9010" w:type="dxa"/>
            <w:tcBorders>
              <w:top w:val="nil"/>
              <w:left w:val="nil"/>
              <w:bottom w:val="nil"/>
              <w:right w:val="nil"/>
            </w:tcBorders>
            <w:shd w:val="clear" w:color="auto" w:fill="F2F2F2" w:themeFill="background1" w:themeFillShade="F2"/>
          </w:tcPr>
          <w:p w14:paraId="1A400214"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Treatment modality:</w:t>
            </w:r>
            <w:r w:rsidRPr="00F173D7">
              <w:rPr>
                <w:sz w:val="22"/>
                <w:szCs w:val="22"/>
              </w:rPr>
              <w:t xml:space="preserve"> Treatments were coded as (</w:t>
            </w:r>
            <w:proofErr w:type="spellStart"/>
            <w:r w:rsidRPr="00F173D7">
              <w:rPr>
                <w:sz w:val="22"/>
                <w:szCs w:val="22"/>
              </w:rPr>
              <w:t>i</w:t>
            </w:r>
            <w:proofErr w:type="spellEnd"/>
            <w:r w:rsidRPr="00F173D7">
              <w:rPr>
                <w:sz w:val="22"/>
                <w:szCs w:val="22"/>
              </w:rPr>
              <w:t xml:space="preserve">) </w:t>
            </w:r>
            <w:r w:rsidRPr="00F173D7">
              <w:rPr>
                <w:i/>
                <w:sz w:val="22"/>
                <w:szCs w:val="22"/>
              </w:rPr>
              <w:t>cognitive-</w:t>
            </w:r>
            <w:proofErr w:type="spellStart"/>
            <w:r w:rsidRPr="00F173D7">
              <w:rPr>
                <w:i/>
                <w:sz w:val="22"/>
                <w:szCs w:val="22"/>
              </w:rPr>
              <w:t>behavioral</w:t>
            </w:r>
            <w:proofErr w:type="spellEnd"/>
            <w:r w:rsidRPr="00F173D7">
              <w:rPr>
                <w:sz w:val="22"/>
                <w:szCs w:val="22"/>
              </w:rPr>
              <w:t xml:space="preserve"> or (ii) </w:t>
            </w:r>
            <w:r w:rsidRPr="00F173D7">
              <w:rPr>
                <w:i/>
                <w:sz w:val="22"/>
                <w:szCs w:val="22"/>
              </w:rPr>
              <w:t>psychodynamic</w:t>
            </w:r>
            <w:r w:rsidRPr="00F173D7">
              <w:rPr>
                <w:sz w:val="22"/>
                <w:szCs w:val="22"/>
              </w:rPr>
              <w:t xml:space="preserve"> based on manuscript self-designation (i.e., if the manuscript described treatment as CBT, then that was coded). In the absence of these terms, modality of best-fit was decided using treatment descriptions. Treatments that could not be confidently allocated to these groups were coded as (iii) </w:t>
            </w:r>
            <w:proofErr w:type="spellStart"/>
            <w:r w:rsidRPr="00F173D7">
              <w:rPr>
                <w:i/>
                <w:sz w:val="22"/>
                <w:szCs w:val="22"/>
              </w:rPr>
              <w:t>counseling</w:t>
            </w:r>
            <w:proofErr w:type="spellEnd"/>
            <w:r w:rsidRPr="00F173D7">
              <w:rPr>
                <w:sz w:val="22"/>
                <w:szCs w:val="22"/>
              </w:rPr>
              <w:t xml:space="preserve"> (e.g., person-</w:t>
            </w:r>
            <w:proofErr w:type="spellStart"/>
            <w:r w:rsidRPr="00F173D7">
              <w:rPr>
                <w:sz w:val="22"/>
                <w:szCs w:val="22"/>
              </w:rPr>
              <w:t>centered</w:t>
            </w:r>
            <w:proofErr w:type="spellEnd"/>
            <w:r w:rsidRPr="00F173D7">
              <w:rPr>
                <w:sz w:val="22"/>
                <w:szCs w:val="22"/>
              </w:rPr>
              <w:t xml:space="preserve">, undefined) or (iv) </w:t>
            </w:r>
            <w:r w:rsidRPr="00F173D7">
              <w:rPr>
                <w:i/>
                <w:sz w:val="22"/>
                <w:szCs w:val="22"/>
              </w:rPr>
              <w:t>other</w:t>
            </w:r>
            <w:r w:rsidRPr="00F173D7">
              <w:rPr>
                <w:sz w:val="22"/>
                <w:szCs w:val="22"/>
              </w:rPr>
              <w:t>. Treatments that did not describe treatment modality were rated as other.</w:t>
            </w:r>
          </w:p>
        </w:tc>
      </w:tr>
      <w:tr w:rsidR="003431B8" w14:paraId="2F776F63" w14:textId="77777777" w:rsidTr="002C4AEA">
        <w:tc>
          <w:tcPr>
            <w:tcW w:w="9010" w:type="dxa"/>
            <w:tcBorders>
              <w:top w:val="nil"/>
              <w:left w:val="nil"/>
              <w:bottom w:val="nil"/>
              <w:right w:val="nil"/>
            </w:tcBorders>
          </w:tcPr>
          <w:p w14:paraId="20B3DECF"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Continent:</w:t>
            </w:r>
            <w:r w:rsidRPr="00F173D7">
              <w:rPr>
                <w:sz w:val="22"/>
                <w:szCs w:val="22"/>
              </w:rPr>
              <w:t xml:space="preserve"> Studies were coded as North America, United Kingdom (UK), mainland Europe, Australasia, or Asia. The UK was separated from Europe because of the high representation of outcomes research coming from the UK.</w:t>
            </w:r>
          </w:p>
        </w:tc>
      </w:tr>
      <w:tr w:rsidR="003431B8" w14:paraId="4EDCD953" w14:textId="77777777" w:rsidTr="002C4AEA">
        <w:tc>
          <w:tcPr>
            <w:tcW w:w="9010" w:type="dxa"/>
            <w:tcBorders>
              <w:top w:val="nil"/>
              <w:left w:val="nil"/>
              <w:bottom w:val="nil"/>
              <w:right w:val="nil"/>
            </w:tcBorders>
            <w:shd w:val="clear" w:color="auto" w:fill="F2F2F2" w:themeFill="background1" w:themeFillShade="F2"/>
          </w:tcPr>
          <w:p w14:paraId="13F8E7AF"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Intervention development stage:</w:t>
            </w:r>
            <w:r w:rsidRPr="00F173D7">
              <w:rPr>
                <w:sz w:val="22"/>
                <w:szCs w:val="22"/>
              </w:rPr>
              <w:t xml:space="preserve"> Studies were coded as (</w:t>
            </w:r>
            <w:proofErr w:type="spellStart"/>
            <w:r w:rsidRPr="00F173D7">
              <w:rPr>
                <w:sz w:val="22"/>
                <w:szCs w:val="22"/>
              </w:rPr>
              <w:t>i</w:t>
            </w:r>
            <w:proofErr w:type="spellEnd"/>
            <w:r w:rsidRPr="00F173D7">
              <w:rPr>
                <w:sz w:val="22"/>
                <w:szCs w:val="22"/>
              </w:rPr>
              <w:t xml:space="preserve">) </w:t>
            </w:r>
            <w:r w:rsidRPr="00F173D7">
              <w:rPr>
                <w:i/>
                <w:sz w:val="22"/>
                <w:szCs w:val="22"/>
              </w:rPr>
              <w:t>preliminary studies</w:t>
            </w:r>
            <w:r w:rsidRPr="00F173D7">
              <w:rPr>
                <w:sz w:val="22"/>
                <w:szCs w:val="22"/>
              </w:rPr>
              <w:t xml:space="preserve"> (i.e., testing novel treatments or treatment iterations) or (ii) </w:t>
            </w:r>
            <w:r w:rsidRPr="00F173D7">
              <w:rPr>
                <w:i/>
                <w:sz w:val="22"/>
                <w:szCs w:val="22"/>
              </w:rPr>
              <w:t>routine evaluations</w:t>
            </w:r>
            <w:r w:rsidRPr="00F173D7">
              <w:rPr>
                <w:sz w:val="22"/>
                <w:szCs w:val="22"/>
              </w:rPr>
              <w:t>.</w:t>
            </w:r>
          </w:p>
        </w:tc>
      </w:tr>
      <w:tr w:rsidR="003431B8" w14:paraId="121BD03A" w14:textId="77777777" w:rsidTr="002C4AEA">
        <w:tc>
          <w:tcPr>
            <w:tcW w:w="9010" w:type="dxa"/>
            <w:tcBorders>
              <w:top w:val="nil"/>
              <w:left w:val="nil"/>
              <w:bottom w:val="nil"/>
              <w:right w:val="nil"/>
            </w:tcBorders>
          </w:tcPr>
          <w:p w14:paraId="098A1A33" w14:textId="77777777" w:rsidR="003431B8" w:rsidRPr="00F173D7" w:rsidRDefault="003431B8" w:rsidP="003431B8">
            <w:pPr>
              <w:pStyle w:val="Compact"/>
              <w:numPr>
                <w:ilvl w:val="0"/>
                <w:numId w:val="22"/>
              </w:numPr>
              <w:spacing w:line="240" w:lineRule="auto"/>
              <w:rPr>
                <w:sz w:val="22"/>
                <w:szCs w:val="22"/>
              </w:rPr>
            </w:pPr>
            <w:r w:rsidRPr="00F173D7">
              <w:rPr>
                <w:b/>
                <w:sz w:val="22"/>
                <w:szCs w:val="22"/>
              </w:rPr>
              <w:t>Experience:</w:t>
            </w:r>
            <w:r w:rsidRPr="00F173D7">
              <w:rPr>
                <w:sz w:val="22"/>
                <w:szCs w:val="22"/>
              </w:rPr>
              <w:t xml:space="preserve"> Samples for which treatment delivery was exclusively by (</w:t>
            </w:r>
            <w:proofErr w:type="spellStart"/>
            <w:r w:rsidRPr="00F173D7">
              <w:rPr>
                <w:sz w:val="22"/>
                <w:szCs w:val="22"/>
              </w:rPr>
              <w:t>i</w:t>
            </w:r>
            <w:proofErr w:type="spellEnd"/>
            <w:r w:rsidRPr="00F173D7">
              <w:rPr>
                <w:sz w:val="22"/>
                <w:szCs w:val="22"/>
              </w:rPr>
              <w:t xml:space="preserve">) </w:t>
            </w:r>
            <w:r w:rsidRPr="00F173D7">
              <w:rPr>
                <w:i/>
                <w:iCs/>
                <w:sz w:val="22"/>
                <w:szCs w:val="22"/>
              </w:rPr>
              <w:t>training professionals</w:t>
            </w:r>
            <w:r w:rsidRPr="00F173D7">
              <w:rPr>
                <w:sz w:val="22"/>
                <w:szCs w:val="22"/>
              </w:rPr>
              <w:t xml:space="preserve">, or (ii) </w:t>
            </w:r>
            <w:r w:rsidRPr="00F173D7">
              <w:rPr>
                <w:i/>
                <w:sz w:val="22"/>
                <w:szCs w:val="22"/>
              </w:rPr>
              <w:t>qualified professionals</w:t>
            </w:r>
          </w:p>
        </w:tc>
      </w:tr>
      <w:tr w:rsidR="003431B8" w14:paraId="0E5C3996" w14:textId="77777777" w:rsidTr="002C4AEA">
        <w:tc>
          <w:tcPr>
            <w:tcW w:w="9010" w:type="dxa"/>
            <w:tcBorders>
              <w:top w:val="nil"/>
              <w:left w:val="nil"/>
              <w:bottom w:val="nil"/>
              <w:right w:val="nil"/>
            </w:tcBorders>
            <w:shd w:val="clear" w:color="auto" w:fill="F2F2F2" w:themeFill="background1" w:themeFillShade="F2"/>
          </w:tcPr>
          <w:p w14:paraId="500FEF4D"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Measurement tool:</w:t>
            </w:r>
            <w:r w:rsidRPr="00F173D7">
              <w:rPr>
                <w:sz w:val="22"/>
                <w:szCs w:val="22"/>
              </w:rPr>
              <w:t xml:space="preserve"> Measures that were represented at least ten times in the meta-analysis were entered as subgroups</w:t>
            </w:r>
          </w:p>
        </w:tc>
      </w:tr>
      <w:tr w:rsidR="003431B8" w14:paraId="1044652C" w14:textId="77777777" w:rsidTr="002C4AEA">
        <w:tc>
          <w:tcPr>
            <w:tcW w:w="9010" w:type="dxa"/>
            <w:tcBorders>
              <w:top w:val="nil"/>
              <w:left w:val="nil"/>
              <w:bottom w:val="single" w:sz="4" w:space="0" w:color="auto"/>
              <w:right w:val="nil"/>
            </w:tcBorders>
          </w:tcPr>
          <w:p w14:paraId="0319F674" w14:textId="77777777" w:rsidR="003431B8" w:rsidRDefault="003431B8" w:rsidP="003431B8">
            <w:pPr>
              <w:pStyle w:val="Compact"/>
              <w:numPr>
                <w:ilvl w:val="0"/>
                <w:numId w:val="22"/>
              </w:numPr>
              <w:spacing w:line="240" w:lineRule="auto"/>
              <w:rPr>
                <w:sz w:val="22"/>
                <w:szCs w:val="22"/>
              </w:rPr>
            </w:pPr>
            <w:r w:rsidRPr="00F173D7">
              <w:rPr>
                <w:b/>
                <w:sz w:val="22"/>
                <w:szCs w:val="22"/>
              </w:rPr>
              <w:t>Sample Size:</w:t>
            </w:r>
            <w:r w:rsidRPr="00F173D7">
              <w:rPr>
                <w:sz w:val="22"/>
                <w:szCs w:val="22"/>
              </w:rPr>
              <w:t xml:space="preserve"> Following the approach of </w:t>
            </w:r>
            <w:hyperlink w:anchor="ref-Barth2013a">
              <w:r w:rsidRPr="00F173D7">
                <w:rPr>
                  <w:rStyle w:val="Hyperlink"/>
                  <w:sz w:val="22"/>
                  <w:szCs w:val="22"/>
                </w:rPr>
                <w:t>Barth et al.</w:t>
              </w:r>
            </w:hyperlink>
            <w:r w:rsidRPr="00F173D7">
              <w:rPr>
                <w:sz w:val="22"/>
                <w:szCs w:val="22"/>
              </w:rPr>
              <w:t xml:space="preserve"> (</w:t>
            </w:r>
            <w:hyperlink w:anchor="ref-Barth2013a">
              <w:r w:rsidRPr="00F173D7">
                <w:rPr>
                  <w:rStyle w:val="Hyperlink"/>
                  <w:sz w:val="22"/>
                  <w:szCs w:val="22"/>
                </w:rPr>
                <w:t>2013</w:t>
              </w:r>
            </w:hyperlink>
            <w:r w:rsidRPr="00F173D7">
              <w:rPr>
                <w:sz w:val="22"/>
                <w:szCs w:val="22"/>
              </w:rPr>
              <w:t>), studies were coded as small (N=&lt;25), medium (N=25-50), or large (N=50+).</w:t>
            </w:r>
          </w:p>
          <w:p w14:paraId="16107425" w14:textId="77777777" w:rsidR="003431B8" w:rsidRPr="00F173D7" w:rsidRDefault="003431B8" w:rsidP="002C4AEA">
            <w:pPr>
              <w:pStyle w:val="Compact"/>
              <w:spacing w:line="240" w:lineRule="auto"/>
              <w:ind w:left="720" w:firstLine="0"/>
              <w:rPr>
                <w:sz w:val="22"/>
                <w:szCs w:val="22"/>
              </w:rPr>
            </w:pPr>
          </w:p>
        </w:tc>
      </w:tr>
      <w:tr w:rsidR="003431B8" w14:paraId="6C959766" w14:textId="77777777" w:rsidTr="002C4AEA">
        <w:tc>
          <w:tcPr>
            <w:tcW w:w="9010" w:type="dxa"/>
            <w:tcBorders>
              <w:top w:val="single" w:sz="4" w:space="0" w:color="auto"/>
              <w:left w:val="nil"/>
              <w:bottom w:val="nil"/>
              <w:right w:val="nil"/>
            </w:tcBorders>
          </w:tcPr>
          <w:p w14:paraId="2AE9F62B" w14:textId="77777777" w:rsidR="003431B8" w:rsidRPr="00F173D7" w:rsidRDefault="003431B8" w:rsidP="002C4AEA">
            <w:pPr>
              <w:pStyle w:val="Heading3"/>
              <w:spacing w:line="240" w:lineRule="auto"/>
              <w:ind w:firstLine="0"/>
              <w:outlineLvl w:val="2"/>
              <w:rPr>
                <w:sz w:val="22"/>
                <w:szCs w:val="22"/>
              </w:rPr>
            </w:pPr>
            <w:r w:rsidRPr="00F173D7">
              <w:rPr>
                <w:sz w:val="22"/>
                <w:szCs w:val="22"/>
              </w:rPr>
              <w:t>Continuous variables</w:t>
            </w:r>
          </w:p>
        </w:tc>
      </w:tr>
      <w:tr w:rsidR="003431B8" w14:paraId="023308F4" w14:textId="77777777" w:rsidTr="002C4AEA">
        <w:trPr>
          <w:trHeight w:val="196"/>
        </w:trPr>
        <w:tc>
          <w:tcPr>
            <w:tcW w:w="9010" w:type="dxa"/>
            <w:tcBorders>
              <w:top w:val="nil"/>
              <w:left w:val="nil"/>
              <w:bottom w:val="nil"/>
              <w:right w:val="nil"/>
            </w:tcBorders>
          </w:tcPr>
          <w:p w14:paraId="41DE24B5"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Age:</w:t>
            </w:r>
            <w:r w:rsidRPr="00F173D7">
              <w:rPr>
                <w:sz w:val="22"/>
                <w:szCs w:val="22"/>
              </w:rPr>
              <w:t xml:space="preserve"> Sample mean average age.</w:t>
            </w:r>
          </w:p>
        </w:tc>
      </w:tr>
      <w:tr w:rsidR="003431B8" w14:paraId="284DCC00" w14:textId="77777777" w:rsidTr="002C4AEA">
        <w:tc>
          <w:tcPr>
            <w:tcW w:w="9010" w:type="dxa"/>
            <w:tcBorders>
              <w:top w:val="nil"/>
              <w:left w:val="nil"/>
              <w:bottom w:val="nil"/>
              <w:right w:val="nil"/>
            </w:tcBorders>
            <w:shd w:val="clear" w:color="auto" w:fill="F2F2F2" w:themeFill="background1" w:themeFillShade="F2"/>
          </w:tcPr>
          <w:p w14:paraId="7AEB19E8"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Dosage:</w:t>
            </w:r>
            <w:r w:rsidRPr="00F173D7">
              <w:rPr>
                <w:sz w:val="22"/>
                <w:szCs w:val="22"/>
              </w:rPr>
              <w:t xml:space="preserve"> Sample mean average treatment sessions.</w:t>
            </w:r>
          </w:p>
        </w:tc>
      </w:tr>
      <w:tr w:rsidR="003431B8" w14:paraId="1DF8DF37" w14:textId="77777777" w:rsidTr="002C4AEA">
        <w:tc>
          <w:tcPr>
            <w:tcW w:w="9010" w:type="dxa"/>
            <w:tcBorders>
              <w:top w:val="nil"/>
              <w:left w:val="nil"/>
              <w:bottom w:val="nil"/>
              <w:right w:val="nil"/>
            </w:tcBorders>
          </w:tcPr>
          <w:p w14:paraId="4B97EA00"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Year:</w:t>
            </w:r>
            <w:r w:rsidRPr="00F173D7">
              <w:rPr>
                <w:sz w:val="22"/>
                <w:szCs w:val="22"/>
              </w:rPr>
              <w:t xml:space="preserve"> of publication.</w:t>
            </w:r>
          </w:p>
        </w:tc>
      </w:tr>
      <w:tr w:rsidR="003431B8" w14:paraId="335080C3" w14:textId="77777777" w:rsidTr="002C4AEA">
        <w:tc>
          <w:tcPr>
            <w:tcW w:w="9010" w:type="dxa"/>
            <w:tcBorders>
              <w:top w:val="nil"/>
              <w:left w:val="nil"/>
              <w:bottom w:val="nil"/>
              <w:right w:val="nil"/>
            </w:tcBorders>
            <w:shd w:val="clear" w:color="auto" w:fill="F2F2F2" w:themeFill="background1" w:themeFillShade="F2"/>
          </w:tcPr>
          <w:p w14:paraId="6F97F2F4"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Female preponderance</w:t>
            </w:r>
            <w:r w:rsidRPr="00F173D7">
              <w:rPr>
                <w:sz w:val="22"/>
                <w:szCs w:val="22"/>
              </w:rPr>
              <w:t>: Sample rate (%).</w:t>
            </w:r>
          </w:p>
        </w:tc>
      </w:tr>
      <w:tr w:rsidR="003431B8" w14:paraId="719EE592" w14:textId="77777777" w:rsidTr="002C4AEA">
        <w:tc>
          <w:tcPr>
            <w:tcW w:w="9010" w:type="dxa"/>
            <w:tcBorders>
              <w:top w:val="nil"/>
              <w:left w:val="nil"/>
              <w:bottom w:val="nil"/>
              <w:right w:val="nil"/>
            </w:tcBorders>
          </w:tcPr>
          <w:p w14:paraId="32689813"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Married</w:t>
            </w:r>
            <w:r w:rsidRPr="00F173D7">
              <w:rPr>
                <w:sz w:val="22"/>
                <w:szCs w:val="22"/>
              </w:rPr>
              <w:t>: Sample rate (%).</w:t>
            </w:r>
          </w:p>
        </w:tc>
      </w:tr>
      <w:tr w:rsidR="003431B8" w14:paraId="7FB097AB" w14:textId="77777777" w:rsidTr="002C4AEA">
        <w:tc>
          <w:tcPr>
            <w:tcW w:w="9010" w:type="dxa"/>
            <w:tcBorders>
              <w:top w:val="nil"/>
              <w:left w:val="nil"/>
              <w:bottom w:val="nil"/>
              <w:right w:val="nil"/>
            </w:tcBorders>
            <w:shd w:val="clear" w:color="auto" w:fill="F2F2F2" w:themeFill="background1" w:themeFillShade="F2"/>
          </w:tcPr>
          <w:p w14:paraId="77D9F59E" w14:textId="77777777" w:rsidR="003431B8" w:rsidRPr="00F173D7" w:rsidRDefault="003431B8" w:rsidP="003431B8">
            <w:pPr>
              <w:pStyle w:val="Compact"/>
              <w:numPr>
                <w:ilvl w:val="0"/>
                <w:numId w:val="22"/>
              </w:numPr>
              <w:spacing w:line="240" w:lineRule="auto"/>
              <w:rPr>
                <w:b/>
                <w:sz w:val="22"/>
                <w:szCs w:val="22"/>
              </w:rPr>
            </w:pPr>
            <w:r w:rsidRPr="00F173D7">
              <w:rPr>
                <w:b/>
                <w:sz w:val="22"/>
                <w:szCs w:val="22"/>
              </w:rPr>
              <w:t>Employed</w:t>
            </w:r>
            <w:r w:rsidRPr="00F173D7">
              <w:rPr>
                <w:sz w:val="22"/>
                <w:szCs w:val="22"/>
              </w:rPr>
              <w:t>: Sample rate (%).</w:t>
            </w:r>
          </w:p>
        </w:tc>
      </w:tr>
      <w:tr w:rsidR="003431B8" w14:paraId="7B086052" w14:textId="77777777" w:rsidTr="002C4AEA">
        <w:tc>
          <w:tcPr>
            <w:tcW w:w="9010" w:type="dxa"/>
            <w:tcBorders>
              <w:top w:val="nil"/>
              <w:left w:val="nil"/>
              <w:right w:val="nil"/>
            </w:tcBorders>
          </w:tcPr>
          <w:p w14:paraId="7F33A330" w14:textId="44E33038" w:rsidR="003431B8" w:rsidRPr="003431B8" w:rsidRDefault="003431B8" w:rsidP="003431B8">
            <w:pPr>
              <w:pStyle w:val="Compact"/>
              <w:numPr>
                <w:ilvl w:val="0"/>
                <w:numId w:val="22"/>
              </w:numPr>
              <w:spacing w:line="240" w:lineRule="auto"/>
              <w:rPr>
                <w:b/>
                <w:sz w:val="22"/>
                <w:szCs w:val="22"/>
              </w:rPr>
            </w:pPr>
            <w:r w:rsidRPr="00F173D7">
              <w:rPr>
                <w:b/>
                <w:sz w:val="22"/>
                <w:szCs w:val="22"/>
              </w:rPr>
              <w:t>Ethnic minority</w:t>
            </w:r>
            <w:r w:rsidRPr="00F173D7">
              <w:rPr>
                <w:sz w:val="22"/>
                <w:szCs w:val="22"/>
              </w:rPr>
              <w:t>: Sample rate (%).</w:t>
            </w:r>
          </w:p>
        </w:tc>
      </w:tr>
      <w:bookmarkEnd w:id="6"/>
    </w:tbl>
    <w:p w14:paraId="18DD90FC" w14:textId="77777777" w:rsidR="0016079D" w:rsidRDefault="00B23CA6">
      <w:r>
        <w:br w:type="page"/>
      </w:r>
    </w:p>
    <w:p w14:paraId="070FDE54" w14:textId="77777777" w:rsidR="0016079D" w:rsidRDefault="00B23CA6">
      <w:pPr>
        <w:pStyle w:val="Heading3"/>
      </w:pPr>
      <w:bookmarkStart w:id="8" w:name="risk-of-bias-and-quality-assessment"/>
      <w:bookmarkEnd w:id="7"/>
      <w:r>
        <w:lastRenderedPageBreak/>
        <w:t>Risk of Bias and Quality Assessment</w:t>
      </w:r>
    </w:p>
    <w:p w14:paraId="06D0FAA3" w14:textId="77777777" w:rsidR="0016079D" w:rsidRDefault="00B23CA6">
      <w:pPr>
        <w:pStyle w:val="FirstParagraph"/>
      </w:pPr>
      <w:r>
        <w:t>The Joanna Briggs Institute Quality Appraisal Tool for Case Series (</w:t>
      </w:r>
      <w:hyperlink w:anchor="ref-Munn2020">
        <w:r>
          <w:rPr>
            <w:rStyle w:val="Hyperlink"/>
          </w:rPr>
          <w:t>Munn et al., 2020</w:t>
        </w:r>
      </w:hyperlink>
      <w:r>
        <w:t>) was used to rate study risk of bias. Eight criteria primarily focusing upon manuscript reporting detail were used. Criteria included manuscript reporting of: (i) service inclusion criteria, (ii) service description, (iii) treatment description, (iv) sample characteristics, (v) outcome data, (vi) effect-size calculation, (vii) consecutive patient recruitment, and (viii) inclusion of patients lost to follow-up (in statistical analysis). Each item was coded as either met or not met (including not clear) by the first author for each sample. A sub-sample (23.8%) was second coded by a pair of MSc psychological research methods students (11.9% each).</w:t>
      </w:r>
    </w:p>
    <w:p w14:paraId="1A2BE295" w14:textId="77777777" w:rsidR="0016079D" w:rsidRDefault="00B23CA6">
      <w:pPr>
        <w:pStyle w:val="BodyText"/>
      </w:pPr>
      <w:r>
        <w:t xml:space="preserve">The methodological quality for the body of evidence within each meta-analytic domain was assessed by three reviewers using guidelines for the Grading of Recommendations, Assessment, Development and Evaluations (GRADE, </w:t>
      </w:r>
      <w:hyperlink w:anchor="ref-Guyatt2008">
        <w:r>
          <w:rPr>
            <w:rStyle w:val="Hyperlink"/>
          </w:rPr>
          <w:t>Guyatt et al., 2008</w:t>
        </w:r>
      </w:hyperlink>
      <w:r>
        <w:t>). This framework rates evidence quality for each meta-analytic outcome based on included study designs. Individual ratings are initially provided (high, moderate, low or very low) and are then down-graded (or upgraded) through evaluation of five separate criteria; risk of bias within included studies, inconsistencies in aggregated treatment effect, indirectness of evidence, imprecision and publication bias.</w:t>
      </w:r>
    </w:p>
    <w:p w14:paraId="20A03DC8" w14:textId="77777777" w:rsidR="0016079D" w:rsidRDefault="00B23CA6">
      <w:pPr>
        <w:pStyle w:val="Heading2"/>
      </w:pPr>
      <w:bookmarkStart w:id="9" w:name="analysis"/>
      <w:bookmarkEnd w:id="5"/>
      <w:bookmarkEnd w:id="8"/>
      <w:r>
        <w:t>Analysis</w:t>
      </w:r>
    </w:p>
    <w:p w14:paraId="3E6ED85B" w14:textId="77777777" w:rsidR="0016079D" w:rsidRDefault="00B23CA6">
      <w:pPr>
        <w:pStyle w:val="FirstParagraph"/>
      </w:pPr>
      <w:r>
        <w:t>All analyses were conducted using the R statistical analysis environment (</w:t>
      </w:r>
      <w:hyperlink w:anchor="ref-R-base">
        <w:r>
          <w:rPr>
            <w:rStyle w:val="Hyperlink"/>
          </w:rPr>
          <w:t>R Core Team, 2020</w:t>
        </w:r>
      </w:hyperlink>
      <w:r>
        <w:t>, v 4.0.2). Reporting of effect-size calculation followed available guidance (</w:t>
      </w:r>
      <w:hyperlink w:anchor="ref-Hoyt2018">
        <w:r>
          <w:rPr>
            <w:rStyle w:val="Hyperlink"/>
          </w:rPr>
          <w:t>Hoyt &amp; Del Re, 2018</w:t>
        </w:r>
      </w:hyperlink>
      <w:r>
        <w:t xml:space="preserve">). We calculated the standardised mean change (SMC: </w:t>
      </w:r>
      <w:hyperlink w:anchor="ref-Becker1988">
        <w:r>
          <w:rPr>
            <w:rStyle w:val="Hyperlink"/>
          </w:rPr>
          <w:t>Becker, 1988</w:t>
        </w:r>
      </w:hyperlink>
      <w:r>
        <w:t xml:space="preserve">) for included studies using the </w:t>
      </w:r>
      <w:r>
        <w:rPr>
          <w:i/>
        </w:rPr>
        <w:t>metafor</w:t>
      </w:r>
      <w:r>
        <w:t xml:space="preserve"> package. This approach divides the pre-post mean change score by the pretreatment standard deviation. Calculation of the sampling variance required </w:t>
      </w:r>
      <w:r>
        <w:lastRenderedPageBreak/>
        <w:t>an estimate of the pre-post correlation (</w:t>
      </w:r>
      <w:hyperlink w:anchor="ref-Morris2008">
        <w:r>
          <w:rPr>
            <w:rStyle w:val="Hyperlink"/>
          </w:rPr>
          <w:t>Morris, 2008</w:t>
        </w:r>
      </w:hyperlink>
      <w:r>
        <w:t xml:space="preserve">). For manuscripts not reporting all required information an approach to obtaining and/or imputing was followed (designed a priori, supplementary Table 3). When unavailable, Pearson’s </w:t>
      </w:r>
      <w:r>
        <w:rPr>
          <w:i/>
        </w:rPr>
        <w:t>r</w:t>
      </w:r>
      <w:r>
        <w:t xml:space="preserve"> was imputed using an empirically derived estimate (</w:t>
      </w:r>
      <w:r>
        <w:rPr>
          <w:i/>
        </w:rPr>
        <w:t>r</w:t>
      </w:r>
      <w:r>
        <w:t xml:space="preserve"> = .60, </w:t>
      </w:r>
      <w:hyperlink w:anchor="ref-Balk2012">
        <w:r>
          <w:rPr>
            <w:rStyle w:val="Hyperlink"/>
          </w:rPr>
          <w:t>Balk et al., 2012</w:t>
        </w:r>
      </w:hyperlink>
      <w:r>
        <w:t xml:space="preserve">). If all steps of this approach were unsuccessful then the study was removed from the meta-analysis. Aggregation of study samples (or sampling errors) was conducted using the </w:t>
      </w:r>
      <w:r>
        <w:rPr>
          <w:i/>
        </w:rPr>
        <w:t>aggregate</w:t>
      </w:r>
      <w:r>
        <w:t xml:space="preserve"> function of </w:t>
      </w:r>
      <w:r>
        <w:rPr>
          <w:i/>
        </w:rPr>
        <w:t>metafor</w:t>
      </w:r>
      <w:r>
        <w:t xml:space="preserve"> using standard inverse-variance weighting.</w:t>
      </w:r>
    </w:p>
    <w:p w14:paraId="3D6EE576" w14:textId="77777777" w:rsidR="0016079D" w:rsidRDefault="00B23CA6">
      <w:pPr>
        <w:pStyle w:val="BodyText"/>
      </w:pPr>
      <w:r>
        <w:t xml:space="preserve">Meta-analyses were performed using the </w:t>
      </w:r>
      <w:r>
        <w:rPr>
          <w:i/>
        </w:rPr>
        <w:t>metafor</w:t>
      </w:r>
      <w:r>
        <w:t xml:space="preserve"> (</w:t>
      </w:r>
      <w:hyperlink w:anchor="ref-R-metafor">
        <w:r>
          <w:rPr>
            <w:rStyle w:val="Hyperlink"/>
          </w:rPr>
          <w:t>Viechtbauer, 2020</w:t>
        </w:r>
      </w:hyperlink>
      <w:r>
        <w:t xml:space="preserve">), </w:t>
      </w:r>
      <w:r>
        <w:rPr>
          <w:i/>
        </w:rPr>
        <w:t>dmetar</w:t>
      </w:r>
      <w:r>
        <w:t xml:space="preserve"> (</w:t>
      </w:r>
      <w:hyperlink w:anchor="ref-Harrer2019a">
        <w:r>
          <w:rPr>
            <w:rStyle w:val="Hyperlink"/>
          </w:rPr>
          <w:t>Harrer et al., 2019a</w:t>
        </w:r>
      </w:hyperlink>
      <w:r>
        <w:t xml:space="preserve">), and </w:t>
      </w:r>
      <w:r>
        <w:rPr>
          <w:i/>
        </w:rPr>
        <w:t>meta</w:t>
      </w:r>
      <w:r>
        <w:t xml:space="preserve"> (</w:t>
      </w:r>
      <w:hyperlink w:anchor="ref-R-meta">
        <w:r>
          <w:rPr>
            <w:rStyle w:val="Hyperlink"/>
          </w:rPr>
          <w:t>Schwarzer, 2020</w:t>
        </w:r>
      </w:hyperlink>
      <w:r>
        <w:t>) packages. Due to expected high heterogeneity, random-effects meta-analyses were used to estimate pooled and weighted effect-sizes (</w:t>
      </w:r>
      <w:hyperlink w:anchor="ref-Higgins2008">
        <w:r>
          <w:rPr>
            <w:rStyle w:val="Hyperlink"/>
          </w:rPr>
          <w:t>Higgins &amp; Green, 2008</w:t>
        </w:r>
      </w:hyperlink>
      <w:r>
        <w:t>). This approach holds the assumption that included studies are randomly sampled from a population of studies (</w:t>
      </w:r>
      <w:hyperlink w:anchor="ref-Borenstein2021">
        <w:r>
          <w:rPr>
            <w:rStyle w:val="Hyperlink"/>
          </w:rPr>
          <w:t>Borenstein et al., 2021</w:t>
        </w:r>
      </w:hyperlink>
      <w:r>
        <w:t>). 95% confidence intervals were calculated for included studies. Forest plots were used to visualise the pattern of effects however due to the high number of studies they were stripped of text. As the large differences in study N risked disproportionate weighting of small samples (</w:t>
      </w:r>
      <w:hyperlink w:anchor="ref-Borenstein2021">
        <w:r>
          <w:rPr>
            <w:rStyle w:val="Hyperlink"/>
          </w:rPr>
          <w:t>Borenstein et al., 2021</w:t>
        </w:r>
      </w:hyperlink>
      <w:r>
        <w:t>) a post-hoc sensitivity analysis was performed through re-running the primary meta-analyses using fixed-effects models. Between-study heterogeneity was assessed using I</w:t>
      </w:r>
      <w:r>
        <w:rPr>
          <w:vertAlign w:val="superscript"/>
        </w:rPr>
        <w:t>2</w:t>
      </w:r>
      <w:r>
        <w:t xml:space="preserve"> (</w:t>
      </w:r>
      <w:hyperlink w:anchor="ref-Higgins2002">
        <w:r>
          <w:rPr>
            <w:rStyle w:val="Hyperlink"/>
          </w:rPr>
          <w:t>Higgins &amp; Thompson, 2002</w:t>
        </w:r>
      </w:hyperlink>
      <w:r>
        <w:t>) and the Q statistic (</w:t>
      </w:r>
      <w:hyperlink w:anchor="ref-Cochran1954">
        <w:r>
          <w:rPr>
            <w:rStyle w:val="Hyperlink"/>
          </w:rPr>
          <w:t>Cochran, 1954</w:t>
        </w:r>
      </w:hyperlink>
      <w:r>
        <w:t>). I</w:t>
      </w:r>
      <w:r>
        <w:rPr>
          <w:vertAlign w:val="superscript"/>
        </w:rPr>
        <w:t>2</w:t>
      </w:r>
      <w:r>
        <w:t xml:space="preserve"> was interpreted as </w:t>
      </w:r>
      <w:r>
        <w:rPr>
          <w:i/>
        </w:rPr>
        <w:t>low</w:t>
      </w:r>
      <w:r>
        <w:t xml:space="preserve"> (25-50%), </w:t>
      </w:r>
      <w:r>
        <w:rPr>
          <w:i/>
        </w:rPr>
        <w:t>moderate</w:t>
      </w:r>
      <w:r>
        <w:t xml:space="preserve"> (50-75%) or </w:t>
      </w:r>
      <w:r>
        <w:rPr>
          <w:i/>
        </w:rPr>
        <w:t>high</w:t>
      </w:r>
      <w:r>
        <w:t xml:space="preserve"> (75-100%, </w:t>
      </w:r>
      <w:hyperlink w:anchor="ref-Higgins2003">
        <w:r>
          <w:rPr>
            <w:rStyle w:val="Hyperlink"/>
          </w:rPr>
          <w:t>Higgins et al., 2003</w:t>
        </w:r>
      </w:hyperlink>
      <w:r>
        <w:t>). The impact of publication bias on treatment estimates was visualised using funnel plots and assessed statistically using rank correlation tests (</w:t>
      </w:r>
      <w:hyperlink w:anchor="ref-Begg1994">
        <w:r>
          <w:rPr>
            <w:rStyle w:val="Hyperlink"/>
          </w:rPr>
          <w:t>Begg &amp; Mazumdar, 1994</w:t>
        </w:r>
      </w:hyperlink>
      <w:r>
        <w:t>), Egger’s regression test for funnel plot asymmetry (</w:t>
      </w:r>
      <w:hyperlink w:anchor="ref-Egger1997">
        <w:r>
          <w:rPr>
            <w:rStyle w:val="Hyperlink"/>
          </w:rPr>
          <w:t>Egger et al., 1997</w:t>
        </w:r>
      </w:hyperlink>
      <w:r>
        <w:t xml:space="preserve">), and fail-safe N (Rosenthal method, </w:t>
      </w:r>
      <w:hyperlink w:anchor="ref-Rosenthal1979">
        <w:r>
          <w:rPr>
            <w:rStyle w:val="Hyperlink"/>
          </w:rPr>
          <w:t>Rosenthal, 1979</w:t>
        </w:r>
      </w:hyperlink>
      <w:r>
        <w:t>).</w:t>
      </w:r>
    </w:p>
    <w:p w14:paraId="6265C7DE" w14:textId="77777777" w:rsidR="0016079D" w:rsidRDefault="00B23CA6">
      <w:pPr>
        <w:pStyle w:val="BodyText"/>
      </w:pPr>
      <w:r>
        <w:t xml:space="preserve">Heterogeneity of SMC scores were tested using a range of pre-defined continuous (i.e., meta-regression) and categorical (i.e., subgroup analysis) moderator variables. Subgroup </w:t>
      </w:r>
      <w:r>
        <w:lastRenderedPageBreak/>
        <w:t xml:space="preserve">variables included: (i) </w:t>
      </w:r>
      <w:r>
        <w:rPr>
          <w:i/>
        </w:rPr>
        <w:t>setting</w:t>
      </w:r>
      <w:r>
        <w:t xml:space="preserve"> (inpatient vs outpatient), (ii) </w:t>
      </w:r>
      <w:r>
        <w:rPr>
          <w:i/>
        </w:rPr>
        <w:t>analysis</w:t>
      </w:r>
      <w:r>
        <w:t xml:space="preserve"> (i.e., non-/inclusion of patients lost to follow-up), (iv) </w:t>
      </w:r>
      <w:r>
        <w:rPr>
          <w:i/>
        </w:rPr>
        <w:t>continent</w:t>
      </w:r>
      <w:r>
        <w:t xml:space="preserve">, (iii) </w:t>
      </w:r>
      <w:r>
        <w:rPr>
          <w:i/>
        </w:rPr>
        <w:t>severity</w:t>
      </w:r>
      <w:r>
        <w:t xml:space="preserve"> (mild, moderate, severe, university) (v) </w:t>
      </w:r>
      <w:r>
        <w:rPr>
          <w:i/>
        </w:rPr>
        <w:t>treatment modality</w:t>
      </w:r>
      <w:r>
        <w:t xml:space="preserve">, (vi) </w:t>
      </w:r>
      <w:r>
        <w:rPr>
          <w:i/>
        </w:rPr>
        <w:t>experience</w:t>
      </w:r>
      <w:r>
        <w:t xml:space="preserve"> (unqualified vs. qualified therapists) (vii) </w:t>
      </w:r>
      <w:r>
        <w:rPr>
          <w:i/>
        </w:rPr>
        <w:t>stage of treatment development</w:t>
      </w:r>
      <w:r>
        <w:t xml:space="preserve"> (preliminary study vs. routine evaluations), (viii) </w:t>
      </w:r>
      <w:r>
        <w:rPr>
          <w:i/>
        </w:rPr>
        <w:t>measurement tool</w:t>
      </w:r>
      <w:r>
        <w:t xml:space="preserve">, and (ix) </w:t>
      </w:r>
      <w:r>
        <w:rPr>
          <w:i/>
        </w:rPr>
        <w:t>sample size</w:t>
      </w:r>
      <w:r>
        <w:t xml:space="preserve"> (small, medium, large). Meta-regression variables included (i) </w:t>
      </w:r>
      <w:r>
        <w:rPr>
          <w:i/>
        </w:rPr>
        <w:t>publication year</w:t>
      </w:r>
      <w:r>
        <w:t xml:space="preserve">, (ii) average </w:t>
      </w:r>
      <w:r>
        <w:rPr>
          <w:i/>
        </w:rPr>
        <w:t>age</w:t>
      </w:r>
      <w:r>
        <w:t xml:space="preserve"> of sample, (iii) </w:t>
      </w:r>
      <w:r>
        <w:rPr>
          <w:i/>
        </w:rPr>
        <w:t>dosage</w:t>
      </w:r>
      <w:r>
        <w:t xml:space="preserve"> (i.e. outpatient treatment sessions), and sample characteristics (% of samples: </w:t>
      </w:r>
      <w:r>
        <w:rPr>
          <w:i/>
        </w:rPr>
        <w:t>female</w:t>
      </w:r>
      <w:r>
        <w:t xml:space="preserve">, </w:t>
      </w:r>
      <w:r>
        <w:rPr>
          <w:i/>
        </w:rPr>
        <w:t>minority ethnicity</w:t>
      </w:r>
      <w:r>
        <w:t xml:space="preserve">, </w:t>
      </w:r>
      <w:r>
        <w:rPr>
          <w:i/>
        </w:rPr>
        <w:t>married</w:t>
      </w:r>
      <w:r>
        <w:t xml:space="preserve">, and in full-time </w:t>
      </w:r>
      <w:r>
        <w:rPr>
          <w:i/>
        </w:rPr>
        <w:t>employment</w:t>
      </w:r>
      <w:r>
        <w:t>. Moderator analyses followed available guidance (</w:t>
      </w:r>
      <w:hyperlink w:anchor="ref-Harrer2019">
        <w:r>
          <w:rPr>
            <w:rStyle w:val="Hyperlink"/>
          </w:rPr>
          <w:t>Harrer et al., 2019b</w:t>
        </w:r>
      </w:hyperlink>
      <w:r>
        <w:t>). Studies that were not relevant to a specific moderator analysis (or did not report required information) were temporarily omitted. All moderator analyses utilised mixed effect models (</w:t>
      </w:r>
      <w:hyperlink w:anchor="ref-Borenstein2021">
        <w:r>
          <w:rPr>
            <w:rStyle w:val="Hyperlink"/>
          </w:rPr>
          <w:t>Borenstein et al., 2021</w:t>
        </w:r>
      </w:hyperlink>
      <w:r>
        <w:t>) with weighted estimation (inverse-variance weights). This approach uses random effects models for subgroup pooled effect sizes and fixed-effect models for testing differences between subgroups. An omnibus test (QM-test) was used to assess for significant subgroup differences (</w:t>
      </w:r>
      <w:r>
        <w:rPr>
          <w:i/>
        </w:rPr>
        <w:t>p</w:t>
      </w:r>
      <w:r>
        <w:t xml:space="preserve"> = &lt; .05). Significant moderators were considered through inspection of 95% confidence intervals nonoverlap.</w:t>
      </w:r>
    </w:p>
    <w:p w14:paraId="75B16DFB" w14:textId="58D818B8" w:rsidR="0016079D" w:rsidRDefault="00B23CA6">
      <w:pPr>
        <w:pStyle w:val="BodyText"/>
      </w:pPr>
      <w:r>
        <w:t xml:space="preserve">Multivariate meta regression was used to assess two models specified a priori. These included (i) </w:t>
      </w:r>
      <w:r>
        <w:rPr>
          <w:i/>
        </w:rPr>
        <w:t>analysis</w:t>
      </w:r>
      <w:r w:rsidR="00415319">
        <w:t>*</w:t>
      </w:r>
      <w:r>
        <w:rPr>
          <w:i/>
        </w:rPr>
        <w:t>dosage</w:t>
      </w:r>
      <w:r>
        <w:t xml:space="preserve">, and (ii) </w:t>
      </w:r>
      <w:r>
        <w:rPr>
          <w:i/>
        </w:rPr>
        <w:t>continent</w:t>
      </w:r>
      <w:r w:rsidR="00415319">
        <w:t>*</w:t>
      </w:r>
      <w:r>
        <w:rPr>
          <w:i/>
        </w:rPr>
        <w:t>dosage</w:t>
      </w:r>
      <w:r>
        <w:t>. Models were first developed using the subgroup (i.e., dummy) variable only, then with inclusion of dosage, and finally allowing for interactions. Significant models (</w:t>
      </w:r>
      <w:r>
        <w:rPr>
          <w:i/>
        </w:rPr>
        <w:t>p</w:t>
      </w:r>
      <w:r>
        <w:t xml:space="preserve"> = &lt;.05) were compared for goodness-of-fit using log-likelihood score, and Akaike’s-information criteria (AIC).</w:t>
      </w:r>
    </w:p>
    <w:p w14:paraId="32D52A53" w14:textId="77777777" w:rsidR="0016079D" w:rsidRDefault="00B23CA6">
      <w:r>
        <w:br w:type="page"/>
      </w:r>
    </w:p>
    <w:p w14:paraId="36C57A9C" w14:textId="77777777" w:rsidR="0016079D" w:rsidRDefault="00B23CA6">
      <w:pPr>
        <w:pStyle w:val="Heading1"/>
      </w:pPr>
      <w:bookmarkStart w:id="10" w:name="results"/>
      <w:bookmarkEnd w:id="3"/>
      <w:bookmarkEnd w:id="9"/>
      <w:r>
        <w:lastRenderedPageBreak/>
        <w:t>Results</w:t>
      </w:r>
    </w:p>
    <w:p w14:paraId="50FD7EF3" w14:textId="77777777" w:rsidR="0016079D" w:rsidRDefault="00B23CA6">
      <w:pPr>
        <w:pStyle w:val="Heading2"/>
      </w:pPr>
      <w:bookmarkStart w:id="11" w:name="search-results"/>
      <w:r>
        <w:t>Search Results</w:t>
      </w:r>
    </w:p>
    <w:p w14:paraId="27FC06AC" w14:textId="77777777" w:rsidR="0016079D" w:rsidRDefault="00B23CA6">
      <w:pPr>
        <w:pStyle w:val="FirstParagraph"/>
      </w:pPr>
      <w:r>
        <w:t>A PRISMA flow diagram (</w:t>
      </w:r>
      <w:hyperlink w:anchor="ref-Page2021">
        <w:r>
          <w:rPr>
            <w:rStyle w:val="Hyperlink"/>
          </w:rPr>
          <w:t>Page et al., 2021</w:t>
        </w:r>
      </w:hyperlink>
      <w:r>
        <w:t>) is shown in Figure 1. 10,503 records were identified through the systematic search. Following title/abstract screening there was 619 studies remaining. 30 manuscripts were not available through the first author’s institution. E-mail requests to corresponding authors led to the retrieval of 8 further manuscripts. Articles with unavailable manuscripts (n = 22) were excluded from the review. Following full-text screening there were 252 manuscripts remaining (</w:t>
      </w:r>
      <w:r>
        <w:rPr>
          <w:i/>
        </w:rPr>
        <w:t>k</w:t>
      </w:r>
      <w:r>
        <w:t xml:space="preserve"> = 298), of which 223 (</w:t>
      </w:r>
      <w:r>
        <w:rPr>
          <w:i/>
        </w:rPr>
        <w:t>k</w:t>
      </w:r>
      <w:r>
        <w:t xml:space="preserve"> = 263) had sufficient information to be included in the meta-analysis. Summary statistics are provided in Table 2.</w:t>
      </w:r>
    </w:p>
    <w:p w14:paraId="2D0474DC" w14:textId="77777777" w:rsidR="0016079D" w:rsidRDefault="00B23CA6">
      <w:pPr>
        <w:pStyle w:val="Heading3"/>
      </w:pPr>
      <w:bookmarkStart w:id="12" w:name="study-characteristics"/>
      <w:r>
        <w:t>Study Characteristics</w:t>
      </w:r>
    </w:p>
    <w:p w14:paraId="1F03F038" w14:textId="77777777" w:rsidR="0016079D" w:rsidRDefault="00B23CA6">
      <w:pPr>
        <w:pStyle w:val="FirstParagraph"/>
      </w:pPr>
      <w:r>
        <w:t xml:space="preserve">Study publication ranged from 1984 to 2020 (median = 2013, </w:t>
      </w:r>
      <w:r>
        <w:rPr>
          <w:i/>
        </w:rPr>
        <w:t>k</w:t>
      </w:r>
      <w:r>
        <w:t xml:space="preserve"> = 294 published ≥ 2000). 169 samples included patients lost to follow-up (</w:t>
      </w:r>
      <w:r>
        <w:rPr>
          <w:i/>
        </w:rPr>
        <w:t>k</w:t>
      </w:r>
      <w:r>
        <w:t xml:space="preserve"> = 118 completers). There were 34 (11.41%) preliminary study samples and 264 (88.59%) routine practice evaluation samples. The USA was the most well represented country (</w:t>
      </w:r>
      <w:r>
        <w:rPr>
          <w:i/>
        </w:rPr>
        <w:t>k</w:t>
      </w:r>
      <w:r>
        <w:t xml:space="preserve"> = 113), followed by England (</w:t>
      </w:r>
      <w:r>
        <w:rPr>
          <w:i/>
        </w:rPr>
        <w:t>k</w:t>
      </w:r>
      <w:r>
        <w:t xml:space="preserve"> = 78), Germany (</w:t>
      </w:r>
      <w:r>
        <w:rPr>
          <w:i/>
        </w:rPr>
        <w:t>k</w:t>
      </w:r>
      <w:r>
        <w:t xml:space="preserve"> = 24), Sweden (</w:t>
      </w:r>
      <w:r>
        <w:rPr>
          <w:i/>
        </w:rPr>
        <w:t>k</w:t>
      </w:r>
      <w:r>
        <w:t xml:space="preserve"> = 12), and Canada (</w:t>
      </w:r>
      <w:r>
        <w:rPr>
          <w:i/>
        </w:rPr>
        <w:t>k</w:t>
      </w:r>
      <w:r>
        <w:t xml:space="preserve"> = 10). These five most well-represented countries accounted for the majority of the included samples (</w:t>
      </w:r>
      <w:r>
        <w:rPr>
          <w:i/>
        </w:rPr>
        <w:t>k</w:t>
      </w:r>
      <w:r>
        <w:t xml:space="preserve"> = 237). For continent, North America (</w:t>
      </w:r>
      <w:r>
        <w:rPr>
          <w:i/>
        </w:rPr>
        <w:t>k</w:t>
      </w:r>
      <w:r>
        <w:t xml:space="preserve"> = 123) was the most well represented, followed by the UK (</w:t>
      </w:r>
      <w:r>
        <w:rPr>
          <w:i/>
        </w:rPr>
        <w:t>k</w:t>
      </w:r>
      <w:r>
        <w:t xml:space="preserve"> = 96), mainland Europe (</w:t>
      </w:r>
      <w:r>
        <w:rPr>
          <w:i/>
        </w:rPr>
        <w:t>k</w:t>
      </w:r>
      <w:r>
        <w:t xml:space="preserve"> = 63), Australasia (</w:t>
      </w:r>
      <w:r>
        <w:rPr>
          <w:i/>
        </w:rPr>
        <w:t>k</w:t>
      </w:r>
      <w:r>
        <w:t xml:space="preserve"> = 10), and Asia (</w:t>
      </w:r>
      <w:r>
        <w:rPr>
          <w:i/>
        </w:rPr>
        <w:t>k</w:t>
      </w:r>
      <w:r>
        <w:t xml:space="preserve"> = 6).</w:t>
      </w:r>
    </w:p>
    <w:p w14:paraId="7482F996" w14:textId="77777777" w:rsidR="00906CE3" w:rsidRPr="009A5F2C" w:rsidRDefault="00906CE3" w:rsidP="00906CE3">
      <w:pPr>
        <w:spacing w:after="0"/>
        <w:rPr>
          <w:b/>
          <w:sz w:val="12"/>
          <w:szCs w:val="12"/>
        </w:rPr>
      </w:pPr>
      <w:bookmarkStart w:id="13" w:name="sample-characteristics"/>
      <w:bookmarkEnd w:id="12"/>
    </w:p>
    <w:p w14:paraId="7B3F5044" w14:textId="77777777" w:rsidR="00906CE3" w:rsidRDefault="00906CE3" w:rsidP="00906CE3">
      <w:pPr>
        <w:spacing w:after="0" w:line="480" w:lineRule="auto"/>
        <w:rPr>
          <w:rFonts w:ascii="Times New Roman" w:hAnsi="Times New Roman" w:cs="Times New Roman"/>
          <w:b/>
          <w:bCs/>
        </w:rPr>
      </w:pPr>
    </w:p>
    <w:p w14:paraId="16AA1438" w14:textId="77777777" w:rsidR="00906CE3" w:rsidRDefault="00906CE3" w:rsidP="00906CE3">
      <w:pPr>
        <w:spacing w:after="0" w:line="480" w:lineRule="auto"/>
        <w:rPr>
          <w:rFonts w:ascii="Times New Roman" w:hAnsi="Times New Roman" w:cs="Times New Roman"/>
          <w:b/>
          <w:bCs/>
        </w:rPr>
      </w:pPr>
    </w:p>
    <w:p w14:paraId="51BCDA69" w14:textId="77777777" w:rsidR="00906CE3" w:rsidRDefault="00906CE3" w:rsidP="00906CE3">
      <w:pPr>
        <w:spacing w:after="0" w:line="480" w:lineRule="auto"/>
        <w:rPr>
          <w:rFonts w:ascii="Times New Roman" w:hAnsi="Times New Roman" w:cs="Times New Roman"/>
          <w:b/>
          <w:bCs/>
        </w:rPr>
      </w:pPr>
    </w:p>
    <w:p w14:paraId="5FADDAA3" w14:textId="771A946C" w:rsidR="00906CE3" w:rsidRPr="00AA15EF" w:rsidRDefault="00906CE3" w:rsidP="00906CE3">
      <w:pPr>
        <w:spacing w:after="0" w:line="480" w:lineRule="auto"/>
        <w:rPr>
          <w:rFonts w:ascii="Times New Roman" w:hAnsi="Times New Roman" w:cs="Times New Roman"/>
          <w:b/>
          <w:bCs/>
        </w:rPr>
      </w:pPr>
      <w:r w:rsidRPr="00AA15EF">
        <w:rPr>
          <w:rFonts w:ascii="Times New Roman" w:hAnsi="Times New Roman" w:cs="Times New Roman"/>
          <w:b/>
          <w:bCs/>
        </w:rPr>
        <w:t xml:space="preserve">Figure </w:t>
      </w:r>
      <w:r>
        <w:rPr>
          <w:rFonts w:ascii="Times New Roman" w:hAnsi="Times New Roman" w:cs="Times New Roman"/>
          <w:b/>
          <w:bCs/>
        </w:rPr>
        <w:t>1</w:t>
      </w:r>
      <w:r w:rsidRPr="00AA15EF">
        <w:rPr>
          <w:rFonts w:ascii="Times New Roman" w:hAnsi="Times New Roman" w:cs="Times New Roman"/>
          <w:b/>
          <w:bCs/>
        </w:rPr>
        <w:t>:</w:t>
      </w:r>
    </w:p>
    <w:p w14:paraId="2BA995D4" w14:textId="77777777" w:rsidR="00906CE3" w:rsidRPr="00AA15EF" w:rsidRDefault="00906CE3" w:rsidP="00906CE3">
      <w:pPr>
        <w:spacing w:after="0" w:line="480" w:lineRule="auto"/>
        <w:rPr>
          <w:rFonts w:ascii="Times New Roman" w:hAnsi="Times New Roman" w:cs="Times New Roman"/>
        </w:rPr>
      </w:pPr>
      <w:r w:rsidRPr="00AA15EF">
        <w:rPr>
          <w:rFonts w:ascii="Times New Roman" w:hAnsi="Times New Roman" w:cs="Times New Roman"/>
        </w:rPr>
        <w:lastRenderedPageBreak/>
        <w:t>Prisma flow diagram of studies throughout the review.</w:t>
      </w:r>
    </w:p>
    <w:p w14:paraId="23E5AE19" w14:textId="77777777" w:rsidR="00906CE3" w:rsidRDefault="00906CE3" w:rsidP="00906CE3">
      <w:pPr>
        <w:spacing w:after="0"/>
      </w:pPr>
      <w:r>
        <w:rPr>
          <w:noProof/>
        </w:rPr>
        <mc:AlternateContent>
          <mc:Choice Requires="wps">
            <w:drawing>
              <wp:anchor distT="0" distB="0" distL="114300" distR="114300" simplePos="0" relativeHeight="251670528" behindDoc="0" locked="0" layoutInCell="1" allowOverlap="1" wp14:anchorId="316943AC" wp14:editId="2B304D84">
                <wp:simplePos x="0" y="0"/>
                <wp:positionH relativeFrom="column">
                  <wp:posOffset>566928</wp:posOffset>
                </wp:positionH>
                <wp:positionV relativeFrom="paragraph">
                  <wp:posOffset>74245</wp:posOffset>
                </wp:positionV>
                <wp:extent cx="4345229" cy="262966"/>
                <wp:effectExtent l="12700" t="12700" r="11430" b="1651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14:paraId="7B4108CF" w14:textId="77777777" w:rsidR="00906CE3" w:rsidRPr="001502CF" w:rsidRDefault="00906CE3" w:rsidP="00906CE3">
                            <w:pPr>
                              <w:spacing w:after="0"/>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943A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65pt;margin-top:5.85pt;width:342.15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" fillcolor="#ffc000" strokecolor="#3f3151 [1607]" strokeweight="2pt">
                <v:textbox>
                  <w:txbxContent>
                    <w:p w14:paraId="7B4108CF" w14:textId="77777777" w:rsidR="00906CE3" w:rsidRPr="001502CF" w:rsidRDefault="00906CE3" w:rsidP="00906CE3">
                      <w:pPr>
                        <w:spacing w:after="0"/>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3D54C4E2" w14:textId="77777777" w:rsidR="00906CE3" w:rsidRDefault="00906CE3" w:rsidP="00906CE3">
      <w:pPr>
        <w:spacing w:after="0"/>
      </w:pPr>
    </w:p>
    <w:p w14:paraId="7811D6BC" w14:textId="77777777" w:rsidR="00906CE3" w:rsidRDefault="00906CE3" w:rsidP="00906CE3">
      <w:pPr>
        <w:spacing w:after="0"/>
      </w:pPr>
      <w:r>
        <w:rPr>
          <w:noProof/>
        </w:rPr>
        <mc:AlternateContent>
          <mc:Choice Requires="wps">
            <w:drawing>
              <wp:anchor distT="0" distB="0" distL="114300" distR="114300" simplePos="0" relativeHeight="251660288" behindDoc="0" locked="0" layoutInCell="1" allowOverlap="1" wp14:anchorId="2F77656F" wp14:editId="127B2260">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BF293"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495B12B" w14:textId="77777777" w:rsidR="00906CE3" w:rsidRDefault="00906CE3" w:rsidP="00906CE3">
                            <w:pPr>
                              <w:spacing w:after="0"/>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r>
                              <w:rPr>
                                <w:rFonts w:ascii="Arial" w:hAnsi="Arial" w:cs="Arial"/>
                                <w:color w:val="000000" w:themeColor="text1"/>
                                <w:sz w:val="18"/>
                                <w:szCs w:val="20"/>
                              </w:rPr>
                              <w:t>removed  (n = 1794)</w:t>
                            </w:r>
                          </w:p>
                          <w:p w14:paraId="3DBA8833" w14:textId="77777777" w:rsidR="00906CE3" w:rsidRPr="00560609" w:rsidRDefault="00906CE3" w:rsidP="00906CE3">
                            <w:pPr>
                              <w:spacing w:after="0"/>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7656F" id="Rectangle 2" o:spid="_x0000_s1027"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" filled="f" strokecolor="black [3213]" strokeweight="2pt">
                <v:textbox>
                  <w:txbxContent>
                    <w:p w14:paraId="08FBF293"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495B12B" w14:textId="77777777" w:rsidR="00906CE3" w:rsidRDefault="00906CE3" w:rsidP="00906CE3">
                      <w:pPr>
                        <w:spacing w:after="0"/>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1794)</w:t>
                      </w:r>
                    </w:p>
                    <w:p w14:paraId="3DBA8833" w14:textId="77777777" w:rsidR="00906CE3" w:rsidRPr="00560609" w:rsidRDefault="00906CE3" w:rsidP="00906CE3">
                      <w:pPr>
                        <w:spacing w:after="0"/>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8E2888E" wp14:editId="459D7498">
                <wp:simplePos x="0" y="0"/>
                <wp:positionH relativeFrom="column">
                  <wp:posOffset>559435</wp:posOffset>
                </wp:positionH>
                <wp:positionV relativeFrom="paragraph">
                  <wp:posOffset>76835</wp:posOffset>
                </wp:positionV>
                <wp:extent cx="1887220" cy="1242000"/>
                <wp:effectExtent l="0" t="0" r="17780" b="15875"/>
                <wp:wrapNone/>
                <wp:docPr id="1" name="Rectangle 1"/>
                <wp:cNvGraphicFramePr/>
                <a:graphic xmlns:a="http://schemas.openxmlformats.org/drawingml/2006/main">
                  <a:graphicData uri="http://schemas.microsoft.com/office/word/2010/wordprocessingShape">
                    <wps:wsp>
                      <wps:cNvSpPr/>
                      <wps:spPr>
                        <a:xfrm>
                          <a:off x="0" y="0"/>
                          <a:ext cx="1887220" cy="124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07F49B"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243F9D40" w14:textId="77777777" w:rsidR="00906CE3" w:rsidRPr="008875EA" w:rsidRDefault="00906CE3" w:rsidP="00906CE3">
                            <w:pPr>
                              <w:pStyle w:val="ListParagraph"/>
                              <w:numPr>
                                <w:ilvl w:val="0"/>
                                <w:numId w:val="23"/>
                              </w:numPr>
                              <w:spacing w:after="0" w:line="240" w:lineRule="auto"/>
                              <w:ind w:left="470" w:hanging="357"/>
                              <w:rPr>
                                <w:rFonts w:ascii="Arial" w:hAnsi="Arial" w:cs="Arial"/>
                                <w:color w:val="000000" w:themeColor="text1"/>
                                <w:sz w:val="18"/>
                                <w:szCs w:val="20"/>
                              </w:rPr>
                            </w:pPr>
                            <w:r w:rsidRPr="008875EA">
                              <w:rPr>
                                <w:rFonts w:ascii="Arial" w:hAnsi="Arial" w:cs="Arial"/>
                                <w:color w:val="000000" w:themeColor="text1"/>
                                <w:sz w:val="18"/>
                                <w:szCs w:val="20"/>
                              </w:rPr>
                              <w:t>Databases (n = 10503)</w:t>
                            </w:r>
                          </w:p>
                          <w:p w14:paraId="378069E8" w14:textId="77777777" w:rsidR="00906CE3" w:rsidRPr="008875EA" w:rsidRDefault="00906CE3" w:rsidP="00906CE3">
                            <w:pPr>
                              <w:pStyle w:val="ListParagraph"/>
                              <w:numPr>
                                <w:ilvl w:val="0"/>
                                <w:numId w:val="23"/>
                              </w:numPr>
                              <w:spacing w:after="0" w:line="240" w:lineRule="auto"/>
                              <w:ind w:left="470" w:hanging="357"/>
                              <w:rPr>
                                <w:rFonts w:ascii="Arial" w:hAnsi="Arial" w:cs="Arial"/>
                                <w:color w:val="000000" w:themeColor="text1"/>
                                <w:sz w:val="18"/>
                                <w:szCs w:val="20"/>
                              </w:rPr>
                            </w:pPr>
                            <w:r w:rsidRPr="008875EA">
                              <w:rPr>
                                <w:rFonts w:ascii="Arial" w:hAnsi="Arial" w:cs="Arial"/>
                                <w:color w:val="000000" w:themeColor="text1"/>
                                <w:sz w:val="18"/>
                                <w:szCs w:val="20"/>
                              </w:rPr>
                              <w:t>Forward citation, reference lists &amp; grey literature (n = 294)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2888E" id="Rectangle 1" o:spid="_x0000_s1028" style="position:absolute;margin-left:44.05pt;margin-top:6.05pt;width:148.6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" filled="f" strokecolor="black [3213]" strokeweight="2pt">
                <v:textbox>
                  <w:txbxContent>
                    <w:p w14:paraId="3807F49B"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243F9D40" w14:textId="77777777" w:rsidR="00906CE3" w:rsidRPr="008875EA" w:rsidRDefault="00906CE3" w:rsidP="00906CE3">
                      <w:pPr>
                        <w:pStyle w:val="ListParagraph"/>
                        <w:numPr>
                          <w:ilvl w:val="0"/>
                          <w:numId w:val="23"/>
                        </w:numPr>
                        <w:spacing w:after="0" w:line="240" w:lineRule="auto"/>
                        <w:ind w:left="470" w:hanging="357"/>
                        <w:rPr>
                          <w:rFonts w:ascii="Arial" w:hAnsi="Arial" w:cs="Arial"/>
                          <w:color w:val="000000" w:themeColor="text1"/>
                          <w:sz w:val="18"/>
                          <w:szCs w:val="20"/>
                        </w:rPr>
                      </w:pPr>
                      <w:r w:rsidRPr="008875EA">
                        <w:rPr>
                          <w:rFonts w:ascii="Arial" w:hAnsi="Arial" w:cs="Arial"/>
                          <w:color w:val="000000" w:themeColor="text1"/>
                          <w:sz w:val="18"/>
                          <w:szCs w:val="20"/>
                        </w:rPr>
                        <w:t>Databases (n = 10503)</w:t>
                      </w:r>
                    </w:p>
                    <w:p w14:paraId="378069E8" w14:textId="77777777" w:rsidR="00906CE3" w:rsidRPr="008875EA" w:rsidRDefault="00906CE3" w:rsidP="00906CE3">
                      <w:pPr>
                        <w:pStyle w:val="ListParagraph"/>
                        <w:numPr>
                          <w:ilvl w:val="0"/>
                          <w:numId w:val="23"/>
                        </w:numPr>
                        <w:spacing w:after="0" w:line="240" w:lineRule="auto"/>
                        <w:ind w:left="470" w:hanging="357"/>
                        <w:rPr>
                          <w:rFonts w:ascii="Arial" w:hAnsi="Arial" w:cs="Arial"/>
                          <w:color w:val="000000" w:themeColor="text1"/>
                          <w:sz w:val="18"/>
                          <w:szCs w:val="20"/>
                        </w:rPr>
                      </w:pPr>
                      <w:r w:rsidRPr="008875EA">
                        <w:rPr>
                          <w:rFonts w:ascii="Arial" w:hAnsi="Arial" w:cs="Arial"/>
                          <w:color w:val="000000" w:themeColor="text1"/>
                          <w:sz w:val="18"/>
                          <w:szCs w:val="20"/>
                        </w:rPr>
                        <w:t>Forward citation, reference lists &amp; grey literature (n = 294)</w:t>
                      </w:r>
                    </w:p>
                  </w:txbxContent>
                </v:textbox>
              </v:rect>
            </w:pict>
          </mc:Fallback>
        </mc:AlternateContent>
      </w:r>
    </w:p>
    <w:p w14:paraId="5F67D2D2" w14:textId="77777777" w:rsidR="00906CE3" w:rsidRDefault="00906CE3" w:rsidP="00906CE3">
      <w:pPr>
        <w:spacing w:after="0"/>
      </w:pPr>
    </w:p>
    <w:p w14:paraId="2D0FAB1D" w14:textId="77777777" w:rsidR="00906CE3" w:rsidRDefault="00906CE3" w:rsidP="00906CE3">
      <w:pPr>
        <w:spacing w:after="0"/>
      </w:pPr>
      <w:r>
        <w:rPr>
          <w:noProof/>
        </w:rPr>
        <mc:AlternateContent>
          <mc:Choice Requires="wps">
            <w:drawing>
              <wp:anchor distT="0" distB="0" distL="114300" distR="114300" simplePos="0" relativeHeight="251671552" behindDoc="0" locked="0" layoutInCell="1" allowOverlap="1" wp14:anchorId="448ED039" wp14:editId="35D6EEDA">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46BB1F6" w14:textId="77777777" w:rsidR="00906CE3" w:rsidRPr="001502CF" w:rsidRDefault="00906CE3" w:rsidP="00906CE3">
                            <w:pPr>
                              <w:spacing w:after="0"/>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D039" id="Flowchart: Alternate Process 31" o:spid="_x0000_s1029" type="#_x0000_t176" style="position:absolute;margin-left:-31.8pt;margin-top:17.5pt;width:100.55pt;height:20.7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" fillcolor="#92cddc [1944]" strokecolor="black [3213]" strokeweight="2pt">
                <v:textbox>
                  <w:txbxContent>
                    <w:p w14:paraId="546BB1F6" w14:textId="77777777" w:rsidR="00906CE3" w:rsidRPr="001502CF" w:rsidRDefault="00906CE3" w:rsidP="00906CE3">
                      <w:pPr>
                        <w:spacing w:after="0"/>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4D2455CB" w14:textId="77777777" w:rsidR="00906CE3" w:rsidRDefault="00906CE3" w:rsidP="00906CE3">
      <w:pPr>
        <w:spacing w:after="0"/>
      </w:pPr>
    </w:p>
    <w:p w14:paraId="05FC39EC" w14:textId="77777777" w:rsidR="00906CE3" w:rsidRDefault="00906CE3" w:rsidP="00906CE3">
      <w:pPr>
        <w:spacing w:after="0"/>
      </w:pPr>
      <w:r>
        <w:rPr>
          <w:noProof/>
        </w:rPr>
        <mc:AlternateContent>
          <mc:Choice Requires="wps">
            <w:drawing>
              <wp:anchor distT="0" distB="0" distL="114300" distR="114300" simplePos="0" relativeHeight="251667456" behindDoc="0" locked="0" layoutInCell="1" allowOverlap="1" wp14:anchorId="1195FA5D" wp14:editId="41B27B1B">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AE3182"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" strokecolor="black [3213]">
                <v:stroke endarrow="block"/>
              </v:shape>
            </w:pict>
          </mc:Fallback>
        </mc:AlternateContent>
      </w:r>
    </w:p>
    <w:p w14:paraId="3846B8CC" w14:textId="77777777" w:rsidR="00906CE3" w:rsidRDefault="00906CE3" w:rsidP="00906CE3">
      <w:pPr>
        <w:spacing w:after="0"/>
      </w:pPr>
    </w:p>
    <w:p w14:paraId="0C2C4E71" w14:textId="77777777" w:rsidR="00906CE3" w:rsidRDefault="00906CE3" w:rsidP="00906CE3">
      <w:pPr>
        <w:spacing w:after="0"/>
      </w:pPr>
    </w:p>
    <w:p w14:paraId="1ACA00D9" w14:textId="77777777" w:rsidR="00906CE3" w:rsidRDefault="00906CE3" w:rsidP="00906CE3">
      <w:pPr>
        <w:spacing w:after="0"/>
      </w:pPr>
      <w:r>
        <w:rPr>
          <w:noProof/>
        </w:rPr>
        <mc:AlternateContent>
          <mc:Choice Requires="wps">
            <w:drawing>
              <wp:anchor distT="0" distB="0" distL="114300" distR="114300" simplePos="0" relativeHeight="251674624" behindDoc="0" locked="0" layoutInCell="1" allowOverlap="1" wp14:anchorId="772992EC" wp14:editId="10F658F4">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ACDD4"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" strokecolor="black [3213]">
                <v:stroke endarrow="block"/>
              </v:shape>
            </w:pict>
          </mc:Fallback>
        </mc:AlternateContent>
      </w:r>
    </w:p>
    <w:p w14:paraId="528F365C" w14:textId="77777777" w:rsidR="00906CE3" w:rsidRDefault="00906CE3" w:rsidP="00906CE3">
      <w:pPr>
        <w:spacing w:after="0"/>
      </w:pPr>
    </w:p>
    <w:p w14:paraId="5B2543BB" w14:textId="77777777" w:rsidR="00906CE3" w:rsidRDefault="00906CE3" w:rsidP="00906CE3">
      <w:pPr>
        <w:spacing w:after="0"/>
      </w:pPr>
      <w:r>
        <w:rPr>
          <w:noProof/>
        </w:rPr>
        <mc:AlternateContent>
          <mc:Choice Requires="wps">
            <w:drawing>
              <wp:anchor distT="0" distB="0" distL="114300" distR="114300" simplePos="0" relativeHeight="251668480" behindDoc="0" locked="0" layoutInCell="1" allowOverlap="1" wp14:anchorId="55BF4DCC" wp14:editId="27187E0D">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AEE35"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5OvQCuMAAAAO&#13;&#10;AQAADwAAAAAAAAAAAAAAAAAkBAAAZHJzL2Rvd25yZXYueG1sUEsFBgAAAAAEAAQA8wAAADQFAAAA&#13;&#10;AA==&#13;&#10;" strokecolor="black [3213]">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71A8849F" wp14:editId="68F4C809">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70B8D"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37A2EA41"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9003)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8849F" id="Rectangle 3" o:spid="_x0000_s1030"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Ps3hw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" filled="f" strokecolor="black [3213]" strokeweight="2pt">
                <v:textbox>
                  <w:txbxContent>
                    <w:p w14:paraId="42970B8D"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37A2EA41"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9003)</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1AB0047" wp14:editId="683652B2">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184C7"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54F6C81"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8384)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0047" id="Rectangle 4" o:spid="_x0000_s1031"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" filled="f" strokecolor="black [3213]" strokeweight="2pt">
                <v:textbox>
                  <w:txbxContent>
                    <w:p w14:paraId="000184C7"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54F6C81"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8384)</w:t>
                      </w:r>
                    </w:p>
                  </w:txbxContent>
                </v:textbox>
              </v:rect>
            </w:pict>
          </mc:Fallback>
        </mc:AlternateContent>
      </w:r>
    </w:p>
    <w:p w14:paraId="3FA454BF" w14:textId="77777777" w:rsidR="00906CE3" w:rsidRDefault="00906CE3" w:rsidP="00906CE3">
      <w:pPr>
        <w:spacing w:after="0"/>
      </w:pPr>
    </w:p>
    <w:p w14:paraId="1E53E7E0" w14:textId="77777777" w:rsidR="00906CE3" w:rsidRDefault="00906CE3" w:rsidP="00906CE3">
      <w:pPr>
        <w:spacing w:after="0"/>
      </w:pPr>
    </w:p>
    <w:p w14:paraId="13F3309A" w14:textId="77777777" w:rsidR="00906CE3" w:rsidRDefault="00906CE3" w:rsidP="00906CE3">
      <w:pPr>
        <w:spacing w:after="0"/>
      </w:pPr>
      <w:r>
        <w:rPr>
          <w:noProof/>
        </w:rPr>
        <mc:AlternateContent>
          <mc:Choice Requires="wps">
            <w:drawing>
              <wp:anchor distT="0" distB="0" distL="114300" distR="114300" simplePos="0" relativeHeight="251675648" behindDoc="0" locked="0" layoutInCell="1" allowOverlap="1" wp14:anchorId="070F6BA2" wp14:editId="75A0C7B7">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95FF5"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" strokecolor="black [3213]">
                <v:stroke endarrow="block"/>
              </v:shape>
            </w:pict>
          </mc:Fallback>
        </mc:AlternateContent>
      </w:r>
    </w:p>
    <w:p w14:paraId="739C4E92" w14:textId="77777777" w:rsidR="00906CE3" w:rsidRDefault="00906CE3" w:rsidP="00906CE3">
      <w:pPr>
        <w:spacing w:after="0"/>
      </w:pPr>
    </w:p>
    <w:p w14:paraId="4E7F33F2" w14:textId="77777777" w:rsidR="00906CE3" w:rsidRDefault="00906CE3" w:rsidP="00906CE3">
      <w:pPr>
        <w:spacing w:after="0"/>
      </w:pPr>
      <w:r>
        <w:rPr>
          <w:noProof/>
        </w:rPr>
        <mc:AlternateContent>
          <mc:Choice Requires="wps">
            <w:drawing>
              <wp:anchor distT="0" distB="0" distL="114300" distR="114300" simplePos="0" relativeHeight="251678720" behindDoc="0" locked="0" layoutInCell="1" allowOverlap="1" wp14:anchorId="341ABB95" wp14:editId="009AFF9A">
                <wp:simplePos x="0" y="0"/>
                <wp:positionH relativeFrom="column">
                  <wp:posOffset>3016885</wp:posOffset>
                </wp:positionH>
                <wp:positionV relativeFrom="paragraph">
                  <wp:posOffset>48205</wp:posOffset>
                </wp:positionV>
                <wp:extent cx="1887220" cy="526415"/>
                <wp:effectExtent l="0" t="0" r="17780" b="26035"/>
                <wp:wrapNone/>
                <wp:docPr id="7" name="Rectangle 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28321"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Unobtainable manuscripts</w:t>
                            </w:r>
                          </w:p>
                          <w:p w14:paraId="726D70C3"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ABB95" id="Rectangle 7" o:spid="_x0000_s1032" style="position:absolute;margin-left:237.55pt;margin-top:3.8pt;width:148.6pt;height:4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" filled="f" strokecolor="black [3213]" strokeweight="2pt">
                <v:textbox>
                  <w:txbxContent>
                    <w:p w14:paraId="63028321"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Unobtainable manuscripts</w:t>
                      </w:r>
                    </w:p>
                    <w:p w14:paraId="726D70C3"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22)</w:t>
                      </w:r>
                    </w:p>
                  </w:txbxContent>
                </v:textbox>
              </v:rect>
            </w:pict>
          </mc:Fallback>
        </mc:AlternateContent>
      </w:r>
      <w:r w:rsidRPr="00560609">
        <w:rPr>
          <w:noProof/>
        </w:rPr>
        <mc:AlternateContent>
          <mc:Choice Requires="wps">
            <w:drawing>
              <wp:anchor distT="0" distB="0" distL="114300" distR="114300" simplePos="0" relativeHeight="251663360" behindDoc="0" locked="0" layoutInCell="1" allowOverlap="1" wp14:anchorId="554C5A76" wp14:editId="6D373E74">
                <wp:simplePos x="0" y="0"/>
                <wp:positionH relativeFrom="column">
                  <wp:posOffset>560401</wp:posOffset>
                </wp:positionH>
                <wp:positionV relativeFrom="paragraph">
                  <wp:posOffset>47625</wp:posOffset>
                </wp:positionV>
                <wp:extent cx="1887220" cy="526415"/>
                <wp:effectExtent l="0" t="0" r="17780" b="698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BD8A1"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F0298FD"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619)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5A76" id="Rectangle 5" o:spid="_x0000_s1033"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dJ6hw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" filled="f" strokecolor="black [3213]" strokeweight="2pt">
                <v:textbox>
                  <w:txbxContent>
                    <w:p w14:paraId="6B8BD8A1"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F0298FD"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619)</w:t>
                      </w:r>
                    </w:p>
                  </w:txbxContent>
                </v:textbox>
              </v:rect>
            </w:pict>
          </mc:Fallback>
        </mc:AlternateContent>
      </w:r>
    </w:p>
    <w:p w14:paraId="00F89CF7" w14:textId="77777777" w:rsidR="00906CE3" w:rsidRDefault="00906CE3" w:rsidP="00906CE3">
      <w:pPr>
        <w:spacing w:after="0"/>
      </w:pPr>
      <w:r>
        <w:rPr>
          <w:noProof/>
        </w:rPr>
        <mc:AlternateContent>
          <mc:Choice Requires="wps">
            <w:drawing>
              <wp:anchor distT="0" distB="0" distL="114300" distR="114300" simplePos="0" relativeHeight="251679744" behindDoc="0" locked="0" layoutInCell="1" allowOverlap="1" wp14:anchorId="7B63C86C" wp14:editId="3E0CC0CF">
                <wp:simplePos x="0" y="0"/>
                <wp:positionH relativeFrom="column">
                  <wp:posOffset>2448505</wp:posOffset>
                </wp:positionH>
                <wp:positionV relativeFrom="paragraph">
                  <wp:posOffset>134841</wp:posOffset>
                </wp:positionV>
                <wp:extent cx="563245" cy="0"/>
                <wp:effectExtent l="0" t="76200" r="27305" b="95250"/>
                <wp:wrapNone/>
                <wp:docPr id="10" name="Straight Arrow Connector 1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48AB" id="Straight Arrow Connector 10" o:spid="_x0000_s1026" type="#_x0000_t32" style="position:absolute;margin-left:192.8pt;margin-top:10.6pt;width:44.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5lTzUeMAAAAO&#13;&#10;AQAADwAAAAAAAAAAAAAAAAAkBAAAZHJzL2Rvd25yZXYueG1sUEsFBgAAAAAEAAQA8wAAADQFAAAA&#13;&#10;AA==&#13;&#10;" strokecolor="black [3213]">
                <v:stroke endarrow="block"/>
              </v:shape>
            </w:pict>
          </mc:Fallback>
        </mc:AlternateContent>
      </w:r>
    </w:p>
    <w:p w14:paraId="5CAA5F3C" w14:textId="77777777" w:rsidR="00906CE3" w:rsidRDefault="00906CE3" w:rsidP="00906CE3">
      <w:pPr>
        <w:spacing w:after="0"/>
      </w:pPr>
      <w:r>
        <w:rPr>
          <w:noProof/>
        </w:rPr>
        <mc:AlternateContent>
          <mc:Choice Requires="wps">
            <w:drawing>
              <wp:anchor distT="0" distB="0" distL="114300" distR="114300" simplePos="0" relativeHeight="251672576" behindDoc="0" locked="0" layoutInCell="1" allowOverlap="1" wp14:anchorId="0A4D9C7F" wp14:editId="5E7958B3">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B40F88" w14:textId="77777777" w:rsidR="00906CE3" w:rsidRDefault="00906CE3" w:rsidP="00906CE3">
                            <w:pPr>
                              <w:spacing w:after="0"/>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3C4A45C" w14:textId="77777777" w:rsidR="00906CE3" w:rsidRPr="001502CF" w:rsidRDefault="00906CE3" w:rsidP="00906CE3">
                            <w:pPr>
                              <w:spacing w:after="0"/>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D9C7F" id="Flowchart: Alternate Process 32" o:spid="_x0000_s1034" type="#_x0000_t176" style="position:absolute;margin-left:-91.4pt;margin-top:11.05pt;width:219.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" fillcolor="#92cddc [1944]" strokecolor="black [3213]" strokeweight="2pt">
                <v:textbox>
                  <w:txbxContent>
                    <w:p w14:paraId="51B40F88" w14:textId="77777777" w:rsidR="00906CE3" w:rsidRDefault="00906CE3" w:rsidP="00906CE3">
                      <w:pPr>
                        <w:spacing w:after="0"/>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3C4A45C" w14:textId="77777777" w:rsidR="00906CE3" w:rsidRPr="001502CF" w:rsidRDefault="00906CE3" w:rsidP="00906CE3">
                      <w:pPr>
                        <w:spacing w:after="0"/>
                        <w:rPr>
                          <w:rFonts w:ascii="Arial" w:hAnsi="Arial" w:cs="Arial"/>
                          <w:b/>
                          <w:color w:val="000000" w:themeColor="text1"/>
                          <w:sz w:val="18"/>
                          <w:szCs w:val="18"/>
                        </w:rPr>
                      </w:pPr>
                    </w:p>
                  </w:txbxContent>
                </v:textbox>
              </v:shape>
            </w:pict>
          </mc:Fallback>
        </mc:AlternateContent>
      </w:r>
    </w:p>
    <w:p w14:paraId="0F1460C9" w14:textId="77777777" w:rsidR="00906CE3" w:rsidRDefault="00906CE3" w:rsidP="00906CE3">
      <w:pPr>
        <w:spacing w:after="0"/>
      </w:pPr>
      <w:r>
        <w:rPr>
          <w:noProof/>
        </w:rPr>
        <mc:AlternateContent>
          <mc:Choice Requires="wps">
            <w:drawing>
              <wp:anchor distT="0" distB="0" distL="114300" distR="114300" simplePos="0" relativeHeight="251676672" behindDoc="0" locked="0" layoutInCell="1" allowOverlap="1" wp14:anchorId="704CBD71" wp14:editId="4B0C7FE7">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DAE73"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" strokecolor="black [3213]">
                <v:stroke endarrow="block"/>
              </v:shape>
            </w:pict>
          </mc:Fallback>
        </mc:AlternateContent>
      </w:r>
    </w:p>
    <w:p w14:paraId="1BD1B1C0" w14:textId="77777777" w:rsidR="00906CE3" w:rsidRDefault="00906CE3" w:rsidP="00906CE3">
      <w:pPr>
        <w:spacing w:after="0"/>
      </w:pPr>
    </w:p>
    <w:p w14:paraId="569CC51A" w14:textId="77777777" w:rsidR="00906CE3" w:rsidRDefault="00906CE3" w:rsidP="00906CE3">
      <w:pPr>
        <w:spacing w:after="0"/>
      </w:pPr>
      <w:r w:rsidRPr="00560609">
        <w:rPr>
          <w:noProof/>
        </w:rPr>
        <mc:AlternateContent>
          <mc:Choice Requires="wps">
            <w:drawing>
              <wp:anchor distT="0" distB="0" distL="114300" distR="114300" simplePos="0" relativeHeight="251665408" behindDoc="0" locked="0" layoutInCell="1" allowOverlap="1" wp14:anchorId="39939177" wp14:editId="6D40662F">
                <wp:simplePos x="0" y="0"/>
                <wp:positionH relativeFrom="column">
                  <wp:posOffset>3049187</wp:posOffset>
                </wp:positionH>
                <wp:positionV relativeFrom="paragraph">
                  <wp:posOffset>38266</wp:posOffset>
                </wp:positionV>
                <wp:extent cx="1887220" cy="1990366"/>
                <wp:effectExtent l="0" t="0" r="17780" b="16510"/>
                <wp:wrapNone/>
                <wp:docPr id="9" name="Rectangle 9"/>
                <wp:cNvGraphicFramePr/>
                <a:graphic xmlns:a="http://schemas.openxmlformats.org/drawingml/2006/main">
                  <a:graphicData uri="http://schemas.microsoft.com/office/word/2010/wordprocessingShape">
                    <wps:wsp>
                      <wps:cNvSpPr/>
                      <wps:spPr>
                        <a:xfrm>
                          <a:off x="0" y="0"/>
                          <a:ext cx="1887220" cy="19903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209A2"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 345</w:t>
                            </w:r>
                          </w:p>
                          <w:p w14:paraId="5F9845C5"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1:1 treatment (n = 97)</w:t>
                            </w:r>
                          </w:p>
                          <w:p w14:paraId="6FB98010"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sidRPr="00C62C53">
                              <w:rPr>
                                <w:rFonts w:ascii="Arial" w:hAnsi="Arial" w:cs="Arial"/>
                                <w:color w:val="000000" w:themeColor="text1"/>
                                <w:sz w:val="18"/>
                                <w:szCs w:val="20"/>
                              </w:rPr>
                              <w:t>No effectiveness</w:t>
                            </w:r>
                            <w:r>
                              <w:rPr>
                                <w:rFonts w:ascii="Arial" w:hAnsi="Arial" w:cs="Arial"/>
                                <w:color w:val="000000" w:themeColor="text1"/>
                                <w:sz w:val="18"/>
                                <w:szCs w:val="20"/>
                              </w:rPr>
                              <w:t xml:space="preserve"> </w:t>
                            </w:r>
                          </w:p>
                          <w:p w14:paraId="3A72DC6D" w14:textId="77777777" w:rsidR="00906CE3" w:rsidRPr="00C62C53" w:rsidRDefault="00906CE3" w:rsidP="00906CE3">
                            <w:pPr>
                              <w:spacing w:after="0"/>
                              <w:ind w:firstLine="720"/>
                              <w:rPr>
                                <w:rFonts w:ascii="Arial" w:hAnsi="Arial" w:cs="Arial"/>
                                <w:color w:val="000000" w:themeColor="text1"/>
                                <w:sz w:val="18"/>
                                <w:szCs w:val="20"/>
                              </w:rPr>
                            </w:pPr>
                            <w:r w:rsidRPr="00C62C53">
                              <w:rPr>
                                <w:rFonts w:ascii="Arial" w:hAnsi="Arial" w:cs="Arial"/>
                                <w:color w:val="000000" w:themeColor="text1"/>
                                <w:sz w:val="18"/>
                                <w:szCs w:val="20"/>
                              </w:rPr>
                              <w:t>data (n = 81)</w:t>
                            </w:r>
                          </w:p>
                          <w:p w14:paraId="637F09C0"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routine care</w:t>
                            </w:r>
                            <w:r w:rsidRPr="00C62C53">
                              <w:rPr>
                                <w:rFonts w:ascii="Arial" w:hAnsi="Arial" w:cs="Arial"/>
                                <w:color w:val="000000" w:themeColor="text1"/>
                                <w:sz w:val="18"/>
                                <w:szCs w:val="20"/>
                              </w:rPr>
                              <w:t xml:space="preserve"> (n = </w:t>
                            </w:r>
                            <w:r>
                              <w:rPr>
                                <w:rFonts w:ascii="Arial" w:hAnsi="Arial" w:cs="Arial"/>
                                <w:color w:val="000000" w:themeColor="text1"/>
                                <w:sz w:val="18"/>
                                <w:szCs w:val="20"/>
                              </w:rPr>
                              <w:t>69</w:t>
                            </w:r>
                            <w:r w:rsidRPr="00C62C53">
                              <w:rPr>
                                <w:rFonts w:ascii="Arial" w:hAnsi="Arial" w:cs="Arial"/>
                                <w:color w:val="000000" w:themeColor="text1"/>
                                <w:sz w:val="18"/>
                                <w:szCs w:val="20"/>
                              </w:rPr>
                              <w:t>)</w:t>
                            </w:r>
                          </w:p>
                          <w:p w14:paraId="1BA607E2"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 xml:space="preserve">No primary data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64</w:t>
                            </w:r>
                            <w:r w:rsidRPr="00C62C53">
                              <w:rPr>
                                <w:rFonts w:ascii="Arial" w:hAnsi="Arial" w:cs="Arial"/>
                                <w:color w:val="000000" w:themeColor="text1"/>
                                <w:sz w:val="18"/>
                                <w:szCs w:val="20"/>
                              </w:rPr>
                              <w:t>)</w:t>
                            </w:r>
                          </w:p>
                          <w:p w14:paraId="4B89299D"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 xml:space="preserve">Not psychotherapy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14</w:t>
                            </w:r>
                            <w:r w:rsidRPr="00C62C53">
                              <w:rPr>
                                <w:rFonts w:ascii="Arial" w:hAnsi="Arial" w:cs="Arial"/>
                                <w:color w:val="000000" w:themeColor="text1"/>
                                <w:sz w:val="18"/>
                                <w:szCs w:val="20"/>
                              </w:rPr>
                              <w:t>)</w:t>
                            </w:r>
                          </w:p>
                          <w:p w14:paraId="680E54EF"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Non adult population</w:t>
                            </w:r>
                          </w:p>
                          <w:p w14:paraId="08DD3A0E" w14:textId="77777777" w:rsidR="00906CE3" w:rsidRPr="00116ACB" w:rsidRDefault="00906CE3" w:rsidP="00906CE3">
                            <w:pPr>
                              <w:spacing w:after="0"/>
                              <w:ind w:firstLine="720"/>
                              <w:rPr>
                                <w:rFonts w:ascii="Arial" w:hAnsi="Arial" w:cs="Arial"/>
                                <w:color w:val="000000" w:themeColor="text1"/>
                                <w:sz w:val="18"/>
                                <w:szCs w:val="20"/>
                              </w:rPr>
                            </w:pPr>
                            <w:r w:rsidRPr="00116ACB">
                              <w:rPr>
                                <w:rFonts w:ascii="Arial" w:hAnsi="Arial" w:cs="Arial"/>
                                <w:color w:val="000000" w:themeColor="text1"/>
                                <w:sz w:val="18"/>
                                <w:szCs w:val="20"/>
                              </w:rPr>
                              <w:t>(n = 5)</w:t>
                            </w:r>
                          </w:p>
                          <w:p w14:paraId="2A08EDC6"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face-to-face</w:t>
                            </w:r>
                            <w:r w:rsidRPr="00C62C53">
                              <w:rPr>
                                <w:rFonts w:ascii="Arial" w:hAnsi="Arial" w:cs="Arial"/>
                                <w:color w:val="000000" w:themeColor="text1"/>
                                <w:sz w:val="18"/>
                                <w:szCs w:val="20"/>
                              </w:rPr>
                              <w:t xml:space="preserve"> (n = </w:t>
                            </w:r>
                            <w:r>
                              <w:rPr>
                                <w:rFonts w:ascii="Arial" w:hAnsi="Arial" w:cs="Arial"/>
                                <w:color w:val="000000" w:themeColor="text1"/>
                                <w:sz w:val="18"/>
                                <w:szCs w:val="20"/>
                              </w:rPr>
                              <w:t>2</w:t>
                            </w:r>
                            <w:r w:rsidRPr="00C62C53">
                              <w:rPr>
                                <w:rFonts w:ascii="Arial" w:hAnsi="Arial" w:cs="Arial"/>
                                <w:color w:val="000000" w:themeColor="text1"/>
                                <w:sz w:val="18"/>
                                <w:szCs w:val="20"/>
                              </w:rPr>
                              <w:t>)</w:t>
                            </w:r>
                          </w:p>
                          <w:p w14:paraId="339691BB"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 English</w:t>
                            </w:r>
                            <w:r w:rsidRPr="00C62C53">
                              <w:rPr>
                                <w:rFonts w:ascii="Arial" w:hAnsi="Arial" w:cs="Arial"/>
                                <w:color w:val="000000" w:themeColor="text1"/>
                                <w:sz w:val="18"/>
                                <w:szCs w:val="20"/>
                              </w:rPr>
                              <w:t xml:space="preserve"> </w:t>
                            </w:r>
                            <w:r>
                              <w:rPr>
                                <w:rFonts w:ascii="Arial" w:hAnsi="Arial" w:cs="Arial"/>
                                <w:color w:val="000000" w:themeColor="text1"/>
                                <w:sz w:val="18"/>
                                <w:szCs w:val="20"/>
                              </w:rPr>
                              <w:t xml:space="preserve">full text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1</w:t>
                            </w:r>
                            <w:r w:rsidRPr="00C62C53">
                              <w:rPr>
                                <w:rFonts w:ascii="Arial" w:hAnsi="Arial" w:cs="Arial"/>
                                <w:color w:val="000000" w:themeColor="text1"/>
                                <w:sz w:val="18"/>
                                <w:szCs w:val="20"/>
                              </w:rPr>
                              <w:t>)</w:t>
                            </w:r>
                          </w:p>
                          <w:p w14:paraId="326193BE"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Other/NA (n = 6)</w:t>
                            </w:r>
                          </w:p>
                          <w:p w14:paraId="528F365C" w14:textId="77777777" w:rsidR="00906CE3" w:rsidRPr="00560609" w:rsidRDefault="00906CE3" w:rsidP="00906CE3">
                            <w:pPr>
                              <w:spacing w:after="0"/>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39177" id="Rectangle 9" o:spid="_x0000_s1035" style="position:absolute;margin-left:240.1pt;margin-top:3pt;width:148.6pt;height:15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" filled="f" strokecolor="black [3213]" strokeweight="2pt">
                <v:textbox>
                  <w:txbxContent>
                    <w:p w14:paraId="29E209A2"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 345</w:t>
                      </w:r>
                    </w:p>
                    <w:p w14:paraId="5F9845C5"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1:1 treatment (n = 97)</w:t>
                      </w:r>
                    </w:p>
                    <w:p w14:paraId="6FB98010"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sidRPr="00C62C53">
                        <w:rPr>
                          <w:rFonts w:ascii="Arial" w:hAnsi="Arial" w:cs="Arial"/>
                          <w:color w:val="000000" w:themeColor="text1"/>
                          <w:sz w:val="18"/>
                          <w:szCs w:val="20"/>
                        </w:rPr>
                        <w:t>No effectiveness</w:t>
                      </w:r>
                      <w:r>
                        <w:rPr>
                          <w:rFonts w:ascii="Arial" w:hAnsi="Arial" w:cs="Arial"/>
                          <w:color w:val="000000" w:themeColor="text1"/>
                          <w:sz w:val="18"/>
                          <w:szCs w:val="20"/>
                        </w:rPr>
                        <w:t xml:space="preserve"> </w:t>
                      </w:r>
                    </w:p>
                    <w:p w14:paraId="3A72DC6D" w14:textId="77777777" w:rsidR="00906CE3" w:rsidRPr="00C62C53" w:rsidRDefault="00906CE3" w:rsidP="00906CE3">
                      <w:pPr>
                        <w:spacing w:after="0"/>
                        <w:ind w:firstLine="720"/>
                        <w:rPr>
                          <w:rFonts w:ascii="Arial" w:hAnsi="Arial" w:cs="Arial"/>
                          <w:color w:val="000000" w:themeColor="text1"/>
                          <w:sz w:val="18"/>
                          <w:szCs w:val="20"/>
                        </w:rPr>
                      </w:pPr>
                      <w:r w:rsidRPr="00C62C53">
                        <w:rPr>
                          <w:rFonts w:ascii="Arial" w:hAnsi="Arial" w:cs="Arial"/>
                          <w:color w:val="000000" w:themeColor="text1"/>
                          <w:sz w:val="18"/>
                          <w:szCs w:val="20"/>
                        </w:rPr>
                        <w:t>data (n = 81)</w:t>
                      </w:r>
                    </w:p>
                    <w:p w14:paraId="637F09C0"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routine care</w:t>
                      </w:r>
                      <w:r w:rsidRPr="00C62C53">
                        <w:rPr>
                          <w:rFonts w:ascii="Arial" w:hAnsi="Arial" w:cs="Arial"/>
                          <w:color w:val="000000" w:themeColor="text1"/>
                          <w:sz w:val="18"/>
                          <w:szCs w:val="20"/>
                        </w:rPr>
                        <w:t xml:space="preserve"> (n = </w:t>
                      </w:r>
                      <w:r>
                        <w:rPr>
                          <w:rFonts w:ascii="Arial" w:hAnsi="Arial" w:cs="Arial"/>
                          <w:color w:val="000000" w:themeColor="text1"/>
                          <w:sz w:val="18"/>
                          <w:szCs w:val="20"/>
                        </w:rPr>
                        <w:t>69</w:t>
                      </w:r>
                      <w:r w:rsidRPr="00C62C53">
                        <w:rPr>
                          <w:rFonts w:ascii="Arial" w:hAnsi="Arial" w:cs="Arial"/>
                          <w:color w:val="000000" w:themeColor="text1"/>
                          <w:sz w:val="18"/>
                          <w:szCs w:val="20"/>
                        </w:rPr>
                        <w:t>)</w:t>
                      </w:r>
                    </w:p>
                    <w:p w14:paraId="1BA607E2"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 xml:space="preserve">No primary data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64</w:t>
                      </w:r>
                      <w:r w:rsidRPr="00C62C53">
                        <w:rPr>
                          <w:rFonts w:ascii="Arial" w:hAnsi="Arial" w:cs="Arial"/>
                          <w:color w:val="000000" w:themeColor="text1"/>
                          <w:sz w:val="18"/>
                          <w:szCs w:val="20"/>
                        </w:rPr>
                        <w:t>)</w:t>
                      </w:r>
                    </w:p>
                    <w:p w14:paraId="4B89299D"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 xml:space="preserve">Not psychotherapy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14</w:t>
                      </w:r>
                      <w:r w:rsidRPr="00C62C53">
                        <w:rPr>
                          <w:rFonts w:ascii="Arial" w:hAnsi="Arial" w:cs="Arial"/>
                          <w:color w:val="000000" w:themeColor="text1"/>
                          <w:sz w:val="18"/>
                          <w:szCs w:val="20"/>
                        </w:rPr>
                        <w:t>)</w:t>
                      </w:r>
                    </w:p>
                    <w:p w14:paraId="680E54EF"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Non adult population</w:t>
                      </w:r>
                    </w:p>
                    <w:p w14:paraId="08DD3A0E" w14:textId="77777777" w:rsidR="00906CE3" w:rsidRPr="00116ACB" w:rsidRDefault="00906CE3" w:rsidP="00906CE3">
                      <w:pPr>
                        <w:spacing w:after="0"/>
                        <w:ind w:firstLine="720"/>
                        <w:rPr>
                          <w:rFonts w:ascii="Arial" w:hAnsi="Arial" w:cs="Arial"/>
                          <w:color w:val="000000" w:themeColor="text1"/>
                          <w:sz w:val="18"/>
                          <w:szCs w:val="20"/>
                        </w:rPr>
                      </w:pPr>
                      <w:r w:rsidRPr="00116ACB">
                        <w:rPr>
                          <w:rFonts w:ascii="Arial" w:hAnsi="Arial" w:cs="Arial"/>
                          <w:color w:val="000000" w:themeColor="text1"/>
                          <w:sz w:val="18"/>
                          <w:szCs w:val="20"/>
                        </w:rPr>
                        <w:t>(n = 5)</w:t>
                      </w:r>
                    </w:p>
                    <w:p w14:paraId="2A08EDC6"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Not face-to-face</w:t>
                      </w:r>
                      <w:r w:rsidRPr="00C62C53">
                        <w:rPr>
                          <w:rFonts w:ascii="Arial" w:hAnsi="Arial" w:cs="Arial"/>
                          <w:color w:val="000000" w:themeColor="text1"/>
                          <w:sz w:val="18"/>
                          <w:szCs w:val="20"/>
                        </w:rPr>
                        <w:t xml:space="preserve"> (n = </w:t>
                      </w:r>
                      <w:r>
                        <w:rPr>
                          <w:rFonts w:ascii="Arial" w:hAnsi="Arial" w:cs="Arial"/>
                          <w:color w:val="000000" w:themeColor="text1"/>
                          <w:sz w:val="18"/>
                          <w:szCs w:val="20"/>
                        </w:rPr>
                        <w:t>2</w:t>
                      </w:r>
                      <w:r w:rsidRPr="00C62C53">
                        <w:rPr>
                          <w:rFonts w:ascii="Arial" w:hAnsi="Arial" w:cs="Arial"/>
                          <w:color w:val="000000" w:themeColor="text1"/>
                          <w:sz w:val="18"/>
                          <w:szCs w:val="20"/>
                        </w:rPr>
                        <w:t>)</w:t>
                      </w:r>
                    </w:p>
                    <w:p w14:paraId="339691BB" w14:textId="77777777" w:rsidR="00906CE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No English</w:t>
                      </w:r>
                      <w:r w:rsidRPr="00C62C53">
                        <w:rPr>
                          <w:rFonts w:ascii="Arial" w:hAnsi="Arial" w:cs="Arial"/>
                          <w:color w:val="000000" w:themeColor="text1"/>
                          <w:sz w:val="18"/>
                          <w:szCs w:val="20"/>
                        </w:rPr>
                        <w:t xml:space="preserve"> </w:t>
                      </w:r>
                      <w:r>
                        <w:rPr>
                          <w:rFonts w:ascii="Arial" w:hAnsi="Arial" w:cs="Arial"/>
                          <w:color w:val="000000" w:themeColor="text1"/>
                          <w:sz w:val="18"/>
                          <w:szCs w:val="20"/>
                        </w:rPr>
                        <w:t xml:space="preserve">full text </w:t>
                      </w:r>
                      <w:r w:rsidRPr="00C62C53">
                        <w:rPr>
                          <w:rFonts w:ascii="Arial" w:hAnsi="Arial" w:cs="Arial"/>
                          <w:color w:val="000000" w:themeColor="text1"/>
                          <w:sz w:val="18"/>
                          <w:szCs w:val="20"/>
                        </w:rPr>
                        <w:t xml:space="preserve">(n = </w:t>
                      </w:r>
                      <w:r>
                        <w:rPr>
                          <w:rFonts w:ascii="Arial" w:hAnsi="Arial" w:cs="Arial"/>
                          <w:color w:val="000000" w:themeColor="text1"/>
                          <w:sz w:val="18"/>
                          <w:szCs w:val="20"/>
                        </w:rPr>
                        <w:t>1</w:t>
                      </w:r>
                      <w:r w:rsidRPr="00C62C53">
                        <w:rPr>
                          <w:rFonts w:ascii="Arial" w:hAnsi="Arial" w:cs="Arial"/>
                          <w:color w:val="000000" w:themeColor="text1"/>
                          <w:sz w:val="18"/>
                          <w:szCs w:val="20"/>
                        </w:rPr>
                        <w:t>)</w:t>
                      </w:r>
                    </w:p>
                    <w:p w14:paraId="326193BE" w14:textId="77777777" w:rsidR="00906CE3" w:rsidRPr="00C62C53" w:rsidRDefault="00906CE3" w:rsidP="00906CE3">
                      <w:pPr>
                        <w:pStyle w:val="ListParagraph"/>
                        <w:numPr>
                          <w:ilvl w:val="0"/>
                          <w:numId w:val="24"/>
                        </w:numPr>
                        <w:spacing w:after="0" w:line="240" w:lineRule="auto"/>
                        <w:ind w:left="470" w:hanging="357"/>
                        <w:rPr>
                          <w:rFonts w:ascii="Arial" w:hAnsi="Arial" w:cs="Arial"/>
                          <w:color w:val="000000" w:themeColor="text1"/>
                          <w:sz w:val="18"/>
                          <w:szCs w:val="20"/>
                        </w:rPr>
                      </w:pPr>
                      <w:r>
                        <w:rPr>
                          <w:rFonts w:ascii="Arial" w:hAnsi="Arial" w:cs="Arial"/>
                          <w:color w:val="000000" w:themeColor="text1"/>
                          <w:sz w:val="18"/>
                          <w:szCs w:val="20"/>
                        </w:rPr>
                        <w:t>Other/NA (n = 6)</w:t>
                      </w:r>
                    </w:p>
                    <w:p w14:paraId="646DAD93" w14:textId="77777777" w:rsidR="00906CE3" w:rsidRPr="00560609" w:rsidRDefault="00906CE3" w:rsidP="00906CE3">
                      <w:pPr>
                        <w:spacing w:after="0"/>
                        <w:ind w:left="284"/>
                        <w:rPr>
                          <w:rFonts w:ascii="Arial" w:hAnsi="Arial" w:cs="Arial"/>
                          <w:color w:val="000000" w:themeColor="text1"/>
                          <w:sz w:val="18"/>
                          <w:szCs w:val="20"/>
                        </w:rPr>
                      </w:pPr>
                    </w:p>
                  </w:txbxContent>
                </v:textbox>
              </v:rect>
            </w:pict>
          </mc:Fallback>
        </mc:AlternateContent>
      </w:r>
      <w:r w:rsidRPr="00560609">
        <w:rPr>
          <w:noProof/>
        </w:rPr>
        <mc:AlternateContent>
          <mc:Choice Requires="wps">
            <w:drawing>
              <wp:anchor distT="0" distB="0" distL="114300" distR="114300" simplePos="0" relativeHeight="251664384" behindDoc="0" locked="0" layoutInCell="1" allowOverlap="1" wp14:anchorId="5A9CFEC0" wp14:editId="53E5F852">
                <wp:simplePos x="0" y="0"/>
                <wp:positionH relativeFrom="column">
                  <wp:posOffset>561671</wp:posOffset>
                </wp:positionH>
                <wp:positionV relativeFrom="paragraph">
                  <wp:posOffset>13335</wp:posOffset>
                </wp:positionV>
                <wp:extent cx="1887220" cy="526415"/>
                <wp:effectExtent l="0" t="0" r="17780" b="698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3E7E0"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9FACE54"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597)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CFEC0" id="Rectangle 8" o:spid="_x0000_s1036" style="position:absolute;margin-left:44.25pt;margin-top:1.0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5Mq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" filled="f" strokecolor="black [3213]" strokeweight="2pt">
                <v:textbox>
                  <w:txbxContent>
                    <w:p w14:paraId="5EA8BA2A" w14:textId="77777777" w:rsidR="00906CE3" w:rsidRDefault="00906CE3" w:rsidP="00906CE3">
                      <w:pPr>
                        <w:spacing w:after="0"/>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9FACE54"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597)</w:t>
                      </w:r>
                    </w:p>
                  </w:txbxContent>
                </v:textbox>
              </v:rect>
            </w:pict>
          </mc:Fallback>
        </mc:AlternateContent>
      </w:r>
    </w:p>
    <w:p w14:paraId="574252AE" w14:textId="77777777" w:rsidR="00906CE3" w:rsidRDefault="00906CE3" w:rsidP="00906CE3">
      <w:pPr>
        <w:spacing w:after="0"/>
      </w:pPr>
      <w:r>
        <w:rPr>
          <w:noProof/>
        </w:rPr>
        <mc:AlternateContent>
          <mc:Choice Requires="wps">
            <w:drawing>
              <wp:anchor distT="0" distB="0" distL="114300" distR="114300" simplePos="0" relativeHeight="251669504" behindDoc="0" locked="0" layoutInCell="1" allowOverlap="1" wp14:anchorId="38744332" wp14:editId="5F42B419">
                <wp:simplePos x="0" y="0"/>
                <wp:positionH relativeFrom="column">
                  <wp:posOffset>2452646</wp:posOffset>
                </wp:positionH>
                <wp:positionV relativeFrom="paragraph">
                  <wp:posOffset>96658</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2168C" id="Straight Arrow Connector 17" o:spid="_x0000_s1026" type="#_x0000_t32" style="position:absolute;margin-left:193.1pt;margin-top:7.6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" strokecolor="black [3213]">
                <v:stroke endarrow="block"/>
              </v:shape>
            </w:pict>
          </mc:Fallback>
        </mc:AlternateContent>
      </w:r>
    </w:p>
    <w:p w14:paraId="266ACE0E" w14:textId="77777777" w:rsidR="00906CE3" w:rsidRDefault="00906CE3" w:rsidP="00906CE3">
      <w:pPr>
        <w:spacing w:after="0"/>
      </w:pPr>
    </w:p>
    <w:p w14:paraId="6A6FB7B0" w14:textId="77777777" w:rsidR="00906CE3" w:rsidRDefault="00906CE3" w:rsidP="00906CE3">
      <w:pPr>
        <w:spacing w:after="0"/>
      </w:pPr>
      <w:r>
        <w:rPr>
          <w:noProof/>
        </w:rPr>
        <mc:AlternateContent>
          <mc:Choice Requires="wps">
            <w:drawing>
              <wp:anchor distT="0" distB="0" distL="114300" distR="114300" simplePos="0" relativeHeight="251677696" behindDoc="0" locked="0" layoutInCell="1" allowOverlap="1" wp14:anchorId="1D04023E" wp14:editId="3DD6D239">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EC86D" id="Straight Arrow Connector 19" o:spid="_x0000_s1026" type="#_x0000_t32" style="position:absolute;margin-left:110.3pt;margin-top:2.35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" strokecolor="black [3213]">
                <v:stroke endarrow="block"/>
              </v:shape>
            </w:pict>
          </mc:Fallback>
        </mc:AlternateContent>
      </w:r>
    </w:p>
    <w:p w14:paraId="5AE6DB83" w14:textId="77777777" w:rsidR="00906CE3" w:rsidRDefault="00906CE3" w:rsidP="00906CE3">
      <w:pPr>
        <w:spacing w:after="0"/>
      </w:pPr>
    </w:p>
    <w:p w14:paraId="6580251A" w14:textId="77777777" w:rsidR="00906CE3" w:rsidRDefault="00906CE3" w:rsidP="00906CE3">
      <w:pPr>
        <w:spacing w:after="0"/>
      </w:pPr>
    </w:p>
    <w:p w14:paraId="001C4199" w14:textId="77777777" w:rsidR="00906CE3" w:rsidRDefault="00906CE3" w:rsidP="00906CE3">
      <w:pPr>
        <w:spacing w:after="0"/>
      </w:pPr>
    </w:p>
    <w:p w14:paraId="570D3451" w14:textId="77777777" w:rsidR="00906CE3" w:rsidRDefault="00906CE3" w:rsidP="00906CE3">
      <w:pPr>
        <w:spacing w:after="0"/>
      </w:pPr>
      <w:r w:rsidRPr="00560609">
        <w:rPr>
          <w:noProof/>
        </w:rPr>
        <mc:AlternateContent>
          <mc:Choice Requires="wps">
            <w:drawing>
              <wp:anchor distT="0" distB="0" distL="114300" distR="114300" simplePos="0" relativeHeight="251666432" behindDoc="0" locked="0" layoutInCell="1" allowOverlap="1" wp14:anchorId="754BBC68" wp14:editId="7587CA9A">
                <wp:simplePos x="0" y="0"/>
                <wp:positionH relativeFrom="column">
                  <wp:posOffset>540081</wp:posOffset>
                </wp:positionH>
                <wp:positionV relativeFrom="paragraph">
                  <wp:posOffset>110490</wp:posOffset>
                </wp:positionV>
                <wp:extent cx="1887220" cy="723900"/>
                <wp:effectExtent l="0" t="0" r="17780" b="1270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F33F2"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Studies included in review</w:t>
                            </w:r>
                          </w:p>
                          <w:p w14:paraId="66C6FE9B"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252)</w:t>
                            </w:r>
                          </w:p>
                          <w:p w14:paraId="00F89CF7"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Included in meta-analysis</w:t>
                            </w:r>
                          </w:p>
                          <w:p w14:paraId="7416855D"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BBC68" id="Rectangle 13" o:spid="_x0000_s1037" style="position:absolute;margin-left:42.55pt;margin-top:8.7pt;width:148.6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" filled="f" strokecolor="black [3213]" strokeweight="2pt">
                <v:textbox>
                  <w:txbxContent>
                    <w:p w14:paraId="75CA23A9"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Studies included in review</w:t>
                      </w:r>
                    </w:p>
                    <w:p w14:paraId="66C6FE9B"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252)</w:t>
                      </w:r>
                    </w:p>
                    <w:p w14:paraId="7B227605" w14:textId="77777777" w:rsidR="00906CE3"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Included in meta-analysis</w:t>
                      </w:r>
                    </w:p>
                    <w:p w14:paraId="7416855D" w14:textId="77777777" w:rsidR="00906CE3" w:rsidRPr="00560609" w:rsidRDefault="00906CE3" w:rsidP="00906CE3">
                      <w:pPr>
                        <w:spacing w:after="0"/>
                        <w:rPr>
                          <w:rFonts w:ascii="Arial" w:hAnsi="Arial" w:cs="Arial"/>
                          <w:color w:val="000000" w:themeColor="text1"/>
                          <w:sz w:val="18"/>
                          <w:szCs w:val="20"/>
                        </w:rPr>
                      </w:pPr>
                      <w:r>
                        <w:rPr>
                          <w:rFonts w:ascii="Arial" w:hAnsi="Arial" w:cs="Arial"/>
                          <w:color w:val="000000" w:themeColor="text1"/>
                          <w:sz w:val="18"/>
                          <w:szCs w:val="20"/>
                        </w:rPr>
                        <w:t>(n = 223)</w:t>
                      </w:r>
                    </w:p>
                  </w:txbxContent>
                </v:textbox>
              </v:rect>
            </w:pict>
          </mc:Fallback>
        </mc:AlternateContent>
      </w:r>
    </w:p>
    <w:p w14:paraId="309CE7F0" w14:textId="77777777" w:rsidR="00906CE3" w:rsidRDefault="00906CE3" w:rsidP="00906CE3">
      <w:pPr>
        <w:spacing w:after="0"/>
      </w:pPr>
      <w:r>
        <w:rPr>
          <w:noProof/>
        </w:rPr>
        <mc:AlternateContent>
          <mc:Choice Requires="wps">
            <w:drawing>
              <wp:anchor distT="0" distB="0" distL="114300" distR="114300" simplePos="0" relativeHeight="251673600" behindDoc="0" locked="0" layoutInCell="1" allowOverlap="1" wp14:anchorId="75747AA4" wp14:editId="1091D9CC">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BD1B1C0" w14:textId="77777777" w:rsidR="00906CE3" w:rsidRPr="001502CF" w:rsidRDefault="00906CE3" w:rsidP="00906CE3">
                            <w:pPr>
                              <w:spacing w:after="0"/>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47AA4" id="Flowchart: Alternate Process 33" o:spid="_x0000_s1038" type="#_x0000_t176" style="position:absolute;margin-left:-10.5pt;margin-top:13.45pt;width:60.2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" fillcolor="#92cddc [1944]" strokecolor="black [3213]" strokeweight="2pt">
                <v:textbox>
                  <w:txbxContent>
                    <w:p w14:paraId="1F074230" w14:textId="77777777" w:rsidR="00906CE3" w:rsidRPr="001502CF" w:rsidRDefault="00906CE3" w:rsidP="00906CE3">
                      <w:pPr>
                        <w:spacing w:after="0"/>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0E7AA241" w14:textId="77777777" w:rsidR="00906CE3" w:rsidRDefault="00906CE3" w:rsidP="00906CE3">
      <w:pPr>
        <w:spacing w:after="0"/>
      </w:pPr>
    </w:p>
    <w:p w14:paraId="11AF56B5" w14:textId="77777777" w:rsidR="00906CE3" w:rsidRDefault="00906CE3" w:rsidP="00906CE3">
      <w:pPr>
        <w:spacing w:after="0"/>
      </w:pPr>
    </w:p>
    <w:p w14:paraId="0E9E0EFC" w14:textId="77777777" w:rsidR="00906CE3" w:rsidRDefault="00906CE3" w:rsidP="00906CE3">
      <w:pPr>
        <w:spacing w:after="0"/>
      </w:pPr>
    </w:p>
    <w:p w14:paraId="15806F78" w14:textId="3C65BB79" w:rsidR="00906CE3" w:rsidRDefault="00906CE3">
      <w:pPr>
        <w:rPr>
          <w:rFonts w:ascii="Times New Roman" w:eastAsiaTheme="majorEastAsia" w:hAnsi="Times New Roman" w:cstheme="majorBidi"/>
          <w:b/>
          <w:bCs/>
          <w:color w:val="000000" w:themeColor="text1"/>
        </w:rPr>
      </w:pPr>
      <w:r>
        <w:br w:type="page"/>
      </w: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196"/>
        <w:gridCol w:w="1077"/>
        <w:gridCol w:w="1304"/>
        <w:gridCol w:w="1077"/>
        <w:gridCol w:w="1077"/>
        <w:gridCol w:w="931"/>
        <w:gridCol w:w="146"/>
      </w:tblGrid>
      <w:tr w:rsidR="00906CE3" w:rsidRPr="00906CE3" w14:paraId="636579FB" w14:textId="77777777" w:rsidTr="002C4AEA">
        <w:trPr>
          <w:gridAfter w:val="1"/>
          <w:wAfter w:w="146" w:type="dxa"/>
          <w:trHeight w:val="619"/>
          <w:tblHeader/>
        </w:trPr>
        <w:tc>
          <w:tcPr>
            <w:tcW w:w="9214" w:type="dxa"/>
            <w:gridSpan w:val="8"/>
            <w:tcBorders>
              <w:top w:val="nil"/>
              <w:left w:val="nil"/>
              <w:bottom w:val="nil"/>
              <w:right w:val="nil"/>
            </w:tcBorders>
            <w:shd w:val="clear" w:color="auto" w:fill="auto"/>
            <w:tcMar>
              <w:top w:w="90" w:type="dxa"/>
              <w:left w:w="195" w:type="dxa"/>
              <w:bottom w:w="90" w:type="dxa"/>
              <w:right w:w="195" w:type="dxa"/>
            </w:tcMar>
            <w:vAlign w:val="center"/>
            <w:hideMark/>
          </w:tcPr>
          <w:p w14:paraId="318A9935" w14:textId="77777777" w:rsidR="00906CE3" w:rsidRPr="00906CE3" w:rsidRDefault="00906CE3" w:rsidP="00906CE3">
            <w:pPr>
              <w:spacing w:after="0" w:line="276" w:lineRule="auto"/>
              <w:rPr>
                <w:rFonts w:ascii="Times New Roman" w:eastAsia="Times New Roman" w:hAnsi="Times New Roman" w:cs="Times New Roman"/>
                <w:b/>
                <w:bCs/>
                <w:color w:val="000000"/>
                <w:spacing w:val="3"/>
                <w:sz w:val="22"/>
                <w:szCs w:val="22"/>
                <w:lang w:val="en-GB" w:eastAsia="en-GB"/>
              </w:rPr>
            </w:pPr>
            <w:r w:rsidRPr="00906CE3">
              <w:rPr>
                <w:rFonts w:ascii="Times New Roman" w:eastAsia="Times New Roman" w:hAnsi="Times New Roman" w:cs="Times New Roman"/>
                <w:b/>
                <w:bCs/>
                <w:color w:val="000000"/>
                <w:spacing w:val="3"/>
                <w:sz w:val="22"/>
                <w:szCs w:val="22"/>
                <w:lang w:val="en-GB" w:eastAsia="en-GB"/>
              </w:rPr>
              <w:lastRenderedPageBreak/>
              <w:t>Table 2:</w:t>
            </w:r>
          </w:p>
          <w:p w14:paraId="2D244485" w14:textId="77777777" w:rsidR="00906CE3" w:rsidRPr="00906CE3" w:rsidRDefault="00906CE3" w:rsidP="00906CE3">
            <w:pPr>
              <w:spacing w:after="0" w:line="276" w:lineRule="auto"/>
              <w:rPr>
                <w:rFonts w:ascii="Times New Roman" w:eastAsia="Times New Roman" w:hAnsi="Times New Roman" w:cs="Times New Roman"/>
                <w:b/>
                <w:bCs/>
                <w:color w:val="000000"/>
                <w:spacing w:val="3"/>
                <w:sz w:val="22"/>
                <w:szCs w:val="22"/>
                <w:lang w:val="en-GB" w:eastAsia="en-GB"/>
              </w:rPr>
            </w:pPr>
            <w:r w:rsidRPr="00906CE3">
              <w:rPr>
                <w:rFonts w:ascii="Times New Roman" w:eastAsia="Times New Roman" w:hAnsi="Times New Roman" w:cs="Times New Roman"/>
                <w:color w:val="000000"/>
                <w:spacing w:val="3"/>
                <w:sz w:val="22"/>
                <w:szCs w:val="22"/>
                <w:lang w:val="en-GB" w:eastAsia="en-GB"/>
              </w:rPr>
              <w:t>Summary statistics across the pooled sample and by sample severity.</w:t>
            </w:r>
          </w:p>
        </w:tc>
      </w:tr>
      <w:tr w:rsidR="00906CE3" w:rsidRPr="00906CE3" w14:paraId="44358A6C" w14:textId="77777777" w:rsidTr="002C4AEA">
        <w:trPr>
          <w:tblHeader/>
        </w:trPr>
        <w:tc>
          <w:tcPr>
            <w:tcW w:w="127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7057FF4" w14:textId="77777777" w:rsidR="00906CE3" w:rsidRPr="00906CE3" w:rsidRDefault="00906CE3" w:rsidP="00906CE3">
            <w:pPr>
              <w:spacing w:after="0"/>
              <w:jc w:val="center"/>
              <w:rPr>
                <w:rFonts w:ascii="Times New Roman" w:eastAsia="Times New Roman" w:hAnsi="Times New Roman" w:cs="Times New Roman"/>
                <w:color w:val="000000"/>
                <w:spacing w:val="3"/>
                <w:sz w:val="17"/>
                <w:szCs w:val="17"/>
                <w:lang w:val="en-GB" w:eastAsia="en-GB"/>
              </w:rPr>
            </w:pPr>
          </w:p>
        </w:tc>
        <w:tc>
          <w:tcPr>
            <w:tcW w:w="127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90A9174"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p>
        </w:tc>
        <w:tc>
          <w:tcPr>
            <w:tcW w:w="119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57AD280"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university</w:t>
            </w:r>
          </w:p>
        </w:tc>
        <w:tc>
          <w:tcPr>
            <w:tcW w:w="1077"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3EA5DA7"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mild</w:t>
            </w:r>
          </w:p>
        </w:tc>
        <w:tc>
          <w:tcPr>
            <w:tcW w:w="130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117B1C0"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moderate</w:t>
            </w:r>
          </w:p>
        </w:tc>
        <w:tc>
          <w:tcPr>
            <w:tcW w:w="1077"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50AE3AC"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severe</w:t>
            </w:r>
          </w:p>
        </w:tc>
        <w:tc>
          <w:tcPr>
            <w:tcW w:w="1077"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DCD1DEB"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other</w:t>
            </w:r>
          </w:p>
        </w:tc>
        <w:tc>
          <w:tcPr>
            <w:tcW w:w="1077" w:type="dxa"/>
            <w:gridSpan w:val="2"/>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1019171" w14:textId="77777777" w:rsidR="00906CE3" w:rsidRPr="00906CE3" w:rsidRDefault="00906CE3" w:rsidP="00906CE3">
            <w:pPr>
              <w:spacing w:after="0"/>
              <w:rPr>
                <w:rFonts w:ascii="Times New Roman" w:eastAsia="Times New Roman" w:hAnsi="Times New Roman" w:cs="Times New Roman"/>
                <w:b/>
                <w:bCs/>
                <w:color w:val="000000"/>
                <w:spacing w:val="3"/>
                <w:sz w:val="17"/>
                <w:szCs w:val="17"/>
                <w:lang w:val="en-GB" w:eastAsia="en-GB"/>
              </w:rPr>
            </w:pPr>
            <w:r w:rsidRPr="00906CE3">
              <w:rPr>
                <w:rFonts w:ascii="Times New Roman" w:eastAsia="Times New Roman" w:hAnsi="Times New Roman" w:cs="Times New Roman"/>
                <w:b/>
                <w:bCs/>
                <w:color w:val="000000"/>
                <w:spacing w:val="3"/>
                <w:sz w:val="17"/>
                <w:szCs w:val="17"/>
                <w:lang w:val="en-GB" w:eastAsia="en-GB"/>
              </w:rPr>
              <w:t>total</w:t>
            </w:r>
          </w:p>
        </w:tc>
      </w:tr>
      <w:tr w:rsidR="00906CE3" w:rsidRPr="00906CE3" w14:paraId="5B4ADF02" w14:textId="77777777" w:rsidTr="00906CE3">
        <w:tc>
          <w:tcPr>
            <w:tcW w:w="1276" w:type="dxa"/>
            <w:vMerge w:val="restart"/>
            <w:tcBorders>
              <w:top w:val="single" w:sz="6" w:space="0" w:color="3B3F54"/>
              <w:left w:val="nil"/>
              <w:right w:val="nil"/>
            </w:tcBorders>
            <w:shd w:val="clear" w:color="auto" w:fill="auto"/>
            <w:tcMar>
              <w:top w:w="90" w:type="dxa"/>
              <w:left w:w="195" w:type="dxa"/>
              <w:bottom w:w="90" w:type="dxa"/>
              <w:right w:w="195" w:type="dxa"/>
            </w:tcMar>
            <w:vAlign w:val="center"/>
            <w:hideMark/>
          </w:tcPr>
          <w:p w14:paraId="550C1A1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N</w:t>
            </w:r>
          </w:p>
        </w:tc>
        <w:tc>
          <w:tcPr>
            <w:tcW w:w="1276"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4C50C6E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N</w:t>
            </w:r>
          </w:p>
        </w:tc>
        <w:tc>
          <w:tcPr>
            <w:tcW w:w="1196"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51EC809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9195</w:t>
            </w:r>
          </w:p>
        </w:tc>
        <w:tc>
          <w:tcPr>
            <w:tcW w:w="1077"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790ECCF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158150</w:t>
            </w:r>
          </w:p>
        </w:tc>
        <w:tc>
          <w:tcPr>
            <w:tcW w:w="1304"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47D9257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9515</w:t>
            </w:r>
          </w:p>
        </w:tc>
        <w:tc>
          <w:tcPr>
            <w:tcW w:w="1077"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707E75D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22586</w:t>
            </w:r>
          </w:p>
        </w:tc>
        <w:tc>
          <w:tcPr>
            <w:tcW w:w="1077" w:type="dxa"/>
            <w:tcBorders>
              <w:top w:val="single" w:sz="6" w:space="0" w:color="3B3F54"/>
              <w:left w:val="nil"/>
              <w:right w:val="nil"/>
            </w:tcBorders>
            <w:shd w:val="clear" w:color="auto" w:fill="F2F2F2"/>
            <w:tcMar>
              <w:top w:w="90" w:type="dxa"/>
              <w:left w:w="195" w:type="dxa"/>
              <w:bottom w:w="90" w:type="dxa"/>
              <w:right w:w="195" w:type="dxa"/>
            </w:tcMar>
            <w:vAlign w:val="center"/>
            <w:hideMark/>
          </w:tcPr>
          <w:p w14:paraId="3E7B4A0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33694</w:t>
            </w:r>
          </w:p>
        </w:tc>
        <w:tc>
          <w:tcPr>
            <w:tcW w:w="1077" w:type="dxa"/>
            <w:gridSpan w:val="2"/>
            <w:tcBorders>
              <w:top w:val="single" w:sz="6" w:space="0" w:color="3B3F54"/>
              <w:left w:val="nil"/>
              <w:right w:val="nil"/>
            </w:tcBorders>
            <w:shd w:val="clear" w:color="auto" w:fill="F2F2F2"/>
            <w:tcMar>
              <w:top w:w="90" w:type="dxa"/>
              <w:left w:w="195" w:type="dxa"/>
              <w:bottom w:w="90" w:type="dxa"/>
              <w:right w:w="195" w:type="dxa"/>
            </w:tcMar>
            <w:vAlign w:val="center"/>
            <w:hideMark/>
          </w:tcPr>
          <w:p w14:paraId="1AD43D9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233140</w:t>
            </w:r>
          </w:p>
        </w:tc>
      </w:tr>
      <w:tr w:rsidR="00906CE3" w:rsidRPr="00906CE3" w14:paraId="6E0BBEEF" w14:textId="77777777" w:rsidTr="002C4AEA">
        <w:tc>
          <w:tcPr>
            <w:tcW w:w="1276" w:type="dxa"/>
            <w:vMerge/>
            <w:tcBorders>
              <w:left w:val="nil"/>
              <w:right w:val="nil"/>
            </w:tcBorders>
            <w:shd w:val="clear" w:color="auto" w:fill="auto"/>
            <w:vAlign w:val="center"/>
            <w:hideMark/>
          </w:tcPr>
          <w:p w14:paraId="625A28D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37DCB2A4" w14:textId="77777777" w:rsidR="00906CE3" w:rsidRPr="00906CE3" w:rsidRDefault="00906CE3" w:rsidP="00906CE3">
            <w:pPr>
              <w:spacing w:after="0"/>
              <w:rPr>
                <w:rFonts w:ascii="Times New Roman" w:eastAsia="Times New Roman" w:hAnsi="Times New Roman" w:cs="Times New Roman"/>
                <w:i/>
                <w:iCs/>
                <w:color w:val="000000"/>
                <w:spacing w:val="3"/>
                <w:sz w:val="15"/>
                <w:szCs w:val="15"/>
                <w:lang w:val="en-GB" w:eastAsia="en-GB"/>
              </w:rPr>
            </w:pPr>
            <w:r w:rsidRPr="00906CE3">
              <w:rPr>
                <w:rFonts w:ascii="Times New Roman" w:eastAsia="Times New Roman" w:hAnsi="Times New Roman" w:cs="Times New Roman"/>
                <w:i/>
                <w:iCs/>
                <w:color w:val="000000"/>
                <w:spacing w:val="3"/>
                <w:sz w:val="15"/>
                <w:szCs w:val="15"/>
                <w:lang w:val="en-GB" w:eastAsia="en-GB"/>
              </w:rPr>
              <w:t>k</w:t>
            </w:r>
          </w:p>
        </w:tc>
        <w:tc>
          <w:tcPr>
            <w:tcW w:w="1196" w:type="dxa"/>
            <w:tcBorders>
              <w:left w:val="nil"/>
              <w:right w:val="nil"/>
            </w:tcBorders>
            <w:shd w:val="clear" w:color="auto" w:fill="auto"/>
            <w:tcMar>
              <w:top w:w="90" w:type="dxa"/>
              <w:left w:w="195" w:type="dxa"/>
              <w:bottom w:w="90" w:type="dxa"/>
              <w:right w:w="195" w:type="dxa"/>
            </w:tcMar>
            <w:vAlign w:val="center"/>
            <w:hideMark/>
          </w:tcPr>
          <w:p w14:paraId="28BE19D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58</w:t>
            </w:r>
          </w:p>
        </w:tc>
        <w:tc>
          <w:tcPr>
            <w:tcW w:w="1077" w:type="dxa"/>
            <w:tcBorders>
              <w:left w:val="nil"/>
              <w:right w:val="nil"/>
            </w:tcBorders>
            <w:shd w:val="clear" w:color="auto" w:fill="auto"/>
            <w:tcMar>
              <w:top w:w="90" w:type="dxa"/>
              <w:left w:w="195" w:type="dxa"/>
              <w:bottom w:w="90" w:type="dxa"/>
              <w:right w:w="195" w:type="dxa"/>
            </w:tcMar>
            <w:vAlign w:val="center"/>
            <w:hideMark/>
          </w:tcPr>
          <w:p w14:paraId="1FF1316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88</w:t>
            </w:r>
          </w:p>
        </w:tc>
        <w:tc>
          <w:tcPr>
            <w:tcW w:w="1304" w:type="dxa"/>
            <w:tcBorders>
              <w:left w:val="nil"/>
              <w:right w:val="nil"/>
            </w:tcBorders>
            <w:shd w:val="clear" w:color="auto" w:fill="auto"/>
            <w:tcMar>
              <w:top w:w="90" w:type="dxa"/>
              <w:left w:w="195" w:type="dxa"/>
              <w:bottom w:w="90" w:type="dxa"/>
              <w:right w:w="195" w:type="dxa"/>
            </w:tcMar>
            <w:vAlign w:val="center"/>
            <w:hideMark/>
          </w:tcPr>
          <w:p w14:paraId="03012B6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32</w:t>
            </w:r>
          </w:p>
        </w:tc>
        <w:tc>
          <w:tcPr>
            <w:tcW w:w="1077" w:type="dxa"/>
            <w:tcBorders>
              <w:left w:val="nil"/>
              <w:right w:val="nil"/>
            </w:tcBorders>
            <w:shd w:val="clear" w:color="auto" w:fill="auto"/>
            <w:tcMar>
              <w:top w:w="90" w:type="dxa"/>
              <w:left w:w="195" w:type="dxa"/>
              <w:bottom w:w="90" w:type="dxa"/>
              <w:right w:w="195" w:type="dxa"/>
            </w:tcMar>
            <w:vAlign w:val="center"/>
            <w:hideMark/>
          </w:tcPr>
          <w:p w14:paraId="5EEA4F2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92</w:t>
            </w:r>
          </w:p>
        </w:tc>
        <w:tc>
          <w:tcPr>
            <w:tcW w:w="1077" w:type="dxa"/>
            <w:tcBorders>
              <w:left w:val="nil"/>
              <w:right w:val="nil"/>
            </w:tcBorders>
            <w:shd w:val="clear" w:color="auto" w:fill="auto"/>
            <w:tcMar>
              <w:top w:w="90" w:type="dxa"/>
              <w:left w:w="195" w:type="dxa"/>
              <w:bottom w:w="90" w:type="dxa"/>
              <w:right w:w="195" w:type="dxa"/>
            </w:tcMar>
            <w:vAlign w:val="center"/>
            <w:hideMark/>
          </w:tcPr>
          <w:p w14:paraId="5DEC65D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510CAB1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278</w:t>
            </w:r>
          </w:p>
        </w:tc>
      </w:tr>
      <w:tr w:rsidR="00906CE3" w:rsidRPr="00906CE3" w14:paraId="30A4C00C" w14:textId="77777777" w:rsidTr="00906CE3">
        <w:tc>
          <w:tcPr>
            <w:tcW w:w="1276" w:type="dxa"/>
            <w:vMerge/>
            <w:tcBorders>
              <w:left w:val="nil"/>
              <w:right w:val="nil"/>
            </w:tcBorders>
            <w:shd w:val="clear" w:color="auto" w:fill="auto"/>
            <w:vAlign w:val="center"/>
            <w:hideMark/>
          </w:tcPr>
          <w:p w14:paraId="53A8B82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0AADAE9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mean</w:t>
            </w:r>
          </w:p>
        </w:tc>
        <w:tc>
          <w:tcPr>
            <w:tcW w:w="1196" w:type="dxa"/>
            <w:tcBorders>
              <w:left w:val="nil"/>
              <w:right w:val="nil"/>
            </w:tcBorders>
            <w:shd w:val="clear" w:color="auto" w:fill="F2F2F2"/>
            <w:tcMar>
              <w:top w:w="90" w:type="dxa"/>
              <w:left w:w="195" w:type="dxa"/>
              <w:bottom w:w="90" w:type="dxa"/>
              <w:right w:w="195" w:type="dxa"/>
            </w:tcMar>
            <w:vAlign w:val="center"/>
            <w:hideMark/>
          </w:tcPr>
          <w:p w14:paraId="440F014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158.53</w:t>
            </w:r>
          </w:p>
        </w:tc>
        <w:tc>
          <w:tcPr>
            <w:tcW w:w="1077" w:type="dxa"/>
            <w:tcBorders>
              <w:left w:val="nil"/>
              <w:right w:val="nil"/>
            </w:tcBorders>
            <w:shd w:val="clear" w:color="auto" w:fill="F2F2F2"/>
            <w:tcMar>
              <w:top w:w="90" w:type="dxa"/>
              <w:left w:w="195" w:type="dxa"/>
              <w:bottom w:w="90" w:type="dxa"/>
              <w:right w:w="195" w:type="dxa"/>
            </w:tcMar>
            <w:vAlign w:val="center"/>
            <w:hideMark/>
          </w:tcPr>
          <w:p w14:paraId="0EB13D1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1797.16</w:t>
            </w:r>
          </w:p>
        </w:tc>
        <w:tc>
          <w:tcPr>
            <w:tcW w:w="1304" w:type="dxa"/>
            <w:tcBorders>
              <w:left w:val="nil"/>
              <w:right w:val="nil"/>
            </w:tcBorders>
            <w:shd w:val="clear" w:color="auto" w:fill="F2F2F2"/>
            <w:tcMar>
              <w:top w:w="90" w:type="dxa"/>
              <w:left w:w="195" w:type="dxa"/>
              <w:bottom w:w="90" w:type="dxa"/>
              <w:right w:w="195" w:type="dxa"/>
            </w:tcMar>
            <w:vAlign w:val="center"/>
            <w:hideMark/>
          </w:tcPr>
          <w:p w14:paraId="4081609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297.34</w:t>
            </w:r>
          </w:p>
        </w:tc>
        <w:tc>
          <w:tcPr>
            <w:tcW w:w="1077" w:type="dxa"/>
            <w:tcBorders>
              <w:left w:val="nil"/>
              <w:right w:val="nil"/>
            </w:tcBorders>
            <w:shd w:val="clear" w:color="auto" w:fill="F2F2F2"/>
            <w:tcMar>
              <w:top w:w="90" w:type="dxa"/>
              <w:left w:w="195" w:type="dxa"/>
              <w:bottom w:w="90" w:type="dxa"/>
              <w:right w:w="195" w:type="dxa"/>
            </w:tcMar>
            <w:vAlign w:val="center"/>
            <w:hideMark/>
          </w:tcPr>
          <w:p w14:paraId="3E63546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245.50</w:t>
            </w:r>
          </w:p>
        </w:tc>
        <w:tc>
          <w:tcPr>
            <w:tcW w:w="1077" w:type="dxa"/>
            <w:tcBorders>
              <w:left w:val="nil"/>
              <w:right w:val="nil"/>
            </w:tcBorders>
            <w:shd w:val="clear" w:color="auto" w:fill="F2F2F2"/>
            <w:tcMar>
              <w:top w:w="90" w:type="dxa"/>
              <w:left w:w="195" w:type="dxa"/>
              <w:bottom w:w="90" w:type="dxa"/>
              <w:right w:w="195" w:type="dxa"/>
            </w:tcMar>
            <w:vAlign w:val="center"/>
            <w:hideMark/>
          </w:tcPr>
          <w:p w14:paraId="03A9BB3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4211.75</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217F6DD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838.63</w:t>
            </w:r>
          </w:p>
        </w:tc>
      </w:tr>
      <w:tr w:rsidR="00906CE3" w:rsidRPr="00906CE3" w14:paraId="1BBE5660" w14:textId="77777777" w:rsidTr="002C4AEA">
        <w:tc>
          <w:tcPr>
            <w:tcW w:w="1276" w:type="dxa"/>
            <w:vMerge/>
            <w:tcBorders>
              <w:left w:val="nil"/>
              <w:right w:val="nil"/>
            </w:tcBorders>
            <w:shd w:val="clear" w:color="auto" w:fill="auto"/>
            <w:vAlign w:val="center"/>
            <w:hideMark/>
          </w:tcPr>
          <w:p w14:paraId="3B684D0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2B5FAFA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median</w:t>
            </w:r>
          </w:p>
        </w:tc>
        <w:tc>
          <w:tcPr>
            <w:tcW w:w="1196" w:type="dxa"/>
            <w:tcBorders>
              <w:left w:val="nil"/>
              <w:right w:val="nil"/>
            </w:tcBorders>
            <w:shd w:val="clear" w:color="auto" w:fill="auto"/>
            <w:tcMar>
              <w:top w:w="90" w:type="dxa"/>
              <w:left w:w="195" w:type="dxa"/>
              <w:bottom w:w="90" w:type="dxa"/>
              <w:right w:w="195" w:type="dxa"/>
            </w:tcMar>
            <w:vAlign w:val="center"/>
            <w:hideMark/>
          </w:tcPr>
          <w:p w14:paraId="10E276A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93.50</w:t>
            </w:r>
          </w:p>
        </w:tc>
        <w:tc>
          <w:tcPr>
            <w:tcW w:w="1077" w:type="dxa"/>
            <w:tcBorders>
              <w:left w:val="nil"/>
              <w:right w:val="nil"/>
            </w:tcBorders>
            <w:shd w:val="clear" w:color="auto" w:fill="auto"/>
            <w:tcMar>
              <w:top w:w="90" w:type="dxa"/>
              <w:left w:w="195" w:type="dxa"/>
              <w:bottom w:w="90" w:type="dxa"/>
              <w:right w:w="195" w:type="dxa"/>
            </w:tcMar>
            <w:vAlign w:val="center"/>
            <w:hideMark/>
          </w:tcPr>
          <w:p w14:paraId="5AEECE7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121.00</w:t>
            </w:r>
          </w:p>
        </w:tc>
        <w:tc>
          <w:tcPr>
            <w:tcW w:w="1304" w:type="dxa"/>
            <w:tcBorders>
              <w:left w:val="nil"/>
              <w:right w:val="nil"/>
            </w:tcBorders>
            <w:shd w:val="clear" w:color="auto" w:fill="auto"/>
            <w:tcMar>
              <w:top w:w="90" w:type="dxa"/>
              <w:left w:w="195" w:type="dxa"/>
              <w:bottom w:w="90" w:type="dxa"/>
              <w:right w:w="195" w:type="dxa"/>
            </w:tcMar>
            <w:vAlign w:val="center"/>
            <w:hideMark/>
          </w:tcPr>
          <w:p w14:paraId="1673975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61.00</w:t>
            </w:r>
          </w:p>
        </w:tc>
        <w:tc>
          <w:tcPr>
            <w:tcW w:w="1077" w:type="dxa"/>
            <w:tcBorders>
              <w:left w:val="nil"/>
              <w:right w:val="nil"/>
            </w:tcBorders>
            <w:shd w:val="clear" w:color="auto" w:fill="auto"/>
            <w:tcMar>
              <w:top w:w="90" w:type="dxa"/>
              <w:left w:w="195" w:type="dxa"/>
              <w:bottom w:w="90" w:type="dxa"/>
              <w:right w:w="195" w:type="dxa"/>
            </w:tcMar>
            <w:vAlign w:val="center"/>
            <w:hideMark/>
          </w:tcPr>
          <w:p w14:paraId="6B8235A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63.00</w:t>
            </w:r>
          </w:p>
        </w:tc>
        <w:tc>
          <w:tcPr>
            <w:tcW w:w="1077" w:type="dxa"/>
            <w:tcBorders>
              <w:left w:val="nil"/>
              <w:right w:val="nil"/>
            </w:tcBorders>
            <w:shd w:val="clear" w:color="auto" w:fill="auto"/>
            <w:tcMar>
              <w:top w:w="90" w:type="dxa"/>
              <w:left w:w="195" w:type="dxa"/>
              <w:bottom w:w="90" w:type="dxa"/>
              <w:right w:w="195" w:type="dxa"/>
            </w:tcMar>
            <w:vAlign w:val="center"/>
            <w:hideMark/>
          </w:tcPr>
          <w:p w14:paraId="7D513F5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93.00</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30F7568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81.50</w:t>
            </w:r>
          </w:p>
        </w:tc>
      </w:tr>
      <w:tr w:rsidR="00906CE3" w:rsidRPr="00906CE3" w14:paraId="1D97E65D" w14:textId="77777777" w:rsidTr="00906CE3">
        <w:tc>
          <w:tcPr>
            <w:tcW w:w="1276" w:type="dxa"/>
            <w:vMerge/>
            <w:tcBorders>
              <w:left w:val="nil"/>
              <w:bottom w:val="single" w:sz="4" w:space="0" w:color="auto"/>
              <w:right w:val="nil"/>
            </w:tcBorders>
            <w:shd w:val="clear" w:color="auto" w:fill="auto"/>
            <w:vAlign w:val="center"/>
            <w:hideMark/>
          </w:tcPr>
          <w:p w14:paraId="70046D9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4ED86C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roofErr w:type="spellStart"/>
            <w:r w:rsidRPr="00906CE3">
              <w:rPr>
                <w:rFonts w:ascii="Times New Roman" w:eastAsia="Times New Roman" w:hAnsi="Times New Roman" w:cs="Times New Roman"/>
                <w:color w:val="000000"/>
                <w:spacing w:val="3"/>
                <w:sz w:val="15"/>
                <w:szCs w:val="15"/>
                <w:lang w:val="en-GB" w:eastAsia="en-GB"/>
              </w:rPr>
              <w:t>iqr</w:t>
            </w:r>
            <w:proofErr w:type="spellEnd"/>
          </w:p>
        </w:tc>
        <w:tc>
          <w:tcPr>
            <w:tcW w:w="1196"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57589EC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162.50</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DCFA5A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935.00</w:t>
            </w:r>
          </w:p>
        </w:tc>
        <w:tc>
          <w:tcPr>
            <w:tcW w:w="1304"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22122F4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347.00</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2EACF20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107.50</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3BCE406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1999.75</w:t>
            </w:r>
          </w:p>
        </w:tc>
        <w:tc>
          <w:tcPr>
            <w:tcW w:w="1077" w:type="dxa"/>
            <w:gridSpan w:val="2"/>
            <w:tcBorders>
              <w:left w:val="nil"/>
              <w:bottom w:val="single" w:sz="4" w:space="0" w:color="auto"/>
              <w:right w:val="nil"/>
            </w:tcBorders>
            <w:shd w:val="clear" w:color="auto" w:fill="F2F2F2"/>
            <w:tcMar>
              <w:top w:w="90" w:type="dxa"/>
              <w:left w:w="195" w:type="dxa"/>
              <w:bottom w:w="90" w:type="dxa"/>
              <w:right w:w="195" w:type="dxa"/>
            </w:tcMar>
            <w:vAlign w:val="center"/>
            <w:hideMark/>
          </w:tcPr>
          <w:p w14:paraId="72896FE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224.50</w:t>
            </w:r>
          </w:p>
        </w:tc>
      </w:tr>
      <w:tr w:rsidR="00906CE3" w:rsidRPr="00906CE3" w14:paraId="5172850B" w14:textId="77777777" w:rsidTr="002C4AEA">
        <w:tc>
          <w:tcPr>
            <w:tcW w:w="1276"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676D3CA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Females</w:t>
            </w:r>
          </w:p>
        </w:tc>
        <w:tc>
          <w:tcPr>
            <w:tcW w:w="1276"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64BC955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N</w:t>
            </w:r>
          </w:p>
        </w:tc>
        <w:tc>
          <w:tcPr>
            <w:tcW w:w="1196"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31BA90D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5350</w:t>
            </w:r>
          </w:p>
        </w:tc>
        <w:tc>
          <w:tcPr>
            <w:tcW w:w="1077"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5D5428B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95373</w:t>
            </w:r>
          </w:p>
        </w:tc>
        <w:tc>
          <w:tcPr>
            <w:tcW w:w="1304"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00AB5B7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5797</w:t>
            </w:r>
          </w:p>
        </w:tc>
        <w:tc>
          <w:tcPr>
            <w:tcW w:w="1077"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48E17DD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14952</w:t>
            </w:r>
          </w:p>
        </w:tc>
        <w:tc>
          <w:tcPr>
            <w:tcW w:w="1077" w:type="dxa"/>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0DA45F4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22801</w:t>
            </w:r>
          </w:p>
        </w:tc>
        <w:tc>
          <w:tcPr>
            <w:tcW w:w="1077" w:type="dxa"/>
            <w:gridSpan w:val="2"/>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75E79CA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144273</w:t>
            </w:r>
          </w:p>
        </w:tc>
      </w:tr>
      <w:tr w:rsidR="00906CE3" w:rsidRPr="00906CE3" w14:paraId="5A038516" w14:textId="77777777" w:rsidTr="00906CE3">
        <w:tc>
          <w:tcPr>
            <w:tcW w:w="1276" w:type="dxa"/>
            <w:vMerge w:val="restart"/>
            <w:tcBorders>
              <w:top w:val="single" w:sz="4" w:space="0" w:color="auto"/>
              <w:left w:val="nil"/>
              <w:right w:val="nil"/>
            </w:tcBorders>
            <w:shd w:val="clear" w:color="auto" w:fill="auto"/>
            <w:tcMar>
              <w:top w:w="90" w:type="dxa"/>
              <w:left w:w="195" w:type="dxa"/>
              <w:bottom w:w="90" w:type="dxa"/>
              <w:right w:w="195" w:type="dxa"/>
            </w:tcMar>
            <w:vAlign w:val="center"/>
            <w:hideMark/>
          </w:tcPr>
          <w:p w14:paraId="3166DBE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Age</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20FE046" w14:textId="77777777" w:rsidR="00906CE3" w:rsidRPr="00906CE3" w:rsidRDefault="00906CE3" w:rsidP="00906CE3">
            <w:pPr>
              <w:spacing w:after="0"/>
              <w:rPr>
                <w:rFonts w:ascii="Times New Roman" w:eastAsia="Times New Roman" w:hAnsi="Times New Roman" w:cs="Times New Roman"/>
                <w:i/>
                <w:iCs/>
                <w:color w:val="000000"/>
                <w:spacing w:val="3"/>
                <w:sz w:val="15"/>
                <w:szCs w:val="15"/>
                <w:lang w:val="en-GB" w:eastAsia="en-GB"/>
              </w:rPr>
            </w:pPr>
            <w:r w:rsidRPr="00906CE3">
              <w:rPr>
                <w:rFonts w:ascii="Times New Roman" w:eastAsia="Times New Roman" w:hAnsi="Times New Roman" w:cs="Times New Roman"/>
                <w:i/>
                <w:iCs/>
                <w:color w:val="000000"/>
                <w:spacing w:val="3"/>
                <w:sz w:val="15"/>
                <w:szCs w:val="15"/>
                <w:lang w:val="en-GB" w:eastAsia="en-GB"/>
              </w:rPr>
              <w:t>k</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461BBAB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65.000</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0D6DDC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77.00</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E076A0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29</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D7B214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82</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7B8640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7</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37E1519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260</w:t>
            </w:r>
          </w:p>
        </w:tc>
      </w:tr>
      <w:tr w:rsidR="00906CE3" w:rsidRPr="00906CE3" w14:paraId="34191C30" w14:textId="77777777" w:rsidTr="002C4AEA">
        <w:tc>
          <w:tcPr>
            <w:tcW w:w="1276" w:type="dxa"/>
            <w:vMerge/>
            <w:tcBorders>
              <w:left w:val="nil"/>
              <w:right w:val="nil"/>
            </w:tcBorders>
            <w:shd w:val="clear" w:color="auto" w:fill="auto"/>
            <w:vAlign w:val="center"/>
            <w:hideMark/>
          </w:tcPr>
          <w:p w14:paraId="5415938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5AC9898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mean</w:t>
            </w:r>
          </w:p>
        </w:tc>
        <w:tc>
          <w:tcPr>
            <w:tcW w:w="1196" w:type="dxa"/>
            <w:tcBorders>
              <w:left w:val="nil"/>
              <w:right w:val="nil"/>
            </w:tcBorders>
            <w:shd w:val="clear" w:color="auto" w:fill="auto"/>
            <w:tcMar>
              <w:top w:w="90" w:type="dxa"/>
              <w:left w:w="195" w:type="dxa"/>
              <w:bottom w:w="90" w:type="dxa"/>
              <w:right w:w="195" w:type="dxa"/>
            </w:tcMar>
            <w:vAlign w:val="center"/>
            <w:hideMark/>
          </w:tcPr>
          <w:p w14:paraId="00AD873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33.78</w:t>
            </w:r>
          </w:p>
        </w:tc>
        <w:tc>
          <w:tcPr>
            <w:tcW w:w="1077" w:type="dxa"/>
            <w:tcBorders>
              <w:left w:val="nil"/>
              <w:right w:val="nil"/>
            </w:tcBorders>
            <w:shd w:val="clear" w:color="auto" w:fill="auto"/>
            <w:tcMar>
              <w:top w:w="90" w:type="dxa"/>
              <w:left w:w="195" w:type="dxa"/>
              <w:bottom w:w="90" w:type="dxa"/>
              <w:right w:w="195" w:type="dxa"/>
            </w:tcMar>
            <w:vAlign w:val="center"/>
            <w:hideMark/>
          </w:tcPr>
          <w:p w14:paraId="1C29F36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36.53</w:t>
            </w:r>
          </w:p>
        </w:tc>
        <w:tc>
          <w:tcPr>
            <w:tcW w:w="1304" w:type="dxa"/>
            <w:tcBorders>
              <w:left w:val="nil"/>
              <w:right w:val="nil"/>
            </w:tcBorders>
            <w:shd w:val="clear" w:color="auto" w:fill="auto"/>
            <w:tcMar>
              <w:top w:w="90" w:type="dxa"/>
              <w:left w:w="195" w:type="dxa"/>
              <w:bottom w:w="90" w:type="dxa"/>
              <w:right w:w="195" w:type="dxa"/>
            </w:tcMar>
            <w:vAlign w:val="center"/>
            <w:hideMark/>
          </w:tcPr>
          <w:p w14:paraId="106C3BE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34.80</w:t>
            </w:r>
          </w:p>
        </w:tc>
        <w:tc>
          <w:tcPr>
            <w:tcW w:w="1077" w:type="dxa"/>
            <w:tcBorders>
              <w:left w:val="nil"/>
              <w:right w:val="nil"/>
            </w:tcBorders>
            <w:shd w:val="clear" w:color="auto" w:fill="auto"/>
            <w:tcMar>
              <w:top w:w="90" w:type="dxa"/>
              <w:left w:w="195" w:type="dxa"/>
              <w:bottom w:w="90" w:type="dxa"/>
              <w:right w:w="195" w:type="dxa"/>
            </w:tcMar>
            <w:vAlign w:val="center"/>
            <w:hideMark/>
          </w:tcPr>
          <w:p w14:paraId="234388D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35.55</w:t>
            </w:r>
          </w:p>
        </w:tc>
        <w:tc>
          <w:tcPr>
            <w:tcW w:w="1077" w:type="dxa"/>
            <w:tcBorders>
              <w:left w:val="nil"/>
              <w:right w:val="nil"/>
            </w:tcBorders>
            <w:shd w:val="clear" w:color="auto" w:fill="auto"/>
            <w:tcMar>
              <w:top w:w="90" w:type="dxa"/>
              <w:left w:w="195" w:type="dxa"/>
              <w:bottom w:w="90" w:type="dxa"/>
              <w:right w:w="195" w:type="dxa"/>
            </w:tcMar>
            <w:vAlign w:val="center"/>
            <w:hideMark/>
          </w:tcPr>
          <w:p w14:paraId="70E66A5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36.24</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528ADBA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35.33</w:t>
            </w:r>
          </w:p>
        </w:tc>
      </w:tr>
      <w:tr w:rsidR="00906CE3" w:rsidRPr="00906CE3" w14:paraId="5AAD66E7" w14:textId="77777777" w:rsidTr="00906CE3">
        <w:tc>
          <w:tcPr>
            <w:tcW w:w="1276" w:type="dxa"/>
            <w:vMerge/>
            <w:tcBorders>
              <w:left w:val="nil"/>
              <w:right w:val="nil"/>
            </w:tcBorders>
            <w:shd w:val="clear" w:color="auto" w:fill="auto"/>
            <w:vAlign w:val="center"/>
            <w:hideMark/>
          </w:tcPr>
          <w:p w14:paraId="425B2FB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3F421D8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min</w:t>
            </w:r>
          </w:p>
        </w:tc>
        <w:tc>
          <w:tcPr>
            <w:tcW w:w="1196" w:type="dxa"/>
            <w:tcBorders>
              <w:left w:val="nil"/>
              <w:right w:val="nil"/>
            </w:tcBorders>
            <w:shd w:val="clear" w:color="auto" w:fill="F2F2F2"/>
            <w:tcMar>
              <w:top w:w="90" w:type="dxa"/>
              <w:left w:w="195" w:type="dxa"/>
              <w:bottom w:w="90" w:type="dxa"/>
              <w:right w:w="195" w:type="dxa"/>
            </w:tcMar>
            <w:vAlign w:val="center"/>
            <w:hideMark/>
          </w:tcPr>
          <w:p w14:paraId="667397A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20.50</w:t>
            </w:r>
          </w:p>
        </w:tc>
        <w:tc>
          <w:tcPr>
            <w:tcW w:w="1077" w:type="dxa"/>
            <w:tcBorders>
              <w:left w:val="nil"/>
              <w:right w:val="nil"/>
            </w:tcBorders>
            <w:shd w:val="clear" w:color="auto" w:fill="F2F2F2"/>
            <w:tcMar>
              <w:top w:w="90" w:type="dxa"/>
              <w:left w:w="195" w:type="dxa"/>
              <w:bottom w:w="90" w:type="dxa"/>
              <w:right w:w="195" w:type="dxa"/>
            </w:tcMar>
            <w:vAlign w:val="center"/>
            <w:hideMark/>
          </w:tcPr>
          <w:p w14:paraId="7B8E238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19.00</w:t>
            </w:r>
          </w:p>
        </w:tc>
        <w:tc>
          <w:tcPr>
            <w:tcW w:w="1304" w:type="dxa"/>
            <w:tcBorders>
              <w:left w:val="nil"/>
              <w:right w:val="nil"/>
            </w:tcBorders>
            <w:shd w:val="clear" w:color="auto" w:fill="F2F2F2"/>
            <w:tcMar>
              <w:top w:w="90" w:type="dxa"/>
              <w:left w:w="195" w:type="dxa"/>
              <w:bottom w:w="90" w:type="dxa"/>
              <w:right w:w="195" w:type="dxa"/>
            </w:tcMar>
            <w:vAlign w:val="center"/>
            <w:hideMark/>
          </w:tcPr>
          <w:p w14:paraId="16F5086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24.30</w:t>
            </w:r>
          </w:p>
        </w:tc>
        <w:tc>
          <w:tcPr>
            <w:tcW w:w="1077" w:type="dxa"/>
            <w:tcBorders>
              <w:left w:val="nil"/>
              <w:right w:val="nil"/>
            </w:tcBorders>
            <w:shd w:val="clear" w:color="auto" w:fill="F2F2F2"/>
            <w:tcMar>
              <w:top w:w="90" w:type="dxa"/>
              <w:left w:w="195" w:type="dxa"/>
              <w:bottom w:w="90" w:type="dxa"/>
              <w:right w:w="195" w:type="dxa"/>
            </w:tcMar>
            <w:vAlign w:val="center"/>
            <w:hideMark/>
          </w:tcPr>
          <w:p w14:paraId="514FE05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21.52</w:t>
            </w:r>
          </w:p>
        </w:tc>
        <w:tc>
          <w:tcPr>
            <w:tcW w:w="1077" w:type="dxa"/>
            <w:tcBorders>
              <w:left w:val="nil"/>
              <w:right w:val="nil"/>
            </w:tcBorders>
            <w:shd w:val="clear" w:color="auto" w:fill="F2F2F2"/>
            <w:tcMar>
              <w:top w:w="90" w:type="dxa"/>
              <w:left w:w="195" w:type="dxa"/>
              <w:bottom w:w="90" w:type="dxa"/>
              <w:right w:w="195" w:type="dxa"/>
            </w:tcMar>
            <w:vAlign w:val="center"/>
            <w:hideMark/>
          </w:tcPr>
          <w:p w14:paraId="005E0E5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24.52</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335839C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19.00</w:t>
            </w:r>
          </w:p>
        </w:tc>
      </w:tr>
      <w:tr w:rsidR="00906CE3" w:rsidRPr="00906CE3" w14:paraId="0D31CC12" w14:textId="77777777" w:rsidTr="002C4AEA">
        <w:tc>
          <w:tcPr>
            <w:tcW w:w="1276" w:type="dxa"/>
            <w:vMerge/>
            <w:tcBorders>
              <w:left w:val="nil"/>
              <w:bottom w:val="single" w:sz="4" w:space="0" w:color="auto"/>
              <w:right w:val="nil"/>
            </w:tcBorders>
            <w:shd w:val="clear" w:color="auto" w:fill="auto"/>
            <w:vAlign w:val="center"/>
            <w:hideMark/>
          </w:tcPr>
          <w:p w14:paraId="49518B7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85FAB5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max</w:t>
            </w:r>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93C3BE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52.29</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6D237C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60.50</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09B3802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47.49</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6471E7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52.00</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169C3E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46.10</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418E5A7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60.50</w:t>
            </w:r>
          </w:p>
        </w:tc>
      </w:tr>
      <w:tr w:rsidR="00906CE3" w:rsidRPr="00906CE3" w14:paraId="78D4D8B8" w14:textId="77777777" w:rsidTr="00906CE3">
        <w:tc>
          <w:tcPr>
            <w:tcW w:w="1276" w:type="dxa"/>
            <w:vMerge w:val="restart"/>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4A6E888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Sessions</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D78B9E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i/>
                <w:iCs/>
                <w:color w:val="000000"/>
                <w:spacing w:val="3"/>
                <w:sz w:val="15"/>
                <w:szCs w:val="15"/>
                <w:lang w:val="en-GB" w:eastAsia="en-GB"/>
              </w:rPr>
              <w:t>k</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6B7F928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54</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1824275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64</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E05412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6AA0DF7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54</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8A8B1F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3AC0283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182</w:t>
            </w:r>
          </w:p>
        </w:tc>
      </w:tr>
      <w:tr w:rsidR="00906CE3" w:rsidRPr="00906CE3" w14:paraId="5974E960" w14:textId="77777777" w:rsidTr="002C4AEA">
        <w:tc>
          <w:tcPr>
            <w:tcW w:w="1276" w:type="dxa"/>
            <w:vMerge/>
            <w:tcBorders>
              <w:left w:val="nil"/>
              <w:bottom w:val="single" w:sz="4" w:space="0" w:color="auto"/>
              <w:right w:val="nil"/>
            </w:tcBorders>
            <w:shd w:val="clear" w:color="auto" w:fill="auto"/>
            <w:vAlign w:val="center"/>
            <w:hideMark/>
          </w:tcPr>
          <w:p w14:paraId="188AF0E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25486A5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mean</w:t>
            </w:r>
          </w:p>
        </w:tc>
        <w:tc>
          <w:tcPr>
            <w:tcW w:w="1196" w:type="dxa"/>
            <w:tcBorders>
              <w:left w:val="nil"/>
              <w:right w:val="nil"/>
            </w:tcBorders>
            <w:shd w:val="clear" w:color="auto" w:fill="auto"/>
            <w:tcMar>
              <w:top w:w="90" w:type="dxa"/>
              <w:left w:w="195" w:type="dxa"/>
              <w:bottom w:w="90" w:type="dxa"/>
              <w:right w:w="195" w:type="dxa"/>
            </w:tcMar>
            <w:vAlign w:val="center"/>
            <w:hideMark/>
          </w:tcPr>
          <w:p w14:paraId="6623793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21.00</w:t>
            </w:r>
          </w:p>
        </w:tc>
        <w:tc>
          <w:tcPr>
            <w:tcW w:w="1077" w:type="dxa"/>
            <w:tcBorders>
              <w:left w:val="nil"/>
              <w:right w:val="nil"/>
            </w:tcBorders>
            <w:shd w:val="clear" w:color="auto" w:fill="auto"/>
            <w:tcMar>
              <w:top w:w="90" w:type="dxa"/>
              <w:left w:w="195" w:type="dxa"/>
              <w:bottom w:w="90" w:type="dxa"/>
              <w:right w:w="195" w:type="dxa"/>
            </w:tcMar>
            <w:vAlign w:val="center"/>
            <w:hideMark/>
          </w:tcPr>
          <w:p w14:paraId="79ED4FD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11.26</w:t>
            </w:r>
          </w:p>
        </w:tc>
        <w:tc>
          <w:tcPr>
            <w:tcW w:w="1304" w:type="dxa"/>
            <w:tcBorders>
              <w:left w:val="nil"/>
              <w:right w:val="nil"/>
            </w:tcBorders>
            <w:shd w:val="clear" w:color="auto" w:fill="auto"/>
            <w:tcMar>
              <w:top w:w="90" w:type="dxa"/>
              <w:left w:w="195" w:type="dxa"/>
              <w:bottom w:w="90" w:type="dxa"/>
              <w:right w:w="195" w:type="dxa"/>
            </w:tcMar>
            <w:vAlign w:val="center"/>
            <w:hideMark/>
          </w:tcPr>
          <w:p w14:paraId="201D2C1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13.75</w:t>
            </w:r>
          </w:p>
        </w:tc>
        <w:tc>
          <w:tcPr>
            <w:tcW w:w="1077" w:type="dxa"/>
            <w:tcBorders>
              <w:left w:val="nil"/>
              <w:right w:val="nil"/>
            </w:tcBorders>
            <w:shd w:val="clear" w:color="auto" w:fill="auto"/>
            <w:tcMar>
              <w:top w:w="90" w:type="dxa"/>
              <w:left w:w="195" w:type="dxa"/>
              <w:bottom w:w="90" w:type="dxa"/>
              <w:right w:w="195" w:type="dxa"/>
            </w:tcMar>
            <w:vAlign w:val="center"/>
            <w:hideMark/>
          </w:tcPr>
          <w:p w14:paraId="1A32778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14.67</w:t>
            </w:r>
          </w:p>
        </w:tc>
        <w:tc>
          <w:tcPr>
            <w:tcW w:w="1077" w:type="dxa"/>
            <w:tcBorders>
              <w:left w:val="nil"/>
              <w:right w:val="nil"/>
            </w:tcBorders>
            <w:shd w:val="clear" w:color="auto" w:fill="auto"/>
            <w:tcMar>
              <w:top w:w="90" w:type="dxa"/>
              <w:left w:w="195" w:type="dxa"/>
              <w:bottom w:w="90" w:type="dxa"/>
              <w:right w:w="195" w:type="dxa"/>
            </w:tcMar>
            <w:vAlign w:val="center"/>
            <w:hideMark/>
          </w:tcPr>
          <w:p w14:paraId="1D1F6C5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8.55</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598B8B8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15.13</w:t>
            </w:r>
          </w:p>
        </w:tc>
      </w:tr>
      <w:tr w:rsidR="00906CE3" w:rsidRPr="00906CE3" w14:paraId="72DE94C7" w14:textId="77777777" w:rsidTr="00906CE3">
        <w:tc>
          <w:tcPr>
            <w:tcW w:w="1276" w:type="dxa"/>
            <w:vMerge/>
            <w:tcBorders>
              <w:left w:val="nil"/>
              <w:bottom w:val="single" w:sz="4" w:space="0" w:color="auto"/>
              <w:right w:val="nil"/>
            </w:tcBorders>
            <w:shd w:val="clear" w:color="auto" w:fill="auto"/>
            <w:vAlign w:val="center"/>
            <w:hideMark/>
          </w:tcPr>
          <w:p w14:paraId="7529E33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62FE789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min</w:t>
            </w:r>
          </w:p>
        </w:tc>
        <w:tc>
          <w:tcPr>
            <w:tcW w:w="1196" w:type="dxa"/>
            <w:tcBorders>
              <w:left w:val="nil"/>
              <w:right w:val="nil"/>
            </w:tcBorders>
            <w:shd w:val="clear" w:color="auto" w:fill="F2F2F2"/>
            <w:tcMar>
              <w:top w:w="90" w:type="dxa"/>
              <w:left w:w="195" w:type="dxa"/>
              <w:bottom w:w="90" w:type="dxa"/>
              <w:right w:w="195" w:type="dxa"/>
            </w:tcMar>
            <w:vAlign w:val="center"/>
            <w:hideMark/>
          </w:tcPr>
          <w:p w14:paraId="5764268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2.15</w:t>
            </w:r>
          </w:p>
        </w:tc>
        <w:tc>
          <w:tcPr>
            <w:tcW w:w="1077" w:type="dxa"/>
            <w:tcBorders>
              <w:left w:val="nil"/>
              <w:right w:val="nil"/>
            </w:tcBorders>
            <w:shd w:val="clear" w:color="auto" w:fill="F2F2F2"/>
            <w:tcMar>
              <w:top w:w="90" w:type="dxa"/>
              <w:left w:w="195" w:type="dxa"/>
              <w:bottom w:w="90" w:type="dxa"/>
              <w:right w:w="195" w:type="dxa"/>
            </w:tcMar>
            <w:vAlign w:val="center"/>
            <w:hideMark/>
          </w:tcPr>
          <w:p w14:paraId="38269FF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4.00</w:t>
            </w:r>
          </w:p>
        </w:tc>
        <w:tc>
          <w:tcPr>
            <w:tcW w:w="1304" w:type="dxa"/>
            <w:tcBorders>
              <w:left w:val="nil"/>
              <w:right w:val="nil"/>
            </w:tcBorders>
            <w:shd w:val="clear" w:color="auto" w:fill="F2F2F2"/>
            <w:tcMar>
              <w:top w:w="90" w:type="dxa"/>
              <w:left w:w="195" w:type="dxa"/>
              <w:bottom w:w="90" w:type="dxa"/>
              <w:right w:w="195" w:type="dxa"/>
            </w:tcMar>
            <w:vAlign w:val="center"/>
            <w:hideMark/>
          </w:tcPr>
          <w:p w14:paraId="3CD3DD4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9.00</w:t>
            </w:r>
          </w:p>
        </w:tc>
        <w:tc>
          <w:tcPr>
            <w:tcW w:w="1077" w:type="dxa"/>
            <w:tcBorders>
              <w:left w:val="nil"/>
              <w:right w:val="nil"/>
            </w:tcBorders>
            <w:shd w:val="clear" w:color="auto" w:fill="F2F2F2"/>
            <w:tcMar>
              <w:top w:w="90" w:type="dxa"/>
              <w:left w:w="195" w:type="dxa"/>
              <w:bottom w:w="90" w:type="dxa"/>
              <w:right w:w="195" w:type="dxa"/>
            </w:tcMar>
            <w:vAlign w:val="center"/>
            <w:hideMark/>
          </w:tcPr>
          <w:p w14:paraId="26DC29F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1.00</w:t>
            </w:r>
          </w:p>
        </w:tc>
        <w:tc>
          <w:tcPr>
            <w:tcW w:w="1077" w:type="dxa"/>
            <w:tcBorders>
              <w:left w:val="nil"/>
              <w:right w:val="nil"/>
            </w:tcBorders>
            <w:shd w:val="clear" w:color="auto" w:fill="F2F2F2"/>
            <w:tcMar>
              <w:top w:w="90" w:type="dxa"/>
              <w:left w:w="195" w:type="dxa"/>
              <w:bottom w:w="90" w:type="dxa"/>
              <w:right w:w="195" w:type="dxa"/>
            </w:tcMar>
            <w:vAlign w:val="center"/>
            <w:hideMark/>
          </w:tcPr>
          <w:p w14:paraId="674274F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8.00</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7B8D32B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1.00</w:t>
            </w:r>
          </w:p>
        </w:tc>
      </w:tr>
      <w:tr w:rsidR="00906CE3" w:rsidRPr="00906CE3" w14:paraId="3CB1267C" w14:textId="77777777" w:rsidTr="002C4AEA">
        <w:tc>
          <w:tcPr>
            <w:tcW w:w="1276" w:type="dxa"/>
            <w:vMerge/>
            <w:tcBorders>
              <w:left w:val="nil"/>
              <w:bottom w:val="single" w:sz="4" w:space="0" w:color="auto"/>
              <w:right w:val="nil"/>
            </w:tcBorders>
            <w:shd w:val="clear" w:color="auto" w:fill="auto"/>
            <w:vAlign w:val="center"/>
            <w:hideMark/>
          </w:tcPr>
          <w:p w14:paraId="5FFE867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4279338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max</w:t>
            </w:r>
          </w:p>
        </w:tc>
        <w:tc>
          <w:tcPr>
            <w:tcW w:w="1196" w:type="dxa"/>
            <w:tcBorders>
              <w:left w:val="nil"/>
              <w:right w:val="nil"/>
            </w:tcBorders>
            <w:shd w:val="clear" w:color="auto" w:fill="auto"/>
            <w:tcMar>
              <w:top w:w="90" w:type="dxa"/>
              <w:left w:w="195" w:type="dxa"/>
              <w:bottom w:w="90" w:type="dxa"/>
              <w:right w:w="195" w:type="dxa"/>
            </w:tcMar>
            <w:vAlign w:val="center"/>
            <w:hideMark/>
          </w:tcPr>
          <w:p w14:paraId="3EBBD4D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85.33</w:t>
            </w:r>
          </w:p>
        </w:tc>
        <w:tc>
          <w:tcPr>
            <w:tcW w:w="1077" w:type="dxa"/>
            <w:tcBorders>
              <w:left w:val="nil"/>
              <w:right w:val="nil"/>
            </w:tcBorders>
            <w:shd w:val="clear" w:color="auto" w:fill="auto"/>
            <w:tcMar>
              <w:top w:w="90" w:type="dxa"/>
              <w:left w:w="195" w:type="dxa"/>
              <w:bottom w:w="90" w:type="dxa"/>
              <w:right w:w="195" w:type="dxa"/>
            </w:tcMar>
            <w:vAlign w:val="center"/>
            <w:hideMark/>
          </w:tcPr>
          <w:p w14:paraId="46E1C29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64.90</w:t>
            </w:r>
          </w:p>
        </w:tc>
        <w:tc>
          <w:tcPr>
            <w:tcW w:w="1304" w:type="dxa"/>
            <w:tcBorders>
              <w:left w:val="nil"/>
              <w:right w:val="nil"/>
            </w:tcBorders>
            <w:shd w:val="clear" w:color="auto" w:fill="auto"/>
            <w:tcMar>
              <w:top w:w="90" w:type="dxa"/>
              <w:left w:w="195" w:type="dxa"/>
              <w:bottom w:w="90" w:type="dxa"/>
              <w:right w:w="195" w:type="dxa"/>
            </w:tcMar>
            <w:vAlign w:val="center"/>
            <w:hideMark/>
          </w:tcPr>
          <w:p w14:paraId="5DF28C9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24.00</w:t>
            </w:r>
          </w:p>
        </w:tc>
        <w:tc>
          <w:tcPr>
            <w:tcW w:w="1077" w:type="dxa"/>
            <w:tcBorders>
              <w:left w:val="nil"/>
              <w:right w:val="nil"/>
            </w:tcBorders>
            <w:shd w:val="clear" w:color="auto" w:fill="auto"/>
            <w:tcMar>
              <w:top w:w="90" w:type="dxa"/>
              <w:left w:w="195" w:type="dxa"/>
              <w:bottom w:w="90" w:type="dxa"/>
              <w:right w:w="195" w:type="dxa"/>
            </w:tcMar>
            <w:vAlign w:val="center"/>
            <w:hideMark/>
          </w:tcPr>
          <w:p w14:paraId="3D0975F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64.00</w:t>
            </w:r>
          </w:p>
        </w:tc>
        <w:tc>
          <w:tcPr>
            <w:tcW w:w="1077" w:type="dxa"/>
            <w:tcBorders>
              <w:left w:val="nil"/>
              <w:right w:val="nil"/>
            </w:tcBorders>
            <w:shd w:val="clear" w:color="auto" w:fill="auto"/>
            <w:tcMar>
              <w:top w:w="90" w:type="dxa"/>
              <w:left w:w="195" w:type="dxa"/>
              <w:bottom w:w="90" w:type="dxa"/>
              <w:right w:w="195" w:type="dxa"/>
            </w:tcMar>
            <w:vAlign w:val="center"/>
            <w:hideMark/>
          </w:tcPr>
          <w:p w14:paraId="2EFF8C8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9.52</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1CBDE97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85.33</w:t>
            </w:r>
          </w:p>
        </w:tc>
      </w:tr>
      <w:tr w:rsidR="00906CE3" w:rsidRPr="00906CE3" w14:paraId="17DC7C25" w14:textId="77777777" w:rsidTr="00906CE3">
        <w:tc>
          <w:tcPr>
            <w:tcW w:w="1276" w:type="dxa"/>
            <w:vMerge/>
            <w:tcBorders>
              <w:left w:val="nil"/>
              <w:bottom w:val="single" w:sz="4" w:space="0" w:color="auto"/>
              <w:right w:val="nil"/>
            </w:tcBorders>
            <w:shd w:val="clear" w:color="auto" w:fill="auto"/>
            <w:vAlign w:val="center"/>
            <w:hideMark/>
          </w:tcPr>
          <w:p w14:paraId="731E30B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6840F71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median</w:t>
            </w:r>
          </w:p>
        </w:tc>
        <w:tc>
          <w:tcPr>
            <w:tcW w:w="1196" w:type="dxa"/>
            <w:tcBorders>
              <w:left w:val="nil"/>
              <w:right w:val="nil"/>
            </w:tcBorders>
            <w:shd w:val="clear" w:color="auto" w:fill="F2F2F2"/>
            <w:tcMar>
              <w:top w:w="90" w:type="dxa"/>
              <w:left w:w="195" w:type="dxa"/>
              <w:bottom w:w="90" w:type="dxa"/>
              <w:right w:w="195" w:type="dxa"/>
            </w:tcMar>
            <w:vAlign w:val="center"/>
            <w:hideMark/>
          </w:tcPr>
          <w:p w14:paraId="1F53EFD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14.77</w:t>
            </w:r>
          </w:p>
        </w:tc>
        <w:tc>
          <w:tcPr>
            <w:tcW w:w="1077" w:type="dxa"/>
            <w:tcBorders>
              <w:left w:val="nil"/>
              <w:right w:val="nil"/>
            </w:tcBorders>
            <w:shd w:val="clear" w:color="auto" w:fill="F2F2F2"/>
            <w:tcMar>
              <w:top w:w="90" w:type="dxa"/>
              <w:left w:w="195" w:type="dxa"/>
              <w:bottom w:w="90" w:type="dxa"/>
              <w:right w:w="195" w:type="dxa"/>
            </w:tcMar>
            <w:vAlign w:val="center"/>
            <w:hideMark/>
          </w:tcPr>
          <w:p w14:paraId="7224032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8.18</w:t>
            </w:r>
          </w:p>
        </w:tc>
        <w:tc>
          <w:tcPr>
            <w:tcW w:w="1304" w:type="dxa"/>
            <w:tcBorders>
              <w:left w:val="nil"/>
              <w:right w:val="nil"/>
            </w:tcBorders>
            <w:shd w:val="clear" w:color="auto" w:fill="F2F2F2"/>
            <w:tcMar>
              <w:top w:w="90" w:type="dxa"/>
              <w:left w:w="195" w:type="dxa"/>
              <w:bottom w:w="90" w:type="dxa"/>
              <w:right w:w="195" w:type="dxa"/>
            </w:tcMar>
            <w:vAlign w:val="center"/>
            <w:hideMark/>
          </w:tcPr>
          <w:p w14:paraId="6A9B0F3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11.00</w:t>
            </w:r>
          </w:p>
        </w:tc>
        <w:tc>
          <w:tcPr>
            <w:tcW w:w="1077" w:type="dxa"/>
            <w:tcBorders>
              <w:left w:val="nil"/>
              <w:right w:val="nil"/>
            </w:tcBorders>
            <w:shd w:val="clear" w:color="auto" w:fill="F2F2F2"/>
            <w:tcMar>
              <w:top w:w="90" w:type="dxa"/>
              <w:left w:w="195" w:type="dxa"/>
              <w:bottom w:w="90" w:type="dxa"/>
              <w:right w:w="195" w:type="dxa"/>
            </w:tcMar>
            <w:vAlign w:val="center"/>
            <w:hideMark/>
          </w:tcPr>
          <w:p w14:paraId="59A4B06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11.15</w:t>
            </w:r>
          </w:p>
        </w:tc>
        <w:tc>
          <w:tcPr>
            <w:tcW w:w="1077" w:type="dxa"/>
            <w:tcBorders>
              <w:left w:val="nil"/>
              <w:right w:val="nil"/>
            </w:tcBorders>
            <w:shd w:val="clear" w:color="auto" w:fill="F2F2F2"/>
            <w:tcMar>
              <w:top w:w="90" w:type="dxa"/>
              <w:left w:w="195" w:type="dxa"/>
              <w:bottom w:w="90" w:type="dxa"/>
              <w:right w:w="195" w:type="dxa"/>
            </w:tcMar>
            <w:vAlign w:val="center"/>
            <w:hideMark/>
          </w:tcPr>
          <w:p w14:paraId="1E0FB14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8.15</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5B10356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13.00</w:t>
            </w:r>
          </w:p>
        </w:tc>
      </w:tr>
      <w:tr w:rsidR="00906CE3" w:rsidRPr="00906CE3" w14:paraId="12386C25" w14:textId="77777777" w:rsidTr="002C4AEA">
        <w:tc>
          <w:tcPr>
            <w:tcW w:w="1276" w:type="dxa"/>
            <w:vMerge/>
            <w:tcBorders>
              <w:left w:val="nil"/>
              <w:bottom w:val="single" w:sz="4" w:space="0" w:color="auto"/>
              <w:right w:val="nil"/>
            </w:tcBorders>
            <w:shd w:val="clear" w:color="auto" w:fill="auto"/>
            <w:vAlign w:val="center"/>
            <w:hideMark/>
          </w:tcPr>
          <w:p w14:paraId="009349D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D85ACD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roofErr w:type="spellStart"/>
            <w:r w:rsidRPr="00906CE3">
              <w:rPr>
                <w:rFonts w:ascii="Times New Roman" w:eastAsia="Times New Roman" w:hAnsi="Times New Roman" w:cs="Times New Roman"/>
                <w:color w:val="000000"/>
                <w:spacing w:val="3"/>
                <w:sz w:val="15"/>
                <w:szCs w:val="15"/>
                <w:lang w:val="en-GB" w:eastAsia="en-GB"/>
              </w:rPr>
              <w:t>iqr</w:t>
            </w:r>
            <w:proofErr w:type="spellEnd"/>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7C4513E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13.55</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0119F2D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8.60</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B867A9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3.750</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1192A0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10.00</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D6E1E9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1.20</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14977A3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9.98</w:t>
            </w:r>
          </w:p>
        </w:tc>
      </w:tr>
      <w:tr w:rsidR="00906CE3" w:rsidRPr="00906CE3" w14:paraId="15A289F5" w14:textId="77777777" w:rsidTr="00906CE3">
        <w:tc>
          <w:tcPr>
            <w:tcW w:w="1276" w:type="dxa"/>
            <w:vMerge w:val="restart"/>
            <w:tcBorders>
              <w:top w:val="single" w:sz="4" w:space="0" w:color="auto"/>
              <w:left w:val="nil"/>
              <w:bottom w:val="single" w:sz="4" w:space="0" w:color="auto"/>
              <w:right w:val="nil"/>
            </w:tcBorders>
            <w:shd w:val="clear" w:color="auto" w:fill="auto"/>
            <w:tcMar>
              <w:top w:w="90" w:type="dxa"/>
              <w:left w:w="195" w:type="dxa"/>
              <w:bottom w:w="90" w:type="dxa"/>
              <w:right w:w="195" w:type="dxa"/>
            </w:tcMar>
            <w:vAlign w:val="center"/>
            <w:hideMark/>
          </w:tcPr>
          <w:p w14:paraId="19998AF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Setting</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2747F5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mixed</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A4712F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3B0459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2C6A3E8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2ED428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631E9A3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2810553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w:t>
            </w:r>
          </w:p>
        </w:tc>
      </w:tr>
      <w:tr w:rsidR="00906CE3" w:rsidRPr="00906CE3" w14:paraId="4C8DA816" w14:textId="77777777" w:rsidTr="002C4AEA">
        <w:tc>
          <w:tcPr>
            <w:tcW w:w="1276" w:type="dxa"/>
            <w:vMerge/>
            <w:tcBorders>
              <w:left w:val="nil"/>
              <w:bottom w:val="single" w:sz="4" w:space="0" w:color="auto"/>
              <w:right w:val="nil"/>
            </w:tcBorders>
            <w:shd w:val="clear" w:color="auto" w:fill="auto"/>
            <w:vAlign w:val="center"/>
            <w:hideMark/>
          </w:tcPr>
          <w:p w14:paraId="1793477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082929F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outpatient</w:t>
            </w:r>
          </w:p>
        </w:tc>
        <w:tc>
          <w:tcPr>
            <w:tcW w:w="1196" w:type="dxa"/>
            <w:tcBorders>
              <w:left w:val="nil"/>
              <w:right w:val="nil"/>
            </w:tcBorders>
            <w:shd w:val="clear" w:color="auto" w:fill="auto"/>
            <w:tcMar>
              <w:top w:w="90" w:type="dxa"/>
              <w:left w:w="195" w:type="dxa"/>
              <w:bottom w:w="90" w:type="dxa"/>
              <w:right w:w="195" w:type="dxa"/>
            </w:tcMar>
            <w:vAlign w:val="center"/>
            <w:hideMark/>
          </w:tcPr>
          <w:p w14:paraId="2E3C007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68</w:t>
            </w:r>
          </w:p>
        </w:tc>
        <w:tc>
          <w:tcPr>
            <w:tcW w:w="1077" w:type="dxa"/>
            <w:tcBorders>
              <w:left w:val="nil"/>
              <w:right w:val="nil"/>
            </w:tcBorders>
            <w:shd w:val="clear" w:color="auto" w:fill="auto"/>
            <w:tcMar>
              <w:top w:w="90" w:type="dxa"/>
              <w:left w:w="195" w:type="dxa"/>
              <w:bottom w:w="90" w:type="dxa"/>
              <w:right w:w="195" w:type="dxa"/>
            </w:tcMar>
            <w:vAlign w:val="center"/>
            <w:hideMark/>
          </w:tcPr>
          <w:p w14:paraId="4EEA81E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96</w:t>
            </w:r>
          </w:p>
        </w:tc>
        <w:tc>
          <w:tcPr>
            <w:tcW w:w="1304" w:type="dxa"/>
            <w:tcBorders>
              <w:left w:val="nil"/>
              <w:right w:val="nil"/>
            </w:tcBorders>
            <w:shd w:val="clear" w:color="auto" w:fill="auto"/>
            <w:tcMar>
              <w:top w:w="90" w:type="dxa"/>
              <w:left w:w="195" w:type="dxa"/>
              <w:bottom w:w="90" w:type="dxa"/>
              <w:right w:w="195" w:type="dxa"/>
            </w:tcMar>
            <w:vAlign w:val="center"/>
            <w:hideMark/>
          </w:tcPr>
          <w:p w14:paraId="1585C53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left w:val="nil"/>
              <w:right w:val="nil"/>
            </w:tcBorders>
            <w:shd w:val="clear" w:color="auto" w:fill="auto"/>
            <w:tcMar>
              <w:top w:w="90" w:type="dxa"/>
              <w:left w:w="195" w:type="dxa"/>
              <w:bottom w:w="90" w:type="dxa"/>
              <w:right w:w="195" w:type="dxa"/>
            </w:tcMar>
            <w:vAlign w:val="center"/>
            <w:hideMark/>
          </w:tcPr>
          <w:p w14:paraId="47EADFF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91</w:t>
            </w:r>
          </w:p>
        </w:tc>
        <w:tc>
          <w:tcPr>
            <w:tcW w:w="1077" w:type="dxa"/>
            <w:tcBorders>
              <w:left w:val="nil"/>
              <w:right w:val="nil"/>
            </w:tcBorders>
            <w:shd w:val="clear" w:color="auto" w:fill="auto"/>
            <w:tcMar>
              <w:top w:w="90" w:type="dxa"/>
              <w:left w:w="195" w:type="dxa"/>
              <w:bottom w:w="90" w:type="dxa"/>
              <w:right w:w="195" w:type="dxa"/>
            </w:tcMar>
            <w:vAlign w:val="center"/>
            <w:hideMark/>
          </w:tcPr>
          <w:p w14:paraId="189DCCB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78C22EE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259</w:t>
            </w:r>
          </w:p>
        </w:tc>
      </w:tr>
      <w:tr w:rsidR="00906CE3" w:rsidRPr="00906CE3" w14:paraId="23A5A295" w14:textId="77777777" w:rsidTr="00906CE3">
        <w:tc>
          <w:tcPr>
            <w:tcW w:w="1276" w:type="dxa"/>
            <w:vMerge/>
            <w:tcBorders>
              <w:left w:val="nil"/>
              <w:bottom w:val="single" w:sz="4" w:space="0" w:color="auto"/>
              <w:right w:val="nil"/>
            </w:tcBorders>
            <w:shd w:val="clear" w:color="auto" w:fill="auto"/>
            <w:vAlign w:val="center"/>
            <w:hideMark/>
          </w:tcPr>
          <w:p w14:paraId="717623F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5C4DA71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inpatient</w:t>
            </w:r>
          </w:p>
        </w:tc>
        <w:tc>
          <w:tcPr>
            <w:tcW w:w="1196"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2A1130B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085EDB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304"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5CFE33A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33</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F10F00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077"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67D50C4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gridSpan w:val="2"/>
            <w:tcBorders>
              <w:left w:val="nil"/>
              <w:bottom w:val="single" w:sz="4" w:space="0" w:color="auto"/>
              <w:right w:val="nil"/>
            </w:tcBorders>
            <w:shd w:val="clear" w:color="auto" w:fill="F2F2F2"/>
            <w:tcMar>
              <w:top w:w="90" w:type="dxa"/>
              <w:left w:w="195" w:type="dxa"/>
              <w:bottom w:w="90" w:type="dxa"/>
              <w:right w:w="195" w:type="dxa"/>
            </w:tcMar>
            <w:vAlign w:val="center"/>
            <w:hideMark/>
          </w:tcPr>
          <w:p w14:paraId="734470B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34</w:t>
            </w:r>
          </w:p>
        </w:tc>
      </w:tr>
      <w:tr w:rsidR="00906CE3" w:rsidRPr="00906CE3" w14:paraId="311D3310" w14:textId="77777777" w:rsidTr="002C4AEA">
        <w:tc>
          <w:tcPr>
            <w:tcW w:w="1276" w:type="dxa"/>
            <w:vMerge w:val="restart"/>
            <w:tcBorders>
              <w:top w:val="single" w:sz="4" w:space="0" w:color="auto"/>
              <w:left w:val="nil"/>
              <w:right w:val="nil"/>
            </w:tcBorders>
            <w:shd w:val="clear" w:color="auto" w:fill="auto"/>
            <w:tcMar>
              <w:top w:w="90" w:type="dxa"/>
              <w:left w:w="195" w:type="dxa"/>
              <w:bottom w:w="90" w:type="dxa"/>
              <w:right w:w="195" w:type="dxa"/>
            </w:tcMar>
            <w:vAlign w:val="center"/>
            <w:hideMark/>
          </w:tcPr>
          <w:p w14:paraId="245AF04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Continent</w:t>
            </w:r>
          </w:p>
        </w:tc>
        <w:tc>
          <w:tcPr>
            <w:tcW w:w="1276"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4FC12FA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Asia</w:t>
            </w:r>
          </w:p>
        </w:tc>
        <w:tc>
          <w:tcPr>
            <w:tcW w:w="1196"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414D312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4963235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304"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7B50BF9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63D1DF2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top w:val="single" w:sz="4" w:space="0" w:color="auto"/>
              <w:left w:val="nil"/>
              <w:right w:val="nil"/>
            </w:tcBorders>
            <w:shd w:val="clear" w:color="auto" w:fill="auto"/>
            <w:tcMar>
              <w:top w:w="90" w:type="dxa"/>
              <w:left w:w="195" w:type="dxa"/>
              <w:bottom w:w="90" w:type="dxa"/>
              <w:right w:w="195" w:type="dxa"/>
            </w:tcMar>
            <w:vAlign w:val="center"/>
            <w:hideMark/>
          </w:tcPr>
          <w:p w14:paraId="056B1EC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077" w:type="dxa"/>
            <w:gridSpan w:val="2"/>
            <w:tcBorders>
              <w:top w:val="single" w:sz="4" w:space="0" w:color="auto"/>
              <w:left w:val="nil"/>
              <w:right w:val="nil"/>
            </w:tcBorders>
            <w:shd w:val="clear" w:color="auto" w:fill="auto"/>
            <w:tcMar>
              <w:top w:w="90" w:type="dxa"/>
              <w:left w:w="195" w:type="dxa"/>
              <w:bottom w:w="90" w:type="dxa"/>
              <w:right w:w="195" w:type="dxa"/>
            </w:tcMar>
            <w:vAlign w:val="center"/>
            <w:hideMark/>
          </w:tcPr>
          <w:p w14:paraId="7989A8C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w:t>
            </w:r>
          </w:p>
        </w:tc>
      </w:tr>
      <w:tr w:rsidR="00906CE3" w:rsidRPr="00906CE3" w14:paraId="7DDC6C91" w14:textId="77777777" w:rsidTr="00906CE3">
        <w:tc>
          <w:tcPr>
            <w:tcW w:w="1276" w:type="dxa"/>
            <w:vMerge/>
            <w:tcBorders>
              <w:left w:val="nil"/>
              <w:right w:val="nil"/>
            </w:tcBorders>
            <w:shd w:val="clear" w:color="auto" w:fill="auto"/>
            <w:vAlign w:val="center"/>
            <w:hideMark/>
          </w:tcPr>
          <w:p w14:paraId="483CB30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5BACA83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Australasia</w:t>
            </w:r>
          </w:p>
        </w:tc>
        <w:tc>
          <w:tcPr>
            <w:tcW w:w="1196" w:type="dxa"/>
            <w:tcBorders>
              <w:left w:val="nil"/>
              <w:right w:val="nil"/>
            </w:tcBorders>
            <w:shd w:val="clear" w:color="auto" w:fill="F2F2F2"/>
            <w:tcMar>
              <w:top w:w="90" w:type="dxa"/>
              <w:left w:w="195" w:type="dxa"/>
              <w:bottom w:w="90" w:type="dxa"/>
              <w:right w:w="195" w:type="dxa"/>
            </w:tcMar>
            <w:vAlign w:val="center"/>
            <w:hideMark/>
          </w:tcPr>
          <w:p w14:paraId="09BE71A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w:t>
            </w:r>
          </w:p>
        </w:tc>
        <w:tc>
          <w:tcPr>
            <w:tcW w:w="1077" w:type="dxa"/>
            <w:tcBorders>
              <w:left w:val="nil"/>
              <w:right w:val="nil"/>
            </w:tcBorders>
            <w:shd w:val="clear" w:color="auto" w:fill="F2F2F2"/>
            <w:tcMar>
              <w:top w:w="90" w:type="dxa"/>
              <w:left w:w="195" w:type="dxa"/>
              <w:bottom w:w="90" w:type="dxa"/>
              <w:right w:w="195" w:type="dxa"/>
            </w:tcMar>
            <w:vAlign w:val="center"/>
            <w:hideMark/>
          </w:tcPr>
          <w:p w14:paraId="6A1A7FB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304" w:type="dxa"/>
            <w:tcBorders>
              <w:left w:val="nil"/>
              <w:right w:val="nil"/>
            </w:tcBorders>
            <w:shd w:val="clear" w:color="auto" w:fill="F2F2F2"/>
            <w:tcMar>
              <w:top w:w="90" w:type="dxa"/>
              <w:left w:w="195" w:type="dxa"/>
              <w:bottom w:w="90" w:type="dxa"/>
              <w:right w:w="195" w:type="dxa"/>
            </w:tcMar>
            <w:vAlign w:val="center"/>
            <w:hideMark/>
          </w:tcPr>
          <w:p w14:paraId="15A3435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left w:val="nil"/>
              <w:right w:val="nil"/>
            </w:tcBorders>
            <w:shd w:val="clear" w:color="auto" w:fill="F2F2F2"/>
            <w:tcMar>
              <w:top w:w="90" w:type="dxa"/>
              <w:left w:w="195" w:type="dxa"/>
              <w:bottom w:w="90" w:type="dxa"/>
              <w:right w:w="195" w:type="dxa"/>
            </w:tcMar>
            <w:vAlign w:val="center"/>
            <w:hideMark/>
          </w:tcPr>
          <w:p w14:paraId="335C082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w:t>
            </w:r>
          </w:p>
        </w:tc>
        <w:tc>
          <w:tcPr>
            <w:tcW w:w="1077" w:type="dxa"/>
            <w:tcBorders>
              <w:left w:val="nil"/>
              <w:right w:val="nil"/>
            </w:tcBorders>
            <w:shd w:val="clear" w:color="auto" w:fill="F2F2F2"/>
            <w:tcMar>
              <w:top w:w="90" w:type="dxa"/>
              <w:left w:w="195" w:type="dxa"/>
              <w:bottom w:w="90" w:type="dxa"/>
              <w:right w:w="195" w:type="dxa"/>
            </w:tcMar>
            <w:vAlign w:val="center"/>
            <w:hideMark/>
          </w:tcPr>
          <w:p w14:paraId="6CB0761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48AF084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w:t>
            </w:r>
          </w:p>
        </w:tc>
      </w:tr>
      <w:tr w:rsidR="00906CE3" w:rsidRPr="00906CE3" w14:paraId="3D33825C" w14:textId="77777777" w:rsidTr="002C4AEA">
        <w:tc>
          <w:tcPr>
            <w:tcW w:w="1276" w:type="dxa"/>
            <w:vMerge/>
            <w:tcBorders>
              <w:left w:val="nil"/>
              <w:right w:val="nil"/>
            </w:tcBorders>
            <w:shd w:val="clear" w:color="auto" w:fill="auto"/>
            <w:vAlign w:val="center"/>
            <w:hideMark/>
          </w:tcPr>
          <w:p w14:paraId="0C3DF76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404906A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Europe</w:t>
            </w:r>
          </w:p>
        </w:tc>
        <w:tc>
          <w:tcPr>
            <w:tcW w:w="1196" w:type="dxa"/>
            <w:tcBorders>
              <w:left w:val="nil"/>
              <w:right w:val="nil"/>
            </w:tcBorders>
            <w:shd w:val="clear" w:color="auto" w:fill="auto"/>
            <w:tcMar>
              <w:top w:w="90" w:type="dxa"/>
              <w:left w:w="195" w:type="dxa"/>
              <w:bottom w:w="90" w:type="dxa"/>
              <w:right w:w="195" w:type="dxa"/>
            </w:tcMar>
            <w:vAlign w:val="center"/>
            <w:hideMark/>
          </w:tcPr>
          <w:p w14:paraId="4C91258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20</w:t>
            </w:r>
          </w:p>
        </w:tc>
        <w:tc>
          <w:tcPr>
            <w:tcW w:w="1077" w:type="dxa"/>
            <w:tcBorders>
              <w:left w:val="nil"/>
              <w:right w:val="nil"/>
            </w:tcBorders>
            <w:shd w:val="clear" w:color="auto" w:fill="auto"/>
            <w:tcMar>
              <w:top w:w="90" w:type="dxa"/>
              <w:left w:w="195" w:type="dxa"/>
              <w:bottom w:w="90" w:type="dxa"/>
              <w:right w:w="195" w:type="dxa"/>
            </w:tcMar>
            <w:vAlign w:val="center"/>
            <w:hideMark/>
          </w:tcPr>
          <w:p w14:paraId="7758DB3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w:t>
            </w:r>
          </w:p>
        </w:tc>
        <w:tc>
          <w:tcPr>
            <w:tcW w:w="1304" w:type="dxa"/>
            <w:tcBorders>
              <w:left w:val="nil"/>
              <w:right w:val="nil"/>
            </w:tcBorders>
            <w:shd w:val="clear" w:color="auto" w:fill="auto"/>
            <w:tcMar>
              <w:top w:w="90" w:type="dxa"/>
              <w:left w:w="195" w:type="dxa"/>
              <w:bottom w:w="90" w:type="dxa"/>
              <w:right w:w="195" w:type="dxa"/>
            </w:tcMar>
            <w:vAlign w:val="center"/>
            <w:hideMark/>
          </w:tcPr>
          <w:p w14:paraId="26DDE76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15</w:t>
            </w:r>
          </w:p>
        </w:tc>
        <w:tc>
          <w:tcPr>
            <w:tcW w:w="1077" w:type="dxa"/>
            <w:tcBorders>
              <w:left w:val="nil"/>
              <w:right w:val="nil"/>
            </w:tcBorders>
            <w:shd w:val="clear" w:color="auto" w:fill="auto"/>
            <w:tcMar>
              <w:top w:w="90" w:type="dxa"/>
              <w:left w:w="195" w:type="dxa"/>
              <w:bottom w:w="90" w:type="dxa"/>
              <w:right w:w="195" w:type="dxa"/>
            </w:tcMar>
            <w:vAlign w:val="center"/>
            <w:hideMark/>
          </w:tcPr>
          <w:p w14:paraId="2A02426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w:t>
            </w:r>
          </w:p>
        </w:tc>
        <w:tc>
          <w:tcPr>
            <w:tcW w:w="1077" w:type="dxa"/>
            <w:tcBorders>
              <w:left w:val="nil"/>
              <w:right w:val="nil"/>
            </w:tcBorders>
            <w:shd w:val="clear" w:color="auto" w:fill="auto"/>
            <w:tcMar>
              <w:top w:w="90" w:type="dxa"/>
              <w:left w:w="195" w:type="dxa"/>
              <w:bottom w:w="90" w:type="dxa"/>
              <w:right w:w="195" w:type="dxa"/>
            </w:tcMar>
            <w:vAlign w:val="center"/>
            <w:hideMark/>
          </w:tcPr>
          <w:p w14:paraId="33B9BB1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774C17A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63</w:t>
            </w:r>
          </w:p>
        </w:tc>
      </w:tr>
      <w:tr w:rsidR="00906CE3" w:rsidRPr="00906CE3" w14:paraId="1478A811" w14:textId="77777777" w:rsidTr="00906CE3">
        <w:tc>
          <w:tcPr>
            <w:tcW w:w="1276" w:type="dxa"/>
            <w:vMerge/>
            <w:tcBorders>
              <w:left w:val="nil"/>
              <w:right w:val="nil"/>
            </w:tcBorders>
            <w:shd w:val="clear" w:color="auto" w:fill="auto"/>
            <w:vAlign w:val="center"/>
            <w:hideMark/>
          </w:tcPr>
          <w:p w14:paraId="7C1CDB7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7A1C281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America</w:t>
            </w:r>
          </w:p>
        </w:tc>
        <w:tc>
          <w:tcPr>
            <w:tcW w:w="1196" w:type="dxa"/>
            <w:tcBorders>
              <w:left w:val="nil"/>
              <w:right w:val="nil"/>
            </w:tcBorders>
            <w:shd w:val="clear" w:color="auto" w:fill="F2F2F2"/>
            <w:tcMar>
              <w:top w:w="90" w:type="dxa"/>
              <w:left w:w="195" w:type="dxa"/>
              <w:bottom w:w="90" w:type="dxa"/>
              <w:right w:w="195" w:type="dxa"/>
            </w:tcMar>
            <w:vAlign w:val="center"/>
            <w:hideMark/>
          </w:tcPr>
          <w:p w14:paraId="253BD04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38</w:t>
            </w:r>
          </w:p>
        </w:tc>
        <w:tc>
          <w:tcPr>
            <w:tcW w:w="1077" w:type="dxa"/>
            <w:tcBorders>
              <w:left w:val="nil"/>
              <w:right w:val="nil"/>
            </w:tcBorders>
            <w:shd w:val="clear" w:color="auto" w:fill="F2F2F2"/>
            <w:tcMar>
              <w:top w:w="90" w:type="dxa"/>
              <w:left w:w="195" w:type="dxa"/>
              <w:bottom w:w="90" w:type="dxa"/>
              <w:right w:w="195" w:type="dxa"/>
            </w:tcMar>
            <w:vAlign w:val="center"/>
            <w:hideMark/>
          </w:tcPr>
          <w:p w14:paraId="02B120D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32</w:t>
            </w:r>
          </w:p>
        </w:tc>
        <w:tc>
          <w:tcPr>
            <w:tcW w:w="1304" w:type="dxa"/>
            <w:tcBorders>
              <w:left w:val="nil"/>
              <w:right w:val="nil"/>
            </w:tcBorders>
            <w:shd w:val="clear" w:color="auto" w:fill="F2F2F2"/>
            <w:tcMar>
              <w:top w:w="90" w:type="dxa"/>
              <w:left w:w="195" w:type="dxa"/>
              <w:bottom w:w="90" w:type="dxa"/>
              <w:right w:w="195" w:type="dxa"/>
            </w:tcMar>
            <w:vAlign w:val="center"/>
            <w:hideMark/>
          </w:tcPr>
          <w:p w14:paraId="60466A3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10</w:t>
            </w:r>
          </w:p>
        </w:tc>
        <w:tc>
          <w:tcPr>
            <w:tcW w:w="1077" w:type="dxa"/>
            <w:tcBorders>
              <w:left w:val="nil"/>
              <w:right w:val="nil"/>
            </w:tcBorders>
            <w:shd w:val="clear" w:color="auto" w:fill="F2F2F2"/>
            <w:tcMar>
              <w:top w:w="90" w:type="dxa"/>
              <w:left w:w="195" w:type="dxa"/>
              <w:bottom w:w="90" w:type="dxa"/>
              <w:right w:w="195" w:type="dxa"/>
            </w:tcMar>
            <w:vAlign w:val="center"/>
            <w:hideMark/>
          </w:tcPr>
          <w:p w14:paraId="0864C49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39</w:t>
            </w:r>
          </w:p>
        </w:tc>
        <w:tc>
          <w:tcPr>
            <w:tcW w:w="1077" w:type="dxa"/>
            <w:tcBorders>
              <w:left w:val="nil"/>
              <w:right w:val="nil"/>
            </w:tcBorders>
            <w:shd w:val="clear" w:color="auto" w:fill="F2F2F2"/>
            <w:tcMar>
              <w:top w:w="90" w:type="dxa"/>
              <w:left w:w="195" w:type="dxa"/>
              <w:bottom w:w="90" w:type="dxa"/>
              <w:right w:w="195" w:type="dxa"/>
            </w:tcMar>
            <w:vAlign w:val="center"/>
            <w:hideMark/>
          </w:tcPr>
          <w:p w14:paraId="1CD6260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5E7DA03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123</w:t>
            </w:r>
          </w:p>
        </w:tc>
      </w:tr>
      <w:tr w:rsidR="00906CE3" w:rsidRPr="00906CE3" w14:paraId="62BE667A" w14:textId="77777777" w:rsidTr="002C4AEA">
        <w:tc>
          <w:tcPr>
            <w:tcW w:w="1276" w:type="dxa"/>
            <w:vMerge/>
            <w:tcBorders>
              <w:left w:val="nil"/>
              <w:bottom w:val="single" w:sz="4" w:space="0" w:color="auto"/>
              <w:right w:val="nil"/>
            </w:tcBorders>
            <w:shd w:val="clear" w:color="auto" w:fill="auto"/>
            <w:vAlign w:val="center"/>
            <w:hideMark/>
          </w:tcPr>
          <w:p w14:paraId="73D4433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1240AF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UK</w:t>
            </w:r>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EC5B28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115E7DC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50</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710BC62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BBDD35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34</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C6145C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6ABFFF9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96</w:t>
            </w:r>
          </w:p>
        </w:tc>
      </w:tr>
      <w:tr w:rsidR="00906CE3" w:rsidRPr="00906CE3" w14:paraId="032FB2DD" w14:textId="77777777" w:rsidTr="00906CE3">
        <w:tc>
          <w:tcPr>
            <w:tcW w:w="1276" w:type="dxa"/>
            <w:vMerge w:val="restart"/>
            <w:tcBorders>
              <w:top w:val="single" w:sz="4" w:space="0" w:color="auto"/>
              <w:left w:val="nil"/>
              <w:right w:val="nil"/>
            </w:tcBorders>
            <w:shd w:val="clear" w:color="auto" w:fill="auto"/>
            <w:tcMar>
              <w:top w:w="90" w:type="dxa"/>
              <w:left w:w="195" w:type="dxa"/>
              <w:bottom w:w="90" w:type="dxa"/>
              <w:right w:w="195" w:type="dxa"/>
            </w:tcMar>
            <w:vAlign w:val="center"/>
            <w:hideMark/>
          </w:tcPr>
          <w:p w14:paraId="3D6E4FD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Analysis</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4BFA4FD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inclusion</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CD699D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48</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2FD7BA2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48</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20DFC4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6D93346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53</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434D8D9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113D995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169</w:t>
            </w:r>
          </w:p>
        </w:tc>
      </w:tr>
      <w:tr w:rsidR="00906CE3" w:rsidRPr="00906CE3" w14:paraId="237C021A" w14:textId="77777777" w:rsidTr="002C4AEA">
        <w:tc>
          <w:tcPr>
            <w:tcW w:w="1276" w:type="dxa"/>
            <w:vMerge/>
            <w:tcBorders>
              <w:left w:val="nil"/>
              <w:bottom w:val="single" w:sz="4" w:space="0" w:color="auto"/>
              <w:right w:val="nil"/>
            </w:tcBorders>
            <w:shd w:val="clear" w:color="auto" w:fill="auto"/>
            <w:vAlign w:val="center"/>
            <w:hideMark/>
          </w:tcPr>
          <w:p w14:paraId="57ED741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B8C86B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completers</w:t>
            </w:r>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918962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19</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F44820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45</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23CFAB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86A4252"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35</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F7F44D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607FD78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118</w:t>
            </w:r>
          </w:p>
        </w:tc>
      </w:tr>
      <w:tr w:rsidR="00906CE3" w:rsidRPr="00906CE3" w14:paraId="72CCDF8C" w14:textId="77777777" w:rsidTr="00906CE3">
        <w:tc>
          <w:tcPr>
            <w:tcW w:w="1276" w:type="dxa"/>
            <w:vMerge w:val="restart"/>
            <w:tcBorders>
              <w:top w:val="single" w:sz="4" w:space="0" w:color="auto"/>
              <w:left w:val="nil"/>
              <w:right w:val="nil"/>
            </w:tcBorders>
            <w:shd w:val="clear" w:color="auto" w:fill="auto"/>
            <w:tcMar>
              <w:top w:w="90" w:type="dxa"/>
              <w:left w:w="195" w:type="dxa"/>
              <w:bottom w:w="90" w:type="dxa"/>
              <w:right w:w="195" w:type="dxa"/>
            </w:tcMar>
            <w:vAlign w:val="center"/>
            <w:hideMark/>
          </w:tcPr>
          <w:p w14:paraId="676971C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therapy modality</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33F442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cognitive-behavioural</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D254F2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43</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B594DB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41</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C08916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14</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3FBEB6F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49</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127D20E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65651B1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152</w:t>
            </w:r>
          </w:p>
        </w:tc>
      </w:tr>
      <w:tr w:rsidR="00906CE3" w:rsidRPr="00906CE3" w14:paraId="4DBFDB82" w14:textId="77777777" w:rsidTr="002C4AEA">
        <w:tc>
          <w:tcPr>
            <w:tcW w:w="1276" w:type="dxa"/>
            <w:vMerge/>
            <w:tcBorders>
              <w:left w:val="nil"/>
              <w:right w:val="nil"/>
            </w:tcBorders>
            <w:shd w:val="clear" w:color="auto" w:fill="auto"/>
            <w:vAlign w:val="center"/>
            <w:hideMark/>
          </w:tcPr>
          <w:p w14:paraId="38A905C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auto"/>
            <w:tcMar>
              <w:top w:w="90" w:type="dxa"/>
              <w:left w:w="195" w:type="dxa"/>
              <w:bottom w:w="90" w:type="dxa"/>
              <w:right w:w="195" w:type="dxa"/>
            </w:tcMar>
            <w:vAlign w:val="center"/>
            <w:hideMark/>
          </w:tcPr>
          <w:p w14:paraId="474F905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counselling</w:t>
            </w:r>
          </w:p>
        </w:tc>
        <w:tc>
          <w:tcPr>
            <w:tcW w:w="1196" w:type="dxa"/>
            <w:tcBorders>
              <w:left w:val="nil"/>
              <w:right w:val="nil"/>
            </w:tcBorders>
            <w:shd w:val="clear" w:color="auto" w:fill="auto"/>
            <w:tcMar>
              <w:top w:w="90" w:type="dxa"/>
              <w:left w:w="195" w:type="dxa"/>
              <w:bottom w:w="90" w:type="dxa"/>
              <w:right w:w="195" w:type="dxa"/>
            </w:tcMar>
            <w:vAlign w:val="center"/>
            <w:hideMark/>
          </w:tcPr>
          <w:p w14:paraId="526031E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left w:val="nil"/>
              <w:right w:val="nil"/>
            </w:tcBorders>
            <w:shd w:val="clear" w:color="auto" w:fill="auto"/>
            <w:tcMar>
              <w:top w:w="90" w:type="dxa"/>
              <w:left w:w="195" w:type="dxa"/>
              <w:bottom w:w="90" w:type="dxa"/>
              <w:right w:w="195" w:type="dxa"/>
            </w:tcMar>
            <w:vAlign w:val="center"/>
            <w:hideMark/>
          </w:tcPr>
          <w:p w14:paraId="4F67CA9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22</w:t>
            </w:r>
          </w:p>
        </w:tc>
        <w:tc>
          <w:tcPr>
            <w:tcW w:w="1304" w:type="dxa"/>
            <w:tcBorders>
              <w:left w:val="nil"/>
              <w:right w:val="nil"/>
            </w:tcBorders>
            <w:shd w:val="clear" w:color="auto" w:fill="auto"/>
            <w:tcMar>
              <w:top w:w="90" w:type="dxa"/>
              <w:left w:w="195" w:type="dxa"/>
              <w:bottom w:w="90" w:type="dxa"/>
              <w:right w:w="195" w:type="dxa"/>
            </w:tcMar>
            <w:vAlign w:val="center"/>
            <w:hideMark/>
          </w:tcPr>
          <w:p w14:paraId="5BD3712C"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tcBorders>
              <w:left w:val="nil"/>
              <w:right w:val="nil"/>
            </w:tcBorders>
            <w:shd w:val="clear" w:color="auto" w:fill="auto"/>
            <w:tcMar>
              <w:top w:w="90" w:type="dxa"/>
              <w:left w:w="195" w:type="dxa"/>
              <w:bottom w:w="90" w:type="dxa"/>
              <w:right w:w="195" w:type="dxa"/>
            </w:tcMar>
            <w:vAlign w:val="center"/>
            <w:hideMark/>
          </w:tcPr>
          <w:p w14:paraId="59A983E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w:t>
            </w:r>
          </w:p>
        </w:tc>
        <w:tc>
          <w:tcPr>
            <w:tcW w:w="1077" w:type="dxa"/>
            <w:tcBorders>
              <w:left w:val="nil"/>
              <w:right w:val="nil"/>
            </w:tcBorders>
            <w:shd w:val="clear" w:color="auto" w:fill="auto"/>
            <w:tcMar>
              <w:top w:w="90" w:type="dxa"/>
              <w:left w:w="195" w:type="dxa"/>
              <w:bottom w:w="90" w:type="dxa"/>
              <w:right w:w="195" w:type="dxa"/>
            </w:tcMar>
            <w:vAlign w:val="center"/>
            <w:hideMark/>
          </w:tcPr>
          <w:p w14:paraId="5736AD8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gridSpan w:val="2"/>
            <w:tcBorders>
              <w:left w:val="nil"/>
              <w:right w:val="nil"/>
            </w:tcBorders>
            <w:shd w:val="clear" w:color="auto" w:fill="auto"/>
            <w:tcMar>
              <w:top w:w="90" w:type="dxa"/>
              <w:left w:w="195" w:type="dxa"/>
              <w:bottom w:w="90" w:type="dxa"/>
              <w:right w:w="195" w:type="dxa"/>
            </w:tcMar>
            <w:vAlign w:val="center"/>
            <w:hideMark/>
          </w:tcPr>
          <w:p w14:paraId="67AC081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25</w:t>
            </w:r>
          </w:p>
        </w:tc>
      </w:tr>
      <w:tr w:rsidR="00906CE3" w:rsidRPr="00906CE3" w14:paraId="55E5E676" w14:textId="77777777" w:rsidTr="00906CE3">
        <w:tc>
          <w:tcPr>
            <w:tcW w:w="1276" w:type="dxa"/>
            <w:vMerge/>
            <w:tcBorders>
              <w:left w:val="nil"/>
              <w:right w:val="nil"/>
            </w:tcBorders>
            <w:shd w:val="clear" w:color="auto" w:fill="auto"/>
            <w:vAlign w:val="center"/>
            <w:hideMark/>
          </w:tcPr>
          <w:p w14:paraId="5454F30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right w:val="nil"/>
            </w:tcBorders>
            <w:shd w:val="clear" w:color="auto" w:fill="F2F2F2"/>
            <w:tcMar>
              <w:top w:w="90" w:type="dxa"/>
              <w:left w:w="195" w:type="dxa"/>
              <w:bottom w:w="90" w:type="dxa"/>
              <w:right w:w="195" w:type="dxa"/>
            </w:tcMar>
            <w:vAlign w:val="center"/>
            <w:hideMark/>
          </w:tcPr>
          <w:p w14:paraId="59FD17F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psycho-dynamic</w:t>
            </w:r>
          </w:p>
        </w:tc>
        <w:tc>
          <w:tcPr>
            <w:tcW w:w="1196" w:type="dxa"/>
            <w:tcBorders>
              <w:left w:val="nil"/>
              <w:right w:val="nil"/>
            </w:tcBorders>
            <w:shd w:val="clear" w:color="auto" w:fill="F2F2F2"/>
            <w:tcMar>
              <w:top w:w="90" w:type="dxa"/>
              <w:left w:w="195" w:type="dxa"/>
              <w:bottom w:w="90" w:type="dxa"/>
              <w:right w:w="195" w:type="dxa"/>
            </w:tcMar>
            <w:vAlign w:val="center"/>
            <w:hideMark/>
          </w:tcPr>
          <w:p w14:paraId="5D8DE55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12</w:t>
            </w:r>
          </w:p>
        </w:tc>
        <w:tc>
          <w:tcPr>
            <w:tcW w:w="1077" w:type="dxa"/>
            <w:tcBorders>
              <w:left w:val="nil"/>
              <w:right w:val="nil"/>
            </w:tcBorders>
            <w:shd w:val="clear" w:color="auto" w:fill="F2F2F2"/>
            <w:tcMar>
              <w:top w:w="90" w:type="dxa"/>
              <w:left w:w="195" w:type="dxa"/>
              <w:bottom w:w="90" w:type="dxa"/>
              <w:right w:w="195" w:type="dxa"/>
            </w:tcMar>
            <w:vAlign w:val="center"/>
            <w:hideMark/>
          </w:tcPr>
          <w:p w14:paraId="27A4A07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w:t>
            </w:r>
          </w:p>
        </w:tc>
        <w:tc>
          <w:tcPr>
            <w:tcW w:w="1304" w:type="dxa"/>
            <w:tcBorders>
              <w:left w:val="nil"/>
              <w:right w:val="nil"/>
            </w:tcBorders>
            <w:shd w:val="clear" w:color="auto" w:fill="F2F2F2"/>
            <w:tcMar>
              <w:top w:w="90" w:type="dxa"/>
              <w:left w:w="195" w:type="dxa"/>
              <w:bottom w:w="90" w:type="dxa"/>
              <w:right w:w="195" w:type="dxa"/>
            </w:tcMar>
            <w:vAlign w:val="center"/>
            <w:hideMark/>
          </w:tcPr>
          <w:p w14:paraId="71AD996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w:t>
            </w:r>
          </w:p>
        </w:tc>
        <w:tc>
          <w:tcPr>
            <w:tcW w:w="1077" w:type="dxa"/>
            <w:tcBorders>
              <w:left w:val="nil"/>
              <w:right w:val="nil"/>
            </w:tcBorders>
            <w:shd w:val="clear" w:color="auto" w:fill="F2F2F2"/>
            <w:tcMar>
              <w:top w:w="90" w:type="dxa"/>
              <w:left w:w="195" w:type="dxa"/>
              <w:bottom w:w="90" w:type="dxa"/>
              <w:right w:w="195" w:type="dxa"/>
            </w:tcMar>
            <w:vAlign w:val="center"/>
            <w:hideMark/>
          </w:tcPr>
          <w:p w14:paraId="2BE1DA0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w:t>
            </w:r>
          </w:p>
        </w:tc>
        <w:tc>
          <w:tcPr>
            <w:tcW w:w="1077" w:type="dxa"/>
            <w:tcBorders>
              <w:left w:val="nil"/>
              <w:right w:val="nil"/>
            </w:tcBorders>
            <w:shd w:val="clear" w:color="auto" w:fill="F2F2F2"/>
            <w:tcMar>
              <w:top w:w="90" w:type="dxa"/>
              <w:left w:w="195" w:type="dxa"/>
              <w:bottom w:w="90" w:type="dxa"/>
              <w:right w:w="195" w:type="dxa"/>
            </w:tcMar>
            <w:vAlign w:val="center"/>
            <w:hideMark/>
          </w:tcPr>
          <w:p w14:paraId="12763CF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0</w:t>
            </w:r>
          </w:p>
        </w:tc>
        <w:tc>
          <w:tcPr>
            <w:tcW w:w="1077" w:type="dxa"/>
            <w:gridSpan w:val="2"/>
            <w:tcBorders>
              <w:left w:val="nil"/>
              <w:right w:val="nil"/>
            </w:tcBorders>
            <w:shd w:val="clear" w:color="auto" w:fill="F2F2F2"/>
            <w:tcMar>
              <w:top w:w="90" w:type="dxa"/>
              <w:left w:w="195" w:type="dxa"/>
              <w:bottom w:w="90" w:type="dxa"/>
              <w:right w:w="195" w:type="dxa"/>
            </w:tcMar>
            <w:vAlign w:val="center"/>
            <w:hideMark/>
          </w:tcPr>
          <w:p w14:paraId="5D0CFA2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50</w:t>
            </w:r>
          </w:p>
        </w:tc>
      </w:tr>
      <w:tr w:rsidR="00906CE3" w:rsidRPr="00906CE3" w14:paraId="0E6E225F" w14:textId="77777777" w:rsidTr="002C4AEA">
        <w:tc>
          <w:tcPr>
            <w:tcW w:w="1276" w:type="dxa"/>
            <w:vMerge/>
            <w:tcBorders>
              <w:left w:val="nil"/>
              <w:bottom w:val="single" w:sz="4" w:space="0" w:color="auto"/>
              <w:right w:val="nil"/>
            </w:tcBorders>
            <w:shd w:val="clear" w:color="auto" w:fill="auto"/>
            <w:vAlign w:val="center"/>
            <w:hideMark/>
          </w:tcPr>
          <w:p w14:paraId="6FC72876"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66830C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other</w:t>
            </w:r>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6240A2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13</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FA6351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64E77D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7B572799"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24</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9970BE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12B03F0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71</w:t>
            </w:r>
          </w:p>
        </w:tc>
      </w:tr>
      <w:tr w:rsidR="00906CE3" w:rsidRPr="00906CE3" w14:paraId="026026A3" w14:textId="77777777" w:rsidTr="00906CE3">
        <w:tc>
          <w:tcPr>
            <w:tcW w:w="1276" w:type="dxa"/>
            <w:vMerge w:val="restart"/>
            <w:tcBorders>
              <w:top w:val="single" w:sz="4" w:space="0" w:color="auto"/>
              <w:left w:val="nil"/>
              <w:right w:val="nil"/>
            </w:tcBorders>
            <w:shd w:val="clear" w:color="auto" w:fill="auto"/>
            <w:tcMar>
              <w:top w:w="90" w:type="dxa"/>
              <w:left w:w="195" w:type="dxa"/>
              <w:bottom w:w="90" w:type="dxa"/>
              <w:right w:w="195" w:type="dxa"/>
            </w:tcMar>
            <w:vAlign w:val="center"/>
            <w:hideMark/>
          </w:tcPr>
          <w:p w14:paraId="3229468B"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treatment stage</w:t>
            </w:r>
          </w:p>
        </w:tc>
        <w:tc>
          <w:tcPr>
            <w:tcW w:w="127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7484068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preliminary</w:t>
            </w:r>
          </w:p>
        </w:tc>
        <w:tc>
          <w:tcPr>
            <w:tcW w:w="1196"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7FB668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4</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5299EC4A"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w:t>
            </w:r>
          </w:p>
        </w:tc>
        <w:tc>
          <w:tcPr>
            <w:tcW w:w="1304"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760AAE2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7</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12C7A46D"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16</w:t>
            </w:r>
          </w:p>
        </w:tc>
        <w:tc>
          <w:tcPr>
            <w:tcW w:w="1077" w:type="dxa"/>
            <w:tcBorders>
              <w:top w:val="single" w:sz="4" w:space="0" w:color="auto"/>
              <w:left w:val="nil"/>
              <w:right w:val="nil"/>
            </w:tcBorders>
            <w:shd w:val="clear" w:color="auto" w:fill="F2F2F2"/>
            <w:tcMar>
              <w:top w:w="90" w:type="dxa"/>
              <w:left w:w="195" w:type="dxa"/>
              <w:bottom w:w="90" w:type="dxa"/>
              <w:right w:w="195" w:type="dxa"/>
            </w:tcMar>
            <w:vAlign w:val="center"/>
            <w:hideMark/>
          </w:tcPr>
          <w:p w14:paraId="0FFB9B2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1</w:t>
            </w:r>
          </w:p>
        </w:tc>
        <w:tc>
          <w:tcPr>
            <w:tcW w:w="1077" w:type="dxa"/>
            <w:gridSpan w:val="2"/>
            <w:tcBorders>
              <w:top w:val="single" w:sz="4" w:space="0" w:color="auto"/>
              <w:left w:val="nil"/>
              <w:right w:val="nil"/>
            </w:tcBorders>
            <w:shd w:val="clear" w:color="auto" w:fill="F2F2F2"/>
            <w:tcMar>
              <w:top w:w="90" w:type="dxa"/>
              <w:left w:w="195" w:type="dxa"/>
              <w:bottom w:w="90" w:type="dxa"/>
              <w:right w:w="195" w:type="dxa"/>
            </w:tcMar>
            <w:vAlign w:val="center"/>
            <w:hideMark/>
          </w:tcPr>
          <w:p w14:paraId="427AF6F0"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34</w:t>
            </w:r>
          </w:p>
        </w:tc>
      </w:tr>
      <w:tr w:rsidR="00906CE3" w:rsidRPr="00906CE3" w14:paraId="3D0635EB" w14:textId="77777777" w:rsidTr="002C4AEA">
        <w:tc>
          <w:tcPr>
            <w:tcW w:w="1276" w:type="dxa"/>
            <w:vMerge/>
            <w:tcBorders>
              <w:left w:val="nil"/>
              <w:bottom w:val="single" w:sz="4" w:space="0" w:color="auto"/>
              <w:right w:val="nil"/>
            </w:tcBorders>
            <w:shd w:val="clear" w:color="auto" w:fill="auto"/>
            <w:vAlign w:val="center"/>
            <w:hideMark/>
          </w:tcPr>
          <w:p w14:paraId="3DB6FFB3"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p>
        </w:tc>
        <w:tc>
          <w:tcPr>
            <w:tcW w:w="127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07C509F"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evaluations</w:t>
            </w:r>
          </w:p>
        </w:tc>
        <w:tc>
          <w:tcPr>
            <w:tcW w:w="1196"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C2D9F08"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64</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6D3AC361"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90</w:t>
            </w:r>
          </w:p>
        </w:tc>
        <w:tc>
          <w:tcPr>
            <w:tcW w:w="130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02665967"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26</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B806CF5"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76</w:t>
            </w:r>
          </w:p>
        </w:tc>
        <w:tc>
          <w:tcPr>
            <w:tcW w:w="1077"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78E0B0BE"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8</w:t>
            </w:r>
          </w:p>
        </w:tc>
        <w:tc>
          <w:tcPr>
            <w:tcW w:w="1077" w:type="dxa"/>
            <w:gridSpan w:val="2"/>
            <w:tcBorders>
              <w:left w:val="nil"/>
              <w:bottom w:val="single" w:sz="4" w:space="0" w:color="auto"/>
              <w:right w:val="nil"/>
            </w:tcBorders>
            <w:shd w:val="clear" w:color="auto" w:fill="auto"/>
            <w:tcMar>
              <w:top w:w="90" w:type="dxa"/>
              <w:left w:w="195" w:type="dxa"/>
              <w:bottom w:w="90" w:type="dxa"/>
              <w:right w:w="195" w:type="dxa"/>
            </w:tcMar>
            <w:vAlign w:val="center"/>
            <w:hideMark/>
          </w:tcPr>
          <w:p w14:paraId="5EE973A4" w14:textId="77777777" w:rsidR="00906CE3" w:rsidRPr="00906CE3" w:rsidRDefault="00906CE3" w:rsidP="00906CE3">
            <w:pPr>
              <w:spacing w:after="0"/>
              <w:rPr>
                <w:rFonts w:ascii="Times New Roman" w:eastAsia="Times New Roman" w:hAnsi="Times New Roman" w:cs="Times New Roman"/>
                <w:color w:val="000000"/>
                <w:spacing w:val="3"/>
                <w:sz w:val="15"/>
                <w:szCs w:val="15"/>
                <w:lang w:val="en-GB" w:eastAsia="en-GB"/>
              </w:rPr>
            </w:pPr>
            <w:r w:rsidRPr="00906CE3">
              <w:rPr>
                <w:rFonts w:ascii="Times New Roman" w:eastAsia="Times New Roman" w:hAnsi="Times New Roman" w:cs="Times New Roman"/>
                <w:color w:val="000000"/>
                <w:spacing w:val="3"/>
                <w:sz w:val="15"/>
                <w:szCs w:val="15"/>
                <w:lang w:val="en-GB" w:eastAsia="en-GB"/>
              </w:rPr>
              <w:t>264</w:t>
            </w:r>
          </w:p>
        </w:tc>
      </w:tr>
    </w:tbl>
    <w:p w14:paraId="75235514" w14:textId="5513CCA1" w:rsidR="0016079D" w:rsidRDefault="00B23CA6" w:rsidP="00906CE3">
      <w:pPr>
        <w:pStyle w:val="Heading3"/>
      </w:pPr>
      <w:r>
        <w:lastRenderedPageBreak/>
        <w:t>Sample Characteristics</w:t>
      </w:r>
    </w:p>
    <w:p w14:paraId="6783DE11" w14:textId="77777777" w:rsidR="0016079D" w:rsidRDefault="00B23CA6">
      <w:pPr>
        <w:pStyle w:val="FirstParagraph"/>
      </w:pPr>
      <w:r>
        <w:t xml:space="preserve">Sample characteristics were reported for 291 samples, with a cumulative N of 233,140 (mean = 838.63, median = 81.5, range = 4 - 33,243, IQR = 224.5 ). The female preponderance was 61.88% (N = 144,273, </w:t>
      </w:r>
      <w:r>
        <w:rPr>
          <w:i/>
        </w:rPr>
        <w:t>k</w:t>
      </w:r>
      <w:r>
        <w:t xml:space="preserve"> = 279) with 13 all female samples and 2 all male samples. The mean average sample age was 35.33 years (range = 19.00 - 60.50). Across studies which provided information, 23.00% of patients represented minority ethnic backgrounds (</w:t>
      </w:r>
      <w:r>
        <w:rPr>
          <w:i/>
        </w:rPr>
        <w:t>k</w:t>
      </w:r>
      <w:r>
        <w:t xml:space="preserve"> = 127), 37.00% were married (</w:t>
      </w:r>
      <w:r>
        <w:rPr>
          <w:i/>
        </w:rPr>
        <w:t>k</w:t>
      </w:r>
      <w:r>
        <w:t xml:space="preserve"> = 106), and 23.00% were in employment (</w:t>
      </w:r>
      <w:r>
        <w:rPr>
          <w:i/>
        </w:rPr>
        <w:t>k</w:t>
      </w:r>
      <w:r>
        <w:t xml:space="preserve"> = 96).</w:t>
      </w:r>
    </w:p>
    <w:p w14:paraId="48EB317B" w14:textId="77777777" w:rsidR="0016079D" w:rsidRDefault="00B23CA6">
      <w:pPr>
        <w:pStyle w:val="Heading3"/>
      </w:pPr>
      <w:bookmarkStart w:id="14" w:name="treatment-characteristics"/>
      <w:bookmarkEnd w:id="13"/>
      <w:r>
        <w:t>Treatment Characteristics</w:t>
      </w:r>
    </w:p>
    <w:p w14:paraId="01D60677" w14:textId="27586E11" w:rsidR="0016079D" w:rsidRDefault="00B23CA6">
      <w:pPr>
        <w:pStyle w:val="FirstParagraph"/>
      </w:pPr>
      <w:r>
        <w:t>Most samples used a cognitive-behavioral treatment modality (</w:t>
      </w:r>
      <w:r>
        <w:rPr>
          <w:i/>
        </w:rPr>
        <w:t>k</w:t>
      </w:r>
      <w:r>
        <w:t xml:space="preserve"> = 152) while 50 </w:t>
      </w:r>
      <w:r w:rsidR="00906CE3">
        <w:t xml:space="preserve">samples </w:t>
      </w:r>
      <w:r>
        <w:t xml:space="preserve">used psychodynamic, and 25 </w:t>
      </w:r>
      <w:r w:rsidR="00906CE3">
        <w:t xml:space="preserve">samples </w:t>
      </w:r>
      <w:r>
        <w:t xml:space="preserve">used counselling (other = 71). For severity, 96 (32.21%) samples came from mild services, 92 (30.87%) from moderate services, 33 (11.07%) from severe services, and 68 (22.82%) from University services (other, </w:t>
      </w:r>
      <w:r>
        <w:rPr>
          <w:i/>
        </w:rPr>
        <w:t>k</w:t>
      </w:r>
      <w:r>
        <w:t xml:space="preserve"> = 9, 3.02%). Treatment dosage, when reported (</w:t>
      </w:r>
      <w:r>
        <w:rPr>
          <w:i/>
        </w:rPr>
        <w:t>k</w:t>
      </w:r>
      <w:r>
        <w:t xml:space="preserve"> = 256) was in hours/sessions (</w:t>
      </w:r>
      <w:r>
        <w:rPr>
          <w:i/>
        </w:rPr>
        <w:t>k</w:t>
      </w:r>
      <w:r>
        <w:t xml:space="preserve"> = 225), months (</w:t>
      </w:r>
      <w:r>
        <w:rPr>
          <w:i/>
        </w:rPr>
        <w:t>k</w:t>
      </w:r>
      <w:r>
        <w:t xml:space="preserve"> = 12) or days (</w:t>
      </w:r>
      <w:r>
        <w:rPr>
          <w:i/>
        </w:rPr>
        <w:t>k</w:t>
      </w:r>
      <w:r>
        <w:t xml:space="preserve"> = 8). The pooled (non-weighted) average dosage (hours) was 16.30 sessions (median = 13.00, range = 1.00-139.30, IQR = 11.00). 62 samples reported that treatment was delivered exclusively by unqualified/trainee clinicians, while 100 samples reported having at least one unqualified/trainee clinician.</w:t>
      </w:r>
    </w:p>
    <w:p w14:paraId="0AC2C159" w14:textId="77777777" w:rsidR="0016079D" w:rsidRDefault="00B23CA6">
      <w:pPr>
        <w:pStyle w:val="Heading3"/>
      </w:pPr>
      <w:bookmarkStart w:id="15" w:name="risk-of-bias"/>
      <w:bookmarkEnd w:id="14"/>
      <w:r>
        <w:t>Risk of Bias</w:t>
      </w:r>
    </w:p>
    <w:p w14:paraId="6C803D10" w14:textId="77777777" w:rsidR="0016079D" w:rsidRDefault="00B23CA6">
      <w:pPr>
        <w:pStyle w:val="FirstParagraph"/>
      </w:pPr>
      <w:r>
        <w:t>There was 60 studies rated across 8 criteria (i.e., 480 items). The pooled agreement was 84.17 (</w:t>
      </w:r>
      <m:oMath>
        <m:r>
          <w:rPr>
            <w:rFonts w:ascii="Cambria Math" w:hAnsi="Cambria Math"/>
          </w:rPr>
          <m:t>κ</m:t>
        </m:r>
      </m:oMath>
      <w:r>
        <w:t xml:space="preserve"> = 0.62). Individual items varied in there levels of agreement (70.0%-98.3%). In order of most met criteria was demographic reporting detail (264/298, agreement = 98.33%, </w:t>
      </w:r>
      <m:oMath>
        <m:r>
          <w:rPr>
            <w:rFonts w:ascii="Cambria Math" w:hAnsi="Cambria Math"/>
          </w:rPr>
          <m:t>κ</m:t>
        </m:r>
      </m:oMath>
      <w:r>
        <w:t xml:space="preserve"> = 0.88), service reporting detail (260/298, agreement = 85%, </w:t>
      </w:r>
      <m:oMath>
        <m:r>
          <w:rPr>
            <w:rFonts w:ascii="Cambria Math" w:hAnsi="Cambria Math"/>
          </w:rPr>
          <m:t>κ</m:t>
        </m:r>
      </m:oMath>
      <w:r>
        <w:t xml:space="preserve"> = 0.31), study outcome reporting details (240/298, agreement = 83.33%, </w:t>
      </w:r>
      <m:oMath>
        <m:r>
          <w:rPr>
            <w:rFonts w:ascii="Cambria Math" w:hAnsi="Cambria Math"/>
          </w:rPr>
          <m:t>κ</m:t>
        </m:r>
      </m:oMath>
      <w:r>
        <w:t xml:space="preserve"> = -0.03), intervention reporting detail </w:t>
      </w:r>
      <w:r>
        <w:lastRenderedPageBreak/>
        <w:t xml:space="preserve">(234/298, agreement = 85%, </w:t>
      </w:r>
      <m:oMath>
        <m:r>
          <w:rPr>
            <w:rFonts w:ascii="Cambria Math" w:hAnsi="Cambria Math"/>
          </w:rPr>
          <m:t>κ</m:t>
        </m:r>
      </m:oMath>
      <w:r>
        <w:t xml:space="preserve"> = 0.32), service inclusion criteria (214/298, agreement = 90%, </w:t>
      </w:r>
      <m:oMath>
        <m:r>
          <w:rPr>
            <w:rFonts w:ascii="Cambria Math" w:hAnsi="Cambria Math"/>
          </w:rPr>
          <m:t>κ</m:t>
        </m:r>
      </m:oMath>
      <w:r>
        <w:t xml:space="preserve"> = 0.64), appropriate use of analysis (214/298, agreement = 70%, </w:t>
      </w:r>
      <m:oMath>
        <m:r>
          <w:rPr>
            <w:rFonts w:ascii="Cambria Math" w:hAnsi="Cambria Math"/>
          </w:rPr>
          <m:t>κ</m:t>
        </m:r>
      </m:oMath>
      <w:r>
        <w:t xml:space="preserve"> = 0.26), complete inclusion (i.e. consecutive recruitment and inclusion of those lost to follow-up, 41/298, agreement = 85%, </w:t>
      </w:r>
      <m:oMath>
        <m:r>
          <w:rPr>
            <w:rFonts w:ascii="Cambria Math" w:hAnsi="Cambria Math"/>
          </w:rPr>
          <m:t>κ</m:t>
        </m:r>
      </m:oMath>
      <w:r>
        <w:t xml:space="preserve"> = 0.45), and consecutive inclusion (93/298, agreement = 76.67%, </w:t>
      </w:r>
      <m:oMath>
        <m:r>
          <w:rPr>
            <w:rFonts w:ascii="Cambria Math" w:hAnsi="Cambria Math"/>
          </w:rPr>
          <m:t>κ</m:t>
        </m:r>
      </m:oMath>
      <w:r>
        <w:t xml:space="preserve"> = 0.51),</w:t>
      </w:r>
    </w:p>
    <w:p w14:paraId="0EB37575" w14:textId="77777777" w:rsidR="0016079D" w:rsidRDefault="00B23CA6">
      <w:pPr>
        <w:pStyle w:val="Heading2"/>
      </w:pPr>
      <w:bookmarkStart w:id="16" w:name="meta-analyses"/>
      <w:bookmarkEnd w:id="11"/>
      <w:bookmarkEnd w:id="15"/>
      <w:r>
        <w:t>Meta-Analyses</w:t>
      </w:r>
    </w:p>
    <w:p w14:paraId="47D29CDA" w14:textId="77777777" w:rsidR="0016079D" w:rsidRDefault="00B23CA6">
      <w:pPr>
        <w:pStyle w:val="BodyText"/>
      </w:pPr>
      <w:r>
        <w:t>Details for individual studies (characteristics, effect-size, measurement tools) are presented in tabular form and forest plots (supplementary tables 4-5, supplementary figures 1-3). During the GRADE methodological appraisal process, each of the meta-analysis were initially rated as ‘low,’ based on the predominant type of study design within the available evidence. Following review of the five GRADE areas these overall ratings were reduced in level to ‘very low’ based on study limitations and also inconsistency within the available evidence.</w:t>
      </w:r>
    </w:p>
    <w:p w14:paraId="023FB38C" w14:textId="5ED8FB13" w:rsidR="0016079D" w:rsidRDefault="00B23CA6">
      <w:pPr>
        <w:pStyle w:val="BodyText"/>
      </w:pPr>
      <w:r>
        <w:t>The random-effects meta-analysis for depression outcomes (</w:t>
      </w:r>
      <w:r>
        <w:rPr>
          <w:i/>
        </w:rPr>
        <w:t>k</w:t>
      </w:r>
      <w:r>
        <w:t xml:space="preserve"> = 140, N = 68,077), across 10 unique measurement tools was significant (</w:t>
      </w:r>
      <w:r>
        <w:rPr>
          <w:i/>
        </w:rPr>
        <w:t>p</w:t>
      </w:r>
      <w:r>
        <w:t xml:space="preserve"> = &lt; 0.001), indicative of a strong (</w:t>
      </w:r>
      <w:r>
        <w:rPr>
          <w:i/>
        </w:rPr>
        <w:t>d</w:t>
      </w:r>
      <w:r>
        <w:t xml:space="preserve"> = 0.96, CI = 0.88-1.04) reduction in depression symptoms. There was significant study heterogeneity (I</w:t>
      </w:r>
      <w:r>
        <w:rPr>
          <w:vertAlign w:val="superscript"/>
        </w:rPr>
        <w:t>2</w:t>
      </w:r>
      <w:r>
        <w:t xml:space="preserve"> = 97.94%, Q[df = 121] = 2,677.37, </w:t>
      </w:r>
      <w:r>
        <w:rPr>
          <w:i/>
        </w:rPr>
        <w:t>p</w:t>
      </w:r>
      <w:r>
        <w:t xml:space="preserve"> = &lt; 0.001). The funnel plot (Figure </w:t>
      </w:r>
      <w:r w:rsidR="00AE4540">
        <w:t>2</w:t>
      </w:r>
      <w:r>
        <w:t>) shows limited visual evidence of asymmetry. The funnel rank correlation test was not significant (</w:t>
      </w:r>
      <m:oMath>
        <m:r>
          <w:rPr>
            <w:rFonts w:ascii="Cambria Math" w:hAnsi="Cambria Math"/>
          </w:rPr>
          <m:t>τ</m:t>
        </m:r>
      </m:oMath>
      <w:r>
        <w:t xml:space="preserve"> = 0.061, </w:t>
      </w:r>
      <w:r>
        <w:rPr>
          <w:i/>
        </w:rPr>
        <w:t>p</w:t>
      </w:r>
      <w:r>
        <w:t xml:space="preserve"> = 0.46) however the funnel regression test was significant (Z = 2.13, </w:t>
      </w:r>
      <w:r>
        <w:rPr>
          <w:i/>
        </w:rPr>
        <w:t>p</w:t>
      </w:r>
      <w:r>
        <w:t xml:space="preserve"> = 0.033). The fail-safe N was 515,853.</w:t>
      </w:r>
    </w:p>
    <w:p w14:paraId="1E1F1FAA" w14:textId="77777777" w:rsidR="00AE4540" w:rsidRDefault="00AE4540">
      <w:pPr>
        <w:pStyle w:val="BodyText"/>
      </w:pPr>
    </w:p>
    <w:p w14:paraId="65C62A84" w14:textId="77777777" w:rsidR="00AE4540" w:rsidRDefault="00AE4540">
      <w:pPr>
        <w:pStyle w:val="BodyText"/>
      </w:pPr>
    </w:p>
    <w:p w14:paraId="567518EB" w14:textId="77777777" w:rsidR="00AE4540" w:rsidRPr="00AE4540" w:rsidRDefault="00AE4540" w:rsidP="00AE4540">
      <w:pPr>
        <w:spacing w:after="0" w:line="276" w:lineRule="auto"/>
        <w:rPr>
          <w:rFonts w:ascii="Times New Roman" w:eastAsia="Calibri" w:hAnsi="Times New Roman" w:cs="Times New Roman"/>
          <w:b/>
          <w:bCs/>
          <w:lang w:val="en-GB"/>
        </w:rPr>
      </w:pPr>
      <w:r w:rsidRPr="00AE4540">
        <w:rPr>
          <w:rFonts w:ascii="Times New Roman" w:eastAsia="Calibri" w:hAnsi="Times New Roman" w:cs="Times New Roman"/>
          <w:b/>
          <w:bCs/>
          <w:lang w:val="en-GB"/>
        </w:rPr>
        <w:t>Figure 2:</w:t>
      </w:r>
    </w:p>
    <w:p w14:paraId="6549E335" w14:textId="77777777" w:rsidR="00AE4540" w:rsidRPr="00AE4540" w:rsidRDefault="00AE4540" w:rsidP="00AE4540">
      <w:pPr>
        <w:spacing w:after="0" w:line="276" w:lineRule="auto"/>
        <w:rPr>
          <w:rFonts w:ascii="Times New Roman" w:eastAsia="Calibri" w:hAnsi="Times New Roman" w:cs="Times New Roman"/>
          <w:lang w:val="en-GB"/>
        </w:rPr>
      </w:pPr>
      <w:r w:rsidRPr="00AE4540">
        <w:rPr>
          <w:rFonts w:ascii="Times New Roman" w:eastAsia="Calibri" w:hAnsi="Times New Roman" w:cs="Times New Roman"/>
          <w:lang w:val="en-GB"/>
        </w:rPr>
        <w:lastRenderedPageBreak/>
        <w:t>Funnel plots displaying the distribution of studies reporting pre-post outcomes for (</w:t>
      </w:r>
      <w:proofErr w:type="spellStart"/>
      <w:r w:rsidRPr="00AE4540">
        <w:rPr>
          <w:rFonts w:ascii="Times New Roman" w:eastAsia="Calibri" w:hAnsi="Times New Roman" w:cs="Times New Roman"/>
          <w:lang w:val="en-GB"/>
        </w:rPr>
        <w:t>i</w:t>
      </w:r>
      <w:proofErr w:type="spellEnd"/>
      <w:r w:rsidRPr="00AE4540">
        <w:rPr>
          <w:rFonts w:ascii="Times New Roman" w:eastAsia="Calibri" w:hAnsi="Times New Roman" w:cs="Times New Roman"/>
          <w:lang w:val="en-GB"/>
        </w:rPr>
        <w:t>) depression, (ii) anxiety, and (iii) miscellaneous outcomes.</w:t>
      </w:r>
    </w:p>
    <w:p w14:paraId="5E9E6169" w14:textId="77777777" w:rsidR="00AE4540" w:rsidRPr="00AE4540" w:rsidRDefault="00AE4540" w:rsidP="00AE4540">
      <w:pPr>
        <w:spacing w:after="0"/>
        <w:rPr>
          <w:rFonts w:ascii="Times New Roman" w:eastAsia="Calibri" w:hAnsi="Times New Roman" w:cs="Times New Roman"/>
          <w:b/>
          <w:bCs/>
          <w:lang w:val="en-GB"/>
        </w:rPr>
      </w:pPr>
      <w:r w:rsidRPr="00AE4540">
        <w:rPr>
          <w:rFonts w:ascii="Times New Roman" w:eastAsia="Calibri" w:hAnsi="Times New Roman" w:cs="Times New Roman"/>
          <w:b/>
          <w:bCs/>
          <w:noProof/>
          <w:lang w:val="en-GB"/>
        </w:rPr>
        <w:drawing>
          <wp:anchor distT="0" distB="0" distL="114300" distR="114300" simplePos="0" relativeHeight="251681792" behindDoc="0" locked="0" layoutInCell="1" allowOverlap="1" wp14:anchorId="6DC27466" wp14:editId="57F86E01">
            <wp:simplePos x="0" y="0"/>
            <wp:positionH relativeFrom="margin">
              <wp:align>center</wp:align>
            </wp:positionH>
            <wp:positionV relativeFrom="paragraph">
              <wp:posOffset>297180</wp:posOffset>
            </wp:positionV>
            <wp:extent cx="4572000" cy="2222500"/>
            <wp:effectExtent l="0" t="0" r="0" b="0"/>
            <wp:wrapTopAndBottom/>
            <wp:docPr id="1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2173" b="17411"/>
                    <a:stretch/>
                  </pic:blipFill>
                  <pic:spPr bwMode="auto">
                    <a:xfrm>
                      <a:off x="0" y="0"/>
                      <a:ext cx="45720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540">
        <w:rPr>
          <w:rFonts w:ascii="Times New Roman" w:eastAsia="Calibri" w:hAnsi="Times New Roman" w:cs="Times New Roman"/>
          <w:b/>
          <w:bCs/>
          <w:lang w:val="en-GB"/>
        </w:rPr>
        <w:t>Depression</w:t>
      </w:r>
    </w:p>
    <w:p w14:paraId="7D0BEE54" w14:textId="77777777" w:rsidR="00AE4540" w:rsidRPr="00AE4540" w:rsidRDefault="00AE4540" w:rsidP="00AE4540">
      <w:pPr>
        <w:spacing w:after="0"/>
        <w:rPr>
          <w:rFonts w:ascii="Times New Roman" w:eastAsia="Calibri" w:hAnsi="Times New Roman" w:cs="Times New Roman"/>
          <w:b/>
          <w:bCs/>
          <w:lang w:val="en-GB"/>
        </w:rPr>
      </w:pPr>
      <w:r w:rsidRPr="00AE4540">
        <w:rPr>
          <w:rFonts w:ascii="Times New Roman" w:eastAsia="Calibri" w:hAnsi="Times New Roman" w:cs="Times New Roman"/>
          <w:b/>
          <w:bCs/>
          <w:noProof/>
          <w:lang w:val="en-GB"/>
        </w:rPr>
        <w:drawing>
          <wp:anchor distT="0" distB="0" distL="114300" distR="114300" simplePos="0" relativeHeight="251682816" behindDoc="0" locked="0" layoutInCell="1" allowOverlap="1" wp14:anchorId="70A10D6D" wp14:editId="6D8D1278">
            <wp:simplePos x="0" y="0"/>
            <wp:positionH relativeFrom="margin">
              <wp:align>center</wp:align>
            </wp:positionH>
            <wp:positionV relativeFrom="paragraph">
              <wp:posOffset>2649220</wp:posOffset>
            </wp:positionV>
            <wp:extent cx="4572000" cy="2101850"/>
            <wp:effectExtent l="0" t="0" r="0" b="6350"/>
            <wp:wrapTopAndBottom/>
            <wp:docPr id="1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2470" b="16072"/>
                    <a:stretch/>
                  </pic:blipFill>
                  <pic:spPr bwMode="auto">
                    <a:xfrm>
                      <a:off x="0" y="0"/>
                      <a:ext cx="4572000" cy="2101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540">
        <w:rPr>
          <w:rFonts w:ascii="Times New Roman" w:eastAsia="Calibri" w:hAnsi="Times New Roman" w:cs="Times New Roman"/>
          <w:b/>
          <w:bCs/>
          <w:lang w:val="en-GB"/>
        </w:rPr>
        <w:t>Anxiety</w:t>
      </w:r>
    </w:p>
    <w:p w14:paraId="4DC31004" w14:textId="77777777" w:rsidR="00AE4540" w:rsidRPr="00AE4540" w:rsidRDefault="00AE4540" w:rsidP="00AE4540">
      <w:pPr>
        <w:spacing w:after="0"/>
        <w:rPr>
          <w:rFonts w:ascii="Times New Roman" w:eastAsia="Calibri" w:hAnsi="Times New Roman" w:cs="Times New Roman"/>
          <w:b/>
          <w:bCs/>
          <w:lang w:val="en-GB"/>
        </w:rPr>
      </w:pPr>
      <w:r w:rsidRPr="00AE4540">
        <w:rPr>
          <w:rFonts w:ascii="Times New Roman" w:eastAsia="Calibri" w:hAnsi="Times New Roman" w:cs="Times New Roman"/>
          <w:b/>
          <w:bCs/>
          <w:noProof/>
          <w:lang w:val="en-GB"/>
        </w:rPr>
        <w:drawing>
          <wp:anchor distT="0" distB="0" distL="114300" distR="114300" simplePos="0" relativeHeight="251683840" behindDoc="0" locked="0" layoutInCell="1" allowOverlap="1" wp14:anchorId="580A79CE" wp14:editId="24EFC98D">
            <wp:simplePos x="0" y="0"/>
            <wp:positionH relativeFrom="margin">
              <wp:posOffset>577850</wp:posOffset>
            </wp:positionH>
            <wp:positionV relativeFrom="paragraph">
              <wp:posOffset>2523490</wp:posOffset>
            </wp:positionV>
            <wp:extent cx="4572000" cy="2019300"/>
            <wp:effectExtent l="0" t="0" r="0" b="0"/>
            <wp:wrapTopAndBottom/>
            <wp:docPr id="20"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22470" b="17262"/>
                    <a:stretch/>
                  </pic:blipFill>
                  <pic:spPr bwMode="auto">
                    <a:xfrm>
                      <a:off x="0" y="0"/>
                      <a:ext cx="4572000" cy="201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540">
        <w:rPr>
          <w:rFonts w:ascii="Times New Roman" w:eastAsia="Calibri" w:hAnsi="Times New Roman" w:cs="Times New Roman"/>
          <w:b/>
          <w:bCs/>
          <w:lang w:val="en-GB"/>
        </w:rPr>
        <w:t>Miscellaneous</w:t>
      </w:r>
    </w:p>
    <w:p w14:paraId="5CE30D9E" w14:textId="5B065368" w:rsidR="00AE4540" w:rsidRPr="00AE4540" w:rsidRDefault="00AE4540" w:rsidP="00AE4540">
      <w:pPr>
        <w:spacing w:after="0"/>
        <w:jc w:val="center"/>
        <w:rPr>
          <w:rFonts w:ascii="Times New Roman" w:eastAsia="Calibri" w:hAnsi="Times New Roman" w:cs="Times New Roman"/>
          <w:lang w:val="en-GB"/>
        </w:rPr>
      </w:pPr>
      <w:r w:rsidRPr="00AE4540">
        <w:rPr>
          <w:rFonts w:ascii="Times New Roman" w:eastAsia="Calibri" w:hAnsi="Times New Roman" w:cs="Times New Roman"/>
          <w:lang w:val="en-GB"/>
        </w:rPr>
        <w:t>Standardised Mean Change</w:t>
      </w:r>
    </w:p>
    <w:p w14:paraId="60D7C239" w14:textId="7E59FA44" w:rsidR="0016079D" w:rsidRDefault="00B23CA6">
      <w:pPr>
        <w:pStyle w:val="BodyText"/>
      </w:pPr>
      <w:r>
        <w:t>The random-effects meta-analysis for anxiety outcomes (</w:t>
      </w:r>
      <w:r>
        <w:rPr>
          <w:i/>
        </w:rPr>
        <w:t>k</w:t>
      </w:r>
      <w:r>
        <w:t xml:space="preserve"> = 84, N = 26,689, measurement tools = 20) was significant (</w:t>
      </w:r>
      <w:r>
        <w:rPr>
          <w:i/>
        </w:rPr>
        <w:t>p</w:t>
      </w:r>
      <w:r>
        <w:t xml:space="preserve"> = &lt; 0.001), indicative of a strong (</w:t>
      </w:r>
      <w:r>
        <w:rPr>
          <w:i/>
        </w:rPr>
        <w:t>d</w:t>
      </w:r>
      <w:r>
        <w:t xml:space="preserve"> = 0.8, CI = 0.71-0.9) reduction in symptoms. There was significant heterogeneity across studies (I</w:t>
      </w:r>
      <w:r>
        <w:rPr>
          <w:vertAlign w:val="superscript"/>
        </w:rPr>
        <w:t>2</w:t>
      </w:r>
      <w:r>
        <w:t xml:space="preserve"> = </w:t>
      </w:r>
      <w:r>
        <w:lastRenderedPageBreak/>
        <w:t xml:space="preserve">97.51%, Q[df = 68] = 1,328.96, </w:t>
      </w:r>
      <w:r>
        <w:rPr>
          <w:i/>
        </w:rPr>
        <w:t>p</w:t>
      </w:r>
      <w:r>
        <w:t xml:space="preserve"> = &lt; 0.001). The funnel plot shows limited evidence of asymmetry. The funnel rank correlation test was not significant (</w:t>
      </w:r>
      <m:oMath>
        <m:r>
          <w:rPr>
            <w:rFonts w:ascii="Cambria Math" w:hAnsi="Cambria Math"/>
          </w:rPr>
          <m:t>τ</m:t>
        </m:r>
      </m:oMath>
      <w:r>
        <w:t xml:space="preserve"> = 0.009, </w:t>
      </w:r>
      <w:r>
        <w:rPr>
          <w:i/>
        </w:rPr>
        <w:t>p</w:t>
      </w:r>
      <w:r>
        <w:t xml:space="preserve"> = 0.888). In contrast, the funnel regression test was significant (Z = 2.533, </w:t>
      </w:r>
      <w:r>
        <w:rPr>
          <w:i/>
        </w:rPr>
        <w:t>p</w:t>
      </w:r>
      <w:r>
        <w:t xml:space="preserve"> = 0.011). The fail-safe N was 121,899</w:t>
      </w:r>
    </w:p>
    <w:p w14:paraId="5042DFAC" w14:textId="77777777" w:rsidR="0016079D" w:rsidRDefault="00B23CA6">
      <w:pPr>
        <w:pStyle w:val="BodyText"/>
      </w:pPr>
      <w:r>
        <w:t xml:space="preserve">The random-effects meta-analysis for miscellaneous outcomes (i.e., global distress, functioning, diagnosis specific; </w:t>
      </w:r>
      <w:r>
        <w:rPr>
          <w:i/>
        </w:rPr>
        <w:t>k</w:t>
      </w:r>
      <w:r>
        <w:t xml:space="preserve"> = 184, N = 126,734, measurement tools = 40) was significant (</w:t>
      </w:r>
      <w:r>
        <w:rPr>
          <w:i/>
        </w:rPr>
        <w:t>p</w:t>
      </w:r>
      <w:r>
        <w:t xml:space="preserve"> = &lt; 0.001), indicative of a strong (</w:t>
      </w:r>
      <w:r>
        <w:rPr>
          <w:i/>
        </w:rPr>
        <w:t>d</w:t>
      </w:r>
      <w:r>
        <w:t xml:space="preserve"> = 1.01, CI = 0.93-1.09) reduction in symptoms. There was evidence of significant study heterogeneity across the included studies (I</w:t>
      </w:r>
      <w:r>
        <w:rPr>
          <w:vertAlign w:val="superscript"/>
        </w:rPr>
        <w:t>2</w:t>
      </w:r>
      <w:r>
        <w:t xml:space="preserve"> = 99.06%, Q[df = 157] = 15,330.32, </w:t>
      </w:r>
      <w:r>
        <w:rPr>
          <w:i/>
        </w:rPr>
        <w:t>p</w:t>
      </w:r>
      <w:r>
        <w:t xml:space="preserve"> = &lt; 0.001). The funnel plot shows a degree of asymmetry with clustering to the right of the mid-line. The funnel rank correlation test was significant (</w:t>
      </w:r>
      <m:oMath>
        <m:r>
          <w:rPr>
            <w:rFonts w:ascii="Cambria Math" w:hAnsi="Cambria Math"/>
          </w:rPr>
          <m:t>τ</m:t>
        </m:r>
      </m:oMath>
      <w:r>
        <w:t xml:space="preserve"> = 0.208, </w:t>
      </w:r>
      <w:r>
        <w:rPr>
          <w:i/>
        </w:rPr>
        <w:t>p</w:t>
      </w:r>
      <w:r>
        <w:t xml:space="preserve"> = &lt;0.001). In contrast, the funnel regression test was not significant (Z = 3.697, </w:t>
      </w:r>
      <w:r>
        <w:rPr>
          <w:i/>
        </w:rPr>
        <w:t>p</w:t>
      </w:r>
      <w:r>
        <w:t xml:space="preserve"> = &lt;0.001). The fail-safe N was 1,695,607.</w:t>
      </w:r>
    </w:p>
    <w:p w14:paraId="35AF8845" w14:textId="5C7DFC2B" w:rsidR="00AE4540" w:rsidRDefault="00B23CA6" w:rsidP="00AE4540">
      <w:pPr>
        <w:pStyle w:val="BodyText"/>
      </w:pPr>
      <w:r>
        <w:t xml:space="preserve">The post-hoc fixed effects model (i.e., sensitivity analysis) was highly comparable for miscellaneous outcomes (fixed: </w:t>
      </w:r>
      <w:r>
        <w:rPr>
          <w:i/>
        </w:rPr>
        <w:t>d</w:t>
      </w:r>
      <w:r>
        <w:t xml:space="preserve"> = 1.02, CI = 1.01-1.02; random: </w:t>
      </w:r>
      <w:r>
        <w:rPr>
          <w:i/>
        </w:rPr>
        <w:t>d</w:t>
      </w:r>
      <w:r>
        <w:t xml:space="preserve"> = 1.01, CI = 0.93-1.09). The discrepancy was larger for depression outcomes (fixed: </w:t>
      </w:r>
      <w:r>
        <w:rPr>
          <w:i/>
        </w:rPr>
        <w:t>d</w:t>
      </w:r>
      <w:r>
        <w:t xml:space="preserve"> = 0.81, CI = 0.8-0.82; random: </w:t>
      </w:r>
      <w:r>
        <w:rPr>
          <w:i/>
        </w:rPr>
        <w:t>d</w:t>
      </w:r>
      <w:r>
        <w:t xml:space="preserve"> = 0.96 CI = 0.88-1.04). and larger still for anxiety outcomes (fixed: </w:t>
      </w:r>
      <w:r>
        <w:rPr>
          <w:i/>
        </w:rPr>
        <w:t>d</w:t>
      </w:r>
      <w:r>
        <w:t xml:space="preserve"> = 0.57, CI = 0.56-0.58; random: </w:t>
      </w:r>
      <w:r>
        <w:rPr>
          <w:i/>
        </w:rPr>
        <w:t>d</w:t>
      </w:r>
      <w:r>
        <w:t xml:space="preserve"> = 0.8 CI 0.71-0.9).</w:t>
      </w:r>
      <w:bookmarkStart w:id="17" w:name="moderator-analyses"/>
      <w:bookmarkEnd w:id="16"/>
    </w:p>
    <w:p w14:paraId="1BB07B7C" w14:textId="7481784E" w:rsidR="00AE4540" w:rsidRPr="00AE4540" w:rsidRDefault="00AE4540" w:rsidP="00AE4540">
      <w:pPr>
        <w:rPr>
          <w:rFonts w:ascii="Times New Roman" w:hAnsi="Times New Roman"/>
        </w:rPr>
      </w:pPr>
      <w:r>
        <w:br w:type="page"/>
      </w:r>
    </w:p>
    <w:p w14:paraId="78A95173" w14:textId="4524F3F3" w:rsidR="0016079D" w:rsidRDefault="00B23CA6" w:rsidP="006C5163">
      <w:pPr>
        <w:pStyle w:val="Heading2"/>
        <w:spacing w:line="360" w:lineRule="auto"/>
      </w:pPr>
      <w:r>
        <w:lastRenderedPageBreak/>
        <w:t>Moderator Analyses</w:t>
      </w:r>
    </w:p>
    <w:p w14:paraId="6B4ED64A" w14:textId="6A2DE90B" w:rsidR="0016079D" w:rsidRDefault="00B23CA6" w:rsidP="006C5163">
      <w:pPr>
        <w:pStyle w:val="FirstParagraph"/>
      </w:pPr>
      <w:r>
        <w:t xml:space="preserve">Moderator analysis results are shown in Tables 3:6. The results of the omnibus models (QM tests) indicate moderators with significant between level variation. </w:t>
      </w:r>
      <w:r>
        <w:rPr>
          <w:i/>
        </w:rPr>
        <w:t>Continent</w:t>
      </w:r>
      <w:r>
        <w:t xml:space="preserve"> was significant for all three outcome domains, with UK and North American studies producing larger effect sizes than other continents. Type of </w:t>
      </w:r>
      <w:r>
        <w:rPr>
          <w:i/>
        </w:rPr>
        <w:t>analysis</w:t>
      </w:r>
      <w:r>
        <w:t xml:space="preserve">, </w:t>
      </w:r>
      <w:r>
        <w:rPr>
          <w:i/>
        </w:rPr>
        <w:t>sample size</w:t>
      </w:r>
      <w:r>
        <w:t xml:space="preserve">, and treatment </w:t>
      </w:r>
      <w:r>
        <w:rPr>
          <w:i/>
        </w:rPr>
        <w:t>develeopment stage</w:t>
      </w:r>
      <w:r>
        <w:t xml:space="preserve"> produced no significant findings.</w:t>
      </w:r>
      <w:r w:rsidR="006C5163">
        <w:t xml:space="preserve"> </w:t>
      </w:r>
      <w:r>
        <w:t xml:space="preserve">For </w:t>
      </w:r>
      <w:r>
        <w:rPr>
          <w:i/>
        </w:rPr>
        <w:t>setting</w:t>
      </w:r>
      <w:r>
        <w:t xml:space="preserve"> (i.e., inpatient vs. outpatient) the omnibus model for anxiety was significant. Outpatient samples [</w:t>
      </w:r>
      <w:r>
        <w:rPr>
          <w:i/>
        </w:rPr>
        <w:t>d</w:t>
      </w:r>
      <w:r>
        <w:t xml:space="preserve"> = 0.89, CI = 0.78-0.99] outperformed inpatient samples [</w:t>
      </w:r>
      <w:r>
        <w:rPr>
          <w:i/>
        </w:rPr>
        <w:t>d</w:t>
      </w:r>
      <w:r>
        <w:t xml:space="preserve"> = 0.58, CI = 0.31-0.85]); although with CI overlap.</w:t>
      </w:r>
      <w:r w:rsidR="006C5163">
        <w:t xml:space="preserve"> </w:t>
      </w:r>
      <w:r>
        <w:t xml:space="preserve">Omnibus models for </w:t>
      </w:r>
      <w:r>
        <w:rPr>
          <w:i/>
        </w:rPr>
        <w:t>modality</w:t>
      </w:r>
      <w:r>
        <w:t xml:space="preserve">, </w:t>
      </w:r>
      <w:r>
        <w:rPr>
          <w:i/>
        </w:rPr>
        <w:t>severity</w:t>
      </w:r>
      <w:r>
        <w:t xml:space="preserve">, </w:t>
      </w:r>
      <w:proofErr w:type="gramStart"/>
      <w:r>
        <w:rPr>
          <w:i/>
        </w:rPr>
        <w:t>experience</w:t>
      </w:r>
      <w:proofErr w:type="gramEnd"/>
      <w:r>
        <w:t xml:space="preserve"> and </w:t>
      </w:r>
      <w:r>
        <w:rPr>
          <w:i/>
        </w:rPr>
        <w:t>measurement tool</w:t>
      </w:r>
      <w:r>
        <w:t xml:space="preserve"> were significant for the anxiety and miscellaneous domains. Therapy </w:t>
      </w:r>
      <w:r>
        <w:rPr>
          <w:i/>
        </w:rPr>
        <w:t>modality</w:t>
      </w:r>
      <w:r>
        <w:t xml:space="preserve"> demonstrated that counselling (</w:t>
      </w:r>
      <w:r>
        <w:rPr>
          <w:i/>
        </w:rPr>
        <w:t>d</w:t>
      </w:r>
      <w:r>
        <w:t xml:space="preserve"> = 0.43, CI = 0.38-0.49) produced smaller improvements in anxiety, although with a small number of </w:t>
      </w:r>
      <w:r w:rsidR="006C5163">
        <w:t>samples</w:t>
      </w:r>
      <w:r>
        <w:t xml:space="preserve"> (</w:t>
      </w:r>
      <w:r>
        <w:rPr>
          <w:i/>
        </w:rPr>
        <w:t>k</w:t>
      </w:r>
      <w:r>
        <w:t xml:space="preserve"> = 2). For miscellaneous outcomes CBT produced larger effect-sizes (</w:t>
      </w:r>
      <w:r>
        <w:rPr>
          <w:i/>
        </w:rPr>
        <w:t>d</w:t>
      </w:r>
      <w:r>
        <w:t xml:space="preserve"> = 1.18, CI = 1.05-1.32) although with a narrow degree of overlap with psychodynamic (</w:t>
      </w:r>
      <w:r>
        <w:rPr>
          <w:i/>
        </w:rPr>
        <w:t>d</w:t>
      </w:r>
      <w:r>
        <w:t xml:space="preserve"> = 0.93, CI = 0.79-1.07) and counselling outcomes (</w:t>
      </w:r>
      <w:r>
        <w:rPr>
          <w:i/>
        </w:rPr>
        <w:t>d</w:t>
      </w:r>
      <w:r>
        <w:t xml:space="preserve"> = 0.90, CI = 0.75-1.06). For </w:t>
      </w:r>
      <w:r>
        <w:rPr>
          <w:i/>
        </w:rPr>
        <w:t>severity</w:t>
      </w:r>
      <w:r>
        <w:t>, anxiety outcomes were larger for mild (</w:t>
      </w:r>
      <w:r>
        <w:rPr>
          <w:i/>
        </w:rPr>
        <w:t>d</w:t>
      </w:r>
      <w:r>
        <w:t xml:space="preserve"> = 0.99, CI = 0.79-1.20) and university services (</w:t>
      </w:r>
      <w:r>
        <w:rPr>
          <w:i/>
        </w:rPr>
        <w:t>d</w:t>
      </w:r>
      <w:r>
        <w:t xml:space="preserve"> = 1.01, CI = 0.83-1.20) than for severe or moderate services. For miscellaneous outcomes, effect sizes were larger for mild (</w:t>
      </w:r>
      <w:r>
        <w:rPr>
          <w:i/>
        </w:rPr>
        <w:t>d</w:t>
      </w:r>
      <w:r>
        <w:t xml:space="preserve"> = 1.08, CI = 0.95-1.21) and severe (</w:t>
      </w:r>
      <w:r>
        <w:rPr>
          <w:i/>
        </w:rPr>
        <w:t>d</w:t>
      </w:r>
      <w:r>
        <w:t xml:space="preserve"> = 1.09, CI = 0.91-1.26) services. For </w:t>
      </w:r>
      <w:r>
        <w:rPr>
          <w:i/>
        </w:rPr>
        <w:t>experience</w:t>
      </w:r>
      <w:r>
        <w:t xml:space="preserve"> unqualified professionals produced smaller improvements for miscellaneous outcomes (</w:t>
      </w:r>
      <w:r>
        <w:rPr>
          <w:i/>
        </w:rPr>
        <w:t>d</w:t>
      </w:r>
      <w:r>
        <w:t xml:space="preserve"> = 0.77, CI = 0.65-0.89) with no overlap; although superior improvements for anxiety outcomes (</w:t>
      </w:r>
      <w:r>
        <w:rPr>
          <w:i/>
        </w:rPr>
        <w:t>d</w:t>
      </w:r>
      <w:r>
        <w:t xml:space="preserve"> = 1.12, CI = 0.86-1.39). Finally, for </w:t>
      </w:r>
      <w:r>
        <w:rPr>
          <w:i/>
        </w:rPr>
        <w:t>measurement tool</w:t>
      </w:r>
      <w:r>
        <w:t>, larger effect-sizes for anxiety outcomes was shown for the GAD-7 (</w:t>
      </w:r>
      <w:r>
        <w:rPr>
          <w:i/>
        </w:rPr>
        <w:t>d</w:t>
      </w:r>
      <w:r>
        <w:t xml:space="preserve"> = 0.96, CI = 0.78-1.15) than the BAI (</w:t>
      </w:r>
      <w:r>
        <w:rPr>
          <w:i/>
        </w:rPr>
        <w:t>d</w:t>
      </w:r>
      <w:r>
        <w:t xml:space="preserve"> = 0.71, CI = 0.54-0.88). For miscellaneous outcomes, the OQ-45 demonstrated smaller effect-sizes (</w:t>
      </w:r>
      <w:r>
        <w:rPr>
          <w:i/>
        </w:rPr>
        <w:t>d</w:t>
      </w:r>
      <w:r>
        <w:t xml:space="preserve"> = 0.57, CI = 0.41-0.74) than the other commonly used measures (BSI, CORE-OM, SCL).</w:t>
      </w:r>
    </w:p>
    <w:p w14:paraId="5F00B7A3" w14:textId="77777777" w:rsidR="006C5163" w:rsidRDefault="006C5163">
      <w:pPr>
        <w:rPr>
          <w:rFonts w:ascii="Times New Roman" w:eastAsia="Calibri" w:hAnsi="Times New Roman" w:cs="Times New Roman"/>
          <w:b/>
          <w:bCs/>
          <w:sz w:val="21"/>
          <w:szCs w:val="21"/>
          <w:lang w:val="en-GB"/>
        </w:rPr>
      </w:pPr>
      <w:r>
        <w:rPr>
          <w:rFonts w:ascii="Times New Roman" w:eastAsia="Calibri" w:hAnsi="Times New Roman" w:cs="Times New Roman"/>
          <w:b/>
          <w:bCs/>
          <w:sz w:val="21"/>
          <w:szCs w:val="21"/>
          <w:lang w:val="en-GB"/>
        </w:rPr>
        <w:br w:type="page"/>
      </w:r>
    </w:p>
    <w:p w14:paraId="79EA24D8" w14:textId="609F6C0A" w:rsidR="006C5163" w:rsidRPr="006C5163" w:rsidRDefault="006C5163" w:rsidP="006C5163">
      <w:pPr>
        <w:spacing w:after="0" w:line="360" w:lineRule="auto"/>
        <w:rPr>
          <w:rFonts w:ascii="Times New Roman" w:eastAsia="Calibri" w:hAnsi="Times New Roman" w:cs="Times New Roman"/>
          <w:b/>
          <w:bCs/>
          <w:sz w:val="21"/>
          <w:szCs w:val="21"/>
          <w:lang w:val="en-GB"/>
        </w:rPr>
      </w:pPr>
      <w:r w:rsidRPr="006C5163">
        <w:rPr>
          <w:rFonts w:ascii="Times New Roman" w:eastAsia="Calibri" w:hAnsi="Times New Roman" w:cs="Times New Roman"/>
          <w:b/>
          <w:bCs/>
          <w:sz w:val="21"/>
          <w:szCs w:val="21"/>
          <w:lang w:val="en-GB"/>
        </w:rPr>
        <w:lastRenderedPageBreak/>
        <w:t>Table 3:</w:t>
      </w:r>
    </w:p>
    <w:p w14:paraId="269466C2" w14:textId="77777777" w:rsidR="006C5163" w:rsidRPr="006C5163" w:rsidRDefault="006C5163" w:rsidP="006C5163">
      <w:pPr>
        <w:spacing w:after="0" w:line="360" w:lineRule="auto"/>
        <w:rPr>
          <w:rFonts w:ascii="Times New Roman" w:eastAsia="Calibri" w:hAnsi="Times New Roman" w:cs="Times New Roman"/>
          <w:sz w:val="21"/>
          <w:szCs w:val="21"/>
          <w:lang w:val="en-GB"/>
        </w:rPr>
      </w:pPr>
      <w:r w:rsidRPr="006C5163">
        <w:rPr>
          <w:rFonts w:ascii="Times New Roman" w:eastAsia="Calibri" w:hAnsi="Times New Roman" w:cs="Times New Roman"/>
          <w:sz w:val="21"/>
          <w:szCs w:val="21"/>
          <w:lang w:val="en-GB"/>
        </w:rPr>
        <w:t>Subgroup moderator analyses for depression outcomes.</w:t>
      </w:r>
    </w:p>
    <w:tbl>
      <w:tblPr>
        <w:tblW w:w="9020" w:type="dxa"/>
        <w:tblLayout w:type="fixed"/>
        <w:tblCellMar>
          <w:top w:w="15" w:type="dxa"/>
          <w:left w:w="15" w:type="dxa"/>
          <w:bottom w:w="15" w:type="dxa"/>
          <w:right w:w="15" w:type="dxa"/>
        </w:tblCellMar>
        <w:tblLook w:val="04A0" w:firstRow="1" w:lastRow="0" w:firstColumn="1" w:lastColumn="0" w:noHBand="0" w:noVBand="1"/>
      </w:tblPr>
      <w:tblGrid>
        <w:gridCol w:w="1560"/>
        <w:gridCol w:w="1984"/>
        <w:gridCol w:w="851"/>
        <w:gridCol w:w="850"/>
        <w:gridCol w:w="1242"/>
        <w:gridCol w:w="1451"/>
        <w:gridCol w:w="1082"/>
      </w:tblGrid>
      <w:tr w:rsidR="006C5163" w:rsidRPr="006C5163" w14:paraId="024148BF" w14:textId="77777777" w:rsidTr="002C4AEA">
        <w:trPr>
          <w:trHeight w:val="37"/>
          <w:tblHeader/>
        </w:trPr>
        <w:tc>
          <w:tcPr>
            <w:tcW w:w="156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2636F6B9"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1984"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25A3CD4F"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8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180808B9" w14:textId="77777777"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k</w:t>
            </w:r>
          </w:p>
        </w:tc>
        <w:tc>
          <w:tcPr>
            <w:tcW w:w="85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07435D74" w14:textId="77777777"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d</w:t>
            </w:r>
          </w:p>
        </w:tc>
        <w:tc>
          <w:tcPr>
            <w:tcW w:w="124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3E64E01E"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ci</w:t>
            </w:r>
          </w:p>
        </w:tc>
        <w:tc>
          <w:tcPr>
            <w:tcW w:w="14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3EF6A27C"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Q</w:t>
            </w:r>
          </w:p>
        </w:tc>
        <w:tc>
          <w:tcPr>
            <w:tcW w:w="108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16C442BF"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I2</w:t>
            </w:r>
          </w:p>
        </w:tc>
      </w:tr>
      <w:tr w:rsidR="006C5163" w:rsidRPr="006C5163" w14:paraId="499B4F69"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1D90731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severity (Q = 0.79, p = 0.853)</w:t>
            </w:r>
          </w:p>
        </w:tc>
      </w:tr>
      <w:tr w:rsidR="006C5163" w:rsidRPr="006C5163" w14:paraId="0061F4F5"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66423FC4"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r w:rsidRPr="006C5163">
              <w:rPr>
                <w:rFonts w:ascii="Times New Roman" w:eastAsia="Times New Roman" w:hAnsi="Times New Roman" w:cs="Times New Roman"/>
                <w:color w:val="000000"/>
                <w:spacing w:val="3"/>
                <w:sz w:val="18"/>
                <w:szCs w:val="18"/>
                <w:lang w:val="en-GB" w:eastAsia="en-GB"/>
              </w:rPr>
              <w:t>severity</w:t>
            </w:r>
          </w:p>
        </w:tc>
        <w:tc>
          <w:tcPr>
            <w:tcW w:w="1984" w:type="dxa"/>
            <w:tcBorders>
              <w:left w:val="nil"/>
              <w:right w:val="nil"/>
            </w:tcBorders>
            <w:shd w:val="clear" w:color="auto" w:fill="F2F2F2"/>
            <w:tcMar>
              <w:top w:w="90" w:type="dxa"/>
              <w:left w:w="195" w:type="dxa"/>
              <w:bottom w:w="90" w:type="dxa"/>
              <w:right w:w="195" w:type="dxa"/>
            </w:tcMar>
          </w:tcPr>
          <w:p w14:paraId="16952D2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University</w:t>
            </w:r>
          </w:p>
        </w:tc>
        <w:tc>
          <w:tcPr>
            <w:tcW w:w="851" w:type="dxa"/>
            <w:tcBorders>
              <w:left w:val="nil"/>
              <w:right w:val="nil"/>
            </w:tcBorders>
            <w:shd w:val="clear" w:color="auto" w:fill="F2F2F2"/>
            <w:tcMar>
              <w:top w:w="90" w:type="dxa"/>
              <w:left w:w="195" w:type="dxa"/>
              <w:bottom w:w="90" w:type="dxa"/>
              <w:right w:w="195" w:type="dxa"/>
            </w:tcMar>
          </w:tcPr>
          <w:p w14:paraId="73F1062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30</w:t>
            </w:r>
          </w:p>
        </w:tc>
        <w:tc>
          <w:tcPr>
            <w:tcW w:w="850" w:type="dxa"/>
            <w:tcBorders>
              <w:left w:val="nil"/>
              <w:right w:val="nil"/>
            </w:tcBorders>
            <w:shd w:val="clear" w:color="auto" w:fill="F2F2F2"/>
            <w:tcMar>
              <w:top w:w="90" w:type="dxa"/>
              <w:left w:w="195" w:type="dxa"/>
              <w:bottom w:w="90" w:type="dxa"/>
              <w:right w:w="195" w:type="dxa"/>
            </w:tcMar>
          </w:tcPr>
          <w:p w14:paraId="0086FF9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0.98</w:t>
            </w:r>
          </w:p>
        </w:tc>
        <w:tc>
          <w:tcPr>
            <w:tcW w:w="1242" w:type="dxa"/>
            <w:tcBorders>
              <w:left w:val="nil"/>
              <w:right w:val="nil"/>
            </w:tcBorders>
            <w:shd w:val="clear" w:color="auto" w:fill="F2F2F2"/>
            <w:tcMar>
              <w:top w:w="90" w:type="dxa"/>
              <w:left w:w="195" w:type="dxa"/>
              <w:bottom w:w="90" w:type="dxa"/>
              <w:right w:w="195" w:type="dxa"/>
            </w:tcMar>
          </w:tcPr>
          <w:p w14:paraId="5607CE1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1.16-0.79</w:t>
            </w:r>
          </w:p>
        </w:tc>
        <w:tc>
          <w:tcPr>
            <w:tcW w:w="1451" w:type="dxa"/>
            <w:tcBorders>
              <w:left w:val="nil"/>
              <w:right w:val="nil"/>
            </w:tcBorders>
            <w:shd w:val="clear" w:color="auto" w:fill="F2F2F2"/>
            <w:tcMar>
              <w:top w:w="90" w:type="dxa"/>
              <w:left w:w="195" w:type="dxa"/>
              <w:bottom w:w="90" w:type="dxa"/>
              <w:right w:w="195" w:type="dxa"/>
            </w:tcMar>
          </w:tcPr>
          <w:p w14:paraId="047B50A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43207.72</w:t>
            </w:r>
          </w:p>
        </w:tc>
        <w:tc>
          <w:tcPr>
            <w:tcW w:w="1082" w:type="dxa"/>
            <w:tcBorders>
              <w:left w:val="nil"/>
              <w:right w:val="nil"/>
            </w:tcBorders>
            <w:shd w:val="clear" w:color="auto" w:fill="F2F2F2"/>
            <w:tcMar>
              <w:top w:w="90" w:type="dxa"/>
              <w:left w:w="195" w:type="dxa"/>
              <w:bottom w:w="90" w:type="dxa"/>
              <w:right w:w="195" w:type="dxa"/>
            </w:tcMar>
          </w:tcPr>
          <w:p w14:paraId="09D30B3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100.0%</w:t>
            </w:r>
          </w:p>
        </w:tc>
      </w:tr>
      <w:tr w:rsidR="006C5163" w:rsidRPr="006C5163" w14:paraId="14AD9FC9" w14:textId="77777777" w:rsidTr="006C5163">
        <w:tc>
          <w:tcPr>
            <w:tcW w:w="1560" w:type="dxa"/>
            <w:vMerge/>
            <w:tcBorders>
              <w:left w:val="nil"/>
              <w:right w:val="nil"/>
            </w:tcBorders>
            <w:shd w:val="clear" w:color="auto" w:fill="auto"/>
            <w:tcMar>
              <w:top w:w="90" w:type="dxa"/>
              <w:left w:w="480" w:type="dxa"/>
              <w:bottom w:w="90" w:type="dxa"/>
              <w:right w:w="195" w:type="dxa"/>
            </w:tcMar>
            <w:vAlign w:val="center"/>
            <w:hideMark/>
          </w:tcPr>
          <w:p w14:paraId="48FF026A"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hideMark/>
          </w:tcPr>
          <w:p w14:paraId="7A0C8B2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mild</w:t>
            </w:r>
          </w:p>
        </w:tc>
        <w:tc>
          <w:tcPr>
            <w:tcW w:w="851" w:type="dxa"/>
            <w:tcBorders>
              <w:left w:val="nil"/>
              <w:right w:val="nil"/>
            </w:tcBorders>
            <w:shd w:val="clear" w:color="auto" w:fill="FFFFFF"/>
            <w:tcMar>
              <w:top w:w="90" w:type="dxa"/>
              <w:left w:w="195" w:type="dxa"/>
              <w:bottom w:w="90" w:type="dxa"/>
              <w:right w:w="195" w:type="dxa"/>
            </w:tcMar>
            <w:vAlign w:val="center"/>
            <w:hideMark/>
          </w:tcPr>
          <w:p w14:paraId="4E44307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34</w:t>
            </w:r>
          </w:p>
        </w:tc>
        <w:tc>
          <w:tcPr>
            <w:tcW w:w="850" w:type="dxa"/>
            <w:tcBorders>
              <w:left w:val="nil"/>
              <w:right w:val="nil"/>
            </w:tcBorders>
            <w:shd w:val="clear" w:color="auto" w:fill="FFFFFF"/>
            <w:tcMar>
              <w:top w:w="90" w:type="dxa"/>
              <w:left w:w="195" w:type="dxa"/>
              <w:bottom w:w="90" w:type="dxa"/>
              <w:right w:w="195" w:type="dxa"/>
            </w:tcMar>
            <w:vAlign w:val="center"/>
            <w:hideMark/>
          </w:tcPr>
          <w:p w14:paraId="2903128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1.03</w:t>
            </w:r>
          </w:p>
        </w:tc>
        <w:tc>
          <w:tcPr>
            <w:tcW w:w="1242" w:type="dxa"/>
            <w:tcBorders>
              <w:left w:val="nil"/>
              <w:right w:val="nil"/>
            </w:tcBorders>
            <w:shd w:val="clear" w:color="auto" w:fill="FFFFFF"/>
            <w:tcMar>
              <w:top w:w="90" w:type="dxa"/>
              <w:left w:w="195" w:type="dxa"/>
              <w:bottom w:w="90" w:type="dxa"/>
              <w:right w:w="195" w:type="dxa"/>
            </w:tcMar>
            <w:vAlign w:val="center"/>
            <w:hideMark/>
          </w:tcPr>
          <w:p w14:paraId="75EA96B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1.22-0.85</w:t>
            </w:r>
          </w:p>
        </w:tc>
        <w:tc>
          <w:tcPr>
            <w:tcW w:w="1451" w:type="dxa"/>
            <w:tcBorders>
              <w:left w:val="nil"/>
              <w:right w:val="nil"/>
            </w:tcBorders>
            <w:shd w:val="clear" w:color="auto" w:fill="FFFFFF"/>
            <w:tcMar>
              <w:top w:w="90" w:type="dxa"/>
              <w:left w:w="195" w:type="dxa"/>
              <w:bottom w:w="90" w:type="dxa"/>
              <w:right w:w="195" w:type="dxa"/>
            </w:tcMar>
            <w:vAlign w:val="center"/>
            <w:hideMark/>
          </w:tcPr>
          <w:p w14:paraId="43A4C3D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9550225.84</w:t>
            </w:r>
          </w:p>
        </w:tc>
        <w:tc>
          <w:tcPr>
            <w:tcW w:w="1082" w:type="dxa"/>
            <w:tcBorders>
              <w:left w:val="nil"/>
              <w:right w:val="nil"/>
            </w:tcBorders>
            <w:shd w:val="clear" w:color="auto" w:fill="FFFFFF"/>
            <w:tcMar>
              <w:top w:w="90" w:type="dxa"/>
              <w:left w:w="195" w:type="dxa"/>
              <w:bottom w:w="90" w:type="dxa"/>
              <w:right w:w="195" w:type="dxa"/>
            </w:tcMar>
            <w:vAlign w:val="center"/>
            <w:hideMark/>
          </w:tcPr>
          <w:p w14:paraId="22FB105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68E95CE8" w14:textId="77777777" w:rsidTr="006C5163">
        <w:tc>
          <w:tcPr>
            <w:tcW w:w="1560" w:type="dxa"/>
            <w:vMerge/>
            <w:tcBorders>
              <w:left w:val="nil"/>
              <w:right w:val="nil"/>
            </w:tcBorders>
            <w:shd w:val="clear" w:color="auto" w:fill="auto"/>
            <w:tcMar>
              <w:top w:w="90" w:type="dxa"/>
              <w:left w:w="480" w:type="dxa"/>
              <w:bottom w:w="90" w:type="dxa"/>
              <w:right w:w="195" w:type="dxa"/>
            </w:tcMar>
          </w:tcPr>
          <w:p w14:paraId="63D7A9E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tcPr>
          <w:p w14:paraId="639CD7A1"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moderate</w:t>
            </w:r>
          </w:p>
        </w:tc>
        <w:tc>
          <w:tcPr>
            <w:tcW w:w="851" w:type="dxa"/>
            <w:tcBorders>
              <w:left w:val="nil"/>
              <w:right w:val="nil"/>
            </w:tcBorders>
            <w:shd w:val="clear" w:color="auto" w:fill="F2F2F2"/>
            <w:tcMar>
              <w:top w:w="90" w:type="dxa"/>
              <w:left w:w="195" w:type="dxa"/>
              <w:bottom w:w="90" w:type="dxa"/>
              <w:right w:w="195" w:type="dxa"/>
            </w:tcMar>
          </w:tcPr>
          <w:p w14:paraId="130932DA"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57</w:t>
            </w:r>
          </w:p>
        </w:tc>
        <w:tc>
          <w:tcPr>
            <w:tcW w:w="850" w:type="dxa"/>
            <w:tcBorders>
              <w:left w:val="nil"/>
              <w:right w:val="nil"/>
            </w:tcBorders>
            <w:shd w:val="clear" w:color="auto" w:fill="F2F2F2"/>
            <w:tcMar>
              <w:top w:w="90" w:type="dxa"/>
              <w:left w:w="195" w:type="dxa"/>
              <w:bottom w:w="90" w:type="dxa"/>
              <w:right w:w="195" w:type="dxa"/>
            </w:tcMar>
          </w:tcPr>
          <w:p w14:paraId="62F0963B"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0.98</w:t>
            </w:r>
          </w:p>
        </w:tc>
        <w:tc>
          <w:tcPr>
            <w:tcW w:w="1242" w:type="dxa"/>
            <w:tcBorders>
              <w:left w:val="nil"/>
              <w:right w:val="nil"/>
            </w:tcBorders>
            <w:shd w:val="clear" w:color="auto" w:fill="F2F2F2"/>
            <w:tcMar>
              <w:top w:w="90" w:type="dxa"/>
              <w:left w:w="195" w:type="dxa"/>
              <w:bottom w:w="90" w:type="dxa"/>
              <w:right w:w="195" w:type="dxa"/>
            </w:tcMar>
          </w:tcPr>
          <w:p w14:paraId="42C048C0"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1.11-0.86</w:t>
            </w:r>
          </w:p>
        </w:tc>
        <w:tc>
          <w:tcPr>
            <w:tcW w:w="1451" w:type="dxa"/>
            <w:tcBorders>
              <w:left w:val="nil"/>
              <w:right w:val="nil"/>
            </w:tcBorders>
            <w:shd w:val="clear" w:color="auto" w:fill="F2F2F2"/>
            <w:tcMar>
              <w:top w:w="90" w:type="dxa"/>
              <w:left w:w="195" w:type="dxa"/>
              <w:bottom w:w="90" w:type="dxa"/>
              <w:right w:w="195" w:type="dxa"/>
            </w:tcMar>
          </w:tcPr>
          <w:p w14:paraId="65B3B621"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80913.95</w:t>
            </w:r>
          </w:p>
        </w:tc>
        <w:tc>
          <w:tcPr>
            <w:tcW w:w="1082" w:type="dxa"/>
            <w:tcBorders>
              <w:left w:val="nil"/>
              <w:right w:val="nil"/>
            </w:tcBorders>
            <w:shd w:val="clear" w:color="auto" w:fill="F2F2F2"/>
            <w:tcMar>
              <w:top w:w="90" w:type="dxa"/>
              <w:left w:w="195" w:type="dxa"/>
              <w:bottom w:w="90" w:type="dxa"/>
              <w:right w:w="195" w:type="dxa"/>
            </w:tcMar>
          </w:tcPr>
          <w:p w14:paraId="3A5EFBA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100.0%</w:t>
            </w:r>
          </w:p>
        </w:tc>
      </w:tr>
      <w:tr w:rsidR="006C5163" w:rsidRPr="006C5163" w14:paraId="7EC07A56" w14:textId="77777777" w:rsidTr="002C4AEA">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5B9E1A4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tcPr>
          <w:p w14:paraId="5B63FCF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severe</w:t>
            </w:r>
          </w:p>
        </w:tc>
        <w:tc>
          <w:tcPr>
            <w:tcW w:w="851" w:type="dxa"/>
            <w:tcBorders>
              <w:left w:val="nil"/>
              <w:bottom w:val="single" w:sz="4" w:space="0" w:color="auto"/>
              <w:right w:val="nil"/>
            </w:tcBorders>
            <w:shd w:val="clear" w:color="auto" w:fill="auto"/>
            <w:tcMar>
              <w:top w:w="90" w:type="dxa"/>
              <w:left w:w="195" w:type="dxa"/>
              <w:bottom w:w="90" w:type="dxa"/>
              <w:right w:w="195" w:type="dxa"/>
            </w:tcMar>
          </w:tcPr>
          <w:p w14:paraId="25EDBA9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15</w:t>
            </w:r>
          </w:p>
        </w:tc>
        <w:tc>
          <w:tcPr>
            <w:tcW w:w="850" w:type="dxa"/>
            <w:tcBorders>
              <w:left w:val="nil"/>
              <w:bottom w:val="single" w:sz="4" w:space="0" w:color="auto"/>
              <w:right w:val="nil"/>
            </w:tcBorders>
            <w:shd w:val="clear" w:color="auto" w:fill="auto"/>
            <w:tcMar>
              <w:top w:w="90" w:type="dxa"/>
              <w:left w:w="195" w:type="dxa"/>
              <w:bottom w:w="90" w:type="dxa"/>
              <w:right w:w="195" w:type="dxa"/>
            </w:tcMar>
          </w:tcPr>
          <w:p w14:paraId="2C1C520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0.91</w:t>
            </w:r>
          </w:p>
        </w:tc>
        <w:tc>
          <w:tcPr>
            <w:tcW w:w="1242" w:type="dxa"/>
            <w:tcBorders>
              <w:left w:val="nil"/>
              <w:bottom w:val="single" w:sz="4" w:space="0" w:color="auto"/>
              <w:right w:val="nil"/>
            </w:tcBorders>
            <w:shd w:val="clear" w:color="auto" w:fill="auto"/>
            <w:tcMar>
              <w:top w:w="90" w:type="dxa"/>
              <w:left w:w="195" w:type="dxa"/>
              <w:bottom w:w="90" w:type="dxa"/>
              <w:right w:w="195" w:type="dxa"/>
            </w:tcMar>
          </w:tcPr>
          <w:p w14:paraId="5582C2B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1.12-0.7</w:t>
            </w:r>
          </w:p>
        </w:tc>
        <w:tc>
          <w:tcPr>
            <w:tcW w:w="1451" w:type="dxa"/>
            <w:tcBorders>
              <w:left w:val="nil"/>
              <w:bottom w:val="single" w:sz="4" w:space="0" w:color="auto"/>
              <w:right w:val="nil"/>
            </w:tcBorders>
            <w:shd w:val="clear" w:color="auto" w:fill="auto"/>
            <w:tcMar>
              <w:top w:w="90" w:type="dxa"/>
              <w:left w:w="195" w:type="dxa"/>
              <w:bottom w:w="90" w:type="dxa"/>
              <w:right w:w="195" w:type="dxa"/>
            </w:tcMar>
          </w:tcPr>
          <w:p w14:paraId="14748B7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237284.01</w:t>
            </w:r>
          </w:p>
        </w:tc>
        <w:tc>
          <w:tcPr>
            <w:tcW w:w="1082" w:type="dxa"/>
            <w:tcBorders>
              <w:left w:val="nil"/>
              <w:bottom w:val="single" w:sz="4" w:space="0" w:color="auto"/>
              <w:right w:val="nil"/>
            </w:tcBorders>
            <w:shd w:val="clear" w:color="auto" w:fill="auto"/>
            <w:tcMar>
              <w:top w:w="90" w:type="dxa"/>
              <w:left w:w="195" w:type="dxa"/>
              <w:bottom w:w="90" w:type="dxa"/>
              <w:right w:w="195" w:type="dxa"/>
            </w:tcMar>
          </w:tcPr>
          <w:p w14:paraId="561856A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z w:val="15"/>
                <w:szCs w:val="15"/>
                <w:lang w:val="en-GB"/>
              </w:rPr>
              <w:t>100.0%</w:t>
            </w:r>
          </w:p>
        </w:tc>
      </w:tr>
      <w:tr w:rsidR="006C5163" w:rsidRPr="006C5163" w14:paraId="6F553493" w14:textId="77777777" w:rsidTr="002C4AEA">
        <w:tc>
          <w:tcPr>
            <w:tcW w:w="9020" w:type="dxa"/>
            <w:gridSpan w:val="7"/>
            <w:tcBorders>
              <w:top w:val="single" w:sz="4" w:space="0" w:color="auto"/>
              <w:left w:val="nil"/>
              <w:right w:val="nil"/>
            </w:tcBorders>
            <w:shd w:val="clear" w:color="auto" w:fill="auto"/>
            <w:tcMar>
              <w:top w:w="90" w:type="dxa"/>
              <w:left w:w="480" w:type="dxa"/>
              <w:bottom w:w="90" w:type="dxa"/>
              <w:right w:w="195" w:type="dxa"/>
            </w:tcMar>
            <w:vAlign w:val="center"/>
          </w:tcPr>
          <w:p w14:paraId="39222E41"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i/>
                <w:iCs/>
                <w:color w:val="000000"/>
                <w:spacing w:val="3"/>
                <w:sz w:val="15"/>
                <w:szCs w:val="15"/>
                <w:lang w:val="en-GB" w:eastAsia="en-GB"/>
              </w:rPr>
              <w:t>Random effects model for analysis (Q = 2.93, p = 0.087)</w:t>
            </w:r>
          </w:p>
        </w:tc>
      </w:tr>
      <w:tr w:rsidR="006C5163" w:rsidRPr="006C5163" w14:paraId="430DD5F5"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32CED7C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analysis</w:t>
            </w:r>
          </w:p>
        </w:tc>
        <w:tc>
          <w:tcPr>
            <w:tcW w:w="1984" w:type="dxa"/>
            <w:tcBorders>
              <w:left w:val="nil"/>
              <w:right w:val="nil"/>
            </w:tcBorders>
            <w:shd w:val="clear" w:color="auto" w:fill="F2F2F2"/>
            <w:tcMar>
              <w:top w:w="90" w:type="dxa"/>
              <w:left w:w="195" w:type="dxa"/>
              <w:bottom w:w="90" w:type="dxa"/>
              <w:right w:w="195" w:type="dxa"/>
            </w:tcMar>
            <w:vAlign w:val="center"/>
          </w:tcPr>
          <w:p w14:paraId="4437AD6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include</w:t>
            </w:r>
          </w:p>
        </w:tc>
        <w:tc>
          <w:tcPr>
            <w:tcW w:w="851" w:type="dxa"/>
            <w:tcBorders>
              <w:left w:val="nil"/>
              <w:right w:val="nil"/>
            </w:tcBorders>
            <w:shd w:val="clear" w:color="auto" w:fill="F2F2F2"/>
            <w:tcMar>
              <w:top w:w="90" w:type="dxa"/>
              <w:left w:w="195" w:type="dxa"/>
              <w:bottom w:w="90" w:type="dxa"/>
              <w:right w:w="195" w:type="dxa"/>
            </w:tcMar>
            <w:vAlign w:val="center"/>
          </w:tcPr>
          <w:p w14:paraId="27041B4A"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81</w:t>
            </w:r>
          </w:p>
        </w:tc>
        <w:tc>
          <w:tcPr>
            <w:tcW w:w="850" w:type="dxa"/>
            <w:tcBorders>
              <w:left w:val="nil"/>
              <w:right w:val="nil"/>
            </w:tcBorders>
            <w:shd w:val="clear" w:color="auto" w:fill="F2F2F2"/>
            <w:tcMar>
              <w:top w:w="90" w:type="dxa"/>
              <w:left w:w="195" w:type="dxa"/>
              <w:bottom w:w="90" w:type="dxa"/>
              <w:right w:w="195" w:type="dxa"/>
            </w:tcMar>
            <w:vAlign w:val="center"/>
          </w:tcPr>
          <w:p w14:paraId="6397BBAD"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0.93</w:t>
            </w:r>
          </w:p>
        </w:tc>
        <w:tc>
          <w:tcPr>
            <w:tcW w:w="1242" w:type="dxa"/>
            <w:tcBorders>
              <w:left w:val="nil"/>
              <w:right w:val="nil"/>
            </w:tcBorders>
            <w:shd w:val="clear" w:color="auto" w:fill="F2F2F2"/>
            <w:tcMar>
              <w:top w:w="90" w:type="dxa"/>
              <w:left w:w="195" w:type="dxa"/>
              <w:bottom w:w="90" w:type="dxa"/>
              <w:right w:w="195" w:type="dxa"/>
            </w:tcMar>
            <w:vAlign w:val="center"/>
          </w:tcPr>
          <w:p w14:paraId="4F07B4DD"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1.03-0.84</w:t>
            </w:r>
          </w:p>
        </w:tc>
        <w:tc>
          <w:tcPr>
            <w:tcW w:w="1451" w:type="dxa"/>
            <w:tcBorders>
              <w:left w:val="nil"/>
              <w:right w:val="nil"/>
            </w:tcBorders>
            <w:shd w:val="clear" w:color="auto" w:fill="F2F2F2"/>
            <w:tcMar>
              <w:top w:w="90" w:type="dxa"/>
              <w:left w:w="195" w:type="dxa"/>
              <w:bottom w:w="90" w:type="dxa"/>
              <w:right w:w="195" w:type="dxa"/>
            </w:tcMar>
            <w:vAlign w:val="center"/>
          </w:tcPr>
          <w:p w14:paraId="75B2540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9730935.19</w:t>
            </w:r>
          </w:p>
        </w:tc>
        <w:tc>
          <w:tcPr>
            <w:tcW w:w="1082" w:type="dxa"/>
            <w:tcBorders>
              <w:left w:val="nil"/>
              <w:right w:val="nil"/>
            </w:tcBorders>
            <w:shd w:val="clear" w:color="auto" w:fill="F2F2F2"/>
            <w:tcMar>
              <w:top w:w="90" w:type="dxa"/>
              <w:left w:w="195" w:type="dxa"/>
              <w:bottom w:w="90" w:type="dxa"/>
              <w:right w:w="195" w:type="dxa"/>
            </w:tcMar>
            <w:vAlign w:val="center"/>
          </w:tcPr>
          <w:p w14:paraId="554E9743"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2A4DB2E5" w14:textId="77777777" w:rsidTr="002C4AEA">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04D5F21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1EB45CC1"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Completers</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0857252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59</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1238A56E"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1.08</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222F2E2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1.22-0.94</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070A42B2"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221034.47</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2FAD66CE"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5C091092" w14:textId="77777777" w:rsidTr="002C4AEA">
        <w:tc>
          <w:tcPr>
            <w:tcW w:w="9020" w:type="dxa"/>
            <w:gridSpan w:val="7"/>
            <w:tcBorders>
              <w:top w:val="single" w:sz="4" w:space="0" w:color="auto"/>
              <w:left w:val="nil"/>
              <w:right w:val="nil"/>
            </w:tcBorders>
            <w:shd w:val="clear" w:color="auto" w:fill="auto"/>
            <w:tcMar>
              <w:top w:w="90" w:type="dxa"/>
              <w:left w:w="480" w:type="dxa"/>
              <w:bottom w:w="90" w:type="dxa"/>
              <w:right w:w="195" w:type="dxa"/>
            </w:tcMar>
          </w:tcPr>
          <w:p w14:paraId="01D4CEAA"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i/>
                <w:iCs/>
                <w:color w:val="000000"/>
                <w:spacing w:val="3"/>
                <w:sz w:val="15"/>
                <w:szCs w:val="15"/>
                <w:lang w:val="en-GB" w:eastAsia="en-GB"/>
              </w:rPr>
              <w:t>Random effects model for setting (Q = 0.45, p = 0.503)</w:t>
            </w:r>
          </w:p>
        </w:tc>
      </w:tr>
      <w:tr w:rsidR="006C5163" w:rsidRPr="006C5163" w14:paraId="5097230B"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62CD8F7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setting</w:t>
            </w:r>
          </w:p>
        </w:tc>
        <w:tc>
          <w:tcPr>
            <w:tcW w:w="1984" w:type="dxa"/>
            <w:tcBorders>
              <w:left w:val="nil"/>
              <w:right w:val="nil"/>
            </w:tcBorders>
            <w:shd w:val="clear" w:color="auto" w:fill="F2F2F2"/>
            <w:tcMar>
              <w:top w:w="90" w:type="dxa"/>
              <w:left w:w="195" w:type="dxa"/>
              <w:bottom w:w="90" w:type="dxa"/>
              <w:right w:w="195" w:type="dxa"/>
            </w:tcMar>
            <w:vAlign w:val="center"/>
          </w:tcPr>
          <w:p w14:paraId="03051A8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Outpatient</w:t>
            </w:r>
          </w:p>
        </w:tc>
        <w:tc>
          <w:tcPr>
            <w:tcW w:w="851" w:type="dxa"/>
            <w:tcBorders>
              <w:left w:val="nil"/>
              <w:right w:val="nil"/>
            </w:tcBorders>
            <w:shd w:val="clear" w:color="auto" w:fill="F2F2F2"/>
            <w:tcMar>
              <w:top w:w="90" w:type="dxa"/>
              <w:left w:w="195" w:type="dxa"/>
              <w:bottom w:w="90" w:type="dxa"/>
              <w:right w:w="195" w:type="dxa"/>
            </w:tcMar>
            <w:vAlign w:val="center"/>
          </w:tcPr>
          <w:p w14:paraId="75D7682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121</w:t>
            </w:r>
          </w:p>
        </w:tc>
        <w:tc>
          <w:tcPr>
            <w:tcW w:w="850" w:type="dxa"/>
            <w:tcBorders>
              <w:left w:val="nil"/>
              <w:right w:val="nil"/>
            </w:tcBorders>
            <w:shd w:val="clear" w:color="auto" w:fill="F2F2F2"/>
            <w:tcMar>
              <w:top w:w="90" w:type="dxa"/>
              <w:left w:w="195" w:type="dxa"/>
              <w:bottom w:w="90" w:type="dxa"/>
              <w:right w:w="195" w:type="dxa"/>
            </w:tcMar>
            <w:vAlign w:val="center"/>
          </w:tcPr>
          <w:p w14:paraId="63C3D2CC"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0.99</w:t>
            </w:r>
          </w:p>
        </w:tc>
        <w:tc>
          <w:tcPr>
            <w:tcW w:w="1242" w:type="dxa"/>
            <w:tcBorders>
              <w:left w:val="nil"/>
              <w:right w:val="nil"/>
            </w:tcBorders>
            <w:shd w:val="clear" w:color="auto" w:fill="F2F2F2"/>
            <w:tcMar>
              <w:top w:w="90" w:type="dxa"/>
              <w:left w:w="195" w:type="dxa"/>
              <w:bottom w:w="90" w:type="dxa"/>
              <w:right w:w="195" w:type="dxa"/>
            </w:tcMar>
            <w:vAlign w:val="center"/>
          </w:tcPr>
          <w:p w14:paraId="6A7ACE3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1.08-0.91</w:t>
            </w:r>
          </w:p>
        </w:tc>
        <w:tc>
          <w:tcPr>
            <w:tcW w:w="1451" w:type="dxa"/>
            <w:tcBorders>
              <w:left w:val="nil"/>
              <w:right w:val="nil"/>
            </w:tcBorders>
            <w:shd w:val="clear" w:color="auto" w:fill="F2F2F2"/>
            <w:tcMar>
              <w:top w:w="90" w:type="dxa"/>
              <w:left w:w="195" w:type="dxa"/>
              <w:bottom w:w="90" w:type="dxa"/>
              <w:right w:w="195" w:type="dxa"/>
            </w:tcMar>
            <w:vAlign w:val="center"/>
          </w:tcPr>
          <w:p w14:paraId="0446530D"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9660158.70</w:t>
            </w:r>
          </w:p>
        </w:tc>
        <w:tc>
          <w:tcPr>
            <w:tcW w:w="1082" w:type="dxa"/>
            <w:tcBorders>
              <w:left w:val="nil"/>
              <w:right w:val="nil"/>
            </w:tcBorders>
            <w:shd w:val="clear" w:color="auto" w:fill="F2F2F2"/>
            <w:tcMar>
              <w:top w:w="90" w:type="dxa"/>
              <w:left w:w="195" w:type="dxa"/>
              <w:bottom w:w="90" w:type="dxa"/>
              <w:right w:w="195" w:type="dxa"/>
            </w:tcMar>
            <w:vAlign w:val="center"/>
          </w:tcPr>
          <w:p w14:paraId="18ECD43F"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30C0A302" w14:textId="77777777" w:rsidTr="002C4AEA">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512832A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0E2B88A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Inpatient</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37266F0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16</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587DF26C"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0.92</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72CA10BE"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1.12-0.72</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4CF13E5C"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240002.33</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5DF23AA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7F8610F2"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93A601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continent (Q = 17.63, p = 0.001*)</w:t>
            </w:r>
          </w:p>
        </w:tc>
      </w:tr>
      <w:tr w:rsidR="006C5163" w:rsidRPr="006C5163" w14:paraId="73B95512"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5545210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continent</w:t>
            </w:r>
          </w:p>
        </w:tc>
        <w:tc>
          <w:tcPr>
            <w:tcW w:w="1984" w:type="dxa"/>
            <w:tcBorders>
              <w:left w:val="nil"/>
              <w:right w:val="nil"/>
            </w:tcBorders>
            <w:shd w:val="clear" w:color="auto" w:fill="F2F2F2"/>
            <w:tcMar>
              <w:top w:w="90" w:type="dxa"/>
              <w:left w:w="195" w:type="dxa"/>
              <w:bottom w:w="90" w:type="dxa"/>
              <w:right w:w="195" w:type="dxa"/>
            </w:tcMar>
            <w:vAlign w:val="center"/>
            <w:hideMark/>
          </w:tcPr>
          <w:p w14:paraId="580FFE6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North America</w:t>
            </w:r>
          </w:p>
        </w:tc>
        <w:tc>
          <w:tcPr>
            <w:tcW w:w="851" w:type="dxa"/>
            <w:tcBorders>
              <w:left w:val="nil"/>
              <w:right w:val="nil"/>
            </w:tcBorders>
            <w:shd w:val="clear" w:color="auto" w:fill="F2F2F2"/>
            <w:tcMar>
              <w:top w:w="90" w:type="dxa"/>
              <w:left w:w="195" w:type="dxa"/>
              <w:bottom w:w="90" w:type="dxa"/>
              <w:right w:w="195" w:type="dxa"/>
            </w:tcMar>
            <w:vAlign w:val="center"/>
            <w:hideMark/>
          </w:tcPr>
          <w:p w14:paraId="789F837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58</w:t>
            </w:r>
          </w:p>
        </w:tc>
        <w:tc>
          <w:tcPr>
            <w:tcW w:w="850" w:type="dxa"/>
            <w:tcBorders>
              <w:left w:val="nil"/>
              <w:right w:val="nil"/>
            </w:tcBorders>
            <w:shd w:val="clear" w:color="auto" w:fill="F2F2F2"/>
            <w:tcMar>
              <w:top w:w="90" w:type="dxa"/>
              <w:left w:w="195" w:type="dxa"/>
              <w:bottom w:w="90" w:type="dxa"/>
              <w:right w:w="195" w:type="dxa"/>
            </w:tcMar>
            <w:vAlign w:val="center"/>
            <w:hideMark/>
          </w:tcPr>
          <w:p w14:paraId="1A845CF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w:t>
            </w:r>
          </w:p>
        </w:tc>
        <w:tc>
          <w:tcPr>
            <w:tcW w:w="1242" w:type="dxa"/>
            <w:tcBorders>
              <w:left w:val="nil"/>
              <w:right w:val="nil"/>
            </w:tcBorders>
            <w:shd w:val="clear" w:color="auto" w:fill="F2F2F2"/>
            <w:tcMar>
              <w:top w:w="90" w:type="dxa"/>
              <w:left w:w="195" w:type="dxa"/>
              <w:bottom w:w="90" w:type="dxa"/>
              <w:right w:w="195" w:type="dxa"/>
            </w:tcMar>
            <w:vAlign w:val="center"/>
            <w:hideMark/>
          </w:tcPr>
          <w:p w14:paraId="62EED0E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1.11-0.88</w:t>
            </w:r>
          </w:p>
        </w:tc>
        <w:tc>
          <w:tcPr>
            <w:tcW w:w="1451" w:type="dxa"/>
            <w:tcBorders>
              <w:left w:val="nil"/>
              <w:right w:val="nil"/>
            </w:tcBorders>
            <w:shd w:val="clear" w:color="auto" w:fill="F2F2F2"/>
            <w:tcMar>
              <w:top w:w="90" w:type="dxa"/>
              <w:left w:w="195" w:type="dxa"/>
              <w:bottom w:w="90" w:type="dxa"/>
              <w:right w:w="195" w:type="dxa"/>
            </w:tcMar>
            <w:vAlign w:val="center"/>
            <w:hideMark/>
          </w:tcPr>
          <w:p w14:paraId="7ED247E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640493.04</w:t>
            </w:r>
          </w:p>
        </w:tc>
        <w:tc>
          <w:tcPr>
            <w:tcW w:w="1082" w:type="dxa"/>
            <w:tcBorders>
              <w:left w:val="nil"/>
              <w:right w:val="nil"/>
            </w:tcBorders>
            <w:shd w:val="clear" w:color="auto" w:fill="F2F2F2"/>
            <w:tcMar>
              <w:top w:w="90" w:type="dxa"/>
              <w:left w:w="195" w:type="dxa"/>
              <w:bottom w:w="90" w:type="dxa"/>
              <w:right w:w="195" w:type="dxa"/>
            </w:tcMar>
            <w:vAlign w:val="center"/>
            <w:hideMark/>
          </w:tcPr>
          <w:p w14:paraId="641E268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7283A8E7" w14:textId="77777777" w:rsidTr="002C4AEA">
        <w:tc>
          <w:tcPr>
            <w:tcW w:w="1560" w:type="dxa"/>
            <w:vMerge/>
            <w:tcBorders>
              <w:left w:val="nil"/>
              <w:right w:val="nil"/>
            </w:tcBorders>
            <w:shd w:val="clear" w:color="auto" w:fill="auto"/>
            <w:tcMar>
              <w:top w:w="90" w:type="dxa"/>
              <w:left w:w="480" w:type="dxa"/>
              <w:bottom w:w="90" w:type="dxa"/>
              <w:right w:w="195" w:type="dxa"/>
            </w:tcMar>
          </w:tcPr>
          <w:p w14:paraId="280184A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5D4BEBD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UK</w:t>
            </w:r>
          </w:p>
        </w:tc>
        <w:tc>
          <w:tcPr>
            <w:tcW w:w="851" w:type="dxa"/>
            <w:tcBorders>
              <w:left w:val="nil"/>
              <w:right w:val="nil"/>
            </w:tcBorders>
            <w:shd w:val="clear" w:color="auto" w:fill="auto"/>
            <w:tcMar>
              <w:top w:w="90" w:type="dxa"/>
              <w:left w:w="195" w:type="dxa"/>
              <w:bottom w:w="90" w:type="dxa"/>
              <w:right w:w="195" w:type="dxa"/>
            </w:tcMar>
            <w:vAlign w:val="center"/>
          </w:tcPr>
          <w:p w14:paraId="44A36EC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44</w:t>
            </w:r>
          </w:p>
        </w:tc>
        <w:tc>
          <w:tcPr>
            <w:tcW w:w="850" w:type="dxa"/>
            <w:tcBorders>
              <w:left w:val="nil"/>
              <w:right w:val="nil"/>
            </w:tcBorders>
            <w:shd w:val="clear" w:color="auto" w:fill="auto"/>
            <w:tcMar>
              <w:top w:w="90" w:type="dxa"/>
              <w:left w:w="195" w:type="dxa"/>
              <w:bottom w:w="90" w:type="dxa"/>
              <w:right w:w="195" w:type="dxa"/>
            </w:tcMar>
            <w:vAlign w:val="center"/>
          </w:tcPr>
          <w:p w14:paraId="4CDD695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1.10</w:t>
            </w:r>
          </w:p>
        </w:tc>
        <w:tc>
          <w:tcPr>
            <w:tcW w:w="1242" w:type="dxa"/>
            <w:tcBorders>
              <w:left w:val="nil"/>
              <w:right w:val="nil"/>
            </w:tcBorders>
            <w:shd w:val="clear" w:color="auto" w:fill="auto"/>
            <w:tcMar>
              <w:top w:w="90" w:type="dxa"/>
              <w:left w:w="195" w:type="dxa"/>
              <w:bottom w:w="90" w:type="dxa"/>
              <w:right w:w="195" w:type="dxa"/>
            </w:tcMar>
            <w:vAlign w:val="center"/>
          </w:tcPr>
          <w:p w14:paraId="651EE60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1.26-0.94</w:t>
            </w:r>
          </w:p>
        </w:tc>
        <w:tc>
          <w:tcPr>
            <w:tcW w:w="1451" w:type="dxa"/>
            <w:tcBorders>
              <w:left w:val="nil"/>
              <w:right w:val="nil"/>
            </w:tcBorders>
            <w:shd w:val="clear" w:color="auto" w:fill="auto"/>
            <w:tcMar>
              <w:top w:w="90" w:type="dxa"/>
              <w:left w:w="195" w:type="dxa"/>
              <w:bottom w:w="90" w:type="dxa"/>
              <w:right w:w="195" w:type="dxa"/>
            </w:tcMar>
            <w:vAlign w:val="center"/>
          </w:tcPr>
          <w:p w14:paraId="6D6C6A7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3564904.55</w:t>
            </w:r>
          </w:p>
        </w:tc>
        <w:tc>
          <w:tcPr>
            <w:tcW w:w="1082" w:type="dxa"/>
            <w:tcBorders>
              <w:left w:val="nil"/>
              <w:right w:val="nil"/>
            </w:tcBorders>
            <w:shd w:val="clear" w:color="auto" w:fill="auto"/>
            <w:tcMar>
              <w:top w:w="90" w:type="dxa"/>
              <w:left w:w="195" w:type="dxa"/>
              <w:bottom w:w="90" w:type="dxa"/>
              <w:right w:w="195" w:type="dxa"/>
            </w:tcMar>
            <w:vAlign w:val="center"/>
          </w:tcPr>
          <w:p w14:paraId="733C7C9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2F733C20" w14:textId="77777777" w:rsidTr="006C5163">
        <w:tc>
          <w:tcPr>
            <w:tcW w:w="1560" w:type="dxa"/>
            <w:vMerge/>
            <w:tcBorders>
              <w:left w:val="nil"/>
              <w:right w:val="nil"/>
            </w:tcBorders>
            <w:shd w:val="clear" w:color="auto" w:fill="auto"/>
            <w:tcMar>
              <w:top w:w="90" w:type="dxa"/>
              <w:left w:w="480" w:type="dxa"/>
              <w:bottom w:w="90" w:type="dxa"/>
              <w:right w:w="195" w:type="dxa"/>
            </w:tcMar>
          </w:tcPr>
          <w:p w14:paraId="3FF3AB3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01FC3C3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Europe</w:t>
            </w:r>
          </w:p>
        </w:tc>
        <w:tc>
          <w:tcPr>
            <w:tcW w:w="851" w:type="dxa"/>
            <w:tcBorders>
              <w:left w:val="nil"/>
              <w:right w:val="nil"/>
            </w:tcBorders>
            <w:shd w:val="clear" w:color="auto" w:fill="F2F2F2"/>
            <w:tcMar>
              <w:top w:w="90" w:type="dxa"/>
              <w:left w:w="195" w:type="dxa"/>
              <w:bottom w:w="90" w:type="dxa"/>
              <w:right w:w="195" w:type="dxa"/>
            </w:tcMar>
            <w:vAlign w:val="center"/>
          </w:tcPr>
          <w:p w14:paraId="449EDEA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29</w:t>
            </w:r>
          </w:p>
        </w:tc>
        <w:tc>
          <w:tcPr>
            <w:tcW w:w="850" w:type="dxa"/>
            <w:tcBorders>
              <w:left w:val="nil"/>
              <w:right w:val="nil"/>
            </w:tcBorders>
            <w:shd w:val="clear" w:color="auto" w:fill="F2F2F2"/>
            <w:tcMar>
              <w:top w:w="90" w:type="dxa"/>
              <w:left w:w="195" w:type="dxa"/>
              <w:bottom w:w="90" w:type="dxa"/>
              <w:right w:w="195" w:type="dxa"/>
            </w:tcMar>
            <w:vAlign w:val="center"/>
          </w:tcPr>
          <w:p w14:paraId="1DD069E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0.95</w:t>
            </w:r>
          </w:p>
        </w:tc>
        <w:tc>
          <w:tcPr>
            <w:tcW w:w="1242" w:type="dxa"/>
            <w:tcBorders>
              <w:left w:val="nil"/>
              <w:right w:val="nil"/>
            </w:tcBorders>
            <w:shd w:val="clear" w:color="auto" w:fill="F2F2F2"/>
            <w:tcMar>
              <w:top w:w="90" w:type="dxa"/>
              <w:left w:w="195" w:type="dxa"/>
              <w:bottom w:w="90" w:type="dxa"/>
              <w:right w:w="195" w:type="dxa"/>
            </w:tcMar>
            <w:vAlign w:val="center"/>
          </w:tcPr>
          <w:p w14:paraId="5F7B034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1.12-0.77</w:t>
            </w:r>
          </w:p>
        </w:tc>
        <w:tc>
          <w:tcPr>
            <w:tcW w:w="1451" w:type="dxa"/>
            <w:tcBorders>
              <w:left w:val="nil"/>
              <w:right w:val="nil"/>
            </w:tcBorders>
            <w:shd w:val="clear" w:color="auto" w:fill="F2F2F2"/>
            <w:tcMar>
              <w:top w:w="90" w:type="dxa"/>
              <w:left w:w="195" w:type="dxa"/>
              <w:bottom w:w="90" w:type="dxa"/>
              <w:right w:w="195" w:type="dxa"/>
            </w:tcMar>
            <w:vAlign w:val="center"/>
          </w:tcPr>
          <w:p w14:paraId="0D3A990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60424.34</w:t>
            </w:r>
          </w:p>
        </w:tc>
        <w:tc>
          <w:tcPr>
            <w:tcW w:w="1082" w:type="dxa"/>
            <w:tcBorders>
              <w:left w:val="nil"/>
              <w:right w:val="nil"/>
            </w:tcBorders>
            <w:shd w:val="clear" w:color="auto" w:fill="F2F2F2"/>
            <w:tcMar>
              <w:top w:w="90" w:type="dxa"/>
              <w:left w:w="195" w:type="dxa"/>
              <w:bottom w:w="90" w:type="dxa"/>
              <w:right w:w="195" w:type="dxa"/>
            </w:tcMar>
            <w:vAlign w:val="center"/>
          </w:tcPr>
          <w:p w14:paraId="1C0CBB1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2E54BD70" w14:textId="77777777" w:rsidTr="002C4AEA">
        <w:tc>
          <w:tcPr>
            <w:tcW w:w="1560" w:type="dxa"/>
            <w:vMerge/>
            <w:tcBorders>
              <w:left w:val="nil"/>
              <w:right w:val="nil"/>
            </w:tcBorders>
            <w:shd w:val="clear" w:color="auto" w:fill="auto"/>
            <w:tcMar>
              <w:top w:w="90" w:type="dxa"/>
              <w:left w:w="480" w:type="dxa"/>
              <w:bottom w:w="90" w:type="dxa"/>
              <w:right w:w="195" w:type="dxa"/>
            </w:tcMar>
          </w:tcPr>
          <w:p w14:paraId="72D6636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25AF4C3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Australasia</w:t>
            </w:r>
          </w:p>
        </w:tc>
        <w:tc>
          <w:tcPr>
            <w:tcW w:w="851" w:type="dxa"/>
            <w:tcBorders>
              <w:left w:val="nil"/>
              <w:right w:val="nil"/>
            </w:tcBorders>
            <w:shd w:val="clear" w:color="auto" w:fill="auto"/>
            <w:tcMar>
              <w:top w:w="90" w:type="dxa"/>
              <w:left w:w="195" w:type="dxa"/>
              <w:bottom w:w="90" w:type="dxa"/>
              <w:right w:w="195" w:type="dxa"/>
            </w:tcMar>
            <w:vAlign w:val="center"/>
          </w:tcPr>
          <w:p w14:paraId="510BBB0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4</w:t>
            </w:r>
          </w:p>
        </w:tc>
        <w:tc>
          <w:tcPr>
            <w:tcW w:w="850" w:type="dxa"/>
            <w:tcBorders>
              <w:left w:val="nil"/>
              <w:right w:val="nil"/>
            </w:tcBorders>
            <w:shd w:val="clear" w:color="auto" w:fill="auto"/>
            <w:tcMar>
              <w:top w:w="90" w:type="dxa"/>
              <w:left w:w="195" w:type="dxa"/>
              <w:bottom w:w="90" w:type="dxa"/>
              <w:right w:w="195" w:type="dxa"/>
            </w:tcMar>
            <w:vAlign w:val="center"/>
          </w:tcPr>
          <w:p w14:paraId="4A12448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0.67</w:t>
            </w:r>
          </w:p>
        </w:tc>
        <w:tc>
          <w:tcPr>
            <w:tcW w:w="1242" w:type="dxa"/>
            <w:tcBorders>
              <w:left w:val="nil"/>
              <w:right w:val="nil"/>
            </w:tcBorders>
            <w:shd w:val="clear" w:color="auto" w:fill="auto"/>
            <w:tcMar>
              <w:top w:w="90" w:type="dxa"/>
              <w:left w:w="195" w:type="dxa"/>
              <w:bottom w:w="90" w:type="dxa"/>
              <w:right w:w="195" w:type="dxa"/>
            </w:tcMar>
            <w:vAlign w:val="center"/>
          </w:tcPr>
          <w:p w14:paraId="39DC7C4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1.01-0.33</w:t>
            </w:r>
          </w:p>
        </w:tc>
        <w:tc>
          <w:tcPr>
            <w:tcW w:w="1451" w:type="dxa"/>
            <w:tcBorders>
              <w:left w:val="nil"/>
              <w:right w:val="nil"/>
            </w:tcBorders>
            <w:shd w:val="clear" w:color="auto" w:fill="auto"/>
            <w:tcMar>
              <w:top w:w="90" w:type="dxa"/>
              <w:left w:w="195" w:type="dxa"/>
              <w:bottom w:w="90" w:type="dxa"/>
              <w:right w:w="195" w:type="dxa"/>
            </w:tcMar>
            <w:vAlign w:val="center"/>
          </w:tcPr>
          <w:p w14:paraId="5A97E22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7087.67</w:t>
            </w:r>
          </w:p>
        </w:tc>
        <w:tc>
          <w:tcPr>
            <w:tcW w:w="1082" w:type="dxa"/>
            <w:tcBorders>
              <w:left w:val="nil"/>
              <w:right w:val="nil"/>
            </w:tcBorders>
            <w:shd w:val="clear" w:color="auto" w:fill="auto"/>
            <w:tcMar>
              <w:top w:w="90" w:type="dxa"/>
              <w:left w:w="195" w:type="dxa"/>
              <w:bottom w:w="90" w:type="dxa"/>
              <w:right w:w="195" w:type="dxa"/>
            </w:tcMar>
            <w:vAlign w:val="center"/>
          </w:tcPr>
          <w:p w14:paraId="0FCC5E9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0704DD73" w14:textId="77777777" w:rsidTr="006C5163">
        <w:tc>
          <w:tcPr>
            <w:tcW w:w="1560" w:type="dxa"/>
            <w:vMerge/>
            <w:tcBorders>
              <w:left w:val="nil"/>
              <w:right w:val="nil"/>
            </w:tcBorders>
            <w:shd w:val="clear" w:color="auto" w:fill="auto"/>
            <w:tcMar>
              <w:top w:w="90" w:type="dxa"/>
              <w:left w:w="480" w:type="dxa"/>
              <w:bottom w:w="90" w:type="dxa"/>
              <w:right w:w="195" w:type="dxa"/>
            </w:tcMar>
          </w:tcPr>
          <w:p w14:paraId="03F4469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4D44944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Asia</w:t>
            </w:r>
          </w:p>
        </w:tc>
        <w:tc>
          <w:tcPr>
            <w:tcW w:w="851" w:type="dxa"/>
            <w:tcBorders>
              <w:left w:val="nil"/>
              <w:right w:val="nil"/>
            </w:tcBorders>
            <w:shd w:val="clear" w:color="auto" w:fill="F2F2F2"/>
            <w:tcMar>
              <w:top w:w="90" w:type="dxa"/>
              <w:left w:w="195" w:type="dxa"/>
              <w:bottom w:w="90" w:type="dxa"/>
              <w:right w:w="195" w:type="dxa"/>
            </w:tcMar>
            <w:vAlign w:val="center"/>
          </w:tcPr>
          <w:p w14:paraId="5AF8381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5</w:t>
            </w:r>
          </w:p>
        </w:tc>
        <w:tc>
          <w:tcPr>
            <w:tcW w:w="850" w:type="dxa"/>
            <w:tcBorders>
              <w:left w:val="nil"/>
              <w:right w:val="nil"/>
            </w:tcBorders>
            <w:shd w:val="clear" w:color="auto" w:fill="F2F2F2"/>
            <w:tcMar>
              <w:top w:w="90" w:type="dxa"/>
              <w:left w:w="195" w:type="dxa"/>
              <w:bottom w:w="90" w:type="dxa"/>
              <w:right w:w="195" w:type="dxa"/>
            </w:tcMar>
            <w:vAlign w:val="center"/>
          </w:tcPr>
          <w:p w14:paraId="7F8C7FD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0.59</w:t>
            </w:r>
          </w:p>
        </w:tc>
        <w:tc>
          <w:tcPr>
            <w:tcW w:w="1242" w:type="dxa"/>
            <w:tcBorders>
              <w:left w:val="nil"/>
              <w:right w:val="nil"/>
            </w:tcBorders>
            <w:shd w:val="clear" w:color="auto" w:fill="F2F2F2"/>
            <w:tcMar>
              <w:top w:w="90" w:type="dxa"/>
              <w:left w:w="195" w:type="dxa"/>
              <w:bottom w:w="90" w:type="dxa"/>
              <w:right w:w="195" w:type="dxa"/>
            </w:tcMar>
            <w:vAlign w:val="center"/>
          </w:tcPr>
          <w:p w14:paraId="4C11C28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0.8-0.37</w:t>
            </w:r>
          </w:p>
        </w:tc>
        <w:tc>
          <w:tcPr>
            <w:tcW w:w="1451" w:type="dxa"/>
            <w:tcBorders>
              <w:left w:val="nil"/>
              <w:right w:val="nil"/>
            </w:tcBorders>
            <w:shd w:val="clear" w:color="auto" w:fill="F2F2F2"/>
            <w:tcMar>
              <w:top w:w="90" w:type="dxa"/>
              <w:left w:w="195" w:type="dxa"/>
              <w:bottom w:w="90" w:type="dxa"/>
              <w:right w:w="195" w:type="dxa"/>
            </w:tcMar>
            <w:vAlign w:val="center"/>
          </w:tcPr>
          <w:p w14:paraId="6061C53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91.78</w:t>
            </w:r>
          </w:p>
        </w:tc>
        <w:tc>
          <w:tcPr>
            <w:tcW w:w="1082" w:type="dxa"/>
            <w:tcBorders>
              <w:left w:val="nil"/>
              <w:right w:val="nil"/>
            </w:tcBorders>
            <w:shd w:val="clear" w:color="auto" w:fill="F2F2F2"/>
            <w:tcMar>
              <w:top w:w="90" w:type="dxa"/>
              <w:left w:w="195" w:type="dxa"/>
              <w:bottom w:w="90" w:type="dxa"/>
              <w:right w:w="195" w:type="dxa"/>
            </w:tcMar>
            <w:vAlign w:val="center"/>
          </w:tcPr>
          <w:p w14:paraId="21D86E1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96.0%</w:t>
            </w:r>
          </w:p>
        </w:tc>
      </w:tr>
      <w:tr w:rsidR="006C5163" w:rsidRPr="006C5163" w14:paraId="64427D95"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0B03DD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therapy modality (Q = 1.16, p = 0.763)</w:t>
            </w:r>
          </w:p>
        </w:tc>
      </w:tr>
      <w:tr w:rsidR="006C5163" w:rsidRPr="006C5163" w14:paraId="1B804C13"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65D8BAB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therapy modality</w:t>
            </w:r>
          </w:p>
        </w:tc>
        <w:tc>
          <w:tcPr>
            <w:tcW w:w="1984" w:type="dxa"/>
            <w:tcBorders>
              <w:left w:val="nil"/>
              <w:right w:val="nil"/>
            </w:tcBorders>
            <w:shd w:val="clear" w:color="auto" w:fill="F2F2F2"/>
            <w:tcMar>
              <w:top w:w="90" w:type="dxa"/>
              <w:left w:w="195" w:type="dxa"/>
              <w:bottom w:w="90" w:type="dxa"/>
              <w:right w:w="195" w:type="dxa"/>
            </w:tcMar>
            <w:vAlign w:val="center"/>
            <w:hideMark/>
          </w:tcPr>
          <w:p w14:paraId="467F9C1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Psychodynamic</w:t>
            </w:r>
          </w:p>
        </w:tc>
        <w:tc>
          <w:tcPr>
            <w:tcW w:w="851" w:type="dxa"/>
            <w:tcBorders>
              <w:left w:val="nil"/>
              <w:right w:val="nil"/>
            </w:tcBorders>
            <w:shd w:val="clear" w:color="auto" w:fill="F2F2F2"/>
            <w:tcMar>
              <w:top w:w="90" w:type="dxa"/>
              <w:left w:w="195" w:type="dxa"/>
              <w:bottom w:w="90" w:type="dxa"/>
              <w:right w:w="195" w:type="dxa"/>
            </w:tcMar>
            <w:vAlign w:val="center"/>
            <w:hideMark/>
          </w:tcPr>
          <w:p w14:paraId="28937B7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24</w:t>
            </w:r>
          </w:p>
        </w:tc>
        <w:tc>
          <w:tcPr>
            <w:tcW w:w="850" w:type="dxa"/>
            <w:tcBorders>
              <w:left w:val="nil"/>
              <w:right w:val="nil"/>
            </w:tcBorders>
            <w:shd w:val="clear" w:color="auto" w:fill="F2F2F2"/>
            <w:tcMar>
              <w:top w:w="90" w:type="dxa"/>
              <w:left w:w="195" w:type="dxa"/>
              <w:bottom w:w="90" w:type="dxa"/>
              <w:right w:w="195" w:type="dxa"/>
            </w:tcMar>
            <w:vAlign w:val="center"/>
            <w:hideMark/>
          </w:tcPr>
          <w:p w14:paraId="3CF35F2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1.03</w:t>
            </w:r>
          </w:p>
        </w:tc>
        <w:tc>
          <w:tcPr>
            <w:tcW w:w="1242" w:type="dxa"/>
            <w:tcBorders>
              <w:left w:val="nil"/>
              <w:right w:val="nil"/>
            </w:tcBorders>
            <w:shd w:val="clear" w:color="auto" w:fill="F2F2F2"/>
            <w:tcMar>
              <w:top w:w="90" w:type="dxa"/>
              <w:left w:w="195" w:type="dxa"/>
              <w:bottom w:w="90" w:type="dxa"/>
              <w:right w:w="195" w:type="dxa"/>
            </w:tcMar>
            <w:vAlign w:val="center"/>
            <w:hideMark/>
          </w:tcPr>
          <w:p w14:paraId="5F96A22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1.2-0.86</w:t>
            </w:r>
          </w:p>
        </w:tc>
        <w:tc>
          <w:tcPr>
            <w:tcW w:w="1451" w:type="dxa"/>
            <w:tcBorders>
              <w:left w:val="nil"/>
              <w:right w:val="nil"/>
            </w:tcBorders>
            <w:shd w:val="clear" w:color="auto" w:fill="F2F2F2"/>
            <w:tcMar>
              <w:top w:w="90" w:type="dxa"/>
              <w:left w:w="195" w:type="dxa"/>
              <w:bottom w:w="90" w:type="dxa"/>
              <w:right w:w="195" w:type="dxa"/>
            </w:tcMar>
            <w:vAlign w:val="center"/>
            <w:hideMark/>
          </w:tcPr>
          <w:p w14:paraId="30D882F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41984.43</w:t>
            </w:r>
          </w:p>
        </w:tc>
        <w:tc>
          <w:tcPr>
            <w:tcW w:w="1082" w:type="dxa"/>
            <w:tcBorders>
              <w:left w:val="nil"/>
              <w:right w:val="nil"/>
            </w:tcBorders>
            <w:shd w:val="clear" w:color="auto" w:fill="F2F2F2"/>
            <w:tcMar>
              <w:top w:w="90" w:type="dxa"/>
              <w:left w:w="195" w:type="dxa"/>
              <w:bottom w:w="90" w:type="dxa"/>
              <w:right w:w="195" w:type="dxa"/>
            </w:tcMar>
            <w:vAlign w:val="center"/>
            <w:hideMark/>
          </w:tcPr>
          <w:p w14:paraId="7D25502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0E4B3ED4" w14:textId="77777777" w:rsidTr="002C4AEA">
        <w:tc>
          <w:tcPr>
            <w:tcW w:w="1560" w:type="dxa"/>
            <w:vMerge/>
            <w:tcBorders>
              <w:left w:val="nil"/>
              <w:right w:val="nil"/>
            </w:tcBorders>
            <w:shd w:val="clear" w:color="auto" w:fill="auto"/>
            <w:tcMar>
              <w:top w:w="90" w:type="dxa"/>
              <w:left w:w="480" w:type="dxa"/>
              <w:bottom w:w="90" w:type="dxa"/>
              <w:right w:w="195" w:type="dxa"/>
            </w:tcMar>
          </w:tcPr>
          <w:p w14:paraId="23F3240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41BA2A6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Counselling</w:t>
            </w:r>
          </w:p>
        </w:tc>
        <w:tc>
          <w:tcPr>
            <w:tcW w:w="851" w:type="dxa"/>
            <w:tcBorders>
              <w:left w:val="nil"/>
              <w:right w:val="nil"/>
            </w:tcBorders>
            <w:shd w:val="clear" w:color="auto" w:fill="auto"/>
            <w:tcMar>
              <w:top w:w="90" w:type="dxa"/>
              <w:left w:w="195" w:type="dxa"/>
              <w:bottom w:w="90" w:type="dxa"/>
              <w:right w:w="195" w:type="dxa"/>
            </w:tcMar>
            <w:vAlign w:val="center"/>
          </w:tcPr>
          <w:p w14:paraId="1DF9E06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6</w:t>
            </w:r>
          </w:p>
        </w:tc>
        <w:tc>
          <w:tcPr>
            <w:tcW w:w="850" w:type="dxa"/>
            <w:tcBorders>
              <w:left w:val="nil"/>
              <w:right w:val="nil"/>
            </w:tcBorders>
            <w:shd w:val="clear" w:color="auto" w:fill="auto"/>
            <w:tcMar>
              <w:top w:w="90" w:type="dxa"/>
              <w:left w:w="195" w:type="dxa"/>
              <w:bottom w:w="90" w:type="dxa"/>
              <w:right w:w="195" w:type="dxa"/>
            </w:tcMar>
            <w:vAlign w:val="center"/>
          </w:tcPr>
          <w:p w14:paraId="1621A1B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0.89</w:t>
            </w:r>
          </w:p>
        </w:tc>
        <w:tc>
          <w:tcPr>
            <w:tcW w:w="1242" w:type="dxa"/>
            <w:tcBorders>
              <w:left w:val="nil"/>
              <w:right w:val="nil"/>
            </w:tcBorders>
            <w:shd w:val="clear" w:color="auto" w:fill="auto"/>
            <w:tcMar>
              <w:top w:w="90" w:type="dxa"/>
              <w:left w:w="195" w:type="dxa"/>
              <w:bottom w:w="90" w:type="dxa"/>
              <w:right w:w="195" w:type="dxa"/>
            </w:tcMar>
            <w:vAlign w:val="center"/>
          </w:tcPr>
          <w:p w14:paraId="2346817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1.1-0.69</w:t>
            </w:r>
          </w:p>
        </w:tc>
        <w:tc>
          <w:tcPr>
            <w:tcW w:w="1451" w:type="dxa"/>
            <w:tcBorders>
              <w:left w:val="nil"/>
              <w:right w:val="nil"/>
            </w:tcBorders>
            <w:shd w:val="clear" w:color="auto" w:fill="auto"/>
            <w:tcMar>
              <w:top w:w="90" w:type="dxa"/>
              <w:left w:w="195" w:type="dxa"/>
              <w:bottom w:w="90" w:type="dxa"/>
              <w:right w:w="195" w:type="dxa"/>
            </w:tcMar>
            <w:vAlign w:val="center"/>
          </w:tcPr>
          <w:p w14:paraId="62E26A3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3471906.01</w:t>
            </w:r>
          </w:p>
        </w:tc>
        <w:tc>
          <w:tcPr>
            <w:tcW w:w="1082" w:type="dxa"/>
            <w:tcBorders>
              <w:left w:val="nil"/>
              <w:right w:val="nil"/>
            </w:tcBorders>
            <w:shd w:val="clear" w:color="auto" w:fill="auto"/>
            <w:tcMar>
              <w:top w:w="90" w:type="dxa"/>
              <w:left w:w="195" w:type="dxa"/>
              <w:bottom w:w="90" w:type="dxa"/>
              <w:right w:w="195" w:type="dxa"/>
            </w:tcMar>
            <w:vAlign w:val="center"/>
          </w:tcPr>
          <w:p w14:paraId="231240C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1180B382" w14:textId="77777777" w:rsidTr="006C5163">
        <w:tc>
          <w:tcPr>
            <w:tcW w:w="1560" w:type="dxa"/>
            <w:vMerge/>
            <w:tcBorders>
              <w:left w:val="nil"/>
              <w:right w:val="nil"/>
            </w:tcBorders>
            <w:shd w:val="clear" w:color="auto" w:fill="auto"/>
            <w:vAlign w:val="center"/>
            <w:hideMark/>
          </w:tcPr>
          <w:p w14:paraId="77B5F12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hideMark/>
          </w:tcPr>
          <w:p w14:paraId="19F1507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cognitive-behavioural</w:t>
            </w:r>
          </w:p>
        </w:tc>
        <w:tc>
          <w:tcPr>
            <w:tcW w:w="851" w:type="dxa"/>
            <w:tcBorders>
              <w:left w:val="nil"/>
              <w:right w:val="nil"/>
            </w:tcBorders>
            <w:shd w:val="clear" w:color="auto" w:fill="F2F2F2"/>
            <w:tcMar>
              <w:top w:w="90" w:type="dxa"/>
              <w:left w:w="195" w:type="dxa"/>
              <w:bottom w:w="90" w:type="dxa"/>
              <w:right w:w="195" w:type="dxa"/>
            </w:tcMar>
            <w:vAlign w:val="center"/>
            <w:hideMark/>
          </w:tcPr>
          <w:p w14:paraId="59A8C34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90</w:t>
            </w:r>
          </w:p>
        </w:tc>
        <w:tc>
          <w:tcPr>
            <w:tcW w:w="850" w:type="dxa"/>
            <w:tcBorders>
              <w:left w:val="nil"/>
              <w:right w:val="nil"/>
            </w:tcBorders>
            <w:shd w:val="clear" w:color="auto" w:fill="F2F2F2"/>
            <w:tcMar>
              <w:top w:w="90" w:type="dxa"/>
              <w:left w:w="195" w:type="dxa"/>
              <w:bottom w:w="90" w:type="dxa"/>
              <w:right w:w="195" w:type="dxa"/>
            </w:tcMar>
            <w:vAlign w:val="center"/>
            <w:hideMark/>
          </w:tcPr>
          <w:p w14:paraId="3A57DFF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w:t>
            </w:r>
          </w:p>
        </w:tc>
        <w:tc>
          <w:tcPr>
            <w:tcW w:w="1242" w:type="dxa"/>
            <w:tcBorders>
              <w:left w:val="nil"/>
              <w:right w:val="nil"/>
            </w:tcBorders>
            <w:shd w:val="clear" w:color="auto" w:fill="F2F2F2"/>
            <w:tcMar>
              <w:top w:w="90" w:type="dxa"/>
              <w:left w:w="195" w:type="dxa"/>
              <w:bottom w:w="90" w:type="dxa"/>
              <w:right w:w="195" w:type="dxa"/>
            </w:tcMar>
            <w:vAlign w:val="center"/>
            <w:hideMark/>
          </w:tcPr>
          <w:p w14:paraId="583805E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1.11-0.89</w:t>
            </w:r>
          </w:p>
        </w:tc>
        <w:tc>
          <w:tcPr>
            <w:tcW w:w="1451" w:type="dxa"/>
            <w:tcBorders>
              <w:left w:val="nil"/>
              <w:right w:val="nil"/>
            </w:tcBorders>
            <w:shd w:val="clear" w:color="auto" w:fill="F2F2F2"/>
            <w:tcMar>
              <w:top w:w="90" w:type="dxa"/>
              <w:left w:w="195" w:type="dxa"/>
              <w:bottom w:w="90" w:type="dxa"/>
              <w:right w:w="195" w:type="dxa"/>
            </w:tcMar>
            <w:vAlign w:val="center"/>
            <w:hideMark/>
          </w:tcPr>
          <w:p w14:paraId="7846924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393181.50</w:t>
            </w:r>
          </w:p>
        </w:tc>
        <w:tc>
          <w:tcPr>
            <w:tcW w:w="1082" w:type="dxa"/>
            <w:tcBorders>
              <w:left w:val="nil"/>
              <w:right w:val="nil"/>
            </w:tcBorders>
            <w:shd w:val="clear" w:color="auto" w:fill="F2F2F2"/>
            <w:tcMar>
              <w:top w:w="90" w:type="dxa"/>
              <w:left w:w="195" w:type="dxa"/>
              <w:bottom w:w="90" w:type="dxa"/>
              <w:right w:w="195" w:type="dxa"/>
            </w:tcMar>
            <w:vAlign w:val="center"/>
            <w:hideMark/>
          </w:tcPr>
          <w:p w14:paraId="4667A70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7818741E" w14:textId="77777777" w:rsidTr="002C4AEA">
        <w:tc>
          <w:tcPr>
            <w:tcW w:w="1560" w:type="dxa"/>
            <w:vMerge/>
            <w:tcBorders>
              <w:left w:val="nil"/>
              <w:bottom w:val="single" w:sz="4" w:space="0" w:color="auto"/>
              <w:right w:val="nil"/>
            </w:tcBorders>
            <w:shd w:val="clear" w:color="auto" w:fill="auto"/>
            <w:vAlign w:val="center"/>
            <w:hideMark/>
          </w:tcPr>
          <w:p w14:paraId="1173398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0C72A57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Other</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542B3A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20</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0AF1E27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0.96</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7C897A7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1.17-0.75</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12C30E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307948.08</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75BCEC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6D147A16"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5D2B9C3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treatment development stage (Q = 0.33, p = 0.566)</w:t>
            </w:r>
          </w:p>
        </w:tc>
      </w:tr>
      <w:tr w:rsidR="006C5163" w:rsidRPr="006C5163" w14:paraId="606B52BD"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459CA03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treatment stage</w:t>
            </w:r>
          </w:p>
        </w:tc>
        <w:tc>
          <w:tcPr>
            <w:tcW w:w="1984" w:type="dxa"/>
            <w:tcBorders>
              <w:left w:val="nil"/>
              <w:right w:val="nil"/>
            </w:tcBorders>
            <w:shd w:val="clear" w:color="auto" w:fill="F2F2F2"/>
            <w:tcMar>
              <w:top w:w="90" w:type="dxa"/>
              <w:left w:w="195" w:type="dxa"/>
              <w:bottom w:w="90" w:type="dxa"/>
              <w:right w:w="195" w:type="dxa"/>
            </w:tcMar>
            <w:vAlign w:val="center"/>
            <w:hideMark/>
          </w:tcPr>
          <w:p w14:paraId="24BB527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routine evaluations</w:t>
            </w:r>
          </w:p>
        </w:tc>
        <w:tc>
          <w:tcPr>
            <w:tcW w:w="851" w:type="dxa"/>
            <w:tcBorders>
              <w:left w:val="nil"/>
              <w:right w:val="nil"/>
            </w:tcBorders>
            <w:shd w:val="clear" w:color="auto" w:fill="F2F2F2"/>
            <w:tcMar>
              <w:top w:w="90" w:type="dxa"/>
              <w:left w:w="195" w:type="dxa"/>
              <w:bottom w:w="90" w:type="dxa"/>
              <w:right w:w="195" w:type="dxa"/>
            </w:tcMar>
            <w:vAlign w:val="center"/>
            <w:hideMark/>
          </w:tcPr>
          <w:p w14:paraId="415896E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118</w:t>
            </w:r>
          </w:p>
        </w:tc>
        <w:tc>
          <w:tcPr>
            <w:tcW w:w="850" w:type="dxa"/>
            <w:tcBorders>
              <w:left w:val="nil"/>
              <w:right w:val="nil"/>
            </w:tcBorders>
            <w:shd w:val="clear" w:color="auto" w:fill="F2F2F2"/>
            <w:tcMar>
              <w:top w:w="90" w:type="dxa"/>
              <w:left w:w="195" w:type="dxa"/>
              <w:bottom w:w="90" w:type="dxa"/>
              <w:right w:w="195" w:type="dxa"/>
            </w:tcMar>
            <w:vAlign w:val="center"/>
            <w:hideMark/>
          </w:tcPr>
          <w:p w14:paraId="7EA2ABD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w:t>
            </w:r>
          </w:p>
        </w:tc>
        <w:tc>
          <w:tcPr>
            <w:tcW w:w="1242" w:type="dxa"/>
            <w:tcBorders>
              <w:left w:val="nil"/>
              <w:right w:val="nil"/>
            </w:tcBorders>
            <w:shd w:val="clear" w:color="auto" w:fill="F2F2F2"/>
            <w:tcMar>
              <w:top w:w="90" w:type="dxa"/>
              <w:left w:w="195" w:type="dxa"/>
              <w:bottom w:w="90" w:type="dxa"/>
              <w:right w:w="195" w:type="dxa"/>
            </w:tcMar>
            <w:vAlign w:val="center"/>
            <w:hideMark/>
          </w:tcPr>
          <w:p w14:paraId="41A6EAE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1.09-0.91</w:t>
            </w:r>
          </w:p>
        </w:tc>
        <w:tc>
          <w:tcPr>
            <w:tcW w:w="1451" w:type="dxa"/>
            <w:tcBorders>
              <w:left w:val="nil"/>
              <w:right w:val="nil"/>
            </w:tcBorders>
            <w:shd w:val="clear" w:color="auto" w:fill="F2F2F2"/>
            <w:tcMar>
              <w:top w:w="90" w:type="dxa"/>
              <w:left w:w="195" w:type="dxa"/>
              <w:bottom w:w="90" w:type="dxa"/>
              <w:right w:w="195" w:type="dxa"/>
            </w:tcMar>
            <w:vAlign w:val="center"/>
            <w:hideMark/>
          </w:tcPr>
          <w:p w14:paraId="3B8DDE8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9955258.72</w:t>
            </w:r>
          </w:p>
        </w:tc>
        <w:tc>
          <w:tcPr>
            <w:tcW w:w="1082" w:type="dxa"/>
            <w:tcBorders>
              <w:left w:val="nil"/>
              <w:right w:val="nil"/>
            </w:tcBorders>
            <w:shd w:val="clear" w:color="auto" w:fill="F2F2F2"/>
            <w:tcMar>
              <w:top w:w="90" w:type="dxa"/>
              <w:left w:w="195" w:type="dxa"/>
              <w:bottom w:w="90" w:type="dxa"/>
              <w:right w:w="195" w:type="dxa"/>
            </w:tcMar>
            <w:vAlign w:val="center"/>
            <w:hideMark/>
          </w:tcPr>
          <w:p w14:paraId="4C9DE51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393DFCAF" w14:textId="77777777" w:rsidTr="002C4AEA">
        <w:tc>
          <w:tcPr>
            <w:tcW w:w="1560" w:type="dxa"/>
            <w:vMerge/>
            <w:tcBorders>
              <w:left w:val="nil"/>
              <w:right w:val="nil"/>
            </w:tcBorders>
            <w:shd w:val="clear" w:color="auto" w:fill="auto"/>
            <w:tcMar>
              <w:top w:w="90" w:type="dxa"/>
              <w:left w:w="480" w:type="dxa"/>
              <w:bottom w:w="90" w:type="dxa"/>
              <w:right w:w="195" w:type="dxa"/>
            </w:tcMar>
          </w:tcPr>
          <w:p w14:paraId="1052084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36139F8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 xml:space="preserve">preliminary </w:t>
            </w:r>
          </w:p>
        </w:tc>
        <w:tc>
          <w:tcPr>
            <w:tcW w:w="851" w:type="dxa"/>
            <w:tcBorders>
              <w:left w:val="nil"/>
              <w:right w:val="nil"/>
            </w:tcBorders>
            <w:shd w:val="clear" w:color="auto" w:fill="auto"/>
            <w:tcMar>
              <w:top w:w="90" w:type="dxa"/>
              <w:left w:w="195" w:type="dxa"/>
              <w:bottom w:w="90" w:type="dxa"/>
              <w:right w:w="195" w:type="dxa"/>
            </w:tcMar>
            <w:vAlign w:val="center"/>
          </w:tcPr>
          <w:p w14:paraId="29DB9F7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22</w:t>
            </w:r>
          </w:p>
        </w:tc>
        <w:tc>
          <w:tcPr>
            <w:tcW w:w="850" w:type="dxa"/>
            <w:tcBorders>
              <w:left w:val="nil"/>
              <w:right w:val="nil"/>
            </w:tcBorders>
            <w:shd w:val="clear" w:color="auto" w:fill="auto"/>
            <w:tcMar>
              <w:top w:w="90" w:type="dxa"/>
              <w:left w:w="195" w:type="dxa"/>
              <w:bottom w:w="90" w:type="dxa"/>
              <w:right w:w="195" w:type="dxa"/>
            </w:tcMar>
            <w:vAlign w:val="center"/>
          </w:tcPr>
          <w:p w14:paraId="69814C2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0.95</w:t>
            </w:r>
          </w:p>
        </w:tc>
        <w:tc>
          <w:tcPr>
            <w:tcW w:w="1242" w:type="dxa"/>
            <w:tcBorders>
              <w:left w:val="nil"/>
              <w:right w:val="nil"/>
            </w:tcBorders>
            <w:shd w:val="clear" w:color="auto" w:fill="auto"/>
            <w:tcMar>
              <w:top w:w="90" w:type="dxa"/>
              <w:left w:w="195" w:type="dxa"/>
              <w:bottom w:w="90" w:type="dxa"/>
              <w:right w:w="195" w:type="dxa"/>
            </w:tcMar>
            <w:vAlign w:val="center"/>
          </w:tcPr>
          <w:p w14:paraId="20536FA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1.12-0.78</w:t>
            </w:r>
          </w:p>
        </w:tc>
        <w:tc>
          <w:tcPr>
            <w:tcW w:w="1451" w:type="dxa"/>
            <w:tcBorders>
              <w:left w:val="nil"/>
              <w:right w:val="nil"/>
            </w:tcBorders>
            <w:shd w:val="clear" w:color="auto" w:fill="auto"/>
            <w:tcMar>
              <w:top w:w="90" w:type="dxa"/>
              <w:left w:w="195" w:type="dxa"/>
              <w:bottom w:w="90" w:type="dxa"/>
              <w:right w:w="195" w:type="dxa"/>
            </w:tcMar>
            <w:vAlign w:val="center"/>
          </w:tcPr>
          <w:p w14:paraId="3BEF1A5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546.66</w:t>
            </w:r>
          </w:p>
        </w:tc>
        <w:tc>
          <w:tcPr>
            <w:tcW w:w="1082" w:type="dxa"/>
            <w:tcBorders>
              <w:left w:val="nil"/>
              <w:right w:val="nil"/>
            </w:tcBorders>
            <w:shd w:val="clear" w:color="auto" w:fill="auto"/>
            <w:tcMar>
              <w:top w:w="90" w:type="dxa"/>
              <w:left w:w="195" w:type="dxa"/>
              <w:bottom w:w="90" w:type="dxa"/>
              <w:right w:w="195" w:type="dxa"/>
            </w:tcMar>
            <w:vAlign w:val="center"/>
          </w:tcPr>
          <w:p w14:paraId="5ED1FF5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96.0%</w:t>
            </w:r>
          </w:p>
        </w:tc>
      </w:tr>
      <w:tr w:rsidR="006C5163" w:rsidRPr="006C5163" w14:paraId="7A7BFDD8"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1A13890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experience (Q = 1.41, p = 0.235)</w:t>
            </w:r>
          </w:p>
        </w:tc>
      </w:tr>
      <w:tr w:rsidR="006C5163" w:rsidRPr="006C5163" w14:paraId="090279C5"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01C64BC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experience</w:t>
            </w:r>
          </w:p>
        </w:tc>
        <w:tc>
          <w:tcPr>
            <w:tcW w:w="1984" w:type="dxa"/>
            <w:tcBorders>
              <w:left w:val="nil"/>
              <w:right w:val="nil"/>
            </w:tcBorders>
            <w:shd w:val="clear" w:color="auto" w:fill="F2F2F2"/>
            <w:tcMar>
              <w:top w:w="90" w:type="dxa"/>
              <w:left w:w="195" w:type="dxa"/>
              <w:bottom w:w="90" w:type="dxa"/>
              <w:right w:w="195" w:type="dxa"/>
            </w:tcMar>
            <w:vAlign w:val="center"/>
          </w:tcPr>
          <w:p w14:paraId="2F567C3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Qualified</w:t>
            </w:r>
          </w:p>
        </w:tc>
        <w:tc>
          <w:tcPr>
            <w:tcW w:w="851" w:type="dxa"/>
            <w:tcBorders>
              <w:left w:val="nil"/>
              <w:right w:val="nil"/>
            </w:tcBorders>
            <w:shd w:val="clear" w:color="auto" w:fill="F2F2F2"/>
            <w:tcMar>
              <w:top w:w="90" w:type="dxa"/>
              <w:left w:w="195" w:type="dxa"/>
              <w:bottom w:w="90" w:type="dxa"/>
              <w:right w:w="195" w:type="dxa"/>
            </w:tcMar>
            <w:vAlign w:val="center"/>
          </w:tcPr>
          <w:p w14:paraId="23E74EA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121</w:t>
            </w:r>
          </w:p>
        </w:tc>
        <w:tc>
          <w:tcPr>
            <w:tcW w:w="850" w:type="dxa"/>
            <w:tcBorders>
              <w:left w:val="nil"/>
              <w:right w:val="nil"/>
            </w:tcBorders>
            <w:shd w:val="clear" w:color="auto" w:fill="F2F2F2"/>
            <w:tcMar>
              <w:top w:w="90" w:type="dxa"/>
              <w:left w:w="195" w:type="dxa"/>
              <w:bottom w:w="90" w:type="dxa"/>
              <w:right w:w="195" w:type="dxa"/>
            </w:tcMar>
            <w:vAlign w:val="center"/>
          </w:tcPr>
          <w:p w14:paraId="7BC127E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1.01</w:t>
            </w:r>
          </w:p>
        </w:tc>
        <w:tc>
          <w:tcPr>
            <w:tcW w:w="1242" w:type="dxa"/>
            <w:tcBorders>
              <w:left w:val="nil"/>
              <w:right w:val="nil"/>
            </w:tcBorders>
            <w:shd w:val="clear" w:color="auto" w:fill="F2F2F2"/>
            <w:tcMar>
              <w:top w:w="90" w:type="dxa"/>
              <w:left w:w="195" w:type="dxa"/>
              <w:bottom w:w="90" w:type="dxa"/>
              <w:right w:w="195" w:type="dxa"/>
            </w:tcMar>
            <w:vAlign w:val="center"/>
          </w:tcPr>
          <w:p w14:paraId="3C24641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1.1-0.92</w:t>
            </w:r>
          </w:p>
        </w:tc>
        <w:tc>
          <w:tcPr>
            <w:tcW w:w="1451" w:type="dxa"/>
            <w:tcBorders>
              <w:left w:val="nil"/>
              <w:right w:val="nil"/>
            </w:tcBorders>
            <w:shd w:val="clear" w:color="auto" w:fill="F2F2F2"/>
            <w:tcMar>
              <w:top w:w="90" w:type="dxa"/>
              <w:left w:w="195" w:type="dxa"/>
              <w:bottom w:w="90" w:type="dxa"/>
              <w:right w:w="195" w:type="dxa"/>
            </w:tcMar>
            <w:vAlign w:val="center"/>
          </w:tcPr>
          <w:p w14:paraId="5B21AA5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9878905.77</w:t>
            </w:r>
          </w:p>
        </w:tc>
        <w:tc>
          <w:tcPr>
            <w:tcW w:w="1082" w:type="dxa"/>
            <w:tcBorders>
              <w:left w:val="nil"/>
              <w:right w:val="nil"/>
            </w:tcBorders>
            <w:shd w:val="clear" w:color="auto" w:fill="F2F2F2"/>
            <w:tcMar>
              <w:top w:w="90" w:type="dxa"/>
              <w:left w:w="195" w:type="dxa"/>
              <w:bottom w:w="90" w:type="dxa"/>
              <w:right w:w="195" w:type="dxa"/>
            </w:tcMar>
            <w:vAlign w:val="center"/>
          </w:tcPr>
          <w:p w14:paraId="3590A47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067BF9C6" w14:textId="77777777" w:rsidTr="002C4AEA">
        <w:tc>
          <w:tcPr>
            <w:tcW w:w="1560" w:type="dxa"/>
            <w:vMerge/>
            <w:tcBorders>
              <w:left w:val="nil"/>
              <w:right w:val="nil"/>
            </w:tcBorders>
            <w:shd w:val="clear" w:color="auto" w:fill="auto"/>
            <w:tcMar>
              <w:top w:w="90" w:type="dxa"/>
              <w:left w:w="480" w:type="dxa"/>
              <w:bottom w:w="90" w:type="dxa"/>
              <w:right w:w="195" w:type="dxa"/>
            </w:tcMar>
            <w:vAlign w:val="center"/>
            <w:hideMark/>
          </w:tcPr>
          <w:p w14:paraId="3F063CC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hideMark/>
          </w:tcPr>
          <w:p w14:paraId="6D57743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Trainees</w:t>
            </w:r>
          </w:p>
        </w:tc>
        <w:tc>
          <w:tcPr>
            <w:tcW w:w="851" w:type="dxa"/>
            <w:tcBorders>
              <w:left w:val="nil"/>
              <w:right w:val="nil"/>
            </w:tcBorders>
            <w:shd w:val="clear" w:color="auto" w:fill="auto"/>
            <w:tcMar>
              <w:top w:w="90" w:type="dxa"/>
              <w:left w:w="195" w:type="dxa"/>
              <w:bottom w:w="90" w:type="dxa"/>
              <w:right w:w="195" w:type="dxa"/>
            </w:tcMar>
            <w:vAlign w:val="center"/>
            <w:hideMark/>
          </w:tcPr>
          <w:p w14:paraId="4F114EF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19</w:t>
            </w:r>
          </w:p>
        </w:tc>
        <w:tc>
          <w:tcPr>
            <w:tcW w:w="850" w:type="dxa"/>
            <w:tcBorders>
              <w:left w:val="nil"/>
              <w:right w:val="nil"/>
            </w:tcBorders>
            <w:shd w:val="clear" w:color="auto" w:fill="auto"/>
            <w:tcMar>
              <w:top w:w="90" w:type="dxa"/>
              <w:left w:w="195" w:type="dxa"/>
              <w:bottom w:w="90" w:type="dxa"/>
              <w:right w:w="195" w:type="dxa"/>
            </w:tcMar>
            <w:vAlign w:val="center"/>
            <w:hideMark/>
          </w:tcPr>
          <w:p w14:paraId="660F71E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0.90</w:t>
            </w:r>
          </w:p>
        </w:tc>
        <w:tc>
          <w:tcPr>
            <w:tcW w:w="1242" w:type="dxa"/>
            <w:tcBorders>
              <w:left w:val="nil"/>
              <w:right w:val="nil"/>
            </w:tcBorders>
            <w:shd w:val="clear" w:color="auto" w:fill="auto"/>
            <w:tcMar>
              <w:top w:w="90" w:type="dxa"/>
              <w:left w:w="195" w:type="dxa"/>
              <w:bottom w:w="90" w:type="dxa"/>
              <w:right w:w="195" w:type="dxa"/>
            </w:tcMar>
            <w:vAlign w:val="center"/>
            <w:hideMark/>
          </w:tcPr>
          <w:p w14:paraId="7991CE1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1.06-0.74</w:t>
            </w:r>
          </w:p>
        </w:tc>
        <w:tc>
          <w:tcPr>
            <w:tcW w:w="1451" w:type="dxa"/>
            <w:tcBorders>
              <w:left w:val="nil"/>
              <w:right w:val="nil"/>
            </w:tcBorders>
            <w:shd w:val="clear" w:color="auto" w:fill="auto"/>
            <w:tcMar>
              <w:top w:w="90" w:type="dxa"/>
              <w:left w:w="195" w:type="dxa"/>
              <w:bottom w:w="90" w:type="dxa"/>
              <w:right w:w="195" w:type="dxa"/>
            </w:tcMar>
            <w:vAlign w:val="center"/>
            <w:hideMark/>
          </w:tcPr>
          <w:p w14:paraId="699CF98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76281.83</w:t>
            </w:r>
          </w:p>
        </w:tc>
        <w:tc>
          <w:tcPr>
            <w:tcW w:w="1082" w:type="dxa"/>
            <w:tcBorders>
              <w:left w:val="nil"/>
              <w:right w:val="nil"/>
            </w:tcBorders>
            <w:shd w:val="clear" w:color="auto" w:fill="auto"/>
            <w:tcMar>
              <w:top w:w="90" w:type="dxa"/>
              <w:left w:w="195" w:type="dxa"/>
              <w:bottom w:w="90" w:type="dxa"/>
              <w:right w:w="195" w:type="dxa"/>
            </w:tcMar>
            <w:vAlign w:val="center"/>
            <w:hideMark/>
          </w:tcPr>
          <w:p w14:paraId="461DF63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26CC8237"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5D29C73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measurement tool (Q = 0, p = 0.956)</w:t>
            </w:r>
          </w:p>
        </w:tc>
      </w:tr>
      <w:tr w:rsidR="006C5163" w:rsidRPr="006C5163" w14:paraId="68D4B63C" w14:textId="77777777" w:rsidTr="002C4AEA">
        <w:tc>
          <w:tcPr>
            <w:tcW w:w="1560" w:type="dxa"/>
            <w:vMerge w:val="restart"/>
            <w:tcBorders>
              <w:left w:val="nil"/>
              <w:right w:val="nil"/>
            </w:tcBorders>
            <w:shd w:val="clear" w:color="auto" w:fill="auto"/>
            <w:tcMar>
              <w:top w:w="90" w:type="dxa"/>
              <w:left w:w="480" w:type="dxa"/>
              <w:bottom w:w="90" w:type="dxa"/>
              <w:right w:w="195" w:type="dxa"/>
            </w:tcMar>
            <w:hideMark/>
          </w:tcPr>
          <w:p w14:paraId="0EAC4DC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measure-</w:t>
            </w:r>
            <w:proofErr w:type="spellStart"/>
            <w:r w:rsidRPr="006C5163">
              <w:rPr>
                <w:rFonts w:ascii="Times New Roman" w:eastAsia="Times New Roman" w:hAnsi="Times New Roman" w:cs="Times New Roman"/>
                <w:color w:val="000000"/>
                <w:spacing w:val="3"/>
                <w:sz w:val="18"/>
                <w:szCs w:val="18"/>
                <w:lang w:val="en-GB" w:eastAsia="en-GB"/>
              </w:rPr>
              <w:t>ment</w:t>
            </w:r>
            <w:proofErr w:type="spellEnd"/>
            <w:r w:rsidRPr="006C5163">
              <w:rPr>
                <w:rFonts w:ascii="Times New Roman" w:eastAsia="Times New Roman" w:hAnsi="Times New Roman" w:cs="Times New Roman"/>
                <w:color w:val="000000"/>
                <w:spacing w:val="3"/>
                <w:sz w:val="18"/>
                <w:szCs w:val="18"/>
                <w:lang w:val="en-GB" w:eastAsia="en-GB"/>
              </w:rPr>
              <w:t xml:space="preserve"> tool</w:t>
            </w:r>
          </w:p>
        </w:tc>
        <w:tc>
          <w:tcPr>
            <w:tcW w:w="1984" w:type="dxa"/>
            <w:tcBorders>
              <w:left w:val="nil"/>
              <w:right w:val="nil"/>
            </w:tcBorders>
            <w:shd w:val="clear" w:color="auto" w:fill="auto"/>
            <w:tcMar>
              <w:top w:w="90" w:type="dxa"/>
              <w:left w:w="195" w:type="dxa"/>
              <w:bottom w:w="90" w:type="dxa"/>
              <w:right w:w="195" w:type="dxa"/>
            </w:tcMar>
            <w:vAlign w:val="center"/>
            <w:hideMark/>
          </w:tcPr>
          <w:p w14:paraId="03307DF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BDI</w:t>
            </w:r>
          </w:p>
        </w:tc>
        <w:tc>
          <w:tcPr>
            <w:tcW w:w="851" w:type="dxa"/>
            <w:tcBorders>
              <w:left w:val="nil"/>
              <w:right w:val="nil"/>
            </w:tcBorders>
            <w:shd w:val="clear" w:color="auto" w:fill="auto"/>
            <w:tcMar>
              <w:top w:w="90" w:type="dxa"/>
              <w:left w:w="195" w:type="dxa"/>
              <w:bottom w:w="90" w:type="dxa"/>
              <w:right w:w="195" w:type="dxa"/>
            </w:tcMar>
            <w:vAlign w:val="center"/>
            <w:hideMark/>
          </w:tcPr>
          <w:p w14:paraId="765C7EA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34</w:t>
            </w:r>
          </w:p>
        </w:tc>
        <w:tc>
          <w:tcPr>
            <w:tcW w:w="850" w:type="dxa"/>
            <w:tcBorders>
              <w:left w:val="nil"/>
              <w:right w:val="nil"/>
            </w:tcBorders>
            <w:shd w:val="clear" w:color="auto" w:fill="auto"/>
            <w:tcMar>
              <w:top w:w="90" w:type="dxa"/>
              <w:left w:w="195" w:type="dxa"/>
              <w:bottom w:w="90" w:type="dxa"/>
              <w:right w:w="195" w:type="dxa"/>
            </w:tcMar>
            <w:vAlign w:val="center"/>
            <w:hideMark/>
          </w:tcPr>
          <w:p w14:paraId="5573F9C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1.02</w:t>
            </w:r>
          </w:p>
        </w:tc>
        <w:tc>
          <w:tcPr>
            <w:tcW w:w="1242" w:type="dxa"/>
            <w:tcBorders>
              <w:left w:val="nil"/>
              <w:right w:val="nil"/>
            </w:tcBorders>
            <w:shd w:val="clear" w:color="auto" w:fill="auto"/>
            <w:tcMar>
              <w:top w:w="90" w:type="dxa"/>
              <w:left w:w="195" w:type="dxa"/>
              <w:bottom w:w="90" w:type="dxa"/>
              <w:right w:w="195" w:type="dxa"/>
            </w:tcMar>
            <w:vAlign w:val="center"/>
            <w:hideMark/>
          </w:tcPr>
          <w:p w14:paraId="5D41424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1.18-0.86</w:t>
            </w:r>
          </w:p>
        </w:tc>
        <w:tc>
          <w:tcPr>
            <w:tcW w:w="1451" w:type="dxa"/>
            <w:tcBorders>
              <w:left w:val="nil"/>
              <w:right w:val="nil"/>
            </w:tcBorders>
            <w:shd w:val="clear" w:color="auto" w:fill="auto"/>
            <w:tcMar>
              <w:top w:w="90" w:type="dxa"/>
              <w:left w:w="195" w:type="dxa"/>
              <w:bottom w:w="90" w:type="dxa"/>
              <w:right w:w="195" w:type="dxa"/>
            </w:tcMar>
            <w:vAlign w:val="center"/>
            <w:hideMark/>
          </w:tcPr>
          <w:p w14:paraId="2B9927A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121013.68</w:t>
            </w:r>
          </w:p>
        </w:tc>
        <w:tc>
          <w:tcPr>
            <w:tcW w:w="1082" w:type="dxa"/>
            <w:tcBorders>
              <w:left w:val="nil"/>
              <w:right w:val="nil"/>
            </w:tcBorders>
            <w:shd w:val="clear" w:color="auto" w:fill="auto"/>
            <w:tcMar>
              <w:top w:w="90" w:type="dxa"/>
              <w:left w:w="195" w:type="dxa"/>
              <w:bottom w:w="90" w:type="dxa"/>
              <w:right w:w="195" w:type="dxa"/>
            </w:tcMar>
            <w:vAlign w:val="center"/>
            <w:hideMark/>
          </w:tcPr>
          <w:p w14:paraId="2D9283B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74F4BFDF" w14:textId="77777777" w:rsidTr="006C5163">
        <w:tc>
          <w:tcPr>
            <w:tcW w:w="1560" w:type="dxa"/>
            <w:vMerge/>
            <w:tcBorders>
              <w:left w:val="nil"/>
              <w:right w:val="nil"/>
            </w:tcBorders>
            <w:shd w:val="clear" w:color="auto" w:fill="auto"/>
            <w:tcMar>
              <w:top w:w="90" w:type="dxa"/>
              <w:left w:w="480" w:type="dxa"/>
              <w:bottom w:w="90" w:type="dxa"/>
              <w:right w:w="195" w:type="dxa"/>
            </w:tcMar>
          </w:tcPr>
          <w:p w14:paraId="43600E1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570855B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PHQ-9</w:t>
            </w:r>
          </w:p>
        </w:tc>
        <w:tc>
          <w:tcPr>
            <w:tcW w:w="851" w:type="dxa"/>
            <w:tcBorders>
              <w:left w:val="nil"/>
              <w:right w:val="nil"/>
            </w:tcBorders>
            <w:shd w:val="clear" w:color="auto" w:fill="F2F2F2"/>
            <w:tcMar>
              <w:top w:w="90" w:type="dxa"/>
              <w:left w:w="195" w:type="dxa"/>
              <w:bottom w:w="90" w:type="dxa"/>
              <w:right w:w="195" w:type="dxa"/>
            </w:tcMar>
            <w:vAlign w:val="center"/>
          </w:tcPr>
          <w:p w14:paraId="75CD993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30</w:t>
            </w:r>
          </w:p>
        </w:tc>
        <w:tc>
          <w:tcPr>
            <w:tcW w:w="850" w:type="dxa"/>
            <w:tcBorders>
              <w:left w:val="nil"/>
              <w:right w:val="nil"/>
            </w:tcBorders>
            <w:shd w:val="clear" w:color="auto" w:fill="F2F2F2"/>
            <w:tcMar>
              <w:top w:w="90" w:type="dxa"/>
              <w:left w:w="195" w:type="dxa"/>
              <w:bottom w:w="90" w:type="dxa"/>
              <w:right w:w="195" w:type="dxa"/>
            </w:tcMar>
            <w:vAlign w:val="center"/>
          </w:tcPr>
          <w:p w14:paraId="6B7B81E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1.01</w:t>
            </w:r>
          </w:p>
        </w:tc>
        <w:tc>
          <w:tcPr>
            <w:tcW w:w="1242" w:type="dxa"/>
            <w:tcBorders>
              <w:left w:val="nil"/>
              <w:right w:val="nil"/>
            </w:tcBorders>
            <w:shd w:val="clear" w:color="auto" w:fill="F2F2F2"/>
            <w:tcMar>
              <w:top w:w="90" w:type="dxa"/>
              <w:left w:w="195" w:type="dxa"/>
              <w:bottom w:w="90" w:type="dxa"/>
              <w:right w:w="195" w:type="dxa"/>
            </w:tcMar>
            <w:vAlign w:val="center"/>
          </w:tcPr>
          <w:p w14:paraId="7C32B03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1.22-0.81</w:t>
            </w:r>
          </w:p>
        </w:tc>
        <w:tc>
          <w:tcPr>
            <w:tcW w:w="1451" w:type="dxa"/>
            <w:tcBorders>
              <w:left w:val="nil"/>
              <w:right w:val="nil"/>
            </w:tcBorders>
            <w:shd w:val="clear" w:color="auto" w:fill="F2F2F2"/>
            <w:tcMar>
              <w:top w:w="90" w:type="dxa"/>
              <w:left w:w="195" w:type="dxa"/>
              <w:bottom w:w="90" w:type="dxa"/>
              <w:right w:w="195" w:type="dxa"/>
            </w:tcMar>
            <w:vAlign w:val="center"/>
          </w:tcPr>
          <w:p w14:paraId="3F9F043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3495045.61</w:t>
            </w:r>
          </w:p>
        </w:tc>
        <w:tc>
          <w:tcPr>
            <w:tcW w:w="1082" w:type="dxa"/>
            <w:tcBorders>
              <w:left w:val="nil"/>
              <w:right w:val="nil"/>
            </w:tcBorders>
            <w:shd w:val="clear" w:color="auto" w:fill="F2F2F2"/>
            <w:tcMar>
              <w:top w:w="90" w:type="dxa"/>
              <w:left w:w="195" w:type="dxa"/>
              <w:bottom w:w="90" w:type="dxa"/>
              <w:right w:w="195" w:type="dxa"/>
            </w:tcMar>
            <w:vAlign w:val="center"/>
          </w:tcPr>
          <w:p w14:paraId="5271DB3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65B31DB5"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C71D2D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sample size (Q = 4.72, p = 0.094)</w:t>
            </w:r>
          </w:p>
        </w:tc>
      </w:tr>
      <w:tr w:rsidR="006C5163" w:rsidRPr="006C5163" w14:paraId="0B65C5BB"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2387963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sample size</w:t>
            </w:r>
          </w:p>
        </w:tc>
        <w:tc>
          <w:tcPr>
            <w:tcW w:w="1984" w:type="dxa"/>
            <w:tcBorders>
              <w:left w:val="nil"/>
              <w:right w:val="nil"/>
            </w:tcBorders>
            <w:shd w:val="clear" w:color="auto" w:fill="F2F2F2"/>
            <w:tcMar>
              <w:top w:w="90" w:type="dxa"/>
              <w:left w:w="195" w:type="dxa"/>
              <w:bottom w:w="90" w:type="dxa"/>
              <w:right w:w="195" w:type="dxa"/>
            </w:tcMar>
            <w:vAlign w:val="center"/>
            <w:hideMark/>
          </w:tcPr>
          <w:p w14:paraId="239AF10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large</w:t>
            </w:r>
          </w:p>
        </w:tc>
        <w:tc>
          <w:tcPr>
            <w:tcW w:w="851" w:type="dxa"/>
            <w:tcBorders>
              <w:left w:val="nil"/>
              <w:right w:val="nil"/>
            </w:tcBorders>
            <w:shd w:val="clear" w:color="auto" w:fill="F2F2F2"/>
            <w:tcMar>
              <w:top w:w="90" w:type="dxa"/>
              <w:left w:w="195" w:type="dxa"/>
              <w:bottom w:w="90" w:type="dxa"/>
              <w:right w:w="195" w:type="dxa"/>
            </w:tcMar>
            <w:vAlign w:val="center"/>
            <w:hideMark/>
          </w:tcPr>
          <w:p w14:paraId="0A1CAD9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74</w:t>
            </w:r>
          </w:p>
        </w:tc>
        <w:tc>
          <w:tcPr>
            <w:tcW w:w="850" w:type="dxa"/>
            <w:tcBorders>
              <w:left w:val="nil"/>
              <w:right w:val="nil"/>
            </w:tcBorders>
            <w:shd w:val="clear" w:color="auto" w:fill="F2F2F2"/>
            <w:tcMar>
              <w:top w:w="90" w:type="dxa"/>
              <w:left w:w="195" w:type="dxa"/>
              <w:bottom w:w="90" w:type="dxa"/>
              <w:right w:w="195" w:type="dxa"/>
            </w:tcMar>
            <w:vAlign w:val="center"/>
            <w:hideMark/>
          </w:tcPr>
          <w:p w14:paraId="093B9DB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1.02</w:t>
            </w:r>
          </w:p>
        </w:tc>
        <w:tc>
          <w:tcPr>
            <w:tcW w:w="1242" w:type="dxa"/>
            <w:tcBorders>
              <w:left w:val="nil"/>
              <w:right w:val="nil"/>
            </w:tcBorders>
            <w:shd w:val="clear" w:color="auto" w:fill="F2F2F2"/>
            <w:tcMar>
              <w:top w:w="90" w:type="dxa"/>
              <w:left w:w="195" w:type="dxa"/>
              <w:bottom w:w="90" w:type="dxa"/>
              <w:right w:w="195" w:type="dxa"/>
            </w:tcMar>
            <w:vAlign w:val="center"/>
            <w:hideMark/>
          </w:tcPr>
          <w:p w14:paraId="4F1D7F7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1.13-0.91</w:t>
            </w:r>
          </w:p>
        </w:tc>
        <w:tc>
          <w:tcPr>
            <w:tcW w:w="1451" w:type="dxa"/>
            <w:tcBorders>
              <w:left w:val="nil"/>
              <w:right w:val="nil"/>
            </w:tcBorders>
            <w:shd w:val="clear" w:color="auto" w:fill="F2F2F2"/>
            <w:tcMar>
              <w:top w:w="90" w:type="dxa"/>
              <w:left w:w="195" w:type="dxa"/>
              <w:bottom w:w="90" w:type="dxa"/>
              <w:right w:w="195" w:type="dxa"/>
            </w:tcMar>
            <w:vAlign w:val="center"/>
            <w:hideMark/>
          </w:tcPr>
          <w:p w14:paraId="39AFF53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9949550.00</w:t>
            </w:r>
          </w:p>
        </w:tc>
        <w:tc>
          <w:tcPr>
            <w:tcW w:w="1082" w:type="dxa"/>
            <w:tcBorders>
              <w:left w:val="nil"/>
              <w:right w:val="nil"/>
            </w:tcBorders>
            <w:shd w:val="clear" w:color="auto" w:fill="F2F2F2"/>
            <w:tcMar>
              <w:top w:w="90" w:type="dxa"/>
              <w:left w:w="195" w:type="dxa"/>
              <w:bottom w:w="90" w:type="dxa"/>
              <w:right w:w="195" w:type="dxa"/>
            </w:tcMar>
            <w:vAlign w:val="center"/>
            <w:hideMark/>
          </w:tcPr>
          <w:p w14:paraId="2E5EF18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100.0%</w:t>
            </w:r>
          </w:p>
        </w:tc>
      </w:tr>
      <w:tr w:rsidR="006C5163" w:rsidRPr="006C5163" w14:paraId="53E99A19" w14:textId="77777777" w:rsidTr="006C5163">
        <w:tc>
          <w:tcPr>
            <w:tcW w:w="1560" w:type="dxa"/>
            <w:vMerge/>
            <w:tcBorders>
              <w:left w:val="nil"/>
              <w:right w:val="nil"/>
            </w:tcBorders>
            <w:shd w:val="clear" w:color="auto" w:fill="FFFFFF"/>
            <w:tcMar>
              <w:top w:w="90" w:type="dxa"/>
              <w:left w:w="480" w:type="dxa"/>
              <w:bottom w:w="90" w:type="dxa"/>
              <w:right w:w="195" w:type="dxa"/>
            </w:tcMar>
          </w:tcPr>
          <w:p w14:paraId="5A5F550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164E9D7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small</w:t>
            </w:r>
          </w:p>
        </w:tc>
        <w:tc>
          <w:tcPr>
            <w:tcW w:w="851" w:type="dxa"/>
            <w:tcBorders>
              <w:left w:val="nil"/>
              <w:right w:val="nil"/>
            </w:tcBorders>
            <w:shd w:val="clear" w:color="auto" w:fill="FFFFFF"/>
            <w:tcMar>
              <w:top w:w="90" w:type="dxa"/>
              <w:left w:w="195" w:type="dxa"/>
              <w:bottom w:w="90" w:type="dxa"/>
              <w:right w:w="195" w:type="dxa"/>
            </w:tcMar>
            <w:vAlign w:val="center"/>
          </w:tcPr>
          <w:p w14:paraId="60FB3AC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33</w:t>
            </w:r>
          </w:p>
        </w:tc>
        <w:tc>
          <w:tcPr>
            <w:tcW w:w="850" w:type="dxa"/>
            <w:tcBorders>
              <w:left w:val="nil"/>
              <w:right w:val="nil"/>
            </w:tcBorders>
            <w:shd w:val="clear" w:color="auto" w:fill="FFFFFF"/>
            <w:tcMar>
              <w:top w:w="90" w:type="dxa"/>
              <w:left w:w="195" w:type="dxa"/>
              <w:bottom w:w="90" w:type="dxa"/>
              <w:right w:w="195" w:type="dxa"/>
            </w:tcMar>
            <w:vAlign w:val="center"/>
          </w:tcPr>
          <w:p w14:paraId="210B347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0.85</w:t>
            </w:r>
          </w:p>
        </w:tc>
        <w:tc>
          <w:tcPr>
            <w:tcW w:w="1242" w:type="dxa"/>
            <w:tcBorders>
              <w:left w:val="nil"/>
              <w:right w:val="nil"/>
            </w:tcBorders>
            <w:shd w:val="clear" w:color="auto" w:fill="FFFFFF"/>
            <w:tcMar>
              <w:top w:w="90" w:type="dxa"/>
              <w:left w:w="195" w:type="dxa"/>
              <w:bottom w:w="90" w:type="dxa"/>
              <w:right w:w="195" w:type="dxa"/>
            </w:tcMar>
            <w:vAlign w:val="center"/>
          </w:tcPr>
          <w:p w14:paraId="45E7C3D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0.99-0.7</w:t>
            </w:r>
          </w:p>
        </w:tc>
        <w:tc>
          <w:tcPr>
            <w:tcW w:w="1451" w:type="dxa"/>
            <w:tcBorders>
              <w:left w:val="nil"/>
              <w:right w:val="nil"/>
            </w:tcBorders>
            <w:shd w:val="clear" w:color="auto" w:fill="FFFFFF"/>
            <w:tcMar>
              <w:top w:w="90" w:type="dxa"/>
              <w:left w:w="195" w:type="dxa"/>
              <w:bottom w:w="90" w:type="dxa"/>
              <w:right w:w="195" w:type="dxa"/>
            </w:tcMar>
            <w:vAlign w:val="center"/>
          </w:tcPr>
          <w:p w14:paraId="675010E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625.88</w:t>
            </w:r>
          </w:p>
        </w:tc>
        <w:tc>
          <w:tcPr>
            <w:tcW w:w="1082" w:type="dxa"/>
            <w:tcBorders>
              <w:left w:val="nil"/>
              <w:right w:val="nil"/>
            </w:tcBorders>
            <w:shd w:val="clear" w:color="auto" w:fill="FFFFFF"/>
            <w:tcMar>
              <w:top w:w="90" w:type="dxa"/>
              <w:left w:w="195" w:type="dxa"/>
              <w:bottom w:w="90" w:type="dxa"/>
              <w:right w:w="195" w:type="dxa"/>
            </w:tcMar>
            <w:vAlign w:val="center"/>
          </w:tcPr>
          <w:p w14:paraId="05A6327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95.0%</w:t>
            </w:r>
          </w:p>
        </w:tc>
      </w:tr>
      <w:tr w:rsidR="006C5163" w:rsidRPr="006C5163" w14:paraId="605D2F63" w14:textId="77777777" w:rsidTr="006C5163">
        <w:tc>
          <w:tcPr>
            <w:tcW w:w="1560" w:type="dxa"/>
            <w:vMerge/>
            <w:tcBorders>
              <w:left w:val="nil"/>
              <w:bottom w:val="single" w:sz="4" w:space="0" w:color="auto"/>
              <w:right w:val="nil"/>
            </w:tcBorders>
            <w:shd w:val="clear" w:color="auto" w:fill="auto"/>
            <w:vAlign w:val="center"/>
            <w:hideMark/>
          </w:tcPr>
          <w:p w14:paraId="43C99FC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29026D7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medium</w:t>
            </w:r>
          </w:p>
        </w:tc>
        <w:tc>
          <w:tcPr>
            <w:tcW w:w="851"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5D2DD9C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33</w:t>
            </w:r>
          </w:p>
        </w:tc>
        <w:tc>
          <w:tcPr>
            <w:tcW w:w="850"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43086A9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1.08</w:t>
            </w:r>
          </w:p>
        </w:tc>
        <w:tc>
          <w:tcPr>
            <w:tcW w:w="1242"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34ED8DF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1.26-0.89</w:t>
            </w:r>
          </w:p>
        </w:tc>
        <w:tc>
          <w:tcPr>
            <w:tcW w:w="1451"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86B897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5470.21</w:t>
            </w:r>
          </w:p>
        </w:tc>
        <w:tc>
          <w:tcPr>
            <w:tcW w:w="1082"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086043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5"/>
                <w:szCs w:val="15"/>
                <w:lang w:val="en-GB" w:eastAsia="en-GB"/>
              </w:rPr>
              <w:t>99.0%</w:t>
            </w:r>
          </w:p>
        </w:tc>
      </w:tr>
      <w:tr w:rsidR="006C5163" w:rsidRPr="006C5163" w14:paraId="17DD15D2" w14:textId="77777777" w:rsidTr="002C4AEA">
        <w:tc>
          <w:tcPr>
            <w:tcW w:w="9020" w:type="dxa"/>
            <w:gridSpan w:val="7"/>
            <w:tcBorders>
              <w:top w:val="single" w:sz="4" w:space="0" w:color="auto"/>
              <w:left w:val="nil"/>
            </w:tcBorders>
            <w:shd w:val="clear" w:color="auto" w:fill="auto"/>
            <w:tcMar>
              <w:top w:w="0" w:type="dxa"/>
              <w:left w:w="0" w:type="dxa"/>
              <w:bottom w:w="0" w:type="dxa"/>
              <w:right w:w="0" w:type="dxa"/>
            </w:tcMar>
            <w:vAlign w:val="center"/>
            <w:hideMark/>
          </w:tcPr>
          <w:p w14:paraId="71EFCECA" w14:textId="77777777" w:rsidR="006C5163" w:rsidRPr="006C5163" w:rsidRDefault="006C5163" w:rsidP="006C5163">
            <w:pPr>
              <w:spacing w:after="0"/>
              <w:rPr>
                <w:rFonts w:ascii="Times New Roman" w:eastAsia="Times New Roman" w:hAnsi="Times New Roman" w:cs="Times New Roman"/>
                <w:color w:val="000000"/>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Note.</w:t>
            </w:r>
            <w:r w:rsidRPr="006C5163">
              <w:rPr>
                <w:rFonts w:ascii="Times New Roman" w:eastAsia="Times New Roman" w:hAnsi="Times New Roman" w:cs="Times New Roman"/>
                <w:color w:val="000000"/>
                <w:spacing w:val="3"/>
                <w:sz w:val="15"/>
                <w:szCs w:val="15"/>
                <w:lang w:val="en-GB" w:eastAsia="en-GB"/>
              </w:rPr>
              <w:t> * = &lt; .05</w:t>
            </w:r>
          </w:p>
        </w:tc>
      </w:tr>
    </w:tbl>
    <w:p w14:paraId="179AC546" w14:textId="77777777" w:rsidR="006C5163" w:rsidRPr="006C5163" w:rsidRDefault="006C5163" w:rsidP="006C5163">
      <w:pPr>
        <w:spacing w:after="0"/>
        <w:rPr>
          <w:rFonts w:ascii="Times New Roman" w:eastAsia="Calibri" w:hAnsi="Times New Roman" w:cs="Times New Roman"/>
          <w:color w:val="000000"/>
          <w:sz w:val="16"/>
          <w:szCs w:val="16"/>
          <w:lang w:val="en-GB"/>
        </w:rPr>
      </w:pPr>
    </w:p>
    <w:p w14:paraId="278ED9CF" w14:textId="77777777" w:rsidR="006C5163" w:rsidRPr="006C5163" w:rsidRDefault="006C5163" w:rsidP="006C5163">
      <w:pPr>
        <w:spacing w:after="0" w:line="360" w:lineRule="auto"/>
        <w:rPr>
          <w:rFonts w:ascii="Times New Roman" w:eastAsia="Calibri" w:hAnsi="Times New Roman" w:cs="Times New Roman"/>
          <w:b/>
          <w:bCs/>
          <w:sz w:val="21"/>
          <w:szCs w:val="21"/>
          <w:lang w:val="en-GB"/>
        </w:rPr>
      </w:pPr>
      <w:r w:rsidRPr="006C5163">
        <w:rPr>
          <w:rFonts w:ascii="Times New Roman" w:eastAsia="Calibri" w:hAnsi="Times New Roman" w:cs="Times New Roman"/>
          <w:color w:val="000000"/>
          <w:sz w:val="16"/>
          <w:szCs w:val="16"/>
          <w:lang w:val="en-GB"/>
        </w:rPr>
        <w:br w:type="page"/>
      </w:r>
      <w:r w:rsidRPr="006C5163">
        <w:rPr>
          <w:rFonts w:ascii="Times New Roman" w:eastAsia="Calibri" w:hAnsi="Times New Roman" w:cs="Times New Roman"/>
          <w:b/>
          <w:bCs/>
          <w:sz w:val="21"/>
          <w:szCs w:val="21"/>
          <w:lang w:val="en-GB"/>
        </w:rPr>
        <w:lastRenderedPageBreak/>
        <w:t>Table 4:</w:t>
      </w:r>
    </w:p>
    <w:p w14:paraId="2E46A9B3" w14:textId="77777777" w:rsidR="006C5163" w:rsidRPr="006C5163" w:rsidRDefault="006C5163" w:rsidP="006C5163">
      <w:pPr>
        <w:spacing w:after="0" w:line="360" w:lineRule="auto"/>
        <w:rPr>
          <w:rFonts w:ascii="Times New Roman" w:eastAsia="Calibri" w:hAnsi="Times New Roman" w:cs="Times New Roman"/>
          <w:sz w:val="21"/>
          <w:szCs w:val="21"/>
          <w:lang w:val="en-GB"/>
        </w:rPr>
      </w:pPr>
      <w:r w:rsidRPr="006C5163">
        <w:rPr>
          <w:rFonts w:ascii="Times New Roman" w:eastAsia="Calibri" w:hAnsi="Times New Roman" w:cs="Times New Roman"/>
          <w:sz w:val="21"/>
          <w:szCs w:val="21"/>
          <w:lang w:val="en-GB"/>
        </w:rPr>
        <w:t>Subgroup moderator analyses for anxiety outcomes.</w:t>
      </w:r>
    </w:p>
    <w:p w14:paraId="67E90726" w14:textId="77777777" w:rsidR="006C5163" w:rsidRPr="006C5163" w:rsidRDefault="006C5163" w:rsidP="006C5163">
      <w:pPr>
        <w:spacing w:after="0"/>
        <w:rPr>
          <w:rFonts w:ascii="Times New Roman" w:eastAsia="Calibri" w:hAnsi="Times New Roman" w:cs="Times New Roman"/>
          <w:color w:val="000000"/>
          <w:sz w:val="16"/>
          <w:szCs w:val="16"/>
          <w:lang w:val="en-GB"/>
        </w:rPr>
      </w:pPr>
    </w:p>
    <w:tbl>
      <w:tblPr>
        <w:tblW w:w="9020" w:type="dxa"/>
        <w:tblLayout w:type="fixed"/>
        <w:tblCellMar>
          <w:top w:w="15" w:type="dxa"/>
          <w:left w:w="15" w:type="dxa"/>
          <w:bottom w:w="15" w:type="dxa"/>
          <w:right w:w="15" w:type="dxa"/>
        </w:tblCellMar>
        <w:tblLook w:val="04A0" w:firstRow="1" w:lastRow="0" w:firstColumn="1" w:lastColumn="0" w:noHBand="0" w:noVBand="1"/>
      </w:tblPr>
      <w:tblGrid>
        <w:gridCol w:w="1560"/>
        <w:gridCol w:w="1984"/>
        <w:gridCol w:w="851"/>
        <w:gridCol w:w="850"/>
        <w:gridCol w:w="1242"/>
        <w:gridCol w:w="1451"/>
        <w:gridCol w:w="1082"/>
      </w:tblGrid>
      <w:tr w:rsidR="006C5163" w:rsidRPr="006C5163" w14:paraId="7F3AF20F" w14:textId="77777777" w:rsidTr="002C4AEA">
        <w:trPr>
          <w:trHeight w:val="37"/>
          <w:tblHeader/>
        </w:trPr>
        <w:tc>
          <w:tcPr>
            <w:tcW w:w="156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71C435D0"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1984"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0F5153D1"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8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3E093817" w14:textId="2B57DC06"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K</w:t>
            </w:r>
          </w:p>
        </w:tc>
        <w:tc>
          <w:tcPr>
            <w:tcW w:w="85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02B9A8EB" w14:textId="77777777"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d</w:t>
            </w:r>
          </w:p>
        </w:tc>
        <w:tc>
          <w:tcPr>
            <w:tcW w:w="124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2791FBB1"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ci</w:t>
            </w:r>
          </w:p>
        </w:tc>
        <w:tc>
          <w:tcPr>
            <w:tcW w:w="14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2671713F"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Q</w:t>
            </w:r>
          </w:p>
        </w:tc>
        <w:tc>
          <w:tcPr>
            <w:tcW w:w="108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6912545A"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I2</w:t>
            </w:r>
          </w:p>
        </w:tc>
      </w:tr>
      <w:tr w:rsidR="006C5163" w:rsidRPr="006C5163" w14:paraId="29F6291C"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136522D6"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severity (Q = 17.15, p = 0.001*)</w:t>
            </w:r>
          </w:p>
        </w:tc>
      </w:tr>
      <w:tr w:rsidR="006C5163" w:rsidRPr="006C5163" w14:paraId="31D67429"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6393E7F1"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r w:rsidRPr="006C5163">
              <w:rPr>
                <w:rFonts w:ascii="Times New Roman" w:eastAsia="Times New Roman" w:hAnsi="Times New Roman" w:cs="Times New Roman"/>
                <w:color w:val="000000"/>
                <w:spacing w:val="3"/>
                <w:sz w:val="18"/>
                <w:szCs w:val="18"/>
                <w:lang w:val="en-GB" w:eastAsia="en-GB"/>
              </w:rPr>
              <w:t>severity</w:t>
            </w:r>
          </w:p>
        </w:tc>
        <w:tc>
          <w:tcPr>
            <w:tcW w:w="1984" w:type="dxa"/>
            <w:tcBorders>
              <w:left w:val="nil"/>
              <w:right w:val="nil"/>
            </w:tcBorders>
            <w:shd w:val="clear" w:color="auto" w:fill="F2F2F2"/>
            <w:tcMar>
              <w:top w:w="90" w:type="dxa"/>
              <w:left w:w="195" w:type="dxa"/>
              <w:bottom w:w="90" w:type="dxa"/>
              <w:right w:w="195" w:type="dxa"/>
            </w:tcMar>
            <w:vAlign w:val="center"/>
          </w:tcPr>
          <w:p w14:paraId="3C360169" w14:textId="77777777" w:rsidR="006C5163" w:rsidRPr="006C5163" w:rsidRDefault="006C5163" w:rsidP="006C5163">
            <w:pPr>
              <w:spacing w:after="0"/>
              <w:rPr>
                <w:rFonts w:ascii="Times New Roman" w:eastAsia="Calibri" w:hAnsi="Times New Roman" w:cs="Times New Roman"/>
                <w:color w:val="000000"/>
                <w:spacing w:val="3"/>
                <w:sz w:val="15"/>
                <w:szCs w:val="15"/>
                <w:lang w:val="en-GB"/>
              </w:rPr>
            </w:pPr>
            <w:r w:rsidRPr="006C5163">
              <w:rPr>
                <w:rFonts w:ascii="Times New Roman" w:eastAsia="Calibri" w:hAnsi="Times New Roman" w:cs="Times New Roman"/>
                <w:color w:val="000000"/>
                <w:spacing w:val="3"/>
                <w:sz w:val="15"/>
                <w:szCs w:val="15"/>
                <w:lang w:val="en-GB"/>
              </w:rPr>
              <w:t>university</w:t>
            </w:r>
          </w:p>
        </w:tc>
        <w:tc>
          <w:tcPr>
            <w:tcW w:w="851" w:type="dxa"/>
            <w:tcBorders>
              <w:left w:val="nil"/>
              <w:right w:val="nil"/>
            </w:tcBorders>
            <w:shd w:val="clear" w:color="auto" w:fill="F2F2F2"/>
            <w:tcMar>
              <w:top w:w="90" w:type="dxa"/>
              <w:left w:w="195" w:type="dxa"/>
              <w:bottom w:w="90" w:type="dxa"/>
              <w:right w:w="195" w:type="dxa"/>
            </w:tcMar>
          </w:tcPr>
          <w:p w14:paraId="7EE0F275" w14:textId="77777777" w:rsidR="006C5163" w:rsidRPr="006C5163" w:rsidRDefault="006C5163" w:rsidP="006C5163">
            <w:pPr>
              <w:spacing w:after="0"/>
              <w:rPr>
                <w:rFonts w:ascii="Times New Roman" w:eastAsia="Calibri" w:hAnsi="Times New Roman" w:cs="Times New Roman"/>
                <w:sz w:val="15"/>
                <w:szCs w:val="15"/>
                <w:lang w:val="en-GB"/>
              </w:rPr>
            </w:pPr>
            <w:r w:rsidRPr="006C5163">
              <w:rPr>
                <w:rFonts w:ascii="Times New Roman" w:eastAsia="Calibri" w:hAnsi="Times New Roman" w:cs="Times New Roman"/>
                <w:sz w:val="15"/>
                <w:szCs w:val="15"/>
                <w:lang w:val="en-GB"/>
              </w:rPr>
              <w:t>29</w:t>
            </w:r>
          </w:p>
        </w:tc>
        <w:tc>
          <w:tcPr>
            <w:tcW w:w="850" w:type="dxa"/>
            <w:tcBorders>
              <w:left w:val="nil"/>
              <w:right w:val="nil"/>
            </w:tcBorders>
            <w:shd w:val="clear" w:color="auto" w:fill="F2F2F2"/>
            <w:tcMar>
              <w:top w:w="90" w:type="dxa"/>
              <w:left w:w="195" w:type="dxa"/>
              <w:bottom w:w="90" w:type="dxa"/>
              <w:right w:w="195" w:type="dxa"/>
            </w:tcMar>
          </w:tcPr>
          <w:p w14:paraId="16C26020" w14:textId="77777777" w:rsidR="006C5163" w:rsidRPr="006C5163" w:rsidRDefault="006C5163" w:rsidP="006C5163">
            <w:pPr>
              <w:spacing w:after="0"/>
              <w:rPr>
                <w:rFonts w:ascii="Times New Roman" w:eastAsia="Calibri" w:hAnsi="Times New Roman" w:cs="Times New Roman"/>
                <w:sz w:val="15"/>
                <w:szCs w:val="15"/>
                <w:lang w:val="en-GB"/>
              </w:rPr>
            </w:pPr>
            <w:r w:rsidRPr="006C5163">
              <w:rPr>
                <w:rFonts w:ascii="Times New Roman" w:eastAsia="Calibri" w:hAnsi="Times New Roman" w:cs="Times New Roman"/>
                <w:sz w:val="15"/>
                <w:szCs w:val="15"/>
                <w:lang w:val="en-GB"/>
              </w:rPr>
              <w:t>1.01</w:t>
            </w:r>
          </w:p>
        </w:tc>
        <w:tc>
          <w:tcPr>
            <w:tcW w:w="1242" w:type="dxa"/>
            <w:tcBorders>
              <w:left w:val="nil"/>
              <w:right w:val="nil"/>
            </w:tcBorders>
            <w:shd w:val="clear" w:color="auto" w:fill="F2F2F2"/>
            <w:tcMar>
              <w:top w:w="90" w:type="dxa"/>
              <w:left w:w="195" w:type="dxa"/>
              <w:bottom w:w="90" w:type="dxa"/>
              <w:right w:w="195" w:type="dxa"/>
            </w:tcMar>
          </w:tcPr>
          <w:p w14:paraId="39EE7B93" w14:textId="77777777" w:rsidR="006C5163" w:rsidRPr="006C5163" w:rsidRDefault="006C5163" w:rsidP="006C5163">
            <w:pPr>
              <w:spacing w:after="0"/>
              <w:rPr>
                <w:rFonts w:ascii="Times New Roman" w:eastAsia="Calibri" w:hAnsi="Times New Roman" w:cs="Times New Roman"/>
                <w:sz w:val="15"/>
                <w:szCs w:val="15"/>
                <w:lang w:val="en-GB"/>
              </w:rPr>
            </w:pPr>
            <w:r w:rsidRPr="006C5163">
              <w:rPr>
                <w:rFonts w:ascii="Times New Roman" w:eastAsia="Calibri" w:hAnsi="Times New Roman" w:cs="Times New Roman"/>
                <w:sz w:val="15"/>
                <w:szCs w:val="15"/>
                <w:lang w:val="en-GB"/>
              </w:rPr>
              <w:t>1.2-0.83</w:t>
            </w:r>
          </w:p>
        </w:tc>
        <w:tc>
          <w:tcPr>
            <w:tcW w:w="1451" w:type="dxa"/>
            <w:tcBorders>
              <w:left w:val="nil"/>
              <w:right w:val="nil"/>
            </w:tcBorders>
            <w:shd w:val="clear" w:color="auto" w:fill="F2F2F2"/>
            <w:tcMar>
              <w:top w:w="90" w:type="dxa"/>
              <w:left w:w="195" w:type="dxa"/>
              <w:bottom w:w="90" w:type="dxa"/>
              <w:right w:w="195" w:type="dxa"/>
            </w:tcMar>
          </w:tcPr>
          <w:p w14:paraId="0D0788FA" w14:textId="77777777" w:rsidR="006C5163" w:rsidRPr="006C5163" w:rsidRDefault="006C5163" w:rsidP="006C5163">
            <w:pPr>
              <w:spacing w:after="0"/>
              <w:rPr>
                <w:rFonts w:ascii="Times New Roman" w:eastAsia="Calibri" w:hAnsi="Times New Roman" w:cs="Times New Roman"/>
                <w:sz w:val="15"/>
                <w:szCs w:val="15"/>
                <w:lang w:val="en-GB"/>
              </w:rPr>
            </w:pPr>
            <w:r w:rsidRPr="006C5163">
              <w:rPr>
                <w:rFonts w:ascii="Times New Roman" w:eastAsia="Calibri" w:hAnsi="Times New Roman" w:cs="Times New Roman"/>
                <w:sz w:val="15"/>
                <w:szCs w:val="15"/>
                <w:lang w:val="en-GB"/>
              </w:rPr>
              <w:t>32067.93</w:t>
            </w:r>
          </w:p>
        </w:tc>
        <w:tc>
          <w:tcPr>
            <w:tcW w:w="1082" w:type="dxa"/>
            <w:tcBorders>
              <w:left w:val="nil"/>
              <w:right w:val="nil"/>
            </w:tcBorders>
            <w:shd w:val="clear" w:color="auto" w:fill="F2F2F2"/>
            <w:tcMar>
              <w:top w:w="90" w:type="dxa"/>
              <w:left w:w="195" w:type="dxa"/>
              <w:bottom w:w="90" w:type="dxa"/>
              <w:right w:w="195" w:type="dxa"/>
            </w:tcMar>
          </w:tcPr>
          <w:p w14:paraId="751E98BD" w14:textId="77777777" w:rsidR="006C5163" w:rsidRPr="006C5163" w:rsidRDefault="006C5163" w:rsidP="006C5163">
            <w:pPr>
              <w:spacing w:after="0"/>
              <w:rPr>
                <w:rFonts w:ascii="Times New Roman" w:eastAsia="Calibri" w:hAnsi="Times New Roman" w:cs="Times New Roman"/>
                <w:sz w:val="15"/>
                <w:szCs w:val="15"/>
                <w:lang w:val="en-GB"/>
              </w:rPr>
            </w:pPr>
            <w:r w:rsidRPr="006C5163">
              <w:rPr>
                <w:rFonts w:ascii="Times New Roman" w:eastAsia="Calibri" w:hAnsi="Times New Roman" w:cs="Times New Roman"/>
                <w:sz w:val="15"/>
                <w:szCs w:val="15"/>
                <w:lang w:val="en-GB"/>
              </w:rPr>
              <w:t>100.0%</w:t>
            </w:r>
          </w:p>
        </w:tc>
      </w:tr>
      <w:tr w:rsidR="006C5163" w:rsidRPr="006C5163" w14:paraId="7F0394BE" w14:textId="77777777" w:rsidTr="006C5163">
        <w:tc>
          <w:tcPr>
            <w:tcW w:w="1560" w:type="dxa"/>
            <w:vMerge/>
            <w:tcBorders>
              <w:left w:val="nil"/>
              <w:right w:val="nil"/>
            </w:tcBorders>
            <w:shd w:val="clear" w:color="auto" w:fill="auto"/>
            <w:tcMar>
              <w:top w:w="90" w:type="dxa"/>
              <w:left w:w="480" w:type="dxa"/>
              <w:bottom w:w="90" w:type="dxa"/>
              <w:right w:w="195" w:type="dxa"/>
            </w:tcMar>
            <w:vAlign w:val="center"/>
            <w:hideMark/>
          </w:tcPr>
          <w:p w14:paraId="0B331925"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hideMark/>
          </w:tcPr>
          <w:p w14:paraId="4258688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mild</w:t>
            </w:r>
          </w:p>
        </w:tc>
        <w:tc>
          <w:tcPr>
            <w:tcW w:w="851" w:type="dxa"/>
            <w:tcBorders>
              <w:left w:val="nil"/>
              <w:right w:val="nil"/>
            </w:tcBorders>
            <w:shd w:val="clear" w:color="auto" w:fill="FFFFFF"/>
            <w:tcMar>
              <w:top w:w="90" w:type="dxa"/>
              <w:left w:w="195" w:type="dxa"/>
              <w:bottom w:w="90" w:type="dxa"/>
              <w:right w:w="195" w:type="dxa"/>
            </w:tcMar>
            <w:hideMark/>
          </w:tcPr>
          <w:p w14:paraId="54AEAC7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22</w:t>
            </w:r>
          </w:p>
        </w:tc>
        <w:tc>
          <w:tcPr>
            <w:tcW w:w="850" w:type="dxa"/>
            <w:tcBorders>
              <w:left w:val="nil"/>
              <w:right w:val="nil"/>
            </w:tcBorders>
            <w:shd w:val="clear" w:color="auto" w:fill="FFFFFF"/>
            <w:tcMar>
              <w:top w:w="90" w:type="dxa"/>
              <w:left w:w="195" w:type="dxa"/>
              <w:bottom w:w="90" w:type="dxa"/>
              <w:right w:w="195" w:type="dxa"/>
            </w:tcMar>
            <w:hideMark/>
          </w:tcPr>
          <w:p w14:paraId="4C1BAF5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0.99</w:t>
            </w:r>
          </w:p>
        </w:tc>
        <w:tc>
          <w:tcPr>
            <w:tcW w:w="1242" w:type="dxa"/>
            <w:tcBorders>
              <w:left w:val="nil"/>
              <w:right w:val="nil"/>
            </w:tcBorders>
            <w:shd w:val="clear" w:color="auto" w:fill="FFFFFF"/>
            <w:tcMar>
              <w:top w:w="90" w:type="dxa"/>
              <w:left w:w="195" w:type="dxa"/>
              <w:bottom w:w="90" w:type="dxa"/>
              <w:right w:w="195" w:type="dxa"/>
            </w:tcMar>
            <w:hideMark/>
          </w:tcPr>
          <w:p w14:paraId="5D219EF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1.2-0.79</w:t>
            </w:r>
          </w:p>
        </w:tc>
        <w:tc>
          <w:tcPr>
            <w:tcW w:w="1451" w:type="dxa"/>
            <w:tcBorders>
              <w:left w:val="nil"/>
              <w:right w:val="nil"/>
            </w:tcBorders>
            <w:shd w:val="clear" w:color="auto" w:fill="FFFFFF"/>
            <w:tcMar>
              <w:top w:w="90" w:type="dxa"/>
              <w:left w:w="195" w:type="dxa"/>
              <w:bottom w:w="90" w:type="dxa"/>
              <w:right w:w="195" w:type="dxa"/>
            </w:tcMar>
            <w:hideMark/>
          </w:tcPr>
          <w:p w14:paraId="6DDBB90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334405.48</w:t>
            </w:r>
          </w:p>
        </w:tc>
        <w:tc>
          <w:tcPr>
            <w:tcW w:w="1082" w:type="dxa"/>
            <w:tcBorders>
              <w:left w:val="nil"/>
              <w:right w:val="nil"/>
            </w:tcBorders>
            <w:shd w:val="clear" w:color="auto" w:fill="FFFFFF"/>
            <w:tcMar>
              <w:top w:w="90" w:type="dxa"/>
              <w:left w:w="195" w:type="dxa"/>
              <w:bottom w:w="90" w:type="dxa"/>
              <w:right w:w="195" w:type="dxa"/>
            </w:tcMar>
            <w:hideMark/>
          </w:tcPr>
          <w:p w14:paraId="215618D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7699F15C" w14:textId="77777777" w:rsidTr="006C5163">
        <w:tc>
          <w:tcPr>
            <w:tcW w:w="1560" w:type="dxa"/>
            <w:vMerge/>
            <w:tcBorders>
              <w:left w:val="nil"/>
              <w:right w:val="nil"/>
            </w:tcBorders>
            <w:shd w:val="clear" w:color="auto" w:fill="auto"/>
            <w:tcMar>
              <w:top w:w="90" w:type="dxa"/>
              <w:left w:w="480" w:type="dxa"/>
              <w:bottom w:w="90" w:type="dxa"/>
              <w:right w:w="195" w:type="dxa"/>
            </w:tcMar>
          </w:tcPr>
          <w:p w14:paraId="476E366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6A2A178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moderate</w:t>
            </w:r>
          </w:p>
        </w:tc>
        <w:tc>
          <w:tcPr>
            <w:tcW w:w="851" w:type="dxa"/>
            <w:tcBorders>
              <w:left w:val="nil"/>
              <w:right w:val="nil"/>
            </w:tcBorders>
            <w:shd w:val="clear" w:color="auto" w:fill="F2F2F2"/>
            <w:tcMar>
              <w:top w:w="90" w:type="dxa"/>
              <w:left w:w="195" w:type="dxa"/>
              <w:bottom w:w="90" w:type="dxa"/>
              <w:right w:w="195" w:type="dxa"/>
            </w:tcMar>
          </w:tcPr>
          <w:p w14:paraId="6BD4CD5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24</w:t>
            </w:r>
          </w:p>
        </w:tc>
        <w:tc>
          <w:tcPr>
            <w:tcW w:w="850" w:type="dxa"/>
            <w:tcBorders>
              <w:left w:val="nil"/>
              <w:right w:val="nil"/>
            </w:tcBorders>
            <w:shd w:val="clear" w:color="auto" w:fill="F2F2F2"/>
            <w:tcMar>
              <w:top w:w="90" w:type="dxa"/>
              <w:left w:w="195" w:type="dxa"/>
              <w:bottom w:w="90" w:type="dxa"/>
              <w:right w:w="195" w:type="dxa"/>
            </w:tcMar>
          </w:tcPr>
          <w:p w14:paraId="5DD73B4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0.63</w:t>
            </w:r>
          </w:p>
        </w:tc>
        <w:tc>
          <w:tcPr>
            <w:tcW w:w="1242" w:type="dxa"/>
            <w:tcBorders>
              <w:left w:val="nil"/>
              <w:right w:val="nil"/>
            </w:tcBorders>
            <w:shd w:val="clear" w:color="auto" w:fill="F2F2F2"/>
            <w:tcMar>
              <w:top w:w="90" w:type="dxa"/>
              <w:left w:w="195" w:type="dxa"/>
              <w:bottom w:w="90" w:type="dxa"/>
              <w:right w:w="195" w:type="dxa"/>
            </w:tcMar>
          </w:tcPr>
          <w:p w14:paraId="250A128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0.76-0.5</w:t>
            </w:r>
          </w:p>
        </w:tc>
        <w:tc>
          <w:tcPr>
            <w:tcW w:w="1451" w:type="dxa"/>
            <w:tcBorders>
              <w:left w:val="nil"/>
              <w:right w:val="nil"/>
            </w:tcBorders>
            <w:shd w:val="clear" w:color="auto" w:fill="F2F2F2"/>
            <w:tcMar>
              <w:top w:w="90" w:type="dxa"/>
              <w:left w:w="195" w:type="dxa"/>
              <w:bottom w:w="90" w:type="dxa"/>
              <w:right w:w="195" w:type="dxa"/>
            </w:tcMar>
          </w:tcPr>
          <w:p w14:paraId="0E76531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30702.22</w:t>
            </w:r>
          </w:p>
        </w:tc>
        <w:tc>
          <w:tcPr>
            <w:tcW w:w="1082" w:type="dxa"/>
            <w:tcBorders>
              <w:left w:val="nil"/>
              <w:right w:val="nil"/>
            </w:tcBorders>
            <w:shd w:val="clear" w:color="auto" w:fill="F2F2F2"/>
            <w:tcMar>
              <w:top w:w="90" w:type="dxa"/>
              <w:left w:w="195" w:type="dxa"/>
              <w:bottom w:w="90" w:type="dxa"/>
              <w:right w:w="195" w:type="dxa"/>
            </w:tcMar>
          </w:tcPr>
          <w:p w14:paraId="6C5E3EB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2B79414E" w14:textId="77777777" w:rsidTr="006C5163">
        <w:tc>
          <w:tcPr>
            <w:tcW w:w="1560" w:type="dxa"/>
            <w:vMerge/>
            <w:tcBorders>
              <w:left w:val="nil"/>
              <w:right w:val="nil"/>
            </w:tcBorders>
            <w:shd w:val="clear" w:color="auto" w:fill="auto"/>
            <w:tcMar>
              <w:top w:w="90" w:type="dxa"/>
              <w:left w:w="480" w:type="dxa"/>
              <w:bottom w:w="90" w:type="dxa"/>
              <w:right w:w="195" w:type="dxa"/>
            </w:tcMar>
          </w:tcPr>
          <w:p w14:paraId="0ACD5DD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0394FD7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severe</w:t>
            </w:r>
          </w:p>
        </w:tc>
        <w:tc>
          <w:tcPr>
            <w:tcW w:w="851" w:type="dxa"/>
            <w:tcBorders>
              <w:left w:val="nil"/>
              <w:right w:val="nil"/>
            </w:tcBorders>
            <w:shd w:val="clear" w:color="auto" w:fill="FFFFFF"/>
            <w:tcMar>
              <w:top w:w="90" w:type="dxa"/>
              <w:left w:w="195" w:type="dxa"/>
              <w:bottom w:w="90" w:type="dxa"/>
              <w:right w:w="195" w:type="dxa"/>
            </w:tcMar>
          </w:tcPr>
          <w:p w14:paraId="05CC45E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8</w:t>
            </w:r>
          </w:p>
        </w:tc>
        <w:tc>
          <w:tcPr>
            <w:tcW w:w="850" w:type="dxa"/>
            <w:tcBorders>
              <w:left w:val="nil"/>
              <w:right w:val="nil"/>
            </w:tcBorders>
            <w:shd w:val="clear" w:color="auto" w:fill="FFFFFF"/>
            <w:tcMar>
              <w:top w:w="90" w:type="dxa"/>
              <w:left w:w="195" w:type="dxa"/>
              <w:bottom w:w="90" w:type="dxa"/>
              <w:right w:w="195" w:type="dxa"/>
            </w:tcMar>
          </w:tcPr>
          <w:p w14:paraId="08A16A1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0.59</w:t>
            </w:r>
          </w:p>
        </w:tc>
        <w:tc>
          <w:tcPr>
            <w:tcW w:w="1242" w:type="dxa"/>
            <w:tcBorders>
              <w:left w:val="nil"/>
              <w:right w:val="nil"/>
            </w:tcBorders>
            <w:shd w:val="clear" w:color="auto" w:fill="FFFFFF"/>
            <w:tcMar>
              <w:top w:w="90" w:type="dxa"/>
              <w:left w:w="195" w:type="dxa"/>
              <w:bottom w:w="90" w:type="dxa"/>
              <w:right w:w="195" w:type="dxa"/>
            </w:tcMar>
          </w:tcPr>
          <w:p w14:paraId="336F7AF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0.9-0.29</w:t>
            </w:r>
          </w:p>
        </w:tc>
        <w:tc>
          <w:tcPr>
            <w:tcW w:w="1451" w:type="dxa"/>
            <w:tcBorders>
              <w:left w:val="nil"/>
              <w:right w:val="nil"/>
            </w:tcBorders>
            <w:shd w:val="clear" w:color="auto" w:fill="FFFFFF"/>
            <w:tcMar>
              <w:top w:w="90" w:type="dxa"/>
              <w:left w:w="195" w:type="dxa"/>
              <w:bottom w:w="90" w:type="dxa"/>
              <w:right w:w="195" w:type="dxa"/>
            </w:tcMar>
          </w:tcPr>
          <w:p w14:paraId="56CC958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108223.63</w:t>
            </w:r>
          </w:p>
        </w:tc>
        <w:tc>
          <w:tcPr>
            <w:tcW w:w="1082" w:type="dxa"/>
            <w:tcBorders>
              <w:left w:val="nil"/>
              <w:right w:val="nil"/>
            </w:tcBorders>
            <w:shd w:val="clear" w:color="auto" w:fill="FFFFFF"/>
            <w:tcMar>
              <w:top w:w="90" w:type="dxa"/>
              <w:left w:w="195" w:type="dxa"/>
              <w:bottom w:w="90" w:type="dxa"/>
              <w:right w:w="195" w:type="dxa"/>
            </w:tcMar>
          </w:tcPr>
          <w:p w14:paraId="0190CF9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3B7A3FBD" w14:textId="77777777" w:rsidTr="002C4AEA">
        <w:tc>
          <w:tcPr>
            <w:tcW w:w="9020" w:type="dxa"/>
            <w:gridSpan w:val="7"/>
            <w:tcBorders>
              <w:top w:val="single" w:sz="4" w:space="0" w:color="auto"/>
              <w:left w:val="nil"/>
              <w:right w:val="nil"/>
            </w:tcBorders>
            <w:shd w:val="clear" w:color="auto" w:fill="auto"/>
            <w:tcMar>
              <w:top w:w="90" w:type="dxa"/>
              <w:left w:w="480" w:type="dxa"/>
              <w:bottom w:w="90" w:type="dxa"/>
              <w:right w:w="195" w:type="dxa"/>
            </w:tcMar>
            <w:vAlign w:val="center"/>
          </w:tcPr>
          <w:p w14:paraId="65CB1890"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Times New Roman" w:hAnsi="Times New Roman" w:cs="Times New Roman"/>
                <w:i/>
                <w:iCs/>
                <w:color w:val="000000"/>
                <w:spacing w:val="3"/>
                <w:sz w:val="15"/>
                <w:szCs w:val="15"/>
                <w:lang w:val="en-GB" w:eastAsia="en-GB"/>
              </w:rPr>
              <w:t>Random effects model for analysis (Q = 1.82, p = 0.178)</w:t>
            </w:r>
          </w:p>
        </w:tc>
      </w:tr>
      <w:tr w:rsidR="006C5163" w:rsidRPr="006C5163" w14:paraId="249DE14E"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5BEC1BB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analysis</w:t>
            </w:r>
          </w:p>
        </w:tc>
        <w:tc>
          <w:tcPr>
            <w:tcW w:w="1984" w:type="dxa"/>
            <w:tcBorders>
              <w:left w:val="nil"/>
              <w:right w:val="nil"/>
            </w:tcBorders>
            <w:shd w:val="clear" w:color="auto" w:fill="F2F2F2"/>
            <w:tcMar>
              <w:top w:w="90" w:type="dxa"/>
              <w:left w:w="195" w:type="dxa"/>
              <w:bottom w:w="90" w:type="dxa"/>
              <w:right w:w="195" w:type="dxa"/>
            </w:tcMar>
          </w:tcPr>
          <w:p w14:paraId="0BEFFE18"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include</w:t>
            </w:r>
          </w:p>
        </w:tc>
        <w:tc>
          <w:tcPr>
            <w:tcW w:w="851" w:type="dxa"/>
            <w:tcBorders>
              <w:left w:val="nil"/>
              <w:right w:val="nil"/>
            </w:tcBorders>
            <w:shd w:val="clear" w:color="auto" w:fill="F2F2F2"/>
            <w:tcMar>
              <w:top w:w="90" w:type="dxa"/>
              <w:left w:w="195" w:type="dxa"/>
              <w:bottom w:w="90" w:type="dxa"/>
              <w:right w:w="195" w:type="dxa"/>
            </w:tcMar>
          </w:tcPr>
          <w:p w14:paraId="10F3A48E"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58</w:t>
            </w:r>
          </w:p>
        </w:tc>
        <w:tc>
          <w:tcPr>
            <w:tcW w:w="850" w:type="dxa"/>
            <w:tcBorders>
              <w:left w:val="nil"/>
              <w:right w:val="nil"/>
            </w:tcBorders>
            <w:shd w:val="clear" w:color="auto" w:fill="F2F2F2"/>
            <w:tcMar>
              <w:top w:w="90" w:type="dxa"/>
              <w:left w:w="195" w:type="dxa"/>
              <w:bottom w:w="90" w:type="dxa"/>
              <w:right w:w="195" w:type="dxa"/>
            </w:tcMar>
          </w:tcPr>
          <w:p w14:paraId="6DFC9A26"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0.81</w:t>
            </w:r>
          </w:p>
        </w:tc>
        <w:tc>
          <w:tcPr>
            <w:tcW w:w="1242" w:type="dxa"/>
            <w:tcBorders>
              <w:left w:val="nil"/>
              <w:right w:val="nil"/>
            </w:tcBorders>
            <w:shd w:val="clear" w:color="auto" w:fill="F2F2F2"/>
            <w:tcMar>
              <w:top w:w="90" w:type="dxa"/>
              <w:left w:w="195" w:type="dxa"/>
              <w:bottom w:w="90" w:type="dxa"/>
              <w:right w:w="195" w:type="dxa"/>
            </w:tcMar>
          </w:tcPr>
          <w:p w14:paraId="0EB2975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0.93-0.69</w:t>
            </w:r>
          </w:p>
        </w:tc>
        <w:tc>
          <w:tcPr>
            <w:tcW w:w="1451" w:type="dxa"/>
            <w:tcBorders>
              <w:left w:val="nil"/>
              <w:right w:val="nil"/>
            </w:tcBorders>
            <w:shd w:val="clear" w:color="auto" w:fill="F2F2F2"/>
            <w:tcMar>
              <w:top w:w="90" w:type="dxa"/>
              <w:left w:w="195" w:type="dxa"/>
              <w:bottom w:w="90" w:type="dxa"/>
              <w:right w:w="195" w:type="dxa"/>
            </w:tcMar>
          </w:tcPr>
          <w:p w14:paraId="7464E86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517063.05</w:t>
            </w:r>
          </w:p>
        </w:tc>
        <w:tc>
          <w:tcPr>
            <w:tcW w:w="1082" w:type="dxa"/>
            <w:tcBorders>
              <w:left w:val="nil"/>
              <w:right w:val="nil"/>
            </w:tcBorders>
            <w:shd w:val="clear" w:color="auto" w:fill="F2F2F2"/>
            <w:tcMar>
              <w:top w:w="90" w:type="dxa"/>
              <w:left w:w="195" w:type="dxa"/>
              <w:bottom w:w="90" w:type="dxa"/>
              <w:right w:w="195" w:type="dxa"/>
            </w:tcMar>
          </w:tcPr>
          <w:p w14:paraId="5E34A4A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100.0%</w:t>
            </w:r>
          </w:p>
        </w:tc>
      </w:tr>
      <w:tr w:rsidR="006C5163" w:rsidRPr="006C5163" w14:paraId="1A04F06A" w14:textId="77777777" w:rsidTr="002C4AEA">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57D9351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tcPr>
          <w:p w14:paraId="42D79A30"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Completers</w:t>
            </w:r>
          </w:p>
        </w:tc>
        <w:tc>
          <w:tcPr>
            <w:tcW w:w="851" w:type="dxa"/>
            <w:tcBorders>
              <w:left w:val="nil"/>
              <w:bottom w:val="single" w:sz="4" w:space="0" w:color="auto"/>
              <w:right w:val="nil"/>
            </w:tcBorders>
            <w:shd w:val="clear" w:color="auto" w:fill="auto"/>
            <w:tcMar>
              <w:top w:w="90" w:type="dxa"/>
              <w:left w:w="195" w:type="dxa"/>
              <w:bottom w:w="90" w:type="dxa"/>
              <w:right w:w="195" w:type="dxa"/>
            </w:tcMar>
          </w:tcPr>
          <w:p w14:paraId="6442F88E"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26</w:t>
            </w:r>
          </w:p>
        </w:tc>
        <w:tc>
          <w:tcPr>
            <w:tcW w:w="850" w:type="dxa"/>
            <w:tcBorders>
              <w:left w:val="nil"/>
              <w:bottom w:val="single" w:sz="4" w:space="0" w:color="auto"/>
              <w:right w:val="nil"/>
            </w:tcBorders>
            <w:shd w:val="clear" w:color="auto" w:fill="auto"/>
            <w:tcMar>
              <w:top w:w="90" w:type="dxa"/>
              <w:left w:w="195" w:type="dxa"/>
              <w:bottom w:w="90" w:type="dxa"/>
              <w:right w:w="195" w:type="dxa"/>
            </w:tcMar>
          </w:tcPr>
          <w:p w14:paraId="7846469C"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0.96</w:t>
            </w:r>
          </w:p>
        </w:tc>
        <w:tc>
          <w:tcPr>
            <w:tcW w:w="1242" w:type="dxa"/>
            <w:tcBorders>
              <w:left w:val="nil"/>
              <w:bottom w:val="single" w:sz="4" w:space="0" w:color="auto"/>
              <w:right w:val="nil"/>
            </w:tcBorders>
            <w:shd w:val="clear" w:color="auto" w:fill="auto"/>
            <w:tcMar>
              <w:top w:w="90" w:type="dxa"/>
              <w:left w:w="195" w:type="dxa"/>
              <w:bottom w:w="90" w:type="dxa"/>
              <w:right w:w="195" w:type="dxa"/>
            </w:tcMar>
          </w:tcPr>
          <w:p w14:paraId="3B0FC582"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1.14-0.77</w:t>
            </w:r>
          </w:p>
        </w:tc>
        <w:tc>
          <w:tcPr>
            <w:tcW w:w="1451" w:type="dxa"/>
            <w:tcBorders>
              <w:left w:val="nil"/>
              <w:bottom w:val="single" w:sz="4" w:space="0" w:color="auto"/>
              <w:right w:val="nil"/>
            </w:tcBorders>
            <w:shd w:val="clear" w:color="auto" w:fill="auto"/>
            <w:tcMar>
              <w:top w:w="90" w:type="dxa"/>
              <w:left w:w="195" w:type="dxa"/>
              <w:bottom w:w="90" w:type="dxa"/>
              <w:right w:w="195" w:type="dxa"/>
            </w:tcMar>
          </w:tcPr>
          <w:p w14:paraId="6718E95C"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92492.19</w:t>
            </w:r>
          </w:p>
        </w:tc>
        <w:tc>
          <w:tcPr>
            <w:tcW w:w="1082" w:type="dxa"/>
            <w:tcBorders>
              <w:left w:val="nil"/>
              <w:bottom w:val="single" w:sz="4" w:space="0" w:color="auto"/>
              <w:right w:val="nil"/>
            </w:tcBorders>
            <w:shd w:val="clear" w:color="auto" w:fill="auto"/>
            <w:tcMar>
              <w:top w:w="90" w:type="dxa"/>
              <w:left w:w="195" w:type="dxa"/>
              <w:bottom w:w="90" w:type="dxa"/>
              <w:right w:w="195" w:type="dxa"/>
            </w:tcMar>
          </w:tcPr>
          <w:p w14:paraId="41BD6628"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sz w:val="15"/>
                <w:szCs w:val="15"/>
                <w:lang w:val="en-GB"/>
              </w:rPr>
              <w:t>100.0%</w:t>
            </w:r>
          </w:p>
        </w:tc>
      </w:tr>
      <w:tr w:rsidR="006C5163" w:rsidRPr="006C5163" w14:paraId="567DFDD0" w14:textId="77777777" w:rsidTr="002C4AEA">
        <w:tc>
          <w:tcPr>
            <w:tcW w:w="9020" w:type="dxa"/>
            <w:gridSpan w:val="7"/>
            <w:tcBorders>
              <w:top w:val="single" w:sz="4" w:space="0" w:color="auto"/>
              <w:left w:val="nil"/>
              <w:right w:val="nil"/>
            </w:tcBorders>
            <w:shd w:val="clear" w:color="auto" w:fill="auto"/>
            <w:tcMar>
              <w:top w:w="90" w:type="dxa"/>
              <w:left w:w="480" w:type="dxa"/>
              <w:bottom w:w="90" w:type="dxa"/>
              <w:right w:w="195" w:type="dxa"/>
            </w:tcMar>
          </w:tcPr>
          <w:p w14:paraId="4A87CADB" w14:textId="77777777" w:rsidR="006C5163" w:rsidRPr="006C5163" w:rsidRDefault="006C5163" w:rsidP="006C5163">
            <w:pPr>
              <w:spacing w:after="0"/>
              <w:rPr>
                <w:rFonts w:ascii="Times New Roman" w:eastAsia="Calibri" w:hAnsi="Times New Roman" w:cs="Times New Roman"/>
                <w:b/>
                <w:bCs/>
                <w:color w:val="000000"/>
                <w:sz w:val="15"/>
                <w:szCs w:val="15"/>
                <w:lang w:val="en-GB"/>
              </w:rPr>
            </w:pPr>
            <w:r w:rsidRPr="006C5163">
              <w:rPr>
                <w:rFonts w:ascii="Times New Roman" w:eastAsia="Times New Roman" w:hAnsi="Times New Roman" w:cs="Times New Roman"/>
                <w:b/>
                <w:bCs/>
                <w:i/>
                <w:iCs/>
                <w:color w:val="000000"/>
                <w:spacing w:val="3"/>
                <w:sz w:val="15"/>
                <w:szCs w:val="15"/>
                <w:lang w:val="en-GB" w:eastAsia="en-GB"/>
              </w:rPr>
              <w:t>Random effects model for setting (Q = 4.34, p = 0.037*)</w:t>
            </w:r>
          </w:p>
        </w:tc>
      </w:tr>
      <w:tr w:rsidR="006C5163" w:rsidRPr="006C5163" w14:paraId="690D03EB"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3A7EEEA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setting</w:t>
            </w:r>
          </w:p>
        </w:tc>
        <w:tc>
          <w:tcPr>
            <w:tcW w:w="1984" w:type="dxa"/>
            <w:tcBorders>
              <w:left w:val="nil"/>
              <w:right w:val="nil"/>
            </w:tcBorders>
            <w:shd w:val="clear" w:color="auto" w:fill="F2F2F2"/>
            <w:tcMar>
              <w:top w:w="90" w:type="dxa"/>
              <w:left w:w="195" w:type="dxa"/>
              <w:bottom w:w="90" w:type="dxa"/>
              <w:right w:w="195" w:type="dxa"/>
            </w:tcMar>
            <w:vAlign w:val="center"/>
          </w:tcPr>
          <w:p w14:paraId="329556B4"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Outpatient</w:t>
            </w:r>
          </w:p>
        </w:tc>
        <w:tc>
          <w:tcPr>
            <w:tcW w:w="851" w:type="dxa"/>
            <w:tcBorders>
              <w:left w:val="nil"/>
              <w:right w:val="nil"/>
            </w:tcBorders>
            <w:shd w:val="clear" w:color="auto" w:fill="F2F2F2"/>
            <w:tcMar>
              <w:top w:w="90" w:type="dxa"/>
              <w:left w:w="195" w:type="dxa"/>
              <w:bottom w:w="90" w:type="dxa"/>
              <w:right w:w="195" w:type="dxa"/>
            </w:tcMar>
            <w:vAlign w:val="center"/>
          </w:tcPr>
          <w:p w14:paraId="262C046B"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75</w:t>
            </w:r>
          </w:p>
        </w:tc>
        <w:tc>
          <w:tcPr>
            <w:tcW w:w="850" w:type="dxa"/>
            <w:tcBorders>
              <w:left w:val="nil"/>
              <w:right w:val="nil"/>
            </w:tcBorders>
            <w:shd w:val="clear" w:color="auto" w:fill="F2F2F2"/>
            <w:tcMar>
              <w:top w:w="90" w:type="dxa"/>
              <w:left w:w="195" w:type="dxa"/>
              <w:bottom w:w="90" w:type="dxa"/>
              <w:right w:w="195" w:type="dxa"/>
            </w:tcMar>
            <w:vAlign w:val="center"/>
          </w:tcPr>
          <w:p w14:paraId="01B24C39"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0.89</w:t>
            </w:r>
          </w:p>
        </w:tc>
        <w:tc>
          <w:tcPr>
            <w:tcW w:w="1242" w:type="dxa"/>
            <w:tcBorders>
              <w:left w:val="nil"/>
              <w:right w:val="nil"/>
            </w:tcBorders>
            <w:shd w:val="clear" w:color="auto" w:fill="F2F2F2"/>
            <w:tcMar>
              <w:top w:w="90" w:type="dxa"/>
              <w:left w:w="195" w:type="dxa"/>
              <w:bottom w:w="90" w:type="dxa"/>
              <w:right w:w="195" w:type="dxa"/>
            </w:tcMar>
            <w:vAlign w:val="center"/>
          </w:tcPr>
          <w:p w14:paraId="3022E7E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0.99-0.78</w:t>
            </w:r>
          </w:p>
        </w:tc>
        <w:tc>
          <w:tcPr>
            <w:tcW w:w="1451" w:type="dxa"/>
            <w:tcBorders>
              <w:left w:val="nil"/>
              <w:right w:val="nil"/>
            </w:tcBorders>
            <w:shd w:val="clear" w:color="auto" w:fill="F2F2F2"/>
            <w:tcMar>
              <w:top w:w="90" w:type="dxa"/>
              <w:left w:w="195" w:type="dxa"/>
              <w:bottom w:w="90" w:type="dxa"/>
              <w:right w:w="195" w:type="dxa"/>
            </w:tcMar>
            <w:vAlign w:val="center"/>
          </w:tcPr>
          <w:p w14:paraId="4627171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440122.14</w:t>
            </w:r>
          </w:p>
        </w:tc>
        <w:tc>
          <w:tcPr>
            <w:tcW w:w="1082" w:type="dxa"/>
            <w:tcBorders>
              <w:left w:val="nil"/>
              <w:right w:val="nil"/>
            </w:tcBorders>
            <w:shd w:val="clear" w:color="auto" w:fill="F2F2F2"/>
            <w:tcMar>
              <w:top w:w="90" w:type="dxa"/>
              <w:left w:w="195" w:type="dxa"/>
              <w:bottom w:w="90" w:type="dxa"/>
              <w:right w:w="195" w:type="dxa"/>
            </w:tcMar>
            <w:vAlign w:val="center"/>
          </w:tcPr>
          <w:p w14:paraId="64AD57C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100.0%</w:t>
            </w:r>
          </w:p>
        </w:tc>
      </w:tr>
      <w:tr w:rsidR="006C5163" w:rsidRPr="006C5163" w14:paraId="38A727CD" w14:textId="77777777" w:rsidTr="002C4AEA">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335C490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766A78A4"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inpatient</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6DA32961"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9</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27776D8B"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0.58</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2BB2385A"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0.85-0.31</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6F2899C7"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157933.03</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03A05345" w14:textId="77777777" w:rsidR="006C5163" w:rsidRPr="006C5163" w:rsidRDefault="006C5163" w:rsidP="006C5163">
            <w:pPr>
              <w:spacing w:after="0"/>
              <w:rPr>
                <w:rFonts w:ascii="Times New Roman" w:eastAsia="Calibri" w:hAnsi="Times New Roman" w:cs="Times New Roman"/>
                <w:color w:val="000000"/>
                <w:sz w:val="15"/>
                <w:szCs w:val="15"/>
                <w:lang w:val="en-GB"/>
              </w:rPr>
            </w:pPr>
            <w:r w:rsidRPr="006C5163">
              <w:rPr>
                <w:rFonts w:ascii="Times New Roman" w:eastAsia="Calibri" w:hAnsi="Times New Roman" w:cs="Times New Roman"/>
                <w:color w:val="000000"/>
                <w:spacing w:val="3"/>
                <w:sz w:val="15"/>
                <w:szCs w:val="15"/>
                <w:lang w:val="en-GB"/>
              </w:rPr>
              <w:t>100.0%</w:t>
            </w:r>
          </w:p>
        </w:tc>
      </w:tr>
      <w:tr w:rsidR="006C5163" w:rsidRPr="006C5163" w14:paraId="6EA14C39"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7FAEC3F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continent (Q = 15.49, p = 0.004*)</w:t>
            </w:r>
          </w:p>
        </w:tc>
      </w:tr>
      <w:tr w:rsidR="006C5163" w:rsidRPr="006C5163" w14:paraId="72D6C820"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3CF6110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continent</w:t>
            </w:r>
          </w:p>
        </w:tc>
        <w:tc>
          <w:tcPr>
            <w:tcW w:w="1984" w:type="dxa"/>
            <w:tcBorders>
              <w:left w:val="nil"/>
              <w:right w:val="nil"/>
            </w:tcBorders>
            <w:shd w:val="clear" w:color="auto" w:fill="F2F2F2"/>
            <w:tcMar>
              <w:top w:w="90" w:type="dxa"/>
              <w:left w:w="195" w:type="dxa"/>
              <w:bottom w:w="90" w:type="dxa"/>
              <w:right w:w="195" w:type="dxa"/>
            </w:tcMar>
            <w:hideMark/>
          </w:tcPr>
          <w:p w14:paraId="46F8302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North America</w:t>
            </w:r>
          </w:p>
        </w:tc>
        <w:tc>
          <w:tcPr>
            <w:tcW w:w="851" w:type="dxa"/>
            <w:tcBorders>
              <w:left w:val="nil"/>
              <w:right w:val="nil"/>
            </w:tcBorders>
            <w:shd w:val="clear" w:color="auto" w:fill="F2F2F2"/>
            <w:tcMar>
              <w:top w:w="90" w:type="dxa"/>
              <w:left w:w="195" w:type="dxa"/>
              <w:bottom w:w="90" w:type="dxa"/>
              <w:right w:w="195" w:type="dxa"/>
            </w:tcMar>
            <w:hideMark/>
          </w:tcPr>
          <w:p w14:paraId="3A5C369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32</w:t>
            </w:r>
          </w:p>
        </w:tc>
        <w:tc>
          <w:tcPr>
            <w:tcW w:w="850" w:type="dxa"/>
            <w:tcBorders>
              <w:left w:val="nil"/>
              <w:right w:val="nil"/>
            </w:tcBorders>
            <w:shd w:val="clear" w:color="auto" w:fill="F2F2F2"/>
            <w:tcMar>
              <w:top w:w="90" w:type="dxa"/>
              <w:left w:w="195" w:type="dxa"/>
              <w:bottom w:w="90" w:type="dxa"/>
              <w:right w:w="195" w:type="dxa"/>
            </w:tcMar>
            <w:hideMark/>
          </w:tcPr>
          <w:p w14:paraId="7EA7F4D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0.91</w:t>
            </w:r>
          </w:p>
        </w:tc>
        <w:tc>
          <w:tcPr>
            <w:tcW w:w="1242" w:type="dxa"/>
            <w:tcBorders>
              <w:left w:val="nil"/>
              <w:right w:val="nil"/>
            </w:tcBorders>
            <w:shd w:val="clear" w:color="auto" w:fill="F2F2F2"/>
            <w:tcMar>
              <w:top w:w="90" w:type="dxa"/>
              <w:left w:w="195" w:type="dxa"/>
              <w:bottom w:w="90" w:type="dxa"/>
              <w:right w:w="195" w:type="dxa"/>
            </w:tcMar>
            <w:hideMark/>
          </w:tcPr>
          <w:p w14:paraId="0C687A6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1.1-0.72</w:t>
            </w:r>
          </w:p>
        </w:tc>
        <w:tc>
          <w:tcPr>
            <w:tcW w:w="1451" w:type="dxa"/>
            <w:tcBorders>
              <w:left w:val="nil"/>
              <w:right w:val="nil"/>
            </w:tcBorders>
            <w:shd w:val="clear" w:color="auto" w:fill="F2F2F2"/>
            <w:tcMar>
              <w:top w:w="90" w:type="dxa"/>
              <w:left w:w="195" w:type="dxa"/>
              <w:bottom w:w="90" w:type="dxa"/>
              <w:right w:w="195" w:type="dxa"/>
            </w:tcMar>
            <w:hideMark/>
          </w:tcPr>
          <w:p w14:paraId="1F2B9D6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230641.72</w:t>
            </w:r>
          </w:p>
        </w:tc>
        <w:tc>
          <w:tcPr>
            <w:tcW w:w="1082" w:type="dxa"/>
            <w:tcBorders>
              <w:left w:val="nil"/>
              <w:right w:val="nil"/>
            </w:tcBorders>
            <w:shd w:val="clear" w:color="auto" w:fill="F2F2F2"/>
            <w:tcMar>
              <w:top w:w="90" w:type="dxa"/>
              <w:left w:w="195" w:type="dxa"/>
              <w:bottom w:w="90" w:type="dxa"/>
              <w:right w:w="195" w:type="dxa"/>
            </w:tcMar>
            <w:hideMark/>
          </w:tcPr>
          <w:p w14:paraId="67423AC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0EF38DF9" w14:textId="77777777" w:rsidTr="002C4AEA">
        <w:tc>
          <w:tcPr>
            <w:tcW w:w="1560" w:type="dxa"/>
            <w:vMerge/>
            <w:tcBorders>
              <w:left w:val="nil"/>
              <w:right w:val="nil"/>
            </w:tcBorders>
            <w:shd w:val="clear" w:color="auto" w:fill="auto"/>
            <w:tcMar>
              <w:top w:w="90" w:type="dxa"/>
              <w:left w:w="480" w:type="dxa"/>
              <w:bottom w:w="90" w:type="dxa"/>
              <w:right w:w="195" w:type="dxa"/>
            </w:tcMar>
          </w:tcPr>
          <w:p w14:paraId="34C864E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tcPr>
          <w:p w14:paraId="06D4576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UK</w:t>
            </w:r>
          </w:p>
        </w:tc>
        <w:tc>
          <w:tcPr>
            <w:tcW w:w="851" w:type="dxa"/>
            <w:tcBorders>
              <w:left w:val="nil"/>
              <w:right w:val="nil"/>
            </w:tcBorders>
            <w:shd w:val="clear" w:color="auto" w:fill="auto"/>
            <w:tcMar>
              <w:top w:w="90" w:type="dxa"/>
              <w:left w:w="195" w:type="dxa"/>
              <w:bottom w:w="90" w:type="dxa"/>
              <w:right w:w="195" w:type="dxa"/>
            </w:tcMar>
          </w:tcPr>
          <w:p w14:paraId="1B2AB21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25</w:t>
            </w:r>
          </w:p>
        </w:tc>
        <w:tc>
          <w:tcPr>
            <w:tcW w:w="850" w:type="dxa"/>
            <w:tcBorders>
              <w:left w:val="nil"/>
              <w:right w:val="nil"/>
            </w:tcBorders>
            <w:shd w:val="clear" w:color="auto" w:fill="auto"/>
            <w:tcMar>
              <w:top w:w="90" w:type="dxa"/>
              <w:left w:w="195" w:type="dxa"/>
              <w:bottom w:w="90" w:type="dxa"/>
              <w:right w:w="195" w:type="dxa"/>
            </w:tcMar>
          </w:tcPr>
          <w:p w14:paraId="4FFEC66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0.89</w:t>
            </w:r>
          </w:p>
        </w:tc>
        <w:tc>
          <w:tcPr>
            <w:tcW w:w="1242" w:type="dxa"/>
            <w:tcBorders>
              <w:left w:val="nil"/>
              <w:right w:val="nil"/>
            </w:tcBorders>
            <w:shd w:val="clear" w:color="auto" w:fill="auto"/>
            <w:tcMar>
              <w:top w:w="90" w:type="dxa"/>
              <w:left w:w="195" w:type="dxa"/>
              <w:bottom w:w="90" w:type="dxa"/>
              <w:right w:w="195" w:type="dxa"/>
            </w:tcMar>
          </w:tcPr>
          <w:p w14:paraId="7C0DC05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1.09-0.7</w:t>
            </w:r>
          </w:p>
        </w:tc>
        <w:tc>
          <w:tcPr>
            <w:tcW w:w="1451" w:type="dxa"/>
            <w:tcBorders>
              <w:left w:val="nil"/>
              <w:right w:val="nil"/>
            </w:tcBorders>
            <w:shd w:val="clear" w:color="auto" w:fill="auto"/>
            <w:tcMar>
              <w:top w:w="90" w:type="dxa"/>
              <w:left w:w="195" w:type="dxa"/>
              <w:bottom w:w="90" w:type="dxa"/>
              <w:right w:w="195" w:type="dxa"/>
            </w:tcMar>
          </w:tcPr>
          <w:p w14:paraId="3698DDE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115765.33</w:t>
            </w:r>
          </w:p>
        </w:tc>
        <w:tc>
          <w:tcPr>
            <w:tcW w:w="1082" w:type="dxa"/>
            <w:tcBorders>
              <w:left w:val="nil"/>
              <w:right w:val="nil"/>
            </w:tcBorders>
            <w:shd w:val="clear" w:color="auto" w:fill="auto"/>
            <w:tcMar>
              <w:top w:w="90" w:type="dxa"/>
              <w:left w:w="195" w:type="dxa"/>
              <w:bottom w:w="90" w:type="dxa"/>
              <w:right w:w="195" w:type="dxa"/>
            </w:tcMar>
          </w:tcPr>
          <w:p w14:paraId="2185394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426287DC" w14:textId="77777777" w:rsidTr="006C5163">
        <w:tc>
          <w:tcPr>
            <w:tcW w:w="1560" w:type="dxa"/>
            <w:vMerge/>
            <w:tcBorders>
              <w:left w:val="nil"/>
              <w:right w:val="nil"/>
            </w:tcBorders>
            <w:shd w:val="clear" w:color="auto" w:fill="auto"/>
            <w:tcMar>
              <w:top w:w="90" w:type="dxa"/>
              <w:left w:w="480" w:type="dxa"/>
              <w:bottom w:w="90" w:type="dxa"/>
              <w:right w:w="195" w:type="dxa"/>
            </w:tcMar>
          </w:tcPr>
          <w:p w14:paraId="309A44E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tcPr>
          <w:p w14:paraId="295120C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Europe</w:t>
            </w:r>
          </w:p>
        </w:tc>
        <w:tc>
          <w:tcPr>
            <w:tcW w:w="851" w:type="dxa"/>
            <w:tcBorders>
              <w:left w:val="nil"/>
              <w:right w:val="nil"/>
            </w:tcBorders>
            <w:shd w:val="clear" w:color="auto" w:fill="F2F2F2"/>
            <w:tcMar>
              <w:top w:w="90" w:type="dxa"/>
              <w:left w:w="195" w:type="dxa"/>
              <w:bottom w:w="90" w:type="dxa"/>
              <w:right w:w="195" w:type="dxa"/>
            </w:tcMar>
          </w:tcPr>
          <w:p w14:paraId="2863AFF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20</w:t>
            </w:r>
          </w:p>
        </w:tc>
        <w:tc>
          <w:tcPr>
            <w:tcW w:w="850" w:type="dxa"/>
            <w:tcBorders>
              <w:left w:val="nil"/>
              <w:right w:val="nil"/>
            </w:tcBorders>
            <w:shd w:val="clear" w:color="auto" w:fill="F2F2F2"/>
            <w:tcMar>
              <w:top w:w="90" w:type="dxa"/>
              <w:left w:w="195" w:type="dxa"/>
              <w:bottom w:w="90" w:type="dxa"/>
              <w:right w:w="195" w:type="dxa"/>
            </w:tcMar>
          </w:tcPr>
          <w:p w14:paraId="136159C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0.79</w:t>
            </w:r>
          </w:p>
        </w:tc>
        <w:tc>
          <w:tcPr>
            <w:tcW w:w="1242" w:type="dxa"/>
            <w:tcBorders>
              <w:left w:val="nil"/>
              <w:right w:val="nil"/>
            </w:tcBorders>
            <w:shd w:val="clear" w:color="auto" w:fill="F2F2F2"/>
            <w:tcMar>
              <w:top w:w="90" w:type="dxa"/>
              <w:left w:w="195" w:type="dxa"/>
              <w:bottom w:w="90" w:type="dxa"/>
              <w:right w:w="195" w:type="dxa"/>
            </w:tcMar>
          </w:tcPr>
          <w:p w14:paraId="18BD63E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0.93-0.65</w:t>
            </w:r>
          </w:p>
        </w:tc>
        <w:tc>
          <w:tcPr>
            <w:tcW w:w="1451" w:type="dxa"/>
            <w:tcBorders>
              <w:left w:val="nil"/>
              <w:right w:val="nil"/>
            </w:tcBorders>
            <w:shd w:val="clear" w:color="auto" w:fill="F2F2F2"/>
            <w:tcMar>
              <w:top w:w="90" w:type="dxa"/>
              <w:left w:w="195" w:type="dxa"/>
              <w:bottom w:w="90" w:type="dxa"/>
              <w:right w:w="195" w:type="dxa"/>
            </w:tcMar>
          </w:tcPr>
          <w:p w14:paraId="34AF965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27960.45</w:t>
            </w:r>
          </w:p>
        </w:tc>
        <w:tc>
          <w:tcPr>
            <w:tcW w:w="1082" w:type="dxa"/>
            <w:tcBorders>
              <w:left w:val="nil"/>
              <w:right w:val="nil"/>
            </w:tcBorders>
            <w:shd w:val="clear" w:color="auto" w:fill="F2F2F2"/>
            <w:tcMar>
              <w:top w:w="90" w:type="dxa"/>
              <w:left w:w="195" w:type="dxa"/>
              <w:bottom w:w="90" w:type="dxa"/>
              <w:right w:w="195" w:type="dxa"/>
            </w:tcMar>
          </w:tcPr>
          <w:p w14:paraId="4F27BBF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1960180B" w14:textId="77777777" w:rsidTr="002C4AEA">
        <w:tc>
          <w:tcPr>
            <w:tcW w:w="1560" w:type="dxa"/>
            <w:vMerge/>
            <w:tcBorders>
              <w:left w:val="nil"/>
              <w:right w:val="nil"/>
            </w:tcBorders>
            <w:shd w:val="clear" w:color="auto" w:fill="auto"/>
            <w:tcMar>
              <w:top w:w="90" w:type="dxa"/>
              <w:left w:w="480" w:type="dxa"/>
              <w:bottom w:w="90" w:type="dxa"/>
              <w:right w:w="195" w:type="dxa"/>
            </w:tcMar>
          </w:tcPr>
          <w:p w14:paraId="5902E54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tcPr>
          <w:p w14:paraId="5F23A7C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Australasia</w:t>
            </w:r>
          </w:p>
        </w:tc>
        <w:tc>
          <w:tcPr>
            <w:tcW w:w="851" w:type="dxa"/>
            <w:tcBorders>
              <w:left w:val="nil"/>
              <w:right w:val="nil"/>
            </w:tcBorders>
            <w:shd w:val="clear" w:color="auto" w:fill="auto"/>
            <w:tcMar>
              <w:top w:w="90" w:type="dxa"/>
              <w:left w:w="195" w:type="dxa"/>
              <w:bottom w:w="90" w:type="dxa"/>
              <w:right w:w="195" w:type="dxa"/>
            </w:tcMar>
          </w:tcPr>
          <w:p w14:paraId="75E8008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4</w:t>
            </w:r>
          </w:p>
        </w:tc>
        <w:tc>
          <w:tcPr>
            <w:tcW w:w="850" w:type="dxa"/>
            <w:tcBorders>
              <w:left w:val="nil"/>
              <w:right w:val="nil"/>
            </w:tcBorders>
            <w:shd w:val="clear" w:color="auto" w:fill="auto"/>
            <w:tcMar>
              <w:top w:w="90" w:type="dxa"/>
              <w:left w:w="195" w:type="dxa"/>
              <w:bottom w:w="90" w:type="dxa"/>
              <w:right w:w="195" w:type="dxa"/>
            </w:tcMar>
          </w:tcPr>
          <w:p w14:paraId="60689A8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0.61</w:t>
            </w:r>
          </w:p>
        </w:tc>
        <w:tc>
          <w:tcPr>
            <w:tcW w:w="1242" w:type="dxa"/>
            <w:tcBorders>
              <w:left w:val="nil"/>
              <w:right w:val="nil"/>
            </w:tcBorders>
            <w:shd w:val="clear" w:color="auto" w:fill="auto"/>
            <w:tcMar>
              <w:top w:w="90" w:type="dxa"/>
              <w:left w:w="195" w:type="dxa"/>
              <w:bottom w:w="90" w:type="dxa"/>
              <w:right w:w="195" w:type="dxa"/>
            </w:tcMar>
          </w:tcPr>
          <w:p w14:paraId="27FCE71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1.01-0.21</w:t>
            </w:r>
          </w:p>
        </w:tc>
        <w:tc>
          <w:tcPr>
            <w:tcW w:w="1451" w:type="dxa"/>
            <w:tcBorders>
              <w:left w:val="nil"/>
              <w:right w:val="nil"/>
            </w:tcBorders>
            <w:shd w:val="clear" w:color="auto" w:fill="auto"/>
            <w:tcMar>
              <w:top w:w="90" w:type="dxa"/>
              <w:left w:w="195" w:type="dxa"/>
              <w:bottom w:w="90" w:type="dxa"/>
              <w:right w:w="195" w:type="dxa"/>
            </w:tcMar>
          </w:tcPr>
          <w:p w14:paraId="2C3B149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3781.78</w:t>
            </w:r>
          </w:p>
        </w:tc>
        <w:tc>
          <w:tcPr>
            <w:tcW w:w="1082" w:type="dxa"/>
            <w:tcBorders>
              <w:left w:val="nil"/>
              <w:right w:val="nil"/>
            </w:tcBorders>
            <w:shd w:val="clear" w:color="auto" w:fill="auto"/>
            <w:tcMar>
              <w:top w:w="90" w:type="dxa"/>
              <w:left w:w="195" w:type="dxa"/>
              <w:bottom w:w="90" w:type="dxa"/>
              <w:right w:w="195" w:type="dxa"/>
            </w:tcMar>
          </w:tcPr>
          <w:p w14:paraId="71926CA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100.0%</w:t>
            </w:r>
          </w:p>
        </w:tc>
      </w:tr>
      <w:tr w:rsidR="006C5163" w:rsidRPr="006C5163" w14:paraId="4452893C" w14:textId="77777777" w:rsidTr="006C5163">
        <w:tc>
          <w:tcPr>
            <w:tcW w:w="1560" w:type="dxa"/>
            <w:vMerge/>
            <w:tcBorders>
              <w:left w:val="nil"/>
              <w:right w:val="nil"/>
            </w:tcBorders>
            <w:shd w:val="clear" w:color="auto" w:fill="auto"/>
            <w:tcMar>
              <w:top w:w="90" w:type="dxa"/>
              <w:left w:w="480" w:type="dxa"/>
              <w:bottom w:w="90" w:type="dxa"/>
              <w:right w:w="195" w:type="dxa"/>
            </w:tcMar>
          </w:tcPr>
          <w:p w14:paraId="168726C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tcPr>
          <w:p w14:paraId="59E67BE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Asia</w:t>
            </w:r>
          </w:p>
        </w:tc>
        <w:tc>
          <w:tcPr>
            <w:tcW w:w="851" w:type="dxa"/>
            <w:tcBorders>
              <w:left w:val="nil"/>
              <w:right w:val="nil"/>
            </w:tcBorders>
            <w:shd w:val="clear" w:color="auto" w:fill="F2F2F2"/>
            <w:tcMar>
              <w:top w:w="90" w:type="dxa"/>
              <w:left w:w="195" w:type="dxa"/>
              <w:bottom w:w="90" w:type="dxa"/>
              <w:right w:w="195" w:type="dxa"/>
            </w:tcMar>
          </w:tcPr>
          <w:p w14:paraId="7A2C12D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w:t>
            </w:r>
          </w:p>
        </w:tc>
        <w:tc>
          <w:tcPr>
            <w:tcW w:w="850" w:type="dxa"/>
            <w:tcBorders>
              <w:left w:val="nil"/>
              <w:right w:val="nil"/>
            </w:tcBorders>
            <w:shd w:val="clear" w:color="auto" w:fill="F2F2F2"/>
            <w:tcMar>
              <w:top w:w="90" w:type="dxa"/>
              <w:left w:w="195" w:type="dxa"/>
              <w:bottom w:w="90" w:type="dxa"/>
              <w:right w:w="195" w:type="dxa"/>
            </w:tcMar>
          </w:tcPr>
          <w:p w14:paraId="07DB148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0.59</w:t>
            </w:r>
          </w:p>
        </w:tc>
        <w:tc>
          <w:tcPr>
            <w:tcW w:w="1242" w:type="dxa"/>
            <w:tcBorders>
              <w:left w:val="nil"/>
              <w:right w:val="nil"/>
            </w:tcBorders>
            <w:shd w:val="clear" w:color="auto" w:fill="F2F2F2"/>
            <w:tcMar>
              <w:top w:w="90" w:type="dxa"/>
              <w:left w:w="195" w:type="dxa"/>
              <w:bottom w:w="90" w:type="dxa"/>
              <w:right w:w="195" w:type="dxa"/>
            </w:tcMar>
          </w:tcPr>
          <w:p w14:paraId="7AB02E4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0.68-0.49</w:t>
            </w:r>
          </w:p>
        </w:tc>
        <w:tc>
          <w:tcPr>
            <w:tcW w:w="1451" w:type="dxa"/>
            <w:tcBorders>
              <w:left w:val="nil"/>
              <w:right w:val="nil"/>
            </w:tcBorders>
            <w:shd w:val="clear" w:color="auto" w:fill="F2F2F2"/>
            <w:tcMar>
              <w:top w:w="90" w:type="dxa"/>
              <w:left w:w="195" w:type="dxa"/>
              <w:bottom w:w="90" w:type="dxa"/>
              <w:right w:w="195" w:type="dxa"/>
            </w:tcMar>
          </w:tcPr>
          <w:p w14:paraId="53EC377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3.33</w:t>
            </w:r>
          </w:p>
        </w:tc>
        <w:tc>
          <w:tcPr>
            <w:tcW w:w="1082" w:type="dxa"/>
            <w:tcBorders>
              <w:left w:val="nil"/>
              <w:right w:val="nil"/>
            </w:tcBorders>
            <w:shd w:val="clear" w:color="auto" w:fill="F2F2F2"/>
            <w:tcMar>
              <w:top w:w="90" w:type="dxa"/>
              <w:left w:w="195" w:type="dxa"/>
              <w:bottom w:w="90" w:type="dxa"/>
              <w:right w:w="195" w:type="dxa"/>
            </w:tcMar>
          </w:tcPr>
          <w:p w14:paraId="2818391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sz w:val="15"/>
                <w:szCs w:val="15"/>
                <w:lang w:val="en-GB"/>
              </w:rPr>
              <w:t>40.0%</w:t>
            </w:r>
          </w:p>
        </w:tc>
      </w:tr>
      <w:tr w:rsidR="006C5163" w:rsidRPr="006C5163" w14:paraId="7AD42C2D"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2D679BE3"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therapy modality (Q = 67.97, p = &lt;0.001*)</w:t>
            </w:r>
          </w:p>
        </w:tc>
      </w:tr>
      <w:tr w:rsidR="006C5163" w:rsidRPr="006C5163" w14:paraId="73765BAA"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38AFBCF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therapy modality</w:t>
            </w:r>
          </w:p>
        </w:tc>
        <w:tc>
          <w:tcPr>
            <w:tcW w:w="1984" w:type="dxa"/>
            <w:tcBorders>
              <w:left w:val="nil"/>
              <w:right w:val="nil"/>
            </w:tcBorders>
            <w:shd w:val="clear" w:color="auto" w:fill="F2F2F2"/>
            <w:tcMar>
              <w:top w:w="90" w:type="dxa"/>
              <w:left w:w="195" w:type="dxa"/>
              <w:bottom w:w="90" w:type="dxa"/>
              <w:right w:w="195" w:type="dxa"/>
            </w:tcMar>
            <w:vAlign w:val="center"/>
            <w:hideMark/>
          </w:tcPr>
          <w:p w14:paraId="48F080D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psychodynamic</w:t>
            </w:r>
          </w:p>
        </w:tc>
        <w:tc>
          <w:tcPr>
            <w:tcW w:w="851" w:type="dxa"/>
            <w:tcBorders>
              <w:left w:val="nil"/>
              <w:right w:val="nil"/>
            </w:tcBorders>
            <w:shd w:val="clear" w:color="auto" w:fill="F2F2F2"/>
            <w:tcMar>
              <w:top w:w="90" w:type="dxa"/>
              <w:left w:w="195" w:type="dxa"/>
              <w:bottom w:w="90" w:type="dxa"/>
              <w:right w:w="195" w:type="dxa"/>
            </w:tcMar>
            <w:vAlign w:val="center"/>
            <w:hideMark/>
          </w:tcPr>
          <w:p w14:paraId="4D8B3AF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12</w:t>
            </w:r>
          </w:p>
        </w:tc>
        <w:tc>
          <w:tcPr>
            <w:tcW w:w="850" w:type="dxa"/>
            <w:tcBorders>
              <w:left w:val="nil"/>
              <w:right w:val="nil"/>
            </w:tcBorders>
            <w:shd w:val="clear" w:color="auto" w:fill="F2F2F2"/>
            <w:tcMar>
              <w:top w:w="90" w:type="dxa"/>
              <w:left w:w="195" w:type="dxa"/>
              <w:bottom w:w="90" w:type="dxa"/>
              <w:right w:w="195" w:type="dxa"/>
            </w:tcMar>
            <w:vAlign w:val="center"/>
            <w:hideMark/>
          </w:tcPr>
          <w:p w14:paraId="716178B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0.90</w:t>
            </w:r>
          </w:p>
        </w:tc>
        <w:tc>
          <w:tcPr>
            <w:tcW w:w="1242" w:type="dxa"/>
            <w:tcBorders>
              <w:left w:val="nil"/>
              <w:right w:val="nil"/>
            </w:tcBorders>
            <w:shd w:val="clear" w:color="auto" w:fill="F2F2F2"/>
            <w:tcMar>
              <w:top w:w="90" w:type="dxa"/>
              <w:left w:w="195" w:type="dxa"/>
              <w:bottom w:w="90" w:type="dxa"/>
              <w:right w:w="195" w:type="dxa"/>
            </w:tcMar>
            <w:vAlign w:val="center"/>
            <w:hideMark/>
          </w:tcPr>
          <w:p w14:paraId="436192D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1.04-0.75</w:t>
            </w:r>
          </w:p>
        </w:tc>
        <w:tc>
          <w:tcPr>
            <w:tcW w:w="1451" w:type="dxa"/>
            <w:tcBorders>
              <w:left w:val="nil"/>
              <w:right w:val="nil"/>
            </w:tcBorders>
            <w:shd w:val="clear" w:color="auto" w:fill="F2F2F2"/>
            <w:tcMar>
              <w:top w:w="90" w:type="dxa"/>
              <w:left w:w="195" w:type="dxa"/>
              <w:bottom w:w="90" w:type="dxa"/>
              <w:right w:w="195" w:type="dxa"/>
            </w:tcMar>
            <w:vAlign w:val="center"/>
            <w:hideMark/>
          </w:tcPr>
          <w:p w14:paraId="114A69E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11879.61</w:t>
            </w:r>
          </w:p>
        </w:tc>
        <w:tc>
          <w:tcPr>
            <w:tcW w:w="1082" w:type="dxa"/>
            <w:tcBorders>
              <w:left w:val="nil"/>
              <w:right w:val="nil"/>
            </w:tcBorders>
            <w:shd w:val="clear" w:color="auto" w:fill="F2F2F2"/>
            <w:tcMar>
              <w:top w:w="90" w:type="dxa"/>
              <w:left w:w="195" w:type="dxa"/>
              <w:bottom w:w="90" w:type="dxa"/>
              <w:right w:w="195" w:type="dxa"/>
            </w:tcMar>
            <w:vAlign w:val="center"/>
            <w:hideMark/>
          </w:tcPr>
          <w:p w14:paraId="6ECE17D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4A871DC8" w14:textId="77777777" w:rsidTr="002C4AEA">
        <w:tc>
          <w:tcPr>
            <w:tcW w:w="1560" w:type="dxa"/>
            <w:vMerge/>
            <w:tcBorders>
              <w:left w:val="nil"/>
              <w:right w:val="nil"/>
            </w:tcBorders>
            <w:shd w:val="clear" w:color="auto" w:fill="auto"/>
            <w:tcMar>
              <w:top w:w="90" w:type="dxa"/>
              <w:left w:w="480" w:type="dxa"/>
              <w:bottom w:w="90" w:type="dxa"/>
              <w:right w:w="195" w:type="dxa"/>
            </w:tcMar>
          </w:tcPr>
          <w:p w14:paraId="1EA775A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1958787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Counselling</w:t>
            </w:r>
          </w:p>
        </w:tc>
        <w:tc>
          <w:tcPr>
            <w:tcW w:w="851" w:type="dxa"/>
            <w:tcBorders>
              <w:left w:val="nil"/>
              <w:right w:val="nil"/>
            </w:tcBorders>
            <w:shd w:val="clear" w:color="auto" w:fill="auto"/>
            <w:tcMar>
              <w:top w:w="90" w:type="dxa"/>
              <w:left w:w="195" w:type="dxa"/>
              <w:bottom w:w="90" w:type="dxa"/>
              <w:right w:w="195" w:type="dxa"/>
            </w:tcMar>
            <w:vAlign w:val="center"/>
          </w:tcPr>
          <w:p w14:paraId="7212DC1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2</w:t>
            </w:r>
          </w:p>
        </w:tc>
        <w:tc>
          <w:tcPr>
            <w:tcW w:w="850" w:type="dxa"/>
            <w:tcBorders>
              <w:left w:val="nil"/>
              <w:right w:val="nil"/>
            </w:tcBorders>
            <w:shd w:val="clear" w:color="auto" w:fill="auto"/>
            <w:tcMar>
              <w:top w:w="90" w:type="dxa"/>
              <w:left w:w="195" w:type="dxa"/>
              <w:bottom w:w="90" w:type="dxa"/>
              <w:right w:w="195" w:type="dxa"/>
            </w:tcMar>
            <w:vAlign w:val="center"/>
          </w:tcPr>
          <w:p w14:paraId="5892ADF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0.43</w:t>
            </w:r>
          </w:p>
        </w:tc>
        <w:tc>
          <w:tcPr>
            <w:tcW w:w="1242" w:type="dxa"/>
            <w:tcBorders>
              <w:left w:val="nil"/>
              <w:right w:val="nil"/>
            </w:tcBorders>
            <w:shd w:val="clear" w:color="auto" w:fill="auto"/>
            <w:tcMar>
              <w:top w:w="90" w:type="dxa"/>
              <w:left w:w="195" w:type="dxa"/>
              <w:bottom w:w="90" w:type="dxa"/>
              <w:right w:w="195" w:type="dxa"/>
            </w:tcMar>
            <w:vAlign w:val="center"/>
          </w:tcPr>
          <w:p w14:paraId="0E295C9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0.49-0.38</w:t>
            </w:r>
          </w:p>
        </w:tc>
        <w:tc>
          <w:tcPr>
            <w:tcW w:w="1451" w:type="dxa"/>
            <w:tcBorders>
              <w:left w:val="nil"/>
              <w:right w:val="nil"/>
            </w:tcBorders>
            <w:shd w:val="clear" w:color="auto" w:fill="auto"/>
            <w:tcMar>
              <w:top w:w="90" w:type="dxa"/>
              <w:left w:w="195" w:type="dxa"/>
              <w:bottom w:w="90" w:type="dxa"/>
              <w:right w:w="195" w:type="dxa"/>
            </w:tcMar>
            <w:vAlign w:val="center"/>
          </w:tcPr>
          <w:p w14:paraId="63D2B21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28.37</w:t>
            </w:r>
          </w:p>
        </w:tc>
        <w:tc>
          <w:tcPr>
            <w:tcW w:w="1082" w:type="dxa"/>
            <w:tcBorders>
              <w:left w:val="nil"/>
              <w:right w:val="nil"/>
            </w:tcBorders>
            <w:shd w:val="clear" w:color="auto" w:fill="auto"/>
            <w:tcMar>
              <w:top w:w="90" w:type="dxa"/>
              <w:left w:w="195" w:type="dxa"/>
              <w:bottom w:w="90" w:type="dxa"/>
              <w:right w:w="195" w:type="dxa"/>
            </w:tcMar>
            <w:vAlign w:val="center"/>
          </w:tcPr>
          <w:p w14:paraId="25084D3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96.0%</w:t>
            </w:r>
          </w:p>
        </w:tc>
      </w:tr>
      <w:tr w:rsidR="006C5163" w:rsidRPr="006C5163" w14:paraId="6F3D3D8F" w14:textId="77777777" w:rsidTr="006C5163">
        <w:tc>
          <w:tcPr>
            <w:tcW w:w="1560" w:type="dxa"/>
            <w:vMerge/>
            <w:tcBorders>
              <w:left w:val="nil"/>
              <w:right w:val="nil"/>
            </w:tcBorders>
            <w:shd w:val="clear" w:color="auto" w:fill="auto"/>
            <w:vAlign w:val="center"/>
            <w:hideMark/>
          </w:tcPr>
          <w:p w14:paraId="3C8E639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hideMark/>
          </w:tcPr>
          <w:p w14:paraId="3D8F5AD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cognitive-behavioural</w:t>
            </w:r>
          </w:p>
        </w:tc>
        <w:tc>
          <w:tcPr>
            <w:tcW w:w="851" w:type="dxa"/>
            <w:tcBorders>
              <w:left w:val="nil"/>
              <w:right w:val="nil"/>
            </w:tcBorders>
            <w:shd w:val="clear" w:color="auto" w:fill="F2F2F2"/>
            <w:tcMar>
              <w:top w:w="90" w:type="dxa"/>
              <w:left w:w="195" w:type="dxa"/>
              <w:bottom w:w="90" w:type="dxa"/>
              <w:right w:w="195" w:type="dxa"/>
            </w:tcMar>
            <w:vAlign w:val="center"/>
            <w:hideMark/>
          </w:tcPr>
          <w:p w14:paraId="3F9CD2C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62</w:t>
            </w:r>
          </w:p>
        </w:tc>
        <w:tc>
          <w:tcPr>
            <w:tcW w:w="850" w:type="dxa"/>
            <w:tcBorders>
              <w:left w:val="nil"/>
              <w:right w:val="nil"/>
            </w:tcBorders>
            <w:shd w:val="clear" w:color="auto" w:fill="F2F2F2"/>
            <w:tcMar>
              <w:top w:w="90" w:type="dxa"/>
              <w:left w:w="195" w:type="dxa"/>
              <w:bottom w:w="90" w:type="dxa"/>
              <w:right w:w="195" w:type="dxa"/>
            </w:tcMar>
            <w:vAlign w:val="center"/>
            <w:hideMark/>
          </w:tcPr>
          <w:p w14:paraId="7E4F12F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0.87</w:t>
            </w:r>
          </w:p>
        </w:tc>
        <w:tc>
          <w:tcPr>
            <w:tcW w:w="1242" w:type="dxa"/>
            <w:tcBorders>
              <w:left w:val="nil"/>
              <w:right w:val="nil"/>
            </w:tcBorders>
            <w:shd w:val="clear" w:color="auto" w:fill="F2F2F2"/>
            <w:tcMar>
              <w:top w:w="90" w:type="dxa"/>
              <w:left w:w="195" w:type="dxa"/>
              <w:bottom w:w="90" w:type="dxa"/>
              <w:right w:w="195" w:type="dxa"/>
            </w:tcMar>
            <w:vAlign w:val="center"/>
            <w:hideMark/>
          </w:tcPr>
          <w:p w14:paraId="3A97F63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1-0.74</w:t>
            </w:r>
          </w:p>
        </w:tc>
        <w:tc>
          <w:tcPr>
            <w:tcW w:w="1451" w:type="dxa"/>
            <w:tcBorders>
              <w:left w:val="nil"/>
              <w:right w:val="nil"/>
            </w:tcBorders>
            <w:shd w:val="clear" w:color="auto" w:fill="F2F2F2"/>
            <w:tcMar>
              <w:top w:w="90" w:type="dxa"/>
              <w:left w:w="195" w:type="dxa"/>
              <w:bottom w:w="90" w:type="dxa"/>
              <w:right w:w="195" w:type="dxa"/>
            </w:tcMar>
            <w:vAlign w:val="center"/>
            <w:hideMark/>
          </w:tcPr>
          <w:p w14:paraId="72CE278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174811.70</w:t>
            </w:r>
          </w:p>
        </w:tc>
        <w:tc>
          <w:tcPr>
            <w:tcW w:w="1082" w:type="dxa"/>
            <w:tcBorders>
              <w:left w:val="nil"/>
              <w:right w:val="nil"/>
            </w:tcBorders>
            <w:shd w:val="clear" w:color="auto" w:fill="F2F2F2"/>
            <w:tcMar>
              <w:top w:w="90" w:type="dxa"/>
              <w:left w:w="195" w:type="dxa"/>
              <w:bottom w:w="90" w:type="dxa"/>
              <w:right w:w="195" w:type="dxa"/>
            </w:tcMar>
            <w:vAlign w:val="center"/>
            <w:hideMark/>
          </w:tcPr>
          <w:p w14:paraId="69D0183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6B16F271" w14:textId="77777777" w:rsidTr="002C4AEA">
        <w:tc>
          <w:tcPr>
            <w:tcW w:w="1560" w:type="dxa"/>
            <w:vMerge/>
            <w:tcBorders>
              <w:left w:val="nil"/>
              <w:bottom w:val="single" w:sz="4" w:space="0" w:color="auto"/>
              <w:right w:val="nil"/>
            </w:tcBorders>
            <w:shd w:val="clear" w:color="auto" w:fill="auto"/>
            <w:vAlign w:val="center"/>
            <w:hideMark/>
          </w:tcPr>
          <w:p w14:paraId="1B6F796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1E91585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Other</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8F68EA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8</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35CB1AA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0.75</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4BCA097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0.97-0.53</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20D974F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155956.84</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hideMark/>
          </w:tcPr>
          <w:p w14:paraId="516A038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7524FD93"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A5FB80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treatment development stage (Q = 0.02, p = 0.885)</w:t>
            </w:r>
          </w:p>
        </w:tc>
      </w:tr>
      <w:tr w:rsidR="006C5163" w:rsidRPr="006C5163" w14:paraId="21D66536"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2720E05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treatment stage</w:t>
            </w:r>
          </w:p>
        </w:tc>
        <w:tc>
          <w:tcPr>
            <w:tcW w:w="1984" w:type="dxa"/>
            <w:tcBorders>
              <w:left w:val="nil"/>
              <w:right w:val="nil"/>
            </w:tcBorders>
            <w:shd w:val="clear" w:color="auto" w:fill="F2F2F2"/>
            <w:tcMar>
              <w:top w:w="90" w:type="dxa"/>
              <w:left w:w="195" w:type="dxa"/>
              <w:bottom w:w="90" w:type="dxa"/>
              <w:right w:w="195" w:type="dxa"/>
            </w:tcMar>
            <w:vAlign w:val="center"/>
            <w:hideMark/>
          </w:tcPr>
          <w:p w14:paraId="334B783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routine evaluations</w:t>
            </w:r>
          </w:p>
        </w:tc>
        <w:tc>
          <w:tcPr>
            <w:tcW w:w="851" w:type="dxa"/>
            <w:tcBorders>
              <w:left w:val="nil"/>
              <w:right w:val="nil"/>
            </w:tcBorders>
            <w:shd w:val="clear" w:color="auto" w:fill="F2F2F2"/>
            <w:tcMar>
              <w:top w:w="90" w:type="dxa"/>
              <w:left w:w="195" w:type="dxa"/>
              <w:bottom w:w="90" w:type="dxa"/>
              <w:right w:w="195" w:type="dxa"/>
            </w:tcMar>
            <w:vAlign w:val="center"/>
            <w:hideMark/>
          </w:tcPr>
          <w:p w14:paraId="714EE30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74</w:t>
            </w:r>
          </w:p>
        </w:tc>
        <w:tc>
          <w:tcPr>
            <w:tcW w:w="850" w:type="dxa"/>
            <w:tcBorders>
              <w:left w:val="nil"/>
              <w:right w:val="nil"/>
            </w:tcBorders>
            <w:shd w:val="clear" w:color="auto" w:fill="F2F2F2"/>
            <w:tcMar>
              <w:top w:w="90" w:type="dxa"/>
              <w:left w:w="195" w:type="dxa"/>
              <w:bottom w:w="90" w:type="dxa"/>
              <w:right w:w="195" w:type="dxa"/>
            </w:tcMar>
            <w:vAlign w:val="center"/>
            <w:hideMark/>
          </w:tcPr>
          <w:p w14:paraId="7A68DE6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0.85</w:t>
            </w:r>
          </w:p>
        </w:tc>
        <w:tc>
          <w:tcPr>
            <w:tcW w:w="1242" w:type="dxa"/>
            <w:tcBorders>
              <w:left w:val="nil"/>
              <w:right w:val="nil"/>
            </w:tcBorders>
            <w:shd w:val="clear" w:color="auto" w:fill="F2F2F2"/>
            <w:tcMar>
              <w:top w:w="90" w:type="dxa"/>
              <w:left w:w="195" w:type="dxa"/>
              <w:bottom w:w="90" w:type="dxa"/>
              <w:right w:w="195" w:type="dxa"/>
            </w:tcMar>
            <w:vAlign w:val="center"/>
            <w:hideMark/>
          </w:tcPr>
          <w:p w14:paraId="24292BA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0.96-0.74</w:t>
            </w:r>
          </w:p>
        </w:tc>
        <w:tc>
          <w:tcPr>
            <w:tcW w:w="1451" w:type="dxa"/>
            <w:tcBorders>
              <w:left w:val="nil"/>
              <w:right w:val="nil"/>
            </w:tcBorders>
            <w:shd w:val="clear" w:color="auto" w:fill="F2F2F2"/>
            <w:tcMar>
              <w:top w:w="90" w:type="dxa"/>
              <w:left w:w="195" w:type="dxa"/>
              <w:bottom w:w="90" w:type="dxa"/>
              <w:right w:w="195" w:type="dxa"/>
            </w:tcMar>
            <w:vAlign w:val="center"/>
            <w:hideMark/>
          </w:tcPr>
          <w:p w14:paraId="5A7C607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635244.53</w:t>
            </w:r>
          </w:p>
        </w:tc>
        <w:tc>
          <w:tcPr>
            <w:tcW w:w="1082" w:type="dxa"/>
            <w:tcBorders>
              <w:left w:val="nil"/>
              <w:right w:val="nil"/>
            </w:tcBorders>
            <w:shd w:val="clear" w:color="auto" w:fill="F2F2F2"/>
            <w:tcMar>
              <w:top w:w="90" w:type="dxa"/>
              <w:left w:w="195" w:type="dxa"/>
              <w:bottom w:w="90" w:type="dxa"/>
              <w:right w:w="195" w:type="dxa"/>
            </w:tcMar>
            <w:vAlign w:val="center"/>
            <w:hideMark/>
          </w:tcPr>
          <w:p w14:paraId="708E657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1E38236E" w14:textId="77777777" w:rsidTr="002C4AEA">
        <w:tc>
          <w:tcPr>
            <w:tcW w:w="1560" w:type="dxa"/>
            <w:vMerge/>
            <w:tcBorders>
              <w:left w:val="nil"/>
              <w:right w:val="nil"/>
            </w:tcBorders>
            <w:shd w:val="clear" w:color="auto" w:fill="auto"/>
            <w:tcMar>
              <w:top w:w="90" w:type="dxa"/>
              <w:left w:w="480" w:type="dxa"/>
              <w:bottom w:w="90" w:type="dxa"/>
              <w:right w:w="195" w:type="dxa"/>
            </w:tcMar>
          </w:tcPr>
          <w:p w14:paraId="38F5954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406C4AF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preliminary studies</w:t>
            </w:r>
          </w:p>
        </w:tc>
        <w:tc>
          <w:tcPr>
            <w:tcW w:w="851" w:type="dxa"/>
            <w:tcBorders>
              <w:left w:val="nil"/>
              <w:right w:val="nil"/>
            </w:tcBorders>
            <w:shd w:val="clear" w:color="auto" w:fill="auto"/>
            <w:tcMar>
              <w:top w:w="90" w:type="dxa"/>
              <w:left w:w="195" w:type="dxa"/>
              <w:bottom w:w="90" w:type="dxa"/>
              <w:right w:w="195" w:type="dxa"/>
            </w:tcMar>
            <w:vAlign w:val="center"/>
          </w:tcPr>
          <w:p w14:paraId="1583AEF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w:t>
            </w:r>
          </w:p>
        </w:tc>
        <w:tc>
          <w:tcPr>
            <w:tcW w:w="850" w:type="dxa"/>
            <w:tcBorders>
              <w:left w:val="nil"/>
              <w:right w:val="nil"/>
            </w:tcBorders>
            <w:shd w:val="clear" w:color="auto" w:fill="auto"/>
            <w:tcMar>
              <w:top w:w="90" w:type="dxa"/>
              <w:left w:w="195" w:type="dxa"/>
              <w:bottom w:w="90" w:type="dxa"/>
              <w:right w:w="195" w:type="dxa"/>
            </w:tcMar>
            <w:vAlign w:val="center"/>
          </w:tcPr>
          <w:p w14:paraId="77DCAC3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0.87</w:t>
            </w:r>
          </w:p>
        </w:tc>
        <w:tc>
          <w:tcPr>
            <w:tcW w:w="1242" w:type="dxa"/>
            <w:tcBorders>
              <w:left w:val="nil"/>
              <w:right w:val="nil"/>
            </w:tcBorders>
            <w:shd w:val="clear" w:color="auto" w:fill="auto"/>
            <w:tcMar>
              <w:top w:w="90" w:type="dxa"/>
              <w:left w:w="195" w:type="dxa"/>
              <w:bottom w:w="90" w:type="dxa"/>
              <w:right w:w="195" w:type="dxa"/>
            </w:tcMar>
            <w:vAlign w:val="center"/>
          </w:tcPr>
          <w:p w14:paraId="67C6F24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1.14-0.61</w:t>
            </w:r>
          </w:p>
        </w:tc>
        <w:tc>
          <w:tcPr>
            <w:tcW w:w="1451" w:type="dxa"/>
            <w:tcBorders>
              <w:left w:val="nil"/>
              <w:right w:val="nil"/>
            </w:tcBorders>
            <w:shd w:val="clear" w:color="auto" w:fill="auto"/>
            <w:tcMar>
              <w:top w:w="90" w:type="dxa"/>
              <w:left w:w="195" w:type="dxa"/>
              <w:bottom w:w="90" w:type="dxa"/>
              <w:right w:w="195" w:type="dxa"/>
            </w:tcMar>
            <w:vAlign w:val="center"/>
          </w:tcPr>
          <w:p w14:paraId="564947D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639.27</w:t>
            </w:r>
          </w:p>
        </w:tc>
        <w:tc>
          <w:tcPr>
            <w:tcW w:w="1082" w:type="dxa"/>
            <w:tcBorders>
              <w:left w:val="nil"/>
              <w:right w:val="nil"/>
            </w:tcBorders>
            <w:shd w:val="clear" w:color="auto" w:fill="auto"/>
            <w:tcMar>
              <w:top w:w="90" w:type="dxa"/>
              <w:left w:w="195" w:type="dxa"/>
              <w:bottom w:w="90" w:type="dxa"/>
              <w:right w:w="195" w:type="dxa"/>
            </w:tcMar>
            <w:vAlign w:val="center"/>
          </w:tcPr>
          <w:p w14:paraId="5456BA5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99.0%</w:t>
            </w:r>
          </w:p>
        </w:tc>
      </w:tr>
      <w:tr w:rsidR="006C5163" w:rsidRPr="006C5163" w14:paraId="15CF6381"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AB3FBCA"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experience (Q = 5.77, p = 0.016*)</w:t>
            </w:r>
          </w:p>
        </w:tc>
      </w:tr>
      <w:tr w:rsidR="006C5163" w:rsidRPr="006C5163" w14:paraId="0BD7D0A4"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tcPr>
          <w:p w14:paraId="50290DA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experience</w:t>
            </w:r>
          </w:p>
        </w:tc>
        <w:tc>
          <w:tcPr>
            <w:tcW w:w="1984" w:type="dxa"/>
            <w:tcBorders>
              <w:left w:val="nil"/>
              <w:right w:val="nil"/>
            </w:tcBorders>
            <w:shd w:val="clear" w:color="auto" w:fill="F2F2F2"/>
            <w:tcMar>
              <w:top w:w="90" w:type="dxa"/>
              <w:left w:w="195" w:type="dxa"/>
              <w:bottom w:w="90" w:type="dxa"/>
              <w:right w:w="195" w:type="dxa"/>
            </w:tcMar>
            <w:vAlign w:val="center"/>
          </w:tcPr>
          <w:p w14:paraId="51FD859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qualified</w:t>
            </w:r>
          </w:p>
        </w:tc>
        <w:tc>
          <w:tcPr>
            <w:tcW w:w="851" w:type="dxa"/>
            <w:tcBorders>
              <w:left w:val="nil"/>
              <w:right w:val="nil"/>
            </w:tcBorders>
            <w:shd w:val="clear" w:color="auto" w:fill="F2F2F2"/>
            <w:tcMar>
              <w:top w:w="90" w:type="dxa"/>
              <w:left w:w="195" w:type="dxa"/>
              <w:bottom w:w="90" w:type="dxa"/>
              <w:right w:w="195" w:type="dxa"/>
            </w:tcMar>
            <w:vAlign w:val="center"/>
          </w:tcPr>
          <w:p w14:paraId="05FA444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66</w:t>
            </w:r>
          </w:p>
        </w:tc>
        <w:tc>
          <w:tcPr>
            <w:tcW w:w="850" w:type="dxa"/>
            <w:tcBorders>
              <w:left w:val="nil"/>
              <w:right w:val="nil"/>
            </w:tcBorders>
            <w:shd w:val="clear" w:color="auto" w:fill="F2F2F2"/>
            <w:tcMar>
              <w:top w:w="90" w:type="dxa"/>
              <w:left w:w="195" w:type="dxa"/>
              <w:bottom w:w="90" w:type="dxa"/>
              <w:right w:w="195" w:type="dxa"/>
            </w:tcMar>
            <w:vAlign w:val="center"/>
          </w:tcPr>
          <w:p w14:paraId="6D1B070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0.78</w:t>
            </w:r>
          </w:p>
        </w:tc>
        <w:tc>
          <w:tcPr>
            <w:tcW w:w="1242" w:type="dxa"/>
            <w:tcBorders>
              <w:left w:val="nil"/>
              <w:right w:val="nil"/>
            </w:tcBorders>
            <w:shd w:val="clear" w:color="auto" w:fill="F2F2F2"/>
            <w:tcMar>
              <w:top w:w="90" w:type="dxa"/>
              <w:left w:w="195" w:type="dxa"/>
              <w:bottom w:w="90" w:type="dxa"/>
              <w:right w:w="195" w:type="dxa"/>
            </w:tcMar>
            <w:vAlign w:val="center"/>
          </w:tcPr>
          <w:p w14:paraId="40E9753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0.88-0.68</w:t>
            </w:r>
          </w:p>
        </w:tc>
        <w:tc>
          <w:tcPr>
            <w:tcW w:w="1451" w:type="dxa"/>
            <w:tcBorders>
              <w:left w:val="nil"/>
              <w:right w:val="nil"/>
            </w:tcBorders>
            <w:shd w:val="clear" w:color="auto" w:fill="F2F2F2"/>
            <w:tcMar>
              <w:top w:w="90" w:type="dxa"/>
              <w:left w:w="195" w:type="dxa"/>
              <w:bottom w:w="90" w:type="dxa"/>
              <w:right w:w="195" w:type="dxa"/>
            </w:tcMar>
            <w:vAlign w:val="center"/>
          </w:tcPr>
          <w:p w14:paraId="574227D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502201.12</w:t>
            </w:r>
          </w:p>
        </w:tc>
        <w:tc>
          <w:tcPr>
            <w:tcW w:w="1082" w:type="dxa"/>
            <w:tcBorders>
              <w:left w:val="nil"/>
              <w:right w:val="nil"/>
            </w:tcBorders>
            <w:shd w:val="clear" w:color="auto" w:fill="F2F2F2"/>
            <w:tcMar>
              <w:top w:w="90" w:type="dxa"/>
              <w:left w:w="195" w:type="dxa"/>
              <w:bottom w:w="90" w:type="dxa"/>
              <w:right w:w="195" w:type="dxa"/>
            </w:tcMar>
            <w:vAlign w:val="center"/>
          </w:tcPr>
          <w:p w14:paraId="1FFEC4F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16A1449E" w14:textId="77777777" w:rsidTr="002C4AEA">
        <w:tc>
          <w:tcPr>
            <w:tcW w:w="1560" w:type="dxa"/>
            <w:vMerge/>
            <w:tcBorders>
              <w:left w:val="nil"/>
              <w:right w:val="nil"/>
            </w:tcBorders>
            <w:shd w:val="clear" w:color="auto" w:fill="auto"/>
            <w:tcMar>
              <w:top w:w="90" w:type="dxa"/>
              <w:left w:w="480" w:type="dxa"/>
              <w:bottom w:w="90" w:type="dxa"/>
              <w:right w:w="195" w:type="dxa"/>
            </w:tcMar>
            <w:vAlign w:val="center"/>
            <w:hideMark/>
          </w:tcPr>
          <w:p w14:paraId="716BD5E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hideMark/>
          </w:tcPr>
          <w:p w14:paraId="50FAE7B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trainees</w:t>
            </w:r>
          </w:p>
        </w:tc>
        <w:tc>
          <w:tcPr>
            <w:tcW w:w="851" w:type="dxa"/>
            <w:tcBorders>
              <w:left w:val="nil"/>
              <w:right w:val="nil"/>
            </w:tcBorders>
            <w:shd w:val="clear" w:color="auto" w:fill="auto"/>
            <w:tcMar>
              <w:top w:w="90" w:type="dxa"/>
              <w:left w:w="195" w:type="dxa"/>
              <w:bottom w:w="90" w:type="dxa"/>
              <w:right w:w="195" w:type="dxa"/>
            </w:tcMar>
            <w:vAlign w:val="center"/>
            <w:hideMark/>
          </w:tcPr>
          <w:p w14:paraId="4497889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18</w:t>
            </w:r>
          </w:p>
        </w:tc>
        <w:tc>
          <w:tcPr>
            <w:tcW w:w="850" w:type="dxa"/>
            <w:tcBorders>
              <w:left w:val="nil"/>
              <w:right w:val="nil"/>
            </w:tcBorders>
            <w:shd w:val="clear" w:color="auto" w:fill="auto"/>
            <w:tcMar>
              <w:top w:w="90" w:type="dxa"/>
              <w:left w:w="195" w:type="dxa"/>
              <w:bottom w:w="90" w:type="dxa"/>
              <w:right w:w="195" w:type="dxa"/>
            </w:tcMar>
            <w:vAlign w:val="center"/>
            <w:hideMark/>
          </w:tcPr>
          <w:p w14:paraId="045F8BB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1.12</w:t>
            </w:r>
          </w:p>
        </w:tc>
        <w:tc>
          <w:tcPr>
            <w:tcW w:w="1242" w:type="dxa"/>
            <w:tcBorders>
              <w:left w:val="nil"/>
              <w:right w:val="nil"/>
            </w:tcBorders>
            <w:shd w:val="clear" w:color="auto" w:fill="auto"/>
            <w:tcMar>
              <w:top w:w="90" w:type="dxa"/>
              <w:left w:w="195" w:type="dxa"/>
              <w:bottom w:w="90" w:type="dxa"/>
              <w:right w:w="195" w:type="dxa"/>
            </w:tcMar>
            <w:vAlign w:val="center"/>
            <w:hideMark/>
          </w:tcPr>
          <w:p w14:paraId="607F4E7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1.39-0.86</w:t>
            </w:r>
          </w:p>
        </w:tc>
        <w:tc>
          <w:tcPr>
            <w:tcW w:w="1451" w:type="dxa"/>
            <w:tcBorders>
              <w:left w:val="nil"/>
              <w:right w:val="nil"/>
            </w:tcBorders>
            <w:shd w:val="clear" w:color="auto" w:fill="auto"/>
            <w:tcMar>
              <w:top w:w="90" w:type="dxa"/>
              <w:left w:w="195" w:type="dxa"/>
              <w:bottom w:w="90" w:type="dxa"/>
              <w:right w:w="195" w:type="dxa"/>
            </w:tcMar>
            <w:vAlign w:val="center"/>
            <w:hideMark/>
          </w:tcPr>
          <w:p w14:paraId="0EF2B99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59913.29</w:t>
            </w:r>
          </w:p>
        </w:tc>
        <w:tc>
          <w:tcPr>
            <w:tcW w:w="1082" w:type="dxa"/>
            <w:tcBorders>
              <w:left w:val="nil"/>
              <w:right w:val="nil"/>
            </w:tcBorders>
            <w:shd w:val="clear" w:color="auto" w:fill="auto"/>
            <w:tcMar>
              <w:top w:w="90" w:type="dxa"/>
              <w:left w:w="195" w:type="dxa"/>
              <w:bottom w:w="90" w:type="dxa"/>
              <w:right w:w="195" w:type="dxa"/>
            </w:tcMar>
            <w:vAlign w:val="center"/>
            <w:hideMark/>
          </w:tcPr>
          <w:p w14:paraId="10C5FDA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6EBF584D"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43D21D6B"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r w:rsidRPr="006C5163">
              <w:rPr>
                <w:rFonts w:ascii="Times New Roman" w:eastAsia="Times New Roman" w:hAnsi="Times New Roman" w:cs="Times New Roman"/>
                <w:b/>
                <w:bCs/>
                <w:i/>
                <w:iCs/>
                <w:color w:val="000000"/>
                <w:spacing w:val="3"/>
                <w:sz w:val="15"/>
                <w:szCs w:val="15"/>
                <w:lang w:val="en-GB" w:eastAsia="en-GB"/>
              </w:rPr>
              <w:t>Random effects model for measurement tool (Q = 3.92, p = 0.048*)</w:t>
            </w:r>
          </w:p>
        </w:tc>
      </w:tr>
      <w:tr w:rsidR="006C5163" w:rsidRPr="006C5163" w14:paraId="75EF0323" w14:textId="77777777" w:rsidTr="002C4AEA">
        <w:tc>
          <w:tcPr>
            <w:tcW w:w="1560" w:type="dxa"/>
            <w:vMerge w:val="restart"/>
            <w:tcBorders>
              <w:left w:val="nil"/>
              <w:right w:val="nil"/>
            </w:tcBorders>
            <w:shd w:val="clear" w:color="auto" w:fill="auto"/>
            <w:tcMar>
              <w:top w:w="90" w:type="dxa"/>
              <w:left w:w="480" w:type="dxa"/>
              <w:bottom w:w="90" w:type="dxa"/>
              <w:right w:w="195" w:type="dxa"/>
            </w:tcMar>
            <w:hideMark/>
          </w:tcPr>
          <w:p w14:paraId="3DAB784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measure-</w:t>
            </w:r>
            <w:proofErr w:type="spellStart"/>
            <w:r w:rsidRPr="006C5163">
              <w:rPr>
                <w:rFonts w:ascii="Times New Roman" w:eastAsia="Times New Roman" w:hAnsi="Times New Roman" w:cs="Times New Roman"/>
                <w:color w:val="000000"/>
                <w:spacing w:val="3"/>
                <w:sz w:val="18"/>
                <w:szCs w:val="18"/>
                <w:lang w:val="en-GB" w:eastAsia="en-GB"/>
              </w:rPr>
              <w:t>ment</w:t>
            </w:r>
            <w:proofErr w:type="spellEnd"/>
            <w:r w:rsidRPr="006C5163">
              <w:rPr>
                <w:rFonts w:ascii="Times New Roman" w:eastAsia="Times New Roman" w:hAnsi="Times New Roman" w:cs="Times New Roman"/>
                <w:color w:val="000000"/>
                <w:spacing w:val="3"/>
                <w:sz w:val="18"/>
                <w:szCs w:val="18"/>
                <w:lang w:val="en-GB" w:eastAsia="en-GB"/>
              </w:rPr>
              <w:t xml:space="preserve"> tool</w:t>
            </w:r>
          </w:p>
        </w:tc>
        <w:tc>
          <w:tcPr>
            <w:tcW w:w="1984" w:type="dxa"/>
            <w:tcBorders>
              <w:left w:val="nil"/>
              <w:right w:val="nil"/>
            </w:tcBorders>
            <w:shd w:val="clear" w:color="auto" w:fill="auto"/>
            <w:tcMar>
              <w:top w:w="90" w:type="dxa"/>
              <w:left w:w="195" w:type="dxa"/>
              <w:bottom w:w="90" w:type="dxa"/>
              <w:right w:w="195" w:type="dxa"/>
            </w:tcMar>
            <w:vAlign w:val="center"/>
            <w:hideMark/>
          </w:tcPr>
          <w:p w14:paraId="76325B2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BAI</w:t>
            </w:r>
          </w:p>
        </w:tc>
        <w:tc>
          <w:tcPr>
            <w:tcW w:w="851" w:type="dxa"/>
            <w:tcBorders>
              <w:left w:val="nil"/>
              <w:right w:val="nil"/>
            </w:tcBorders>
            <w:shd w:val="clear" w:color="auto" w:fill="auto"/>
            <w:tcMar>
              <w:top w:w="90" w:type="dxa"/>
              <w:left w:w="195" w:type="dxa"/>
              <w:bottom w:w="90" w:type="dxa"/>
              <w:right w:w="195" w:type="dxa"/>
            </w:tcMar>
            <w:vAlign w:val="center"/>
            <w:hideMark/>
          </w:tcPr>
          <w:p w14:paraId="04E0418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19</w:t>
            </w:r>
          </w:p>
        </w:tc>
        <w:tc>
          <w:tcPr>
            <w:tcW w:w="850" w:type="dxa"/>
            <w:tcBorders>
              <w:left w:val="nil"/>
              <w:right w:val="nil"/>
            </w:tcBorders>
            <w:shd w:val="clear" w:color="auto" w:fill="auto"/>
            <w:tcMar>
              <w:top w:w="90" w:type="dxa"/>
              <w:left w:w="195" w:type="dxa"/>
              <w:bottom w:w="90" w:type="dxa"/>
              <w:right w:w="195" w:type="dxa"/>
            </w:tcMar>
            <w:vAlign w:val="center"/>
            <w:hideMark/>
          </w:tcPr>
          <w:p w14:paraId="2A3DFDC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0.71</w:t>
            </w:r>
          </w:p>
        </w:tc>
        <w:tc>
          <w:tcPr>
            <w:tcW w:w="1242" w:type="dxa"/>
            <w:tcBorders>
              <w:left w:val="nil"/>
              <w:right w:val="nil"/>
            </w:tcBorders>
            <w:shd w:val="clear" w:color="auto" w:fill="auto"/>
            <w:tcMar>
              <w:top w:w="90" w:type="dxa"/>
              <w:left w:w="195" w:type="dxa"/>
              <w:bottom w:w="90" w:type="dxa"/>
              <w:right w:w="195" w:type="dxa"/>
            </w:tcMar>
            <w:vAlign w:val="center"/>
            <w:hideMark/>
          </w:tcPr>
          <w:p w14:paraId="273CB3AD"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0.88-0.54</w:t>
            </w:r>
          </w:p>
        </w:tc>
        <w:tc>
          <w:tcPr>
            <w:tcW w:w="1451" w:type="dxa"/>
            <w:tcBorders>
              <w:left w:val="nil"/>
              <w:right w:val="nil"/>
            </w:tcBorders>
            <w:shd w:val="clear" w:color="auto" w:fill="auto"/>
            <w:tcMar>
              <w:top w:w="90" w:type="dxa"/>
              <w:left w:w="195" w:type="dxa"/>
              <w:bottom w:w="90" w:type="dxa"/>
              <w:right w:w="195" w:type="dxa"/>
            </w:tcMar>
            <w:vAlign w:val="center"/>
            <w:hideMark/>
          </w:tcPr>
          <w:p w14:paraId="5EC5B02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36173.30</w:t>
            </w:r>
          </w:p>
        </w:tc>
        <w:tc>
          <w:tcPr>
            <w:tcW w:w="1082" w:type="dxa"/>
            <w:tcBorders>
              <w:left w:val="nil"/>
              <w:right w:val="nil"/>
            </w:tcBorders>
            <w:shd w:val="clear" w:color="auto" w:fill="auto"/>
            <w:tcMar>
              <w:top w:w="90" w:type="dxa"/>
              <w:left w:w="195" w:type="dxa"/>
              <w:bottom w:w="90" w:type="dxa"/>
              <w:right w:w="195" w:type="dxa"/>
            </w:tcMar>
            <w:vAlign w:val="center"/>
            <w:hideMark/>
          </w:tcPr>
          <w:p w14:paraId="61041D9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61F8A664" w14:textId="77777777" w:rsidTr="006C5163">
        <w:tc>
          <w:tcPr>
            <w:tcW w:w="1560" w:type="dxa"/>
            <w:vMerge/>
            <w:tcBorders>
              <w:left w:val="nil"/>
              <w:right w:val="nil"/>
            </w:tcBorders>
            <w:shd w:val="clear" w:color="auto" w:fill="auto"/>
            <w:tcMar>
              <w:top w:w="90" w:type="dxa"/>
              <w:left w:w="480" w:type="dxa"/>
              <w:bottom w:w="90" w:type="dxa"/>
              <w:right w:w="195" w:type="dxa"/>
            </w:tcMar>
          </w:tcPr>
          <w:p w14:paraId="6D58502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7007942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GAD-7</w:t>
            </w:r>
          </w:p>
        </w:tc>
        <w:tc>
          <w:tcPr>
            <w:tcW w:w="851" w:type="dxa"/>
            <w:tcBorders>
              <w:left w:val="nil"/>
              <w:right w:val="nil"/>
            </w:tcBorders>
            <w:shd w:val="clear" w:color="auto" w:fill="F2F2F2"/>
            <w:tcMar>
              <w:top w:w="90" w:type="dxa"/>
              <w:left w:w="195" w:type="dxa"/>
              <w:bottom w:w="90" w:type="dxa"/>
              <w:right w:w="195" w:type="dxa"/>
            </w:tcMar>
            <w:vAlign w:val="center"/>
          </w:tcPr>
          <w:p w14:paraId="6DCB679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19</w:t>
            </w:r>
          </w:p>
        </w:tc>
        <w:tc>
          <w:tcPr>
            <w:tcW w:w="850" w:type="dxa"/>
            <w:tcBorders>
              <w:left w:val="nil"/>
              <w:right w:val="nil"/>
            </w:tcBorders>
            <w:shd w:val="clear" w:color="auto" w:fill="F2F2F2"/>
            <w:tcMar>
              <w:top w:w="90" w:type="dxa"/>
              <w:left w:w="195" w:type="dxa"/>
              <w:bottom w:w="90" w:type="dxa"/>
              <w:right w:w="195" w:type="dxa"/>
            </w:tcMar>
            <w:vAlign w:val="center"/>
          </w:tcPr>
          <w:p w14:paraId="2F53154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0.96</w:t>
            </w:r>
          </w:p>
        </w:tc>
        <w:tc>
          <w:tcPr>
            <w:tcW w:w="1242" w:type="dxa"/>
            <w:tcBorders>
              <w:left w:val="nil"/>
              <w:right w:val="nil"/>
            </w:tcBorders>
            <w:shd w:val="clear" w:color="auto" w:fill="F2F2F2"/>
            <w:tcMar>
              <w:top w:w="90" w:type="dxa"/>
              <w:left w:w="195" w:type="dxa"/>
              <w:bottom w:w="90" w:type="dxa"/>
              <w:right w:w="195" w:type="dxa"/>
            </w:tcMar>
            <w:vAlign w:val="center"/>
          </w:tcPr>
          <w:p w14:paraId="2165236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1.15-0.78</w:t>
            </w:r>
          </w:p>
        </w:tc>
        <w:tc>
          <w:tcPr>
            <w:tcW w:w="1451" w:type="dxa"/>
            <w:tcBorders>
              <w:left w:val="nil"/>
              <w:right w:val="nil"/>
            </w:tcBorders>
            <w:shd w:val="clear" w:color="auto" w:fill="F2F2F2"/>
            <w:tcMar>
              <w:top w:w="90" w:type="dxa"/>
              <w:left w:w="195" w:type="dxa"/>
              <w:bottom w:w="90" w:type="dxa"/>
              <w:right w:w="195" w:type="dxa"/>
            </w:tcMar>
            <w:vAlign w:val="center"/>
          </w:tcPr>
          <w:p w14:paraId="400B3C7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241386.08</w:t>
            </w:r>
          </w:p>
        </w:tc>
        <w:tc>
          <w:tcPr>
            <w:tcW w:w="1082" w:type="dxa"/>
            <w:tcBorders>
              <w:left w:val="nil"/>
              <w:right w:val="nil"/>
            </w:tcBorders>
            <w:shd w:val="clear" w:color="auto" w:fill="F2F2F2"/>
            <w:tcMar>
              <w:top w:w="90" w:type="dxa"/>
              <w:left w:w="195" w:type="dxa"/>
              <w:bottom w:w="90" w:type="dxa"/>
              <w:right w:w="195" w:type="dxa"/>
            </w:tcMar>
            <w:vAlign w:val="center"/>
          </w:tcPr>
          <w:p w14:paraId="0A1BA79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6FC4CB64"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1B142B10"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Random effects model for sample size (Q = 0.25, p = 0.885*)</w:t>
            </w:r>
          </w:p>
        </w:tc>
      </w:tr>
      <w:tr w:rsidR="006C5163" w:rsidRPr="006C5163" w14:paraId="43FF0478" w14:textId="77777777" w:rsidTr="006C5163">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6BBBBF9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sample size</w:t>
            </w:r>
          </w:p>
        </w:tc>
        <w:tc>
          <w:tcPr>
            <w:tcW w:w="1984" w:type="dxa"/>
            <w:tcBorders>
              <w:left w:val="nil"/>
              <w:right w:val="nil"/>
            </w:tcBorders>
            <w:shd w:val="clear" w:color="auto" w:fill="F2F2F2"/>
            <w:tcMar>
              <w:top w:w="90" w:type="dxa"/>
              <w:left w:w="195" w:type="dxa"/>
              <w:bottom w:w="90" w:type="dxa"/>
              <w:right w:w="195" w:type="dxa"/>
            </w:tcMar>
            <w:vAlign w:val="center"/>
            <w:hideMark/>
          </w:tcPr>
          <w:p w14:paraId="1CB15B2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large</w:t>
            </w:r>
          </w:p>
        </w:tc>
        <w:tc>
          <w:tcPr>
            <w:tcW w:w="851" w:type="dxa"/>
            <w:tcBorders>
              <w:left w:val="nil"/>
              <w:right w:val="nil"/>
            </w:tcBorders>
            <w:shd w:val="clear" w:color="auto" w:fill="F2F2F2"/>
            <w:tcMar>
              <w:top w:w="90" w:type="dxa"/>
              <w:left w:w="195" w:type="dxa"/>
              <w:bottom w:w="90" w:type="dxa"/>
              <w:right w:w="195" w:type="dxa"/>
            </w:tcMar>
            <w:vAlign w:val="center"/>
            <w:hideMark/>
          </w:tcPr>
          <w:p w14:paraId="5B0368B2"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45</w:t>
            </w:r>
          </w:p>
        </w:tc>
        <w:tc>
          <w:tcPr>
            <w:tcW w:w="850" w:type="dxa"/>
            <w:tcBorders>
              <w:left w:val="nil"/>
              <w:right w:val="nil"/>
            </w:tcBorders>
            <w:shd w:val="clear" w:color="auto" w:fill="F2F2F2"/>
            <w:tcMar>
              <w:top w:w="90" w:type="dxa"/>
              <w:left w:w="195" w:type="dxa"/>
              <w:bottom w:w="90" w:type="dxa"/>
              <w:right w:w="195" w:type="dxa"/>
            </w:tcMar>
            <w:vAlign w:val="center"/>
            <w:hideMark/>
          </w:tcPr>
          <w:p w14:paraId="2CD459F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0.84</w:t>
            </w:r>
          </w:p>
        </w:tc>
        <w:tc>
          <w:tcPr>
            <w:tcW w:w="1242" w:type="dxa"/>
            <w:tcBorders>
              <w:left w:val="nil"/>
              <w:right w:val="nil"/>
            </w:tcBorders>
            <w:shd w:val="clear" w:color="auto" w:fill="F2F2F2"/>
            <w:tcMar>
              <w:top w:w="90" w:type="dxa"/>
              <w:left w:w="195" w:type="dxa"/>
              <w:bottom w:w="90" w:type="dxa"/>
              <w:right w:w="195" w:type="dxa"/>
            </w:tcMar>
            <w:vAlign w:val="center"/>
            <w:hideMark/>
          </w:tcPr>
          <w:p w14:paraId="698C48B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0.95-0.72</w:t>
            </w:r>
          </w:p>
        </w:tc>
        <w:tc>
          <w:tcPr>
            <w:tcW w:w="1451" w:type="dxa"/>
            <w:tcBorders>
              <w:left w:val="nil"/>
              <w:right w:val="nil"/>
            </w:tcBorders>
            <w:shd w:val="clear" w:color="auto" w:fill="F2F2F2"/>
            <w:tcMar>
              <w:top w:w="90" w:type="dxa"/>
              <w:left w:w="195" w:type="dxa"/>
              <w:bottom w:w="90" w:type="dxa"/>
              <w:right w:w="195" w:type="dxa"/>
            </w:tcMar>
            <w:vAlign w:val="center"/>
            <w:hideMark/>
          </w:tcPr>
          <w:p w14:paraId="45CFB66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635426.98</w:t>
            </w:r>
          </w:p>
        </w:tc>
        <w:tc>
          <w:tcPr>
            <w:tcW w:w="1082" w:type="dxa"/>
            <w:tcBorders>
              <w:left w:val="nil"/>
              <w:right w:val="nil"/>
            </w:tcBorders>
            <w:shd w:val="clear" w:color="auto" w:fill="F2F2F2"/>
            <w:tcMar>
              <w:top w:w="90" w:type="dxa"/>
              <w:left w:w="195" w:type="dxa"/>
              <w:bottom w:w="90" w:type="dxa"/>
              <w:right w:w="195" w:type="dxa"/>
            </w:tcMar>
            <w:vAlign w:val="center"/>
            <w:hideMark/>
          </w:tcPr>
          <w:p w14:paraId="4C967B2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100.0%</w:t>
            </w:r>
          </w:p>
        </w:tc>
      </w:tr>
      <w:tr w:rsidR="006C5163" w:rsidRPr="006C5163" w14:paraId="1B09DE5E" w14:textId="77777777" w:rsidTr="006C5163">
        <w:tc>
          <w:tcPr>
            <w:tcW w:w="1560" w:type="dxa"/>
            <w:vMerge/>
            <w:tcBorders>
              <w:left w:val="nil"/>
              <w:right w:val="nil"/>
            </w:tcBorders>
            <w:shd w:val="clear" w:color="auto" w:fill="FFFFFF"/>
            <w:tcMar>
              <w:top w:w="90" w:type="dxa"/>
              <w:left w:w="480" w:type="dxa"/>
              <w:bottom w:w="90" w:type="dxa"/>
              <w:right w:w="195" w:type="dxa"/>
            </w:tcMar>
          </w:tcPr>
          <w:p w14:paraId="295B5B1E"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30C35A7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medium</w:t>
            </w:r>
          </w:p>
        </w:tc>
        <w:tc>
          <w:tcPr>
            <w:tcW w:w="851" w:type="dxa"/>
            <w:tcBorders>
              <w:left w:val="nil"/>
              <w:right w:val="nil"/>
            </w:tcBorders>
            <w:shd w:val="clear" w:color="auto" w:fill="FFFFFF"/>
            <w:tcMar>
              <w:top w:w="90" w:type="dxa"/>
              <w:left w:w="195" w:type="dxa"/>
              <w:bottom w:w="90" w:type="dxa"/>
              <w:right w:w="195" w:type="dxa"/>
            </w:tcMar>
            <w:vAlign w:val="center"/>
          </w:tcPr>
          <w:p w14:paraId="5172C63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13</w:t>
            </w:r>
          </w:p>
        </w:tc>
        <w:tc>
          <w:tcPr>
            <w:tcW w:w="850" w:type="dxa"/>
            <w:tcBorders>
              <w:left w:val="nil"/>
              <w:right w:val="nil"/>
            </w:tcBorders>
            <w:shd w:val="clear" w:color="auto" w:fill="FFFFFF"/>
            <w:tcMar>
              <w:top w:w="90" w:type="dxa"/>
              <w:left w:w="195" w:type="dxa"/>
              <w:bottom w:w="90" w:type="dxa"/>
              <w:right w:w="195" w:type="dxa"/>
            </w:tcMar>
            <w:vAlign w:val="center"/>
          </w:tcPr>
          <w:p w14:paraId="3B2B529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0.93</w:t>
            </w:r>
          </w:p>
        </w:tc>
        <w:tc>
          <w:tcPr>
            <w:tcW w:w="1242" w:type="dxa"/>
            <w:tcBorders>
              <w:left w:val="nil"/>
              <w:right w:val="nil"/>
            </w:tcBorders>
            <w:shd w:val="clear" w:color="auto" w:fill="FFFFFF"/>
            <w:tcMar>
              <w:top w:w="90" w:type="dxa"/>
              <w:left w:w="195" w:type="dxa"/>
              <w:bottom w:w="90" w:type="dxa"/>
              <w:right w:w="195" w:type="dxa"/>
            </w:tcMar>
            <w:vAlign w:val="center"/>
          </w:tcPr>
          <w:p w14:paraId="080D766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1.3-0.57</w:t>
            </w:r>
          </w:p>
        </w:tc>
        <w:tc>
          <w:tcPr>
            <w:tcW w:w="1451" w:type="dxa"/>
            <w:tcBorders>
              <w:left w:val="nil"/>
              <w:right w:val="nil"/>
            </w:tcBorders>
            <w:shd w:val="clear" w:color="auto" w:fill="FFFFFF"/>
            <w:tcMar>
              <w:top w:w="90" w:type="dxa"/>
              <w:left w:w="195" w:type="dxa"/>
              <w:bottom w:w="90" w:type="dxa"/>
              <w:right w:w="195" w:type="dxa"/>
            </w:tcMar>
            <w:vAlign w:val="center"/>
          </w:tcPr>
          <w:p w14:paraId="078422B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2069.64</w:t>
            </w:r>
          </w:p>
        </w:tc>
        <w:tc>
          <w:tcPr>
            <w:tcW w:w="1082" w:type="dxa"/>
            <w:tcBorders>
              <w:left w:val="nil"/>
              <w:right w:val="nil"/>
            </w:tcBorders>
            <w:shd w:val="clear" w:color="auto" w:fill="FFFFFF"/>
            <w:tcMar>
              <w:top w:w="90" w:type="dxa"/>
              <w:left w:w="195" w:type="dxa"/>
              <w:bottom w:w="90" w:type="dxa"/>
              <w:right w:w="195" w:type="dxa"/>
            </w:tcMar>
            <w:vAlign w:val="center"/>
          </w:tcPr>
          <w:p w14:paraId="7333888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99.0%</w:t>
            </w:r>
          </w:p>
        </w:tc>
      </w:tr>
      <w:tr w:rsidR="006C5163" w:rsidRPr="006C5163" w14:paraId="77553F92" w14:textId="77777777" w:rsidTr="006C5163">
        <w:tc>
          <w:tcPr>
            <w:tcW w:w="1560" w:type="dxa"/>
            <w:vMerge/>
            <w:tcBorders>
              <w:left w:val="nil"/>
              <w:bottom w:val="single" w:sz="4" w:space="0" w:color="auto"/>
              <w:right w:val="nil"/>
            </w:tcBorders>
            <w:shd w:val="clear" w:color="auto" w:fill="auto"/>
            <w:vAlign w:val="center"/>
            <w:hideMark/>
          </w:tcPr>
          <w:p w14:paraId="64A4738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3F09813"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small</w:t>
            </w:r>
          </w:p>
        </w:tc>
        <w:tc>
          <w:tcPr>
            <w:tcW w:w="851"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006D3D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26</w:t>
            </w:r>
          </w:p>
        </w:tc>
        <w:tc>
          <w:tcPr>
            <w:tcW w:w="850"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0F8B44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0.84</w:t>
            </w:r>
          </w:p>
        </w:tc>
        <w:tc>
          <w:tcPr>
            <w:tcW w:w="1242"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0288F84"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1.03-0.66</w:t>
            </w:r>
          </w:p>
        </w:tc>
        <w:tc>
          <w:tcPr>
            <w:tcW w:w="1451"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7F166356"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898.19</w:t>
            </w:r>
          </w:p>
        </w:tc>
        <w:tc>
          <w:tcPr>
            <w:tcW w:w="1082" w:type="dxa"/>
            <w:tcBorders>
              <w:left w:val="nil"/>
              <w:bottom w:val="single" w:sz="4" w:space="0" w:color="auto"/>
              <w:right w:val="nil"/>
            </w:tcBorders>
            <w:shd w:val="clear" w:color="auto" w:fill="F2F2F2"/>
            <w:tcMar>
              <w:top w:w="90" w:type="dxa"/>
              <w:left w:w="195" w:type="dxa"/>
              <w:bottom w:w="90" w:type="dxa"/>
              <w:right w:w="195" w:type="dxa"/>
            </w:tcMar>
            <w:vAlign w:val="center"/>
            <w:hideMark/>
          </w:tcPr>
          <w:p w14:paraId="18EDD6C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Calibri" w:hAnsi="Times New Roman" w:cs="Times New Roman"/>
                <w:color w:val="000000"/>
                <w:spacing w:val="3"/>
                <w:sz w:val="15"/>
                <w:szCs w:val="15"/>
                <w:lang w:val="en-GB"/>
              </w:rPr>
              <w:t>97.0%</w:t>
            </w:r>
          </w:p>
        </w:tc>
      </w:tr>
      <w:tr w:rsidR="006C5163" w:rsidRPr="006C5163" w14:paraId="446309D3" w14:textId="77777777" w:rsidTr="002C4AEA">
        <w:tc>
          <w:tcPr>
            <w:tcW w:w="9020" w:type="dxa"/>
            <w:gridSpan w:val="7"/>
            <w:tcBorders>
              <w:top w:val="single" w:sz="4" w:space="0" w:color="auto"/>
              <w:left w:val="nil"/>
            </w:tcBorders>
            <w:shd w:val="clear" w:color="auto" w:fill="auto"/>
            <w:tcMar>
              <w:top w:w="0" w:type="dxa"/>
              <w:left w:w="0" w:type="dxa"/>
              <w:bottom w:w="0" w:type="dxa"/>
              <w:right w:w="0" w:type="dxa"/>
            </w:tcMar>
            <w:vAlign w:val="center"/>
            <w:hideMark/>
          </w:tcPr>
          <w:p w14:paraId="1C74B57C" w14:textId="77777777" w:rsidR="006C5163" w:rsidRPr="006C5163" w:rsidRDefault="006C5163" w:rsidP="006C5163">
            <w:pPr>
              <w:spacing w:after="0"/>
              <w:rPr>
                <w:rFonts w:ascii="Times New Roman" w:eastAsia="Times New Roman" w:hAnsi="Times New Roman" w:cs="Times New Roman"/>
                <w:color w:val="000000"/>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Note.</w:t>
            </w:r>
            <w:r w:rsidRPr="006C5163">
              <w:rPr>
                <w:rFonts w:ascii="Times New Roman" w:eastAsia="Times New Roman" w:hAnsi="Times New Roman" w:cs="Times New Roman"/>
                <w:color w:val="000000"/>
                <w:spacing w:val="3"/>
                <w:sz w:val="15"/>
                <w:szCs w:val="15"/>
                <w:lang w:val="en-GB" w:eastAsia="en-GB"/>
              </w:rPr>
              <w:t> * = &lt; .05</w:t>
            </w:r>
          </w:p>
        </w:tc>
      </w:tr>
    </w:tbl>
    <w:p w14:paraId="267CAAD6" w14:textId="77777777" w:rsidR="006C5163" w:rsidRPr="006C5163" w:rsidRDefault="006C5163" w:rsidP="006C5163">
      <w:pPr>
        <w:spacing w:after="0" w:line="360" w:lineRule="auto"/>
        <w:rPr>
          <w:rFonts w:ascii="Times New Roman" w:eastAsia="Calibri" w:hAnsi="Times New Roman" w:cs="Times New Roman"/>
          <w:b/>
          <w:bCs/>
          <w:sz w:val="20"/>
          <w:szCs w:val="20"/>
          <w:lang w:val="en-GB"/>
        </w:rPr>
      </w:pPr>
      <w:r w:rsidRPr="006C5163">
        <w:rPr>
          <w:rFonts w:ascii="Times New Roman" w:eastAsia="Calibri" w:hAnsi="Times New Roman" w:cs="Times New Roman"/>
          <w:b/>
          <w:bCs/>
          <w:sz w:val="20"/>
          <w:szCs w:val="20"/>
          <w:lang w:val="en-GB"/>
        </w:rPr>
        <w:lastRenderedPageBreak/>
        <w:t>Table 5:</w:t>
      </w:r>
    </w:p>
    <w:p w14:paraId="17B29CA6" w14:textId="77777777" w:rsidR="006C5163" w:rsidRPr="006C5163" w:rsidRDefault="006C5163" w:rsidP="006C5163">
      <w:pPr>
        <w:spacing w:after="0" w:line="360" w:lineRule="auto"/>
        <w:rPr>
          <w:rFonts w:ascii="Times New Roman" w:eastAsia="Calibri" w:hAnsi="Times New Roman" w:cs="Times New Roman"/>
          <w:sz w:val="20"/>
          <w:szCs w:val="20"/>
          <w:lang w:val="en-GB"/>
        </w:rPr>
      </w:pPr>
      <w:r w:rsidRPr="006C5163">
        <w:rPr>
          <w:rFonts w:ascii="Times New Roman" w:eastAsia="Calibri" w:hAnsi="Times New Roman" w:cs="Times New Roman"/>
          <w:sz w:val="20"/>
          <w:szCs w:val="20"/>
          <w:lang w:val="en-GB"/>
        </w:rPr>
        <w:t>Subgroup moderator analyses for general outcomes.</w:t>
      </w:r>
    </w:p>
    <w:tbl>
      <w:tblPr>
        <w:tblW w:w="9020" w:type="dxa"/>
        <w:tblLayout w:type="fixed"/>
        <w:tblCellMar>
          <w:top w:w="15" w:type="dxa"/>
          <w:left w:w="15" w:type="dxa"/>
          <w:bottom w:w="15" w:type="dxa"/>
          <w:right w:w="15" w:type="dxa"/>
        </w:tblCellMar>
        <w:tblLook w:val="04A0" w:firstRow="1" w:lastRow="0" w:firstColumn="1" w:lastColumn="0" w:noHBand="0" w:noVBand="1"/>
      </w:tblPr>
      <w:tblGrid>
        <w:gridCol w:w="1560"/>
        <w:gridCol w:w="1984"/>
        <w:gridCol w:w="851"/>
        <w:gridCol w:w="850"/>
        <w:gridCol w:w="1242"/>
        <w:gridCol w:w="1451"/>
        <w:gridCol w:w="1082"/>
      </w:tblGrid>
      <w:tr w:rsidR="006C5163" w:rsidRPr="006C5163" w14:paraId="637B2B36" w14:textId="77777777" w:rsidTr="002C4AEA">
        <w:trPr>
          <w:trHeight w:val="37"/>
          <w:tblHeader/>
        </w:trPr>
        <w:tc>
          <w:tcPr>
            <w:tcW w:w="156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3A305C07"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1984"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6C475C92" w14:textId="77777777" w:rsidR="006C5163" w:rsidRPr="006C5163" w:rsidRDefault="006C5163" w:rsidP="006C5163">
            <w:pPr>
              <w:spacing w:after="0"/>
              <w:rPr>
                <w:rFonts w:ascii="Times New Roman" w:eastAsia="Times New Roman" w:hAnsi="Times New Roman" w:cs="Times New Roman"/>
                <w:b/>
                <w:bCs/>
                <w:color w:val="000000"/>
                <w:spacing w:val="3"/>
                <w:sz w:val="15"/>
                <w:szCs w:val="15"/>
                <w:lang w:val="en-GB" w:eastAsia="en-GB"/>
              </w:rPr>
            </w:pPr>
          </w:p>
        </w:tc>
        <w:tc>
          <w:tcPr>
            <w:tcW w:w="8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08B739B0" w14:textId="77777777"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k</w:t>
            </w:r>
          </w:p>
        </w:tc>
        <w:tc>
          <w:tcPr>
            <w:tcW w:w="850"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782CD719" w14:textId="77777777" w:rsidR="006C5163" w:rsidRPr="006C5163" w:rsidRDefault="006C5163" w:rsidP="006C5163">
            <w:pPr>
              <w:spacing w:after="0"/>
              <w:jc w:val="center"/>
              <w:rPr>
                <w:rFonts w:ascii="Times New Roman" w:eastAsia="Times New Roman" w:hAnsi="Times New Roman" w:cs="Times New Roman"/>
                <w:b/>
                <w:bCs/>
                <w:i/>
                <w:iCs/>
                <w:color w:val="000000"/>
                <w:spacing w:val="3"/>
                <w:sz w:val="16"/>
                <w:szCs w:val="16"/>
                <w:lang w:val="en-GB" w:eastAsia="en-GB"/>
              </w:rPr>
            </w:pPr>
            <w:r w:rsidRPr="006C5163">
              <w:rPr>
                <w:rFonts w:ascii="Times New Roman" w:eastAsia="Times New Roman" w:hAnsi="Times New Roman" w:cs="Times New Roman"/>
                <w:b/>
                <w:bCs/>
                <w:i/>
                <w:iCs/>
                <w:color w:val="000000"/>
                <w:spacing w:val="3"/>
                <w:sz w:val="16"/>
                <w:szCs w:val="16"/>
                <w:lang w:val="en-GB" w:eastAsia="en-GB"/>
              </w:rPr>
              <w:t>d</w:t>
            </w:r>
          </w:p>
        </w:tc>
        <w:tc>
          <w:tcPr>
            <w:tcW w:w="124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6B44C2D4"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ci</w:t>
            </w:r>
          </w:p>
        </w:tc>
        <w:tc>
          <w:tcPr>
            <w:tcW w:w="1451"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47F33CD2"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Q</w:t>
            </w:r>
          </w:p>
        </w:tc>
        <w:tc>
          <w:tcPr>
            <w:tcW w:w="1082" w:type="dxa"/>
            <w:tcBorders>
              <w:top w:val="single" w:sz="6" w:space="0" w:color="3B3F54"/>
              <w:left w:val="nil"/>
              <w:bottom w:val="single" w:sz="4" w:space="0" w:color="auto"/>
              <w:right w:val="nil"/>
            </w:tcBorders>
            <w:shd w:val="clear" w:color="auto" w:fill="auto"/>
            <w:tcMar>
              <w:top w:w="90" w:type="dxa"/>
              <w:left w:w="195" w:type="dxa"/>
              <w:bottom w:w="90" w:type="dxa"/>
              <w:right w:w="195" w:type="dxa"/>
            </w:tcMar>
            <w:vAlign w:val="center"/>
            <w:hideMark/>
          </w:tcPr>
          <w:p w14:paraId="59711D3A" w14:textId="77777777" w:rsidR="006C5163" w:rsidRPr="006C5163" w:rsidRDefault="006C5163" w:rsidP="006C5163">
            <w:pPr>
              <w:spacing w:after="0"/>
              <w:jc w:val="center"/>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I2</w:t>
            </w:r>
          </w:p>
        </w:tc>
      </w:tr>
      <w:tr w:rsidR="006C5163" w:rsidRPr="006C5163" w14:paraId="2E8BD7D0" w14:textId="77777777" w:rsidTr="002C4AEA">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07359B1A" w14:textId="77777777" w:rsidR="006C5163" w:rsidRPr="006C5163" w:rsidRDefault="006C5163" w:rsidP="006C5163">
            <w:pPr>
              <w:spacing w:after="0"/>
              <w:rPr>
                <w:rFonts w:ascii="Times New Roman" w:eastAsia="Times New Roman" w:hAnsi="Times New Roman" w:cs="Times New Roman"/>
                <w:b/>
                <w:bCs/>
                <w:color w:val="000000"/>
                <w:spacing w:val="3"/>
                <w:sz w:val="14"/>
                <w:szCs w:val="14"/>
                <w:lang w:val="en-GB" w:eastAsia="en-GB"/>
              </w:rPr>
            </w:pPr>
            <w:r w:rsidRPr="006C5163">
              <w:rPr>
                <w:rFonts w:ascii="Times New Roman" w:eastAsia="Times New Roman" w:hAnsi="Times New Roman" w:cs="Times New Roman"/>
                <w:b/>
                <w:bCs/>
                <w:color w:val="000000"/>
                <w:spacing w:val="3"/>
                <w:sz w:val="14"/>
                <w:szCs w:val="14"/>
                <w:lang w:val="en-GB" w:eastAsia="en-GB"/>
              </w:rPr>
              <w:t>Random effects model for severity (Q = 10.09, p = 0.018*)</w:t>
            </w:r>
          </w:p>
        </w:tc>
      </w:tr>
      <w:tr w:rsidR="006C5163" w:rsidRPr="006C5163" w14:paraId="6D070B12"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45E31636"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r w:rsidRPr="006C5163">
              <w:rPr>
                <w:rFonts w:ascii="Times New Roman" w:eastAsia="Times New Roman" w:hAnsi="Times New Roman" w:cs="Times New Roman"/>
                <w:color w:val="000000"/>
                <w:spacing w:val="3"/>
                <w:sz w:val="18"/>
                <w:szCs w:val="18"/>
                <w:lang w:val="en-GB" w:eastAsia="en-GB"/>
              </w:rPr>
              <w:t>severity</w:t>
            </w:r>
          </w:p>
        </w:tc>
        <w:tc>
          <w:tcPr>
            <w:tcW w:w="1984" w:type="dxa"/>
            <w:tcBorders>
              <w:left w:val="nil"/>
              <w:right w:val="nil"/>
            </w:tcBorders>
            <w:shd w:val="clear" w:color="auto" w:fill="F2F2F2"/>
            <w:tcMar>
              <w:top w:w="90" w:type="dxa"/>
              <w:left w:w="195" w:type="dxa"/>
              <w:bottom w:w="90" w:type="dxa"/>
              <w:right w:w="195" w:type="dxa"/>
            </w:tcMar>
            <w:vAlign w:val="center"/>
            <w:hideMark/>
          </w:tcPr>
          <w:p w14:paraId="33D7F2A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university</w:t>
            </w:r>
          </w:p>
        </w:tc>
        <w:tc>
          <w:tcPr>
            <w:tcW w:w="851" w:type="dxa"/>
            <w:tcBorders>
              <w:left w:val="nil"/>
              <w:right w:val="nil"/>
            </w:tcBorders>
            <w:shd w:val="clear" w:color="auto" w:fill="F2F2F2"/>
            <w:tcMar>
              <w:top w:w="90" w:type="dxa"/>
              <w:left w:w="195" w:type="dxa"/>
              <w:bottom w:w="90" w:type="dxa"/>
              <w:right w:w="195" w:type="dxa"/>
            </w:tcMar>
            <w:vAlign w:val="center"/>
            <w:hideMark/>
          </w:tcPr>
          <w:p w14:paraId="7E85C79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28</w:t>
            </w:r>
          </w:p>
        </w:tc>
        <w:tc>
          <w:tcPr>
            <w:tcW w:w="850" w:type="dxa"/>
            <w:tcBorders>
              <w:left w:val="nil"/>
              <w:right w:val="nil"/>
            </w:tcBorders>
            <w:shd w:val="clear" w:color="auto" w:fill="F2F2F2"/>
            <w:tcMar>
              <w:top w:w="90" w:type="dxa"/>
              <w:left w:w="195" w:type="dxa"/>
              <w:bottom w:w="90" w:type="dxa"/>
              <w:right w:w="195" w:type="dxa"/>
            </w:tcMar>
            <w:vAlign w:val="center"/>
            <w:hideMark/>
          </w:tcPr>
          <w:p w14:paraId="6D47BA0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0.82</w:t>
            </w:r>
          </w:p>
        </w:tc>
        <w:tc>
          <w:tcPr>
            <w:tcW w:w="1242" w:type="dxa"/>
            <w:tcBorders>
              <w:left w:val="nil"/>
              <w:right w:val="nil"/>
            </w:tcBorders>
            <w:shd w:val="clear" w:color="auto" w:fill="F2F2F2"/>
            <w:tcMar>
              <w:top w:w="90" w:type="dxa"/>
              <w:left w:w="195" w:type="dxa"/>
              <w:bottom w:w="90" w:type="dxa"/>
              <w:right w:w="195" w:type="dxa"/>
            </w:tcMar>
            <w:vAlign w:val="center"/>
            <w:hideMark/>
          </w:tcPr>
          <w:p w14:paraId="73B8C99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0.95-0.7</w:t>
            </w:r>
          </w:p>
        </w:tc>
        <w:tc>
          <w:tcPr>
            <w:tcW w:w="1451" w:type="dxa"/>
            <w:tcBorders>
              <w:left w:val="nil"/>
              <w:right w:val="nil"/>
            </w:tcBorders>
            <w:shd w:val="clear" w:color="auto" w:fill="F2F2F2"/>
            <w:tcMar>
              <w:top w:w="90" w:type="dxa"/>
              <w:left w:w="195" w:type="dxa"/>
              <w:bottom w:w="90" w:type="dxa"/>
              <w:right w:w="195" w:type="dxa"/>
            </w:tcMar>
            <w:vAlign w:val="center"/>
            <w:hideMark/>
          </w:tcPr>
          <w:p w14:paraId="131B0D2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44711.91</w:t>
            </w:r>
          </w:p>
        </w:tc>
        <w:tc>
          <w:tcPr>
            <w:tcW w:w="1082" w:type="dxa"/>
            <w:tcBorders>
              <w:left w:val="nil"/>
              <w:right w:val="nil"/>
            </w:tcBorders>
            <w:shd w:val="clear" w:color="auto" w:fill="F2F2F2"/>
            <w:tcMar>
              <w:top w:w="90" w:type="dxa"/>
              <w:left w:w="195" w:type="dxa"/>
              <w:bottom w:w="90" w:type="dxa"/>
              <w:right w:w="195" w:type="dxa"/>
            </w:tcMar>
            <w:vAlign w:val="center"/>
            <w:hideMark/>
          </w:tcPr>
          <w:p w14:paraId="0FD4AD3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2654E946"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vAlign w:val="center"/>
          </w:tcPr>
          <w:p w14:paraId="4240B2CA"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4717D5F6"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mild</w:t>
            </w:r>
          </w:p>
        </w:tc>
        <w:tc>
          <w:tcPr>
            <w:tcW w:w="851" w:type="dxa"/>
            <w:tcBorders>
              <w:left w:val="nil"/>
              <w:right w:val="nil"/>
            </w:tcBorders>
            <w:shd w:val="clear" w:color="auto" w:fill="FFFFFF"/>
            <w:tcMar>
              <w:top w:w="90" w:type="dxa"/>
              <w:left w:w="195" w:type="dxa"/>
              <w:bottom w:w="90" w:type="dxa"/>
              <w:right w:w="195" w:type="dxa"/>
            </w:tcMar>
            <w:vAlign w:val="center"/>
          </w:tcPr>
          <w:p w14:paraId="78780B64"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61</w:t>
            </w:r>
          </w:p>
        </w:tc>
        <w:tc>
          <w:tcPr>
            <w:tcW w:w="850" w:type="dxa"/>
            <w:tcBorders>
              <w:left w:val="nil"/>
              <w:right w:val="nil"/>
            </w:tcBorders>
            <w:shd w:val="clear" w:color="auto" w:fill="FFFFFF"/>
            <w:tcMar>
              <w:top w:w="90" w:type="dxa"/>
              <w:left w:w="195" w:type="dxa"/>
              <w:bottom w:w="90" w:type="dxa"/>
              <w:right w:w="195" w:type="dxa"/>
            </w:tcMar>
            <w:vAlign w:val="center"/>
          </w:tcPr>
          <w:p w14:paraId="3059F10B"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1.08</w:t>
            </w:r>
          </w:p>
        </w:tc>
        <w:tc>
          <w:tcPr>
            <w:tcW w:w="1242" w:type="dxa"/>
            <w:tcBorders>
              <w:left w:val="nil"/>
              <w:right w:val="nil"/>
            </w:tcBorders>
            <w:shd w:val="clear" w:color="auto" w:fill="FFFFFF"/>
            <w:tcMar>
              <w:top w:w="90" w:type="dxa"/>
              <w:left w:w="195" w:type="dxa"/>
              <w:bottom w:w="90" w:type="dxa"/>
              <w:right w:w="195" w:type="dxa"/>
            </w:tcMar>
            <w:vAlign w:val="center"/>
          </w:tcPr>
          <w:p w14:paraId="0580F443"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1.21-0.95</w:t>
            </w:r>
          </w:p>
        </w:tc>
        <w:tc>
          <w:tcPr>
            <w:tcW w:w="1451" w:type="dxa"/>
            <w:tcBorders>
              <w:left w:val="nil"/>
              <w:right w:val="nil"/>
            </w:tcBorders>
            <w:shd w:val="clear" w:color="auto" w:fill="FFFFFF"/>
            <w:tcMar>
              <w:top w:w="90" w:type="dxa"/>
              <w:left w:w="195" w:type="dxa"/>
              <w:bottom w:w="90" w:type="dxa"/>
              <w:right w:w="195" w:type="dxa"/>
            </w:tcMar>
            <w:vAlign w:val="center"/>
          </w:tcPr>
          <w:p w14:paraId="3F2769D5"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39097618.60</w:t>
            </w:r>
          </w:p>
        </w:tc>
        <w:tc>
          <w:tcPr>
            <w:tcW w:w="1082" w:type="dxa"/>
            <w:tcBorders>
              <w:left w:val="nil"/>
              <w:right w:val="nil"/>
            </w:tcBorders>
            <w:shd w:val="clear" w:color="auto" w:fill="FFFFFF"/>
            <w:tcMar>
              <w:top w:w="90" w:type="dxa"/>
              <w:left w:w="195" w:type="dxa"/>
              <w:bottom w:w="90" w:type="dxa"/>
              <w:right w:w="195" w:type="dxa"/>
            </w:tcMar>
            <w:vAlign w:val="center"/>
          </w:tcPr>
          <w:p w14:paraId="6613F2C2"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0337BFF6"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2285F26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07B045D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moderate</w:t>
            </w:r>
          </w:p>
        </w:tc>
        <w:tc>
          <w:tcPr>
            <w:tcW w:w="851" w:type="dxa"/>
            <w:tcBorders>
              <w:left w:val="nil"/>
              <w:right w:val="nil"/>
            </w:tcBorders>
            <w:shd w:val="clear" w:color="auto" w:fill="F2F2F2"/>
            <w:tcMar>
              <w:top w:w="90" w:type="dxa"/>
              <w:left w:w="195" w:type="dxa"/>
              <w:bottom w:w="90" w:type="dxa"/>
              <w:right w:w="195" w:type="dxa"/>
            </w:tcMar>
            <w:vAlign w:val="center"/>
          </w:tcPr>
          <w:p w14:paraId="1072F67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62</w:t>
            </w:r>
          </w:p>
        </w:tc>
        <w:tc>
          <w:tcPr>
            <w:tcW w:w="850" w:type="dxa"/>
            <w:tcBorders>
              <w:left w:val="nil"/>
              <w:right w:val="nil"/>
            </w:tcBorders>
            <w:shd w:val="clear" w:color="auto" w:fill="F2F2F2"/>
            <w:tcMar>
              <w:top w:w="90" w:type="dxa"/>
              <w:left w:w="195" w:type="dxa"/>
              <w:bottom w:w="90" w:type="dxa"/>
              <w:right w:w="195" w:type="dxa"/>
            </w:tcMar>
            <w:vAlign w:val="center"/>
          </w:tcPr>
          <w:p w14:paraId="2566B62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0.98</w:t>
            </w:r>
          </w:p>
        </w:tc>
        <w:tc>
          <w:tcPr>
            <w:tcW w:w="1242" w:type="dxa"/>
            <w:tcBorders>
              <w:left w:val="nil"/>
              <w:right w:val="nil"/>
            </w:tcBorders>
            <w:shd w:val="clear" w:color="auto" w:fill="F2F2F2"/>
            <w:tcMar>
              <w:top w:w="90" w:type="dxa"/>
              <w:left w:w="195" w:type="dxa"/>
              <w:bottom w:w="90" w:type="dxa"/>
              <w:right w:w="195" w:type="dxa"/>
            </w:tcMar>
            <w:vAlign w:val="center"/>
          </w:tcPr>
          <w:p w14:paraId="7067F95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1.12-0.84</w:t>
            </w:r>
          </w:p>
        </w:tc>
        <w:tc>
          <w:tcPr>
            <w:tcW w:w="1451" w:type="dxa"/>
            <w:tcBorders>
              <w:left w:val="nil"/>
              <w:right w:val="nil"/>
            </w:tcBorders>
            <w:shd w:val="clear" w:color="auto" w:fill="F2F2F2"/>
            <w:tcMar>
              <w:top w:w="90" w:type="dxa"/>
              <w:left w:w="195" w:type="dxa"/>
              <w:bottom w:w="90" w:type="dxa"/>
              <w:right w:w="195" w:type="dxa"/>
            </w:tcMar>
            <w:vAlign w:val="center"/>
          </w:tcPr>
          <w:p w14:paraId="5FD4AD3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111313.98</w:t>
            </w:r>
          </w:p>
        </w:tc>
        <w:tc>
          <w:tcPr>
            <w:tcW w:w="1082" w:type="dxa"/>
            <w:tcBorders>
              <w:left w:val="nil"/>
              <w:right w:val="nil"/>
            </w:tcBorders>
            <w:shd w:val="clear" w:color="auto" w:fill="F2F2F2"/>
            <w:tcMar>
              <w:top w:w="90" w:type="dxa"/>
              <w:left w:w="195" w:type="dxa"/>
              <w:bottom w:w="90" w:type="dxa"/>
              <w:right w:w="195" w:type="dxa"/>
            </w:tcMar>
            <w:vAlign w:val="center"/>
          </w:tcPr>
          <w:p w14:paraId="7D06A6B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5FADF871"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0CCBFA7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08536BC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severe</w:t>
            </w:r>
          </w:p>
        </w:tc>
        <w:tc>
          <w:tcPr>
            <w:tcW w:w="851" w:type="dxa"/>
            <w:tcBorders>
              <w:left w:val="nil"/>
              <w:right w:val="nil"/>
            </w:tcBorders>
            <w:shd w:val="clear" w:color="auto" w:fill="FFFFFF"/>
            <w:tcMar>
              <w:top w:w="90" w:type="dxa"/>
              <w:left w:w="195" w:type="dxa"/>
              <w:bottom w:w="90" w:type="dxa"/>
              <w:right w:w="195" w:type="dxa"/>
            </w:tcMar>
            <w:vAlign w:val="center"/>
          </w:tcPr>
          <w:p w14:paraId="0359F6D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27</w:t>
            </w:r>
          </w:p>
        </w:tc>
        <w:tc>
          <w:tcPr>
            <w:tcW w:w="850" w:type="dxa"/>
            <w:tcBorders>
              <w:left w:val="nil"/>
              <w:right w:val="nil"/>
            </w:tcBorders>
            <w:shd w:val="clear" w:color="auto" w:fill="FFFFFF"/>
            <w:tcMar>
              <w:top w:w="90" w:type="dxa"/>
              <w:left w:w="195" w:type="dxa"/>
              <w:bottom w:w="90" w:type="dxa"/>
              <w:right w:w="195" w:type="dxa"/>
            </w:tcMar>
            <w:vAlign w:val="center"/>
          </w:tcPr>
          <w:p w14:paraId="2D5F6CF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1.09</w:t>
            </w:r>
          </w:p>
        </w:tc>
        <w:tc>
          <w:tcPr>
            <w:tcW w:w="1242" w:type="dxa"/>
            <w:tcBorders>
              <w:left w:val="nil"/>
              <w:right w:val="nil"/>
            </w:tcBorders>
            <w:shd w:val="clear" w:color="auto" w:fill="FFFFFF"/>
            <w:tcMar>
              <w:top w:w="90" w:type="dxa"/>
              <w:left w:w="195" w:type="dxa"/>
              <w:bottom w:w="90" w:type="dxa"/>
              <w:right w:w="195" w:type="dxa"/>
            </w:tcMar>
            <w:vAlign w:val="center"/>
          </w:tcPr>
          <w:p w14:paraId="40E481B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1.26-0.91</w:t>
            </w:r>
          </w:p>
        </w:tc>
        <w:tc>
          <w:tcPr>
            <w:tcW w:w="1451" w:type="dxa"/>
            <w:tcBorders>
              <w:left w:val="nil"/>
              <w:right w:val="nil"/>
            </w:tcBorders>
            <w:shd w:val="clear" w:color="auto" w:fill="FFFFFF"/>
            <w:tcMar>
              <w:top w:w="90" w:type="dxa"/>
              <w:left w:w="195" w:type="dxa"/>
              <w:bottom w:w="90" w:type="dxa"/>
              <w:right w:w="195" w:type="dxa"/>
            </w:tcMar>
            <w:vAlign w:val="center"/>
          </w:tcPr>
          <w:p w14:paraId="1950F7F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66242.24</w:t>
            </w:r>
          </w:p>
        </w:tc>
        <w:tc>
          <w:tcPr>
            <w:tcW w:w="1082" w:type="dxa"/>
            <w:tcBorders>
              <w:left w:val="nil"/>
              <w:right w:val="nil"/>
            </w:tcBorders>
            <w:shd w:val="clear" w:color="auto" w:fill="FFFFFF"/>
            <w:tcMar>
              <w:top w:w="90" w:type="dxa"/>
              <w:left w:w="195" w:type="dxa"/>
              <w:bottom w:w="90" w:type="dxa"/>
              <w:right w:w="195" w:type="dxa"/>
            </w:tcMar>
            <w:vAlign w:val="center"/>
          </w:tcPr>
          <w:p w14:paraId="5245ED5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7B379BC7" w14:textId="77777777" w:rsidTr="002C4AEA">
        <w:trPr>
          <w:trHeight w:val="57"/>
        </w:trPr>
        <w:tc>
          <w:tcPr>
            <w:tcW w:w="9020" w:type="dxa"/>
            <w:gridSpan w:val="7"/>
            <w:tcBorders>
              <w:top w:val="single" w:sz="4" w:space="0" w:color="auto"/>
              <w:left w:val="nil"/>
              <w:right w:val="nil"/>
            </w:tcBorders>
            <w:shd w:val="clear" w:color="auto" w:fill="auto"/>
            <w:tcMar>
              <w:top w:w="90" w:type="dxa"/>
              <w:left w:w="480" w:type="dxa"/>
              <w:bottom w:w="90" w:type="dxa"/>
              <w:right w:w="195" w:type="dxa"/>
            </w:tcMar>
            <w:vAlign w:val="center"/>
          </w:tcPr>
          <w:p w14:paraId="3020F3D9"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z w:val="13"/>
                <w:szCs w:val="13"/>
                <w:lang w:val="en-GB"/>
              </w:rPr>
              <w:t>Random effects model for analysis (Q = 1.8, p = 0.179)</w:t>
            </w:r>
          </w:p>
        </w:tc>
      </w:tr>
      <w:tr w:rsidR="006C5163" w:rsidRPr="006C5163" w14:paraId="32E21898"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tcPr>
          <w:p w14:paraId="1F601A3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analysis</w:t>
            </w:r>
          </w:p>
        </w:tc>
        <w:tc>
          <w:tcPr>
            <w:tcW w:w="1984" w:type="dxa"/>
            <w:tcBorders>
              <w:left w:val="nil"/>
              <w:right w:val="nil"/>
            </w:tcBorders>
            <w:shd w:val="clear" w:color="auto" w:fill="F2F2F2"/>
            <w:tcMar>
              <w:top w:w="90" w:type="dxa"/>
              <w:left w:w="195" w:type="dxa"/>
              <w:bottom w:w="90" w:type="dxa"/>
              <w:right w:w="195" w:type="dxa"/>
            </w:tcMar>
            <w:vAlign w:val="center"/>
          </w:tcPr>
          <w:p w14:paraId="44DB0381"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include</w:t>
            </w:r>
          </w:p>
        </w:tc>
        <w:tc>
          <w:tcPr>
            <w:tcW w:w="851" w:type="dxa"/>
            <w:tcBorders>
              <w:left w:val="nil"/>
              <w:right w:val="nil"/>
            </w:tcBorders>
            <w:shd w:val="clear" w:color="auto" w:fill="F2F2F2"/>
            <w:tcMar>
              <w:top w:w="90" w:type="dxa"/>
              <w:left w:w="195" w:type="dxa"/>
              <w:bottom w:w="90" w:type="dxa"/>
              <w:right w:w="195" w:type="dxa"/>
            </w:tcMar>
            <w:vAlign w:val="center"/>
          </w:tcPr>
          <w:p w14:paraId="21223CF0"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95</w:t>
            </w:r>
          </w:p>
        </w:tc>
        <w:tc>
          <w:tcPr>
            <w:tcW w:w="850" w:type="dxa"/>
            <w:tcBorders>
              <w:left w:val="nil"/>
              <w:right w:val="nil"/>
            </w:tcBorders>
            <w:shd w:val="clear" w:color="auto" w:fill="F2F2F2"/>
            <w:tcMar>
              <w:top w:w="90" w:type="dxa"/>
              <w:left w:w="195" w:type="dxa"/>
              <w:bottom w:w="90" w:type="dxa"/>
              <w:right w:w="195" w:type="dxa"/>
            </w:tcMar>
            <w:vAlign w:val="center"/>
          </w:tcPr>
          <w:p w14:paraId="39888B32"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0.98</w:t>
            </w:r>
          </w:p>
        </w:tc>
        <w:tc>
          <w:tcPr>
            <w:tcW w:w="1242" w:type="dxa"/>
            <w:tcBorders>
              <w:left w:val="nil"/>
              <w:right w:val="nil"/>
            </w:tcBorders>
            <w:shd w:val="clear" w:color="auto" w:fill="F2F2F2"/>
            <w:tcMar>
              <w:top w:w="90" w:type="dxa"/>
              <w:left w:w="195" w:type="dxa"/>
              <w:bottom w:w="90" w:type="dxa"/>
              <w:right w:w="195" w:type="dxa"/>
            </w:tcMar>
            <w:vAlign w:val="center"/>
          </w:tcPr>
          <w:p w14:paraId="4650C5FF"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1.09-0.87</w:t>
            </w:r>
          </w:p>
        </w:tc>
        <w:tc>
          <w:tcPr>
            <w:tcW w:w="1451" w:type="dxa"/>
            <w:tcBorders>
              <w:left w:val="nil"/>
              <w:right w:val="nil"/>
            </w:tcBorders>
            <w:shd w:val="clear" w:color="auto" w:fill="F2F2F2"/>
            <w:tcMar>
              <w:top w:w="90" w:type="dxa"/>
              <w:left w:w="195" w:type="dxa"/>
              <w:bottom w:w="90" w:type="dxa"/>
              <w:right w:w="195" w:type="dxa"/>
            </w:tcMar>
            <w:vAlign w:val="center"/>
          </w:tcPr>
          <w:p w14:paraId="23C8906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12421993.52</w:t>
            </w:r>
          </w:p>
        </w:tc>
        <w:tc>
          <w:tcPr>
            <w:tcW w:w="1082" w:type="dxa"/>
            <w:tcBorders>
              <w:left w:val="nil"/>
              <w:right w:val="nil"/>
            </w:tcBorders>
            <w:shd w:val="clear" w:color="auto" w:fill="F2F2F2"/>
            <w:tcMar>
              <w:top w:w="90" w:type="dxa"/>
              <w:left w:w="195" w:type="dxa"/>
              <w:bottom w:w="90" w:type="dxa"/>
              <w:right w:w="195" w:type="dxa"/>
            </w:tcMar>
            <w:vAlign w:val="center"/>
          </w:tcPr>
          <w:p w14:paraId="6058347A"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27E90EA0" w14:textId="77777777" w:rsidTr="002C4AEA">
        <w:trPr>
          <w:trHeight w:val="57"/>
        </w:trPr>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26D644C1"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0518692C"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Completers</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14877449"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89</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2B84C9F2"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1.08</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20440FF3"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1.18-0.97</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6E24983E"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10540486.30</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0CF180DB"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466D17F2" w14:textId="77777777" w:rsidTr="002C4AEA">
        <w:trPr>
          <w:trHeight w:val="57"/>
        </w:trPr>
        <w:tc>
          <w:tcPr>
            <w:tcW w:w="9020" w:type="dxa"/>
            <w:gridSpan w:val="7"/>
            <w:tcBorders>
              <w:top w:val="single" w:sz="4" w:space="0" w:color="auto"/>
              <w:left w:val="nil"/>
              <w:right w:val="nil"/>
            </w:tcBorders>
            <w:shd w:val="clear" w:color="auto" w:fill="auto"/>
            <w:tcMar>
              <w:top w:w="90" w:type="dxa"/>
              <w:left w:w="480" w:type="dxa"/>
              <w:bottom w:w="90" w:type="dxa"/>
              <w:right w:w="195" w:type="dxa"/>
            </w:tcMar>
          </w:tcPr>
          <w:p w14:paraId="32E2EB64"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z w:val="13"/>
                <w:szCs w:val="13"/>
                <w:lang w:val="en-GB"/>
              </w:rPr>
              <w:t>Random effects model for setting (Q = 0.75, p = 0.386)</w:t>
            </w:r>
          </w:p>
        </w:tc>
      </w:tr>
      <w:tr w:rsidR="006C5163" w:rsidRPr="006C5163" w14:paraId="71026750"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tcPr>
          <w:p w14:paraId="623C76B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setting</w:t>
            </w:r>
          </w:p>
        </w:tc>
        <w:tc>
          <w:tcPr>
            <w:tcW w:w="1984" w:type="dxa"/>
            <w:tcBorders>
              <w:left w:val="nil"/>
              <w:right w:val="nil"/>
            </w:tcBorders>
            <w:shd w:val="clear" w:color="auto" w:fill="F2F2F2"/>
            <w:tcMar>
              <w:top w:w="90" w:type="dxa"/>
              <w:left w:w="195" w:type="dxa"/>
              <w:bottom w:w="90" w:type="dxa"/>
              <w:right w:w="195" w:type="dxa"/>
            </w:tcMar>
            <w:vAlign w:val="center"/>
          </w:tcPr>
          <w:p w14:paraId="44A3B947"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Outpatient</w:t>
            </w:r>
          </w:p>
        </w:tc>
        <w:tc>
          <w:tcPr>
            <w:tcW w:w="851" w:type="dxa"/>
            <w:tcBorders>
              <w:left w:val="nil"/>
              <w:right w:val="nil"/>
            </w:tcBorders>
            <w:shd w:val="clear" w:color="auto" w:fill="F2F2F2"/>
            <w:tcMar>
              <w:top w:w="90" w:type="dxa"/>
              <w:left w:w="195" w:type="dxa"/>
              <w:bottom w:w="90" w:type="dxa"/>
              <w:right w:w="195" w:type="dxa"/>
            </w:tcMar>
            <w:vAlign w:val="center"/>
          </w:tcPr>
          <w:p w14:paraId="5807AE5C"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153</w:t>
            </w:r>
          </w:p>
        </w:tc>
        <w:tc>
          <w:tcPr>
            <w:tcW w:w="850" w:type="dxa"/>
            <w:tcBorders>
              <w:left w:val="nil"/>
              <w:right w:val="nil"/>
            </w:tcBorders>
            <w:shd w:val="clear" w:color="auto" w:fill="F2F2F2"/>
            <w:tcMar>
              <w:top w:w="90" w:type="dxa"/>
              <w:left w:w="195" w:type="dxa"/>
              <w:bottom w:w="90" w:type="dxa"/>
              <w:right w:w="195" w:type="dxa"/>
            </w:tcMar>
            <w:vAlign w:val="center"/>
          </w:tcPr>
          <w:p w14:paraId="39B8E9E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1.00</w:t>
            </w:r>
          </w:p>
        </w:tc>
        <w:tc>
          <w:tcPr>
            <w:tcW w:w="1242" w:type="dxa"/>
            <w:tcBorders>
              <w:left w:val="nil"/>
              <w:right w:val="nil"/>
            </w:tcBorders>
            <w:shd w:val="clear" w:color="auto" w:fill="F2F2F2"/>
            <w:tcMar>
              <w:top w:w="90" w:type="dxa"/>
              <w:left w:w="195" w:type="dxa"/>
              <w:bottom w:w="90" w:type="dxa"/>
              <w:right w:w="195" w:type="dxa"/>
            </w:tcMar>
            <w:vAlign w:val="center"/>
          </w:tcPr>
          <w:p w14:paraId="05F1D44E"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1.08-0.92</w:t>
            </w:r>
          </w:p>
        </w:tc>
        <w:tc>
          <w:tcPr>
            <w:tcW w:w="1451" w:type="dxa"/>
            <w:tcBorders>
              <w:left w:val="nil"/>
              <w:right w:val="nil"/>
            </w:tcBorders>
            <w:shd w:val="clear" w:color="auto" w:fill="F2F2F2"/>
            <w:tcMar>
              <w:top w:w="90" w:type="dxa"/>
              <w:left w:w="195" w:type="dxa"/>
              <w:bottom w:w="90" w:type="dxa"/>
              <w:right w:w="195" w:type="dxa"/>
            </w:tcMar>
            <w:vAlign w:val="center"/>
          </w:tcPr>
          <w:p w14:paraId="296A6D3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104250384.75</w:t>
            </w:r>
          </w:p>
        </w:tc>
        <w:tc>
          <w:tcPr>
            <w:tcW w:w="1082" w:type="dxa"/>
            <w:tcBorders>
              <w:left w:val="nil"/>
              <w:right w:val="nil"/>
            </w:tcBorders>
            <w:shd w:val="clear" w:color="auto" w:fill="F2F2F2"/>
            <w:tcMar>
              <w:top w:w="90" w:type="dxa"/>
              <w:left w:w="195" w:type="dxa"/>
              <w:bottom w:w="90" w:type="dxa"/>
              <w:right w:w="195" w:type="dxa"/>
            </w:tcMar>
            <w:vAlign w:val="center"/>
          </w:tcPr>
          <w:p w14:paraId="72EC5EEC"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79EAA489" w14:textId="77777777" w:rsidTr="002C4AEA">
        <w:trPr>
          <w:trHeight w:val="57"/>
        </w:trPr>
        <w:tc>
          <w:tcPr>
            <w:tcW w:w="1560" w:type="dxa"/>
            <w:vMerge/>
            <w:tcBorders>
              <w:left w:val="nil"/>
              <w:bottom w:val="single" w:sz="4" w:space="0" w:color="auto"/>
              <w:right w:val="nil"/>
            </w:tcBorders>
            <w:shd w:val="clear" w:color="auto" w:fill="auto"/>
            <w:tcMar>
              <w:top w:w="90" w:type="dxa"/>
              <w:left w:w="480" w:type="dxa"/>
              <w:bottom w:w="90" w:type="dxa"/>
              <w:right w:w="195" w:type="dxa"/>
            </w:tcMar>
          </w:tcPr>
          <w:p w14:paraId="0442515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7F37320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inpatient</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0386EB99"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28</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6A08F0C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1.08</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7409AB80"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1.25-0.91</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320549F5"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67693.60</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0FF30A9B" w14:textId="77777777" w:rsidR="006C5163" w:rsidRPr="006C5163" w:rsidRDefault="006C5163" w:rsidP="006C5163">
            <w:pPr>
              <w:spacing w:before="100" w:beforeAutospacing="1" w:after="100" w:afterAutospacing="1"/>
              <w:rPr>
                <w:rFonts w:ascii="Times New Roman" w:eastAsia="Calibri" w:hAnsi="Times New Roman" w:cs="Times New Roman"/>
                <w:color w:val="000000"/>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414E6A7B"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tcPr>
          <w:p w14:paraId="39B71FDE" w14:textId="77777777" w:rsidR="006C5163" w:rsidRPr="006C5163" w:rsidRDefault="006C5163" w:rsidP="006C5163">
            <w:pPr>
              <w:spacing w:before="100" w:beforeAutospacing="1" w:after="100" w:afterAutospacing="1"/>
              <w:rPr>
                <w:rFonts w:ascii="Times New Roman" w:eastAsia="Times New Roman" w:hAnsi="Times New Roman" w:cs="Times New Roman"/>
                <w:b/>
                <w:bCs/>
                <w:color w:val="000000"/>
                <w:spacing w:val="3"/>
                <w:sz w:val="13"/>
                <w:szCs w:val="13"/>
                <w:lang w:val="en-GB" w:eastAsia="en-GB"/>
              </w:rPr>
            </w:pPr>
            <w:r w:rsidRPr="006C5163">
              <w:rPr>
                <w:rFonts w:ascii="Times New Roman" w:eastAsia="Times New Roman" w:hAnsi="Times New Roman" w:cs="Times New Roman"/>
                <w:b/>
                <w:bCs/>
                <w:color w:val="000000"/>
                <w:spacing w:val="3"/>
                <w:sz w:val="13"/>
                <w:szCs w:val="13"/>
                <w:lang w:val="en-GB" w:eastAsia="en-GB"/>
              </w:rPr>
              <w:t>Random effects model for continent (Q = 13.53, p = 0.009*)</w:t>
            </w:r>
          </w:p>
        </w:tc>
      </w:tr>
      <w:tr w:rsidR="006C5163" w:rsidRPr="006C5163" w14:paraId="5DFE86AF"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7857BA8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continent</w:t>
            </w:r>
          </w:p>
        </w:tc>
        <w:tc>
          <w:tcPr>
            <w:tcW w:w="1984" w:type="dxa"/>
            <w:tcBorders>
              <w:left w:val="nil"/>
              <w:right w:val="nil"/>
            </w:tcBorders>
            <w:shd w:val="clear" w:color="auto" w:fill="F2F2F2"/>
            <w:tcMar>
              <w:top w:w="90" w:type="dxa"/>
              <w:left w:w="195" w:type="dxa"/>
              <w:bottom w:w="90" w:type="dxa"/>
              <w:right w:w="195" w:type="dxa"/>
            </w:tcMar>
            <w:vAlign w:val="center"/>
          </w:tcPr>
          <w:p w14:paraId="589D03E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UK</w:t>
            </w:r>
          </w:p>
        </w:tc>
        <w:tc>
          <w:tcPr>
            <w:tcW w:w="851" w:type="dxa"/>
            <w:tcBorders>
              <w:left w:val="nil"/>
              <w:right w:val="nil"/>
            </w:tcBorders>
            <w:shd w:val="clear" w:color="auto" w:fill="F2F2F2"/>
            <w:tcMar>
              <w:top w:w="90" w:type="dxa"/>
              <w:left w:w="195" w:type="dxa"/>
              <w:bottom w:w="90" w:type="dxa"/>
              <w:right w:w="195" w:type="dxa"/>
            </w:tcMar>
            <w:vAlign w:val="center"/>
          </w:tcPr>
          <w:p w14:paraId="1AAB637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68</w:t>
            </w:r>
          </w:p>
        </w:tc>
        <w:tc>
          <w:tcPr>
            <w:tcW w:w="850" w:type="dxa"/>
            <w:tcBorders>
              <w:left w:val="nil"/>
              <w:right w:val="nil"/>
            </w:tcBorders>
            <w:shd w:val="clear" w:color="auto" w:fill="F2F2F2"/>
            <w:tcMar>
              <w:top w:w="90" w:type="dxa"/>
              <w:left w:w="195" w:type="dxa"/>
              <w:bottom w:w="90" w:type="dxa"/>
              <w:right w:w="195" w:type="dxa"/>
            </w:tcMar>
            <w:vAlign w:val="center"/>
          </w:tcPr>
          <w:p w14:paraId="3C1304E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1.02</w:t>
            </w:r>
          </w:p>
        </w:tc>
        <w:tc>
          <w:tcPr>
            <w:tcW w:w="1242" w:type="dxa"/>
            <w:tcBorders>
              <w:left w:val="nil"/>
              <w:right w:val="nil"/>
            </w:tcBorders>
            <w:shd w:val="clear" w:color="auto" w:fill="F2F2F2"/>
            <w:tcMar>
              <w:top w:w="90" w:type="dxa"/>
              <w:left w:w="195" w:type="dxa"/>
              <w:bottom w:w="90" w:type="dxa"/>
              <w:right w:w="195" w:type="dxa"/>
            </w:tcMar>
            <w:vAlign w:val="center"/>
          </w:tcPr>
          <w:p w14:paraId="40AFC86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1.13-0.92</w:t>
            </w:r>
          </w:p>
        </w:tc>
        <w:tc>
          <w:tcPr>
            <w:tcW w:w="1451" w:type="dxa"/>
            <w:tcBorders>
              <w:left w:val="nil"/>
              <w:right w:val="nil"/>
            </w:tcBorders>
            <w:shd w:val="clear" w:color="auto" w:fill="F2F2F2"/>
            <w:tcMar>
              <w:top w:w="90" w:type="dxa"/>
              <w:left w:w="195" w:type="dxa"/>
              <w:bottom w:w="90" w:type="dxa"/>
              <w:right w:w="195" w:type="dxa"/>
            </w:tcMar>
            <w:vAlign w:val="center"/>
          </w:tcPr>
          <w:p w14:paraId="32A7803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92810921.73</w:t>
            </w:r>
          </w:p>
        </w:tc>
        <w:tc>
          <w:tcPr>
            <w:tcW w:w="1082" w:type="dxa"/>
            <w:tcBorders>
              <w:left w:val="nil"/>
              <w:right w:val="nil"/>
            </w:tcBorders>
            <w:shd w:val="clear" w:color="auto" w:fill="F2F2F2"/>
            <w:tcMar>
              <w:top w:w="90" w:type="dxa"/>
              <w:left w:w="195" w:type="dxa"/>
              <w:bottom w:w="90" w:type="dxa"/>
              <w:right w:w="195" w:type="dxa"/>
            </w:tcMar>
            <w:vAlign w:val="center"/>
          </w:tcPr>
          <w:p w14:paraId="5EEDA5C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71D3453A"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tcPr>
          <w:p w14:paraId="0881BFE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74AC53C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North America</w:t>
            </w:r>
          </w:p>
        </w:tc>
        <w:tc>
          <w:tcPr>
            <w:tcW w:w="851" w:type="dxa"/>
            <w:tcBorders>
              <w:left w:val="nil"/>
              <w:right w:val="nil"/>
            </w:tcBorders>
            <w:shd w:val="clear" w:color="auto" w:fill="auto"/>
            <w:tcMar>
              <w:top w:w="90" w:type="dxa"/>
              <w:left w:w="195" w:type="dxa"/>
              <w:bottom w:w="90" w:type="dxa"/>
              <w:right w:w="195" w:type="dxa"/>
            </w:tcMar>
            <w:vAlign w:val="center"/>
          </w:tcPr>
          <w:p w14:paraId="1216654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60</w:t>
            </w:r>
          </w:p>
        </w:tc>
        <w:tc>
          <w:tcPr>
            <w:tcW w:w="850" w:type="dxa"/>
            <w:tcBorders>
              <w:left w:val="nil"/>
              <w:right w:val="nil"/>
            </w:tcBorders>
            <w:shd w:val="clear" w:color="auto" w:fill="auto"/>
            <w:tcMar>
              <w:top w:w="90" w:type="dxa"/>
              <w:left w:w="195" w:type="dxa"/>
              <w:bottom w:w="90" w:type="dxa"/>
              <w:right w:w="195" w:type="dxa"/>
            </w:tcMar>
            <w:vAlign w:val="center"/>
          </w:tcPr>
          <w:p w14:paraId="00388EB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1.07</w:t>
            </w:r>
          </w:p>
        </w:tc>
        <w:tc>
          <w:tcPr>
            <w:tcW w:w="1242" w:type="dxa"/>
            <w:tcBorders>
              <w:left w:val="nil"/>
              <w:right w:val="nil"/>
            </w:tcBorders>
            <w:shd w:val="clear" w:color="auto" w:fill="auto"/>
            <w:tcMar>
              <w:top w:w="90" w:type="dxa"/>
              <w:left w:w="195" w:type="dxa"/>
              <w:bottom w:w="90" w:type="dxa"/>
              <w:right w:w="195" w:type="dxa"/>
            </w:tcMar>
            <w:vAlign w:val="center"/>
          </w:tcPr>
          <w:p w14:paraId="14C6E8B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1.25-0.9</w:t>
            </w:r>
          </w:p>
        </w:tc>
        <w:tc>
          <w:tcPr>
            <w:tcW w:w="1451" w:type="dxa"/>
            <w:tcBorders>
              <w:left w:val="nil"/>
              <w:right w:val="nil"/>
            </w:tcBorders>
            <w:shd w:val="clear" w:color="auto" w:fill="auto"/>
            <w:tcMar>
              <w:top w:w="90" w:type="dxa"/>
              <w:left w:w="195" w:type="dxa"/>
              <w:bottom w:w="90" w:type="dxa"/>
              <w:right w:w="195" w:type="dxa"/>
            </w:tcMar>
            <w:vAlign w:val="center"/>
          </w:tcPr>
          <w:p w14:paraId="2DDB0BE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4606355.34</w:t>
            </w:r>
          </w:p>
        </w:tc>
        <w:tc>
          <w:tcPr>
            <w:tcW w:w="1082" w:type="dxa"/>
            <w:tcBorders>
              <w:left w:val="nil"/>
              <w:right w:val="nil"/>
            </w:tcBorders>
            <w:shd w:val="clear" w:color="auto" w:fill="auto"/>
            <w:tcMar>
              <w:top w:w="90" w:type="dxa"/>
              <w:left w:w="195" w:type="dxa"/>
              <w:bottom w:w="90" w:type="dxa"/>
              <w:right w:w="195" w:type="dxa"/>
            </w:tcMar>
            <w:vAlign w:val="center"/>
          </w:tcPr>
          <w:p w14:paraId="4764671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7CD56C4E"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5113AF8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7B42298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Europe</w:t>
            </w:r>
          </w:p>
        </w:tc>
        <w:tc>
          <w:tcPr>
            <w:tcW w:w="851" w:type="dxa"/>
            <w:tcBorders>
              <w:left w:val="nil"/>
              <w:right w:val="nil"/>
            </w:tcBorders>
            <w:shd w:val="clear" w:color="auto" w:fill="F2F2F2"/>
            <w:tcMar>
              <w:top w:w="90" w:type="dxa"/>
              <w:left w:w="195" w:type="dxa"/>
              <w:bottom w:w="90" w:type="dxa"/>
              <w:right w:w="195" w:type="dxa"/>
            </w:tcMar>
            <w:vAlign w:val="center"/>
          </w:tcPr>
          <w:p w14:paraId="343F3B0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47</w:t>
            </w:r>
          </w:p>
        </w:tc>
        <w:tc>
          <w:tcPr>
            <w:tcW w:w="850" w:type="dxa"/>
            <w:tcBorders>
              <w:left w:val="nil"/>
              <w:right w:val="nil"/>
            </w:tcBorders>
            <w:shd w:val="clear" w:color="auto" w:fill="F2F2F2"/>
            <w:tcMar>
              <w:top w:w="90" w:type="dxa"/>
              <w:left w:w="195" w:type="dxa"/>
              <w:bottom w:w="90" w:type="dxa"/>
              <w:right w:w="195" w:type="dxa"/>
            </w:tcMar>
            <w:vAlign w:val="center"/>
          </w:tcPr>
          <w:p w14:paraId="78C8CE2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w:t>
            </w:r>
          </w:p>
        </w:tc>
        <w:tc>
          <w:tcPr>
            <w:tcW w:w="1242" w:type="dxa"/>
            <w:tcBorders>
              <w:left w:val="nil"/>
              <w:right w:val="nil"/>
            </w:tcBorders>
            <w:shd w:val="clear" w:color="auto" w:fill="F2F2F2"/>
            <w:tcMar>
              <w:top w:w="90" w:type="dxa"/>
              <w:left w:w="195" w:type="dxa"/>
              <w:bottom w:w="90" w:type="dxa"/>
              <w:right w:w="195" w:type="dxa"/>
            </w:tcMar>
            <w:vAlign w:val="center"/>
          </w:tcPr>
          <w:p w14:paraId="4A9A11C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1.12-0.88</w:t>
            </w:r>
          </w:p>
        </w:tc>
        <w:tc>
          <w:tcPr>
            <w:tcW w:w="1451" w:type="dxa"/>
            <w:tcBorders>
              <w:left w:val="nil"/>
              <w:right w:val="nil"/>
            </w:tcBorders>
            <w:shd w:val="clear" w:color="auto" w:fill="F2F2F2"/>
            <w:tcMar>
              <w:top w:w="90" w:type="dxa"/>
              <w:left w:w="195" w:type="dxa"/>
              <w:bottom w:w="90" w:type="dxa"/>
              <w:right w:w="195" w:type="dxa"/>
            </w:tcMar>
            <w:vAlign w:val="center"/>
          </w:tcPr>
          <w:p w14:paraId="13A9B8B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157855.31</w:t>
            </w:r>
          </w:p>
        </w:tc>
        <w:tc>
          <w:tcPr>
            <w:tcW w:w="1082" w:type="dxa"/>
            <w:tcBorders>
              <w:left w:val="nil"/>
              <w:right w:val="nil"/>
            </w:tcBorders>
            <w:shd w:val="clear" w:color="auto" w:fill="F2F2F2"/>
            <w:tcMar>
              <w:top w:w="90" w:type="dxa"/>
              <w:left w:w="195" w:type="dxa"/>
              <w:bottom w:w="90" w:type="dxa"/>
              <w:right w:w="195" w:type="dxa"/>
            </w:tcMar>
            <w:vAlign w:val="center"/>
          </w:tcPr>
          <w:p w14:paraId="71203D1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21D98730"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tcPr>
          <w:p w14:paraId="22A8E66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449B867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Australasia</w:t>
            </w:r>
          </w:p>
        </w:tc>
        <w:tc>
          <w:tcPr>
            <w:tcW w:w="851" w:type="dxa"/>
            <w:tcBorders>
              <w:left w:val="nil"/>
              <w:right w:val="nil"/>
            </w:tcBorders>
            <w:shd w:val="clear" w:color="auto" w:fill="auto"/>
            <w:tcMar>
              <w:top w:w="90" w:type="dxa"/>
              <w:left w:w="195" w:type="dxa"/>
              <w:bottom w:w="90" w:type="dxa"/>
              <w:right w:w="195" w:type="dxa"/>
            </w:tcMar>
            <w:vAlign w:val="center"/>
          </w:tcPr>
          <w:p w14:paraId="1D831C1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w:t>
            </w:r>
          </w:p>
        </w:tc>
        <w:tc>
          <w:tcPr>
            <w:tcW w:w="850" w:type="dxa"/>
            <w:tcBorders>
              <w:left w:val="nil"/>
              <w:right w:val="nil"/>
            </w:tcBorders>
            <w:shd w:val="clear" w:color="auto" w:fill="auto"/>
            <w:tcMar>
              <w:top w:w="90" w:type="dxa"/>
              <w:left w:w="195" w:type="dxa"/>
              <w:bottom w:w="90" w:type="dxa"/>
              <w:right w:w="195" w:type="dxa"/>
            </w:tcMar>
            <w:vAlign w:val="center"/>
          </w:tcPr>
          <w:p w14:paraId="49D8638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0.81</w:t>
            </w:r>
          </w:p>
        </w:tc>
        <w:tc>
          <w:tcPr>
            <w:tcW w:w="1242" w:type="dxa"/>
            <w:tcBorders>
              <w:left w:val="nil"/>
              <w:right w:val="nil"/>
            </w:tcBorders>
            <w:shd w:val="clear" w:color="auto" w:fill="auto"/>
            <w:tcMar>
              <w:top w:w="90" w:type="dxa"/>
              <w:left w:w="195" w:type="dxa"/>
              <w:bottom w:w="90" w:type="dxa"/>
              <w:right w:w="195" w:type="dxa"/>
            </w:tcMar>
            <w:vAlign w:val="center"/>
          </w:tcPr>
          <w:p w14:paraId="0D70454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0.9-0.72</w:t>
            </w:r>
          </w:p>
        </w:tc>
        <w:tc>
          <w:tcPr>
            <w:tcW w:w="1451" w:type="dxa"/>
            <w:tcBorders>
              <w:left w:val="nil"/>
              <w:right w:val="nil"/>
            </w:tcBorders>
            <w:shd w:val="clear" w:color="auto" w:fill="auto"/>
            <w:tcMar>
              <w:top w:w="90" w:type="dxa"/>
              <w:left w:w="195" w:type="dxa"/>
              <w:bottom w:w="90" w:type="dxa"/>
              <w:right w:w="195" w:type="dxa"/>
            </w:tcMar>
            <w:vAlign w:val="center"/>
          </w:tcPr>
          <w:p w14:paraId="271FB1C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330.52</w:t>
            </w:r>
          </w:p>
        </w:tc>
        <w:tc>
          <w:tcPr>
            <w:tcW w:w="1082" w:type="dxa"/>
            <w:tcBorders>
              <w:left w:val="nil"/>
              <w:right w:val="nil"/>
            </w:tcBorders>
            <w:shd w:val="clear" w:color="auto" w:fill="auto"/>
            <w:tcMar>
              <w:top w:w="90" w:type="dxa"/>
              <w:left w:w="195" w:type="dxa"/>
              <w:bottom w:w="90" w:type="dxa"/>
              <w:right w:w="195" w:type="dxa"/>
            </w:tcMar>
            <w:vAlign w:val="center"/>
          </w:tcPr>
          <w:p w14:paraId="05F4F7F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99.0%</w:t>
            </w:r>
          </w:p>
        </w:tc>
      </w:tr>
      <w:tr w:rsidR="006C5163" w:rsidRPr="006C5163" w14:paraId="7530A725"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312408B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4E6F2AD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Asia</w:t>
            </w:r>
          </w:p>
        </w:tc>
        <w:tc>
          <w:tcPr>
            <w:tcW w:w="851" w:type="dxa"/>
            <w:tcBorders>
              <w:left w:val="nil"/>
              <w:right w:val="nil"/>
            </w:tcBorders>
            <w:shd w:val="clear" w:color="auto" w:fill="F2F2F2"/>
            <w:tcMar>
              <w:top w:w="90" w:type="dxa"/>
              <w:left w:w="195" w:type="dxa"/>
              <w:bottom w:w="90" w:type="dxa"/>
              <w:right w:w="195" w:type="dxa"/>
            </w:tcMar>
            <w:vAlign w:val="center"/>
          </w:tcPr>
          <w:p w14:paraId="19CC976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5</w:t>
            </w:r>
          </w:p>
        </w:tc>
        <w:tc>
          <w:tcPr>
            <w:tcW w:w="850" w:type="dxa"/>
            <w:tcBorders>
              <w:left w:val="nil"/>
              <w:right w:val="nil"/>
            </w:tcBorders>
            <w:shd w:val="clear" w:color="auto" w:fill="F2F2F2"/>
            <w:tcMar>
              <w:top w:w="90" w:type="dxa"/>
              <w:left w:w="195" w:type="dxa"/>
              <w:bottom w:w="90" w:type="dxa"/>
              <w:right w:w="195" w:type="dxa"/>
            </w:tcMar>
            <w:vAlign w:val="center"/>
          </w:tcPr>
          <w:p w14:paraId="58D96E4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0.90</w:t>
            </w:r>
          </w:p>
        </w:tc>
        <w:tc>
          <w:tcPr>
            <w:tcW w:w="1242" w:type="dxa"/>
            <w:tcBorders>
              <w:left w:val="nil"/>
              <w:right w:val="nil"/>
            </w:tcBorders>
            <w:shd w:val="clear" w:color="auto" w:fill="F2F2F2"/>
            <w:tcMar>
              <w:top w:w="90" w:type="dxa"/>
              <w:left w:w="195" w:type="dxa"/>
              <w:bottom w:w="90" w:type="dxa"/>
              <w:right w:w="195" w:type="dxa"/>
            </w:tcMar>
            <w:vAlign w:val="center"/>
          </w:tcPr>
          <w:p w14:paraId="2868C9E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1.2-0.61</w:t>
            </w:r>
          </w:p>
        </w:tc>
        <w:tc>
          <w:tcPr>
            <w:tcW w:w="1451" w:type="dxa"/>
            <w:tcBorders>
              <w:left w:val="nil"/>
              <w:right w:val="nil"/>
            </w:tcBorders>
            <w:shd w:val="clear" w:color="auto" w:fill="F2F2F2"/>
            <w:tcMar>
              <w:top w:w="90" w:type="dxa"/>
              <w:left w:w="195" w:type="dxa"/>
              <w:bottom w:w="90" w:type="dxa"/>
              <w:right w:w="195" w:type="dxa"/>
            </w:tcMar>
            <w:vAlign w:val="center"/>
          </w:tcPr>
          <w:p w14:paraId="57156AA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575.15</w:t>
            </w:r>
          </w:p>
        </w:tc>
        <w:tc>
          <w:tcPr>
            <w:tcW w:w="1082" w:type="dxa"/>
            <w:tcBorders>
              <w:left w:val="nil"/>
              <w:right w:val="nil"/>
            </w:tcBorders>
            <w:shd w:val="clear" w:color="auto" w:fill="F2F2F2"/>
            <w:tcMar>
              <w:top w:w="90" w:type="dxa"/>
              <w:left w:w="195" w:type="dxa"/>
              <w:bottom w:w="90" w:type="dxa"/>
              <w:right w:w="195" w:type="dxa"/>
            </w:tcMar>
            <w:vAlign w:val="center"/>
          </w:tcPr>
          <w:p w14:paraId="6BAA093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99.0%</w:t>
            </w:r>
          </w:p>
        </w:tc>
      </w:tr>
      <w:tr w:rsidR="006C5163" w:rsidRPr="006C5163" w14:paraId="38DFAB3E"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hideMark/>
          </w:tcPr>
          <w:p w14:paraId="668935BE" w14:textId="77777777" w:rsidR="006C5163" w:rsidRPr="006C5163" w:rsidRDefault="006C5163" w:rsidP="006C5163">
            <w:pPr>
              <w:spacing w:before="100" w:beforeAutospacing="1" w:after="100" w:afterAutospacing="1"/>
              <w:rPr>
                <w:rFonts w:ascii="Times New Roman" w:eastAsia="Times New Roman" w:hAnsi="Times New Roman" w:cs="Times New Roman"/>
                <w:b/>
                <w:bCs/>
                <w:color w:val="000000"/>
                <w:spacing w:val="3"/>
                <w:sz w:val="13"/>
                <w:szCs w:val="13"/>
                <w:lang w:val="en-GB" w:eastAsia="en-GB"/>
              </w:rPr>
            </w:pPr>
            <w:r w:rsidRPr="006C5163">
              <w:rPr>
                <w:rFonts w:ascii="Times New Roman" w:eastAsia="Times New Roman" w:hAnsi="Times New Roman" w:cs="Times New Roman"/>
                <w:b/>
                <w:bCs/>
                <w:color w:val="000000"/>
                <w:spacing w:val="3"/>
                <w:sz w:val="13"/>
                <w:szCs w:val="13"/>
                <w:lang w:val="en-GB" w:eastAsia="en-GB"/>
              </w:rPr>
              <w:t>Random effects model for therapy modality (Q = 13.46, p = 0.004*)</w:t>
            </w:r>
          </w:p>
        </w:tc>
      </w:tr>
      <w:tr w:rsidR="006C5163" w:rsidRPr="006C5163" w14:paraId="7BE24DFB"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77B92E9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therapy modality</w:t>
            </w:r>
          </w:p>
        </w:tc>
        <w:tc>
          <w:tcPr>
            <w:tcW w:w="1984" w:type="dxa"/>
            <w:tcBorders>
              <w:left w:val="nil"/>
              <w:right w:val="nil"/>
            </w:tcBorders>
            <w:shd w:val="clear" w:color="auto" w:fill="F2F2F2"/>
            <w:tcMar>
              <w:top w:w="90" w:type="dxa"/>
              <w:left w:w="195" w:type="dxa"/>
              <w:bottom w:w="90" w:type="dxa"/>
              <w:right w:w="195" w:type="dxa"/>
            </w:tcMar>
            <w:vAlign w:val="center"/>
          </w:tcPr>
          <w:p w14:paraId="163DDC4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cognitive-behavioural</w:t>
            </w:r>
          </w:p>
        </w:tc>
        <w:tc>
          <w:tcPr>
            <w:tcW w:w="851" w:type="dxa"/>
            <w:tcBorders>
              <w:left w:val="nil"/>
              <w:right w:val="nil"/>
            </w:tcBorders>
            <w:shd w:val="clear" w:color="auto" w:fill="F2F2F2"/>
            <w:tcMar>
              <w:top w:w="90" w:type="dxa"/>
              <w:left w:w="195" w:type="dxa"/>
              <w:bottom w:w="90" w:type="dxa"/>
              <w:right w:w="195" w:type="dxa"/>
            </w:tcMar>
            <w:vAlign w:val="center"/>
          </w:tcPr>
          <w:p w14:paraId="5E38864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83</w:t>
            </w:r>
          </w:p>
        </w:tc>
        <w:tc>
          <w:tcPr>
            <w:tcW w:w="850" w:type="dxa"/>
            <w:tcBorders>
              <w:left w:val="nil"/>
              <w:right w:val="nil"/>
            </w:tcBorders>
            <w:shd w:val="clear" w:color="auto" w:fill="F2F2F2"/>
            <w:tcMar>
              <w:top w:w="90" w:type="dxa"/>
              <w:left w:w="195" w:type="dxa"/>
              <w:bottom w:w="90" w:type="dxa"/>
              <w:right w:w="195" w:type="dxa"/>
            </w:tcMar>
            <w:vAlign w:val="center"/>
          </w:tcPr>
          <w:p w14:paraId="39834C1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1.18</w:t>
            </w:r>
          </w:p>
        </w:tc>
        <w:tc>
          <w:tcPr>
            <w:tcW w:w="1242" w:type="dxa"/>
            <w:tcBorders>
              <w:left w:val="nil"/>
              <w:right w:val="nil"/>
            </w:tcBorders>
            <w:shd w:val="clear" w:color="auto" w:fill="F2F2F2"/>
            <w:tcMar>
              <w:top w:w="90" w:type="dxa"/>
              <w:left w:w="195" w:type="dxa"/>
              <w:bottom w:w="90" w:type="dxa"/>
              <w:right w:w="195" w:type="dxa"/>
            </w:tcMar>
            <w:vAlign w:val="center"/>
          </w:tcPr>
          <w:p w14:paraId="7D0C194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1.32-1.05</w:t>
            </w:r>
          </w:p>
        </w:tc>
        <w:tc>
          <w:tcPr>
            <w:tcW w:w="1451" w:type="dxa"/>
            <w:tcBorders>
              <w:left w:val="nil"/>
              <w:right w:val="nil"/>
            </w:tcBorders>
            <w:shd w:val="clear" w:color="auto" w:fill="F2F2F2"/>
            <w:tcMar>
              <w:top w:w="90" w:type="dxa"/>
              <w:left w:w="195" w:type="dxa"/>
              <w:bottom w:w="90" w:type="dxa"/>
              <w:right w:w="195" w:type="dxa"/>
            </w:tcMar>
            <w:vAlign w:val="center"/>
          </w:tcPr>
          <w:p w14:paraId="5433893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178432.53</w:t>
            </w:r>
          </w:p>
        </w:tc>
        <w:tc>
          <w:tcPr>
            <w:tcW w:w="1082" w:type="dxa"/>
            <w:tcBorders>
              <w:left w:val="nil"/>
              <w:right w:val="nil"/>
            </w:tcBorders>
            <w:shd w:val="clear" w:color="auto" w:fill="F2F2F2"/>
            <w:tcMar>
              <w:top w:w="90" w:type="dxa"/>
              <w:left w:w="195" w:type="dxa"/>
              <w:bottom w:w="90" w:type="dxa"/>
              <w:right w:w="195" w:type="dxa"/>
            </w:tcMar>
            <w:vAlign w:val="center"/>
          </w:tcPr>
          <w:p w14:paraId="5824191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78A6C599"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tcPr>
          <w:p w14:paraId="33D687D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48267EC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psychodynamic</w:t>
            </w:r>
          </w:p>
        </w:tc>
        <w:tc>
          <w:tcPr>
            <w:tcW w:w="851" w:type="dxa"/>
            <w:tcBorders>
              <w:left w:val="nil"/>
              <w:right w:val="nil"/>
            </w:tcBorders>
            <w:shd w:val="clear" w:color="auto" w:fill="auto"/>
            <w:tcMar>
              <w:top w:w="90" w:type="dxa"/>
              <w:left w:w="195" w:type="dxa"/>
              <w:bottom w:w="90" w:type="dxa"/>
              <w:right w:w="195" w:type="dxa"/>
            </w:tcMar>
            <w:vAlign w:val="center"/>
          </w:tcPr>
          <w:p w14:paraId="07DB58B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36</w:t>
            </w:r>
          </w:p>
        </w:tc>
        <w:tc>
          <w:tcPr>
            <w:tcW w:w="850" w:type="dxa"/>
            <w:tcBorders>
              <w:left w:val="nil"/>
              <w:right w:val="nil"/>
            </w:tcBorders>
            <w:shd w:val="clear" w:color="auto" w:fill="auto"/>
            <w:tcMar>
              <w:top w:w="90" w:type="dxa"/>
              <w:left w:w="195" w:type="dxa"/>
              <w:bottom w:w="90" w:type="dxa"/>
              <w:right w:w="195" w:type="dxa"/>
            </w:tcMar>
            <w:vAlign w:val="center"/>
          </w:tcPr>
          <w:p w14:paraId="04E6261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0.93</w:t>
            </w:r>
          </w:p>
        </w:tc>
        <w:tc>
          <w:tcPr>
            <w:tcW w:w="1242" w:type="dxa"/>
            <w:tcBorders>
              <w:left w:val="nil"/>
              <w:right w:val="nil"/>
            </w:tcBorders>
            <w:shd w:val="clear" w:color="auto" w:fill="auto"/>
            <w:tcMar>
              <w:top w:w="90" w:type="dxa"/>
              <w:left w:w="195" w:type="dxa"/>
              <w:bottom w:w="90" w:type="dxa"/>
              <w:right w:w="195" w:type="dxa"/>
            </w:tcMar>
            <w:vAlign w:val="center"/>
          </w:tcPr>
          <w:p w14:paraId="0C50052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1.07-0.79</w:t>
            </w:r>
          </w:p>
        </w:tc>
        <w:tc>
          <w:tcPr>
            <w:tcW w:w="1451" w:type="dxa"/>
            <w:tcBorders>
              <w:left w:val="nil"/>
              <w:right w:val="nil"/>
            </w:tcBorders>
            <w:shd w:val="clear" w:color="auto" w:fill="auto"/>
            <w:tcMar>
              <w:top w:w="90" w:type="dxa"/>
              <w:left w:w="195" w:type="dxa"/>
              <w:bottom w:w="90" w:type="dxa"/>
              <w:right w:w="195" w:type="dxa"/>
            </w:tcMar>
            <w:vAlign w:val="center"/>
          </w:tcPr>
          <w:p w14:paraId="74E2062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49292.89</w:t>
            </w:r>
          </w:p>
        </w:tc>
        <w:tc>
          <w:tcPr>
            <w:tcW w:w="1082" w:type="dxa"/>
            <w:tcBorders>
              <w:left w:val="nil"/>
              <w:right w:val="nil"/>
            </w:tcBorders>
            <w:shd w:val="clear" w:color="auto" w:fill="auto"/>
            <w:tcMar>
              <w:top w:w="90" w:type="dxa"/>
              <w:left w:w="195" w:type="dxa"/>
              <w:bottom w:w="90" w:type="dxa"/>
              <w:right w:w="195" w:type="dxa"/>
            </w:tcMar>
            <w:vAlign w:val="center"/>
          </w:tcPr>
          <w:p w14:paraId="1E13CCD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611630BB" w14:textId="77777777" w:rsidTr="006C5163">
        <w:trPr>
          <w:trHeight w:val="57"/>
        </w:trPr>
        <w:tc>
          <w:tcPr>
            <w:tcW w:w="1560" w:type="dxa"/>
            <w:vMerge/>
            <w:tcBorders>
              <w:left w:val="nil"/>
              <w:right w:val="nil"/>
            </w:tcBorders>
            <w:shd w:val="clear" w:color="auto" w:fill="auto"/>
            <w:vAlign w:val="center"/>
            <w:hideMark/>
          </w:tcPr>
          <w:p w14:paraId="30F768D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1E7D7CB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Counselling</w:t>
            </w:r>
          </w:p>
        </w:tc>
        <w:tc>
          <w:tcPr>
            <w:tcW w:w="851" w:type="dxa"/>
            <w:tcBorders>
              <w:left w:val="nil"/>
              <w:right w:val="nil"/>
            </w:tcBorders>
            <w:shd w:val="clear" w:color="auto" w:fill="F2F2F2"/>
            <w:tcMar>
              <w:top w:w="90" w:type="dxa"/>
              <w:left w:w="195" w:type="dxa"/>
              <w:bottom w:w="90" w:type="dxa"/>
              <w:right w:w="195" w:type="dxa"/>
            </w:tcMar>
            <w:vAlign w:val="center"/>
          </w:tcPr>
          <w:p w14:paraId="4F270B7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19</w:t>
            </w:r>
          </w:p>
        </w:tc>
        <w:tc>
          <w:tcPr>
            <w:tcW w:w="850" w:type="dxa"/>
            <w:tcBorders>
              <w:left w:val="nil"/>
              <w:right w:val="nil"/>
            </w:tcBorders>
            <w:shd w:val="clear" w:color="auto" w:fill="F2F2F2"/>
            <w:tcMar>
              <w:top w:w="90" w:type="dxa"/>
              <w:left w:w="195" w:type="dxa"/>
              <w:bottom w:w="90" w:type="dxa"/>
              <w:right w:w="195" w:type="dxa"/>
            </w:tcMar>
            <w:vAlign w:val="center"/>
          </w:tcPr>
          <w:p w14:paraId="27EFC5E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0.90</w:t>
            </w:r>
          </w:p>
        </w:tc>
        <w:tc>
          <w:tcPr>
            <w:tcW w:w="1242" w:type="dxa"/>
            <w:tcBorders>
              <w:left w:val="nil"/>
              <w:right w:val="nil"/>
            </w:tcBorders>
            <w:shd w:val="clear" w:color="auto" w:fill="F2F2F2"/>
            <w:tcMar>
              <w:top w:w="90" w:type="dxa"/>
              <w:left w:w="195" w:type="dxa"/>
              <w:bottom w:w="90" w:type="dxa"/>
              <w:right w:w="195" w:type="dxa"/>
            </w:tcMar>
            <w:vAlign w:val="center"/>
          </w:tcPr>
          <w:p w14:paraId="3487D11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1.06-0.75</w:t>
            </w:r>
          </w:p>
        </w:tc>
        <w:tc>
          <w:tcPr>
            <w:tcW w:w="1451" w:type="dxa"/>
            <w:tcBorders>
              <w:left w:val="nil"/>
              <w:right w:val="nil"/>
            </w:tcBorders>
            <w:shd w:val="clear" w:color="auto" w:fill="F2F2F2"/>
            <w:tcMar>
              <w:top w:w="90" w:type="dxa"/>
              <w:left w:w="195" w:type="dxa"/>
              <w:bottom w:w="90" w:type="dxa"/>
              <w:right w:w="195" w:type="dxa"/>
            </w:tcMar>
            <w:vAlign w:val="center"/>
          </w:tcPr>
          <w:p w14:paraId="596D0C3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318722.49</w:t>
            </w:r>
          </w:p>
        </w:tc>
        <w:tc>
          <w:tcPr>
            <w:tcW w:w="1082" w:type="dxa"/>
            <w:tcBorders>
              <w:left w:val="nil"/>
              <w:right w:val="nil"/>
            </w:tcBorders>
            <w:shd w:val="clear" w:color="auto" w:fill="F2F2F2"/>
            <w:tcMar>
              <w:top w:w="90" w:type="dxa"/>
              <w:left w:w="195" w:type="dxa"/>
              <w:bottom w:w="90" w:type="dxa"/>
              <w:right w:w="195" w:type="dxa"/>
            </w:tcMar>
            <w:vAlign w:val="center"/>
          </w:tcPr>
          <w:p w14:paraId="477B526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18534966" w14:textId="77777777" w:rsidTr="002C4AEA">
        <w:trPr>
          <w:trHeight w:val="57"/>
        </w:trPr>
        <w:tc>
          <w:tcPr>
            <w:tcW w:w="1560" w:type="dxa"/>
            <w:vMerge/>
            <w:tcBorders>
              <w:left w:val="nil"/>
              <w:bottom w:val="single" w:sz="4" w:space="0" w:color="auto"/>
              <w:right w:val="nil"/>
            </w:tcBorders>
            <w:shd w:val="clear" w:color="auto" w:fill="auto"/>
            <w:vAlign w:val="center"/>
            <w:hideMark/>
          </w:tcPr>
          <w:p w14:paraId="2B586FEB"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auto"/>
            <w:tcMar>
              <w:top w:w="90" w:type="dxa"/>
              <w:left w:w="195" w:type="dxa"/>
              <w:bottom w:w="90" w:type="dxa"/>
              <w:right w:w="195" w:type="dxa"/>
            </w:tcMar>
            <w:vAlign w:val="center"/>
          </w:tcPr>
          <w:p w14:paraId="7ACA591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Other</w:t>
            </w:r>
          </w:p>
        </w:tc>
        <w:tc>
          <w:tcPr>
            <w:tcW w:w="851" w:type="dxa"/>
            <w:tcBorders>
              <w:left w:val="nil"/>
              <w:bottom w:val="single" w:sz="4" w:space="0" w:color="auto"/>
              <w:right w:val="nil"/>
            </w:tcBorders>
            <w:shd w:val="clear" w:color="auto" w:fill="auto"/>
            <w:tcMar>
              <w:top w:w="90" w:type="dxa"/>
              <w:left w:w="195" w:type="dxa"/>
              <w:bottom w:w="90" w:type="dxa"/>
              <w:right w:w="195" w:type="dxa"/>
            </w:tcMar>
            <w:vAlign w:val="center"/>
          </w:tcPr>
          <w:p w14:paraId="3FC9D06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46</w:t>
            </w:r>
          </w:p>
        </w:tc>
        <w:tc>
          <w:tcPr>
            <w:tcW w:w="850" w:type="dxa"/>
            <w:tcBorders>
              <w:left w:val="nil"/>
              <w:bottom w:val="single" w:sz="4" w:space="0" w:color="auto"/>
              <w:right w:val="nil"/>
            </w:tcBorders>
            <w:shd w:val="clear" w:color="auto" w:fill="auto"/>
            <w:tcMar>
              <w:top w:w="90" w:type="dxa"/>
              <w:left w:w="195" w:type="dxa"/>
              <w:bottom w:w="90" w:type="dxa"/>
              <w:right w:w="195" w:type="dxa"/>
            </w:tcMar>
            <w:vAlign w:val="center"/>
          </w:tcPr>
          <w:p w14:paraId="3C4DE19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0.87</w:t>
            </w:r>
          </w:p>
        </w:tc>
        <w:tc>
          <w:tcPr>
            <w:tcW w:w="1242" w:type="dxa"/>
            <w:tcBorders>
              <w:left w:val="nil"/>
              <w:bottom w:val="single" w:sz="4" w:space="0" w:color="auto"/>
              <w:right w:val="nil"/>
            </w:tcBorders>
            <w:shd w:val="clear" w:color="auto" w:fill="auto"/>
            <w:tcMar>
              <w:top w:w="90" w:type="dxa"/>
              <w:left w:w="195" w:type="dxa"/>
              <w:bottom w:w="90" w:type="dxa"/>
              <w:right w:w="195" w:type="dxa"/>
            </w:tcMar>
            <w:vAlign w:val="center"/>
          </w:tcPr>
          <w:p w14:paraId="12D4C26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0.98-0.76</w:t>
            </w:r>
          </w:p>
        </w:tc>
        <w:tc>
          <w:tcPr>
            <w:tcW w:w="1451" w:type="dxa"/>
            <w:tcBorders>
              <w:left w:val="nil"/>
              <w:bottom w:val="single" w:sz="4" w:space="0" w:color="auto"/>
              <w:right w:val="nil"/>
            </w:tcBorders>
            <w:shd w:val="clear" w:color="auto" w:fill="auto"/>
            <w:tcMar>
              <w:top w:w="90" w:type="dxa"/>
              <w:left w:w="195" w:type="dxa"/>
              <w:bottom w:w="90" w:type="dxa"/>
              <w:right w:w="195" w:type="dxa"/>
            </w:tcMar>
            <w:vAlign w:val="center"/>
          </w:tcPr>
          <w:p w14:paraId="073229F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103700450.06</w:t>
            </w:r>
          </w:p>
        </w:tc>
        <w:tc>
          <w:tcPr>
            <w:tcW w:w="1082" w:type="dxa"/>
            <w:tcBorders>
              <w:left w:val="nil"/>
              <w:bottom w:val="single" w:sz="4" w:space="0" w:color="auto"/>
              <w:right w:val="nil"/>
            </w:tcBorders>
            <w:shd w:val="clear" w:color="auto" w:fill="auto"/>
            <w:tcMar>
              <w:top w:w="90" w:type="dxa"/>
              <w:left w:w="195" w:type="dxa"/>
              <w:bottom w:w="90" w:type="dxa"/>
              <w:right w:w="195" w:type="dxa"/>
            </w:tcMar>
            <w:vAlign w:val="center"/>
          </w:tcPr>
          <w:p w14:paraId="2A80554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2D1C009E"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tcPr>
          <w:p w14:paraId="4E339D0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Times New Roman" w:hAnsi="Times New Roman" w:cs="Times New Roman"/>
                <w:color w:val="000000"/>
                <w:spacing w:val="3"/>
                <w:sz w:val="13"/>
                <w:szCs w:val="13"/>
                <w:lang w:val="en-GB" w:eastAsia="en-GB"/>
              </w:rPr>
              <w:t>Random effects model for treatment development stage (Q = 0.08, p = 0.781)</w:t>
            </w:r>
          </w:p>
        </w:tc>
      </w:tr>
      <w:tr w:rsidR="006C5163" w:rsidRPr="006C5163" w14:paraId="42EDF914"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26507688"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treatment stage</w:t>
            </w:r>
          </w:p>
        </w:tc>
        <w:tc>
          <w:tcPr>
            <w:tcW w:w="1984" w:type="dxa"/>
            <w:tcBorders>
              <w:left w:val="nil"/>
              <w:right w:val="nil"/>
            </w:tcBorders>
            <w:shd w:val="clear" w:color="auto" w:fill="F2F2F2"/>
            <w:tcMar>
              <w:top w:w="90" w:type="dxa"/>
              <w:left w:w="195" w:type="dxa"/>
              <w:bottom w:w="90" w:type="dxa"/>
              <w:right w:w="195" w:type="dxa"/>
            </w:tcMar>
            <w:vAlign w:val="center"/>
          </w:tcPr>
          <w:p w14:paraId="77DFFDA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preliminary studies</w:t>
            </w:r>
          </w:p>
        </w:tc>
        <w:tc>
          <w:tcPr>
            <w:tcW w:w="851" w:type="dxa"/>
            <w:tcBorders>
              <w:left w:val="nil"/>
              <w:right w:val="nil"/>
            </w:tcBorders>
            <w:shd w:val="clear" w:color="auto" w:fill="F2F2F2"/>
            <w:tcMar>
              <w:top w:w="90" w:type="dxa"/>
              <w:left w:w="195" w:type="dxa"/>
              <w:bottom w:w="90" w:type="dxa"/>
              <w:right w:w="195" w:type="dxa"/>
            </w:tcMar>
            <w:vAlign w:val="center"/>
          </w:tcPr>
          <w:p w14:paraId="6713872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24</w:t>
            </w:r>
          </w:p>
        </w:tc>
        <w:tc>
          <w:tcPr>
            <w:tcW w:w="850" w:type="dxa"/>
            <w:tcBorders>
              <w:left w:val="nil"/>
              <w:right w:val="nil"/>
            </w:tcBorders>
            <w:shd w:val="clear" w:color="auto" w:fill="F2F2F2"/>
            <w:tcMar>
              <w:top w:w="90" w:type="dxa"/>
              <w:left w:w="195" w:type="dxa"/>
              <w:bottom w:w="90" w:type="dxa"/>
              <w:right w:w="195" w:type="dxa"/>
            </w:tcMar>
            <w:vAlign w:val="center"/>
          </w:tcPr>
          <w:p w14:paraId="7334AAB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1.06</w:t>
            </w:r>
          </w:p>
        </w:tc>
        <w:tc>
          <w:tcPr>
            <w:tcW w:w="1242" w:type="dxa"/>
            <w:tcBorders>
              <w:left w:val="nil"/>
              <w:right w:val="nil"/>
            </w:tcBorders>
            <w:shd w:val="clear" w:color="auto" w:fill="F2F2F2"/>
            <w:tcMar>
              <w:top w:w="90" w:type="dxa"/>
              <w:left w:w="195" w:type="dxa"/>
              <w:bottom w:w="90" w:type="dxa"/>
              <w:right w:w="195" w:type="dxa"/>
            </w:tcMar>
            <w:vAlign w:val="center"/>
          </w:tcPr>
          <w:p w14:paraId="468666F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1.29-0.82</w:t>
            </w:r>
          </w:p>
        </w:tc>
        <w:tc>
          <w:tcPr>
            <w:tcW w:w="1451" w:type="dxa"/>
            <w:tcBorders>
              <w:left w:val="nil"/>
              <w:right w:val="nil"/>
            </w:tcBorders>
            <w:shd w:val="clear" w:color="auto" w:fill="F2F2F2"/>
            <w:tcMar>
              <w:top w:w="90" w:type="dxa"/>
              <w:left w:w="195" w:type="dxa"/>
              <w:bottom w:w="90" w:type="dxa"/>
              <w:right w:w="195" w:type="dxa"/>
            </w:tcMar>
            <w:vAlign w:val="center"/>
          </w:tcPr>
          <w:p w14:paraId="2D28804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4742.50</w:t>
            </w:r>
          </w:p>
        </w:tc>
        <w:tc>
          <w:tcPr>
            <w:tcW w:w="1082" w:type="dxa"/>
            <w:tcBorders>
              <w:left w:val="nil"/>
              <w:right w:val="nil"/>
            </w:tcBorders>
            <w:shd w:val="clear" w:color="auto" w:fill="F2F2F2"/>
            <w:tcMar>
              <w:top w:w="90" w:type="dxa"/>
              <w:left w:w="195" w:type="dxa"/>
              <w:bottom w:w="90" w:type="dxa"/>
              <w:right w:w="195" w:type="dxa"/>
            </w:tcMar>
            <w:vAlign w:val="center"/>
          </w:tcPr>
          <w:p w14:paraId="05CDCAE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32C9EF21"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tcPr>
          <w:p w14:paraId="3E79431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4D0FA67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routine evaluations</w:t>
            </w:r>
          </w:p>
        </w:tc>
        <w:tc>
          <w:tcPr>
            <w:tcW w:w="851" w:type="dxa"/>
            <w:tcBorders>
              <w:left w:val="nil"/>
              <w:right w:val="nil"/>
            </w:tcBorders>
            <w:shd w:val="clear" w:color="auto" w:fill="auto"/>
            <w:tcMar>
              <w:top w:w="90" w:type="dxa"/>
              <w:left w:w="195" w:type="dxa"/>
              <w:bottom w:w="90" w:type="dxa"/>
              <w:right w:w="195" w:type="dxa"/>
            </w:tcMar>
            <w:vAlign w:val="center"/>
          </w:tcPr>
          <w:p w14:paraId="6C73012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160</w:t>
            </w:r>
          </w:p>
        </w:tc>
        <w:tc>
          <w:tcPr>
            <w:tcW w:w="850" w:type="dxa"/>
            <w:tcBorders>
              <w:left w:val="nil"/>
              <w:right w:val="nil"/>
            </w:tcBorders>
            <w:shd w:val="clear" w:color="auto" w:fill="auto"/>
            <w:tcMar>
              <w:top w:w="90" w:type="dxa"/>
              <w:left w:w="195" w:type="dxa"/>
              <w:bottom w:w="90" w:type="dxa"/>
              <w:right w:w="195" w:type="dxa"/>
            </w:tcMar>
            <w:vAlign w:val="center"/>
          </w:tcPr>
          <w:p w14:paraId="12FFCC5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1.02</w:t>
            </w:r>
          </w:p>
        </w:tc>
        <w:tc>
          <w:tcPr>
            <w:tcW w:w="1242" w:type="dxa"/>
            <w:tcBorders>
              <w:left w:val="nil"/>
              <w:right w:val="nil"/>
            </w:tcBorders>
            <w:shd w:val="clear" w:color="auto" w:fill="auto"/>
            <w:tcMar>
              <w:top w:w="90" w:type="dxa"/>
              <w:left w:w="195" w:type="dxa"/>
              <w:bottom w:w="90" w:type="dxa"/>
              <w:right w:w="195" w:type="dxa"/>
            </w:tcMar>
            <w:vAlign w:val="center"/>
          </w:tcPr>
          <w:p w14:paraId="7A4E449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1.1-0.94</w:t>
            </w:r>
          </w:p>
        </w:tc>
        <w:tc>
          <w:tcPr>
            <w:tcW w:w="1451" w:type="dxa"/>
            <w:tcBorders>
              <w:left w:val="nil"/>
              <w:right w:val="nil"/>
            </w:tcBorders>
            <w:shd w:val="clear" w:color="auto" w:fill="auto"/>
            <w:tcMar>
              <w:top w:w="90" w:type="dxa"/>
              <w:left w:w="195" w:type="dxa"/>
              <w:bottom w:w="90" w:type="dxa"/>
              <w:right w:w="195" w:type="dxa"/>
            </w:tcMar>
            <w:vAlign w:val="center"/>
          </w:tcPr>
          <w:p w14:paraId="27A98CA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104380709.35</w:t>
            </w:r>
          </w:p>
        </w:tc>
        <w:tc>
          <w:tcPr>
            <w:tcW w:w="1082" w:type="dxa"/>
            <w:tcBorders>
              <w:left w:val="nil"/>
              <w:right w:val="nil"/>
            </w:tcBorders>
            <w:shd w:val="clear" w:color="auto" w:fill="auto"/>
            <w:tcMar>
              <w:top w:w="90" w:type="dxa"/>
              <w:left w:w="195" w:type="dxa"/>
              <w:bottom w:w="90" w:type="dxa"/>
              <w:right w:w="195" w:type="dxa"/>
            </w:tcMar>
            <w:vAlign w:val="center"/>
          </w:tcPr>
          <w:p w14:paraId="2E84AC1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595258E1"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tcPr>
          <w:p w14:paraId="07E78E7F" w14:textId="77777777" w:rsidR="006C5163" w:rsidRPr="006C5163" w:rsidRDefault="006C5163" w:rsidP="006C5163">
            <w:pPr>
              <w:spacing w:before="100" w:beforeAutospacing="1" w:after="100" w:afterAutospacing="1"/>
              <w:rPr>
                <w:rFonts w:ascii="Times New Roman" w:eastAsia="Times New Roman" w:hAnsi="Times New Roman" w:cs="Times New Roman"/>
                <w:b/>
                <w:bCs/>
                <w:color w:val="000000"/>
                <w:spacing w:val="3"/>
                <w:sz w:val="13"/>
                <w:szCs w:val="13"/>
                <w:lang w:val="en-GB" w:eastAsia="en-GB"/>
              </w:rPr>
            </w:pPr>
            <w:r w:rsidRPr="006C5163">
              <w:rPr>
                <w:rFonts w:ascii="Times New Roman" w:eastAsia="Times New Roman" w:hAnsi="Times New Roman" w:cs="Times New Roman"/>
                <w:b/>
                <w:bCs/>
                <w:color w:val="000000"/>
                <w:spacing w:val="3"/>
                <w:sz w:val="13"/>
                <w:szCs w:val="13"/>
                <w:lang w:val="en-GB" w:eastAsia="en-GB"/>
              </w:rPr>
              <w:t>Random effects model for setting (Q = 0.75, p = &lt; 0.001*)</w:t>
            </w:r>
          </w:p>
        </w:tc>
      </w:tr>
      <w:tr w:rsidR="006C5163" w:rsidRPr="006C5163" w14:paraId="341579EC"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tcPr>
          <w:p w14:paraId="4728992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experience</w:t>
            </w:r>
          </w:p>
        </w:tc>
        <w:tc>
          <w:tcPr>
            <w:tcW w:w="1984" w:type="dxa"/>
            <w:tcBorders>
              <w:left w:val="nil"/>
              <w:right w:val="nil"/>
            </w:tcBorders>
            <w:shd w:val="clear" w:color="auto" w:fill="F2F2F2"/>
            <w:tcMar>
              <w:top w:w="90" w:type="dxa"/>
              <w:left w:w="195" w:type="dxa"/>
              <w:bottom w:w="90" w:type="dxa"/>
              <w:right w:w="195" w:type="dxa"/>
            </w:tcMar>
            <w:vAlign w:val="center"/>
          </w:tcPr>
          <w:p w14:paraId="7B88A98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qualified</w:t>
            </w:r>
          </w:p>
        </w:tc>
        <w:tc>
          <w:tcPr>
            <w:tcW w:w="851" w:type="dxa"/>
            <w:tcBorders>
              <w:left w:val="nil"/>
              <w:right w:val="nil"/>
            </w:tcBorders>
            <w:shd w:val="clear" w:color="auto" w:fill="F2F2F2"/>
            <w:tcMar>
              <w:top w:w="90" w:type="dxa"/>
              <w:left w:w="195" w:type="dxa"/>
              <w:bottom w:w="90" w:type="dxa"/>
              <w:right w:w="195" w:type="dxa"/>
            </w:tcMar>
            <w:vAlign w:val="center"/>
          </w:tcPr>
          <w:p w14:paraId="44DCDF5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158</w:t>
            </w:r>
          </w:p>
        </w:tc>
        <w:tc>
          <w:tcPr>
            <w:tcW w:w="850" w:type="dxa"/>
            <w:tcBorders>
              <w:left w:val="nil"/>
              <w:right w:val="nil"/>
            </w:tcBorders>
            <w:shd w:val="clear" w:color="auto" w:fill="F2F2F2"/>
            <w:tcMar>
              <w:top w:w="90" w:type="dxa"/>
              <w:left w:w="195" w:type="dxa"/>
              <w:bottom w:w="90" w:type="dxa"/>
              <w:right w:w="195" w:type="dxa"/>
            </w:tcMar>
            <w:vAlign w:val="center"/>
          </w:tcPr>
          <w:p w14:paraId="6870B5B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1.07</w:t>
            </w:r>
          </w:p>
        </w:tc>
        <w:tc>
          <w:tcPr>
            <w:tcW w:w="1242" w:type="dxa"/>
            <w:tcBorders>
              <w:left w:val="nil"/>
              <w:right w:val="nil"/>
            </w:tcBorders>
            <w:shd w:val="clear" w:color="auto" w:fill="F2F2F2"/>
            <w:tcMar>
              <w:top w:w="90" w:type="dxa"/>
              <w:left w:w="195" w:type="dxa"/>
              <w:bottom w:w="90" w:type="dxa"/>
              <w:right w:w="195" w:type="dxa"/>
            </w:tcMar>
            <w:vAlign w:val="center"/>
          </w:tcPr>
          <w:p w14:paraId="46F9092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1.16-0.99</w:t>
            </w:r>
          </w:p>
        </w:tc>
        <w:tc>
          <w:tcPr>
            <w:tcW w:w="1451" w:type="dxa"/>
            <w:tcBorders>
              <w:left w:val="nil"/>
              <w:right w:val="nil"/>
            </w:tcBorders>
            <w:shd w:val="clear" w:color="auto" w:fill="F2F2F2"/>
            <w:tcMar>
              <w:top w:w="90" w:type="dxa"/>
              <w:left w:w="195" w:type="dxa"/>
              <w:bottom w:w="90" w:type="dxa"/>
              <w:right w:w="195" w:type="dxa"/>
            </w:tcMar>
            <w:vAlign w:val="center"/>
          </w:tcPr>
          <w:p w14:paraId="5AE0C97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104283036.81</w:t>
            </w:r>
          </w:p>
        </w:tc>
        <w:tc>
          <w:tcPr>
            <w:tcW w:w="1082" w:type="dxa"/>
            <w:tcBorders>
              <w:left w:val="nil"/>
              <w:right w:val="nil"/>
            </w:tcBorders>
            <w:shd w:val="clear" w:color="auto" w:fill="F2F2F2"/>
            <w:tcMar>
              <w:top w:w="90" w:type="dxa"/>
              <w:left w:w="195" w:type="dxa"/>
              <w:bottom w:w="90" w:type="dxa"/>
              <w:right w:w="195" w:type="dxa"/>
            </w:tcMar>
            <w:vAlign w:val="center"/>
          </w:tcPr>
          <w:p w14:paraId="7C9D280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63F233BC"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vAlign w:val="center"/>
            <w:hideMark/>
          </w:tcPr>
          <w:p w14:paraId="36F3236F"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28A324D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trainees</w:t>
            </w:r>
          </w:p>
        </w:tc>
        <w:tc>
          <w:tcPr>
            <w:tcW w:w="851" w:type="dxa"/>
            <w:tcBorders>
              <w:left w:val="nil"/>
              <w:right w:val="nil"/>
            </w:tcBorders>
            <w:shd w:val="clear" w:color="auto" w:fill="auto"/>
            <w:tcMar>
              <w:top w:w="90" w:type="dxa"/>
              <w:left w:w="195" w:type="dxa"/>
              <w:bottom w:w="90" w:type="dxa"/>
              <w:right w:w="195" w:type="dxa"/>
            </w:tcMar>
            <w:vAlign w:val="center"/>
          </w:tcPr>
          <w:p w14:paraId="15C99CA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26</w:t>
            </w:r>
          </w:p>
        </w:tc>
        <w:tc>
          <w:tcPr>
            <w:tcW w:w="850" w:type="dxa"/>
            <w:tcBorders>
              <w:left w:val="nil"/>
              <w:right w:val="nil"/>
            </w:tcBorders>
            <w:shd w:val="clear" w:color="auto" w:fill="auto"/>
            <w:tcMar>
              <w:top w:w="90" w:type="dxa"/>
              <w:left w:w="195" w:type="dxa"/>
              <w:bottom w:w="90" w:type="dxa"/>
              <w:right w:w="195" w:type="dxa"/>
            </w:tcMar>
            <w:vAlign w:val="center"/>
          </w:tcPr>
          <w:p w14:paraId="728AB9B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0.77</w:t>
            </w:r>
          </w:p>
        </w:tc>
        <w:tc>
          <w:tcPr>
            <w:tcW w:w="1242" w:type="dxa"/>
            <w:tcBorders>
              <w:left w:val="nil"/>
              <w:right w:val="nil"/>
            </w:tcBorders>
            <w:shd w:val="clear" w:color="auto" w:fill="auto"/>
            <w:tcMar>
              <w:top w:w="90" w:type="dxa"/>
              <w:left w:w="195" w:type="dxa"/>
              <w:bottom w:w="90" w:type="dxa"/>
              <w:right w:w="195" w:type="dxa"/>
            </w:tcMar>
            <w:vAlign w:val="center"/>
          </w:tcPr>
          <w:p w14:paraId="4F0434B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0.89-0.65</w:t>
            </w:r>
          </w:p>
        </w:tc>
        <w:tc>
          <w:tcPr>
            <w:tcW w:w="1451" w:type="dxa"/>
            <w:tcBorders>
              <w:left w:val="nil"/>
              <w:right w:val="nil"/>
            </w:tcBorders>
            <w:shd w:val="clear" w:color="auto" w:fill="auto"/>
            <w:tcMar>
              <w:top w:w="90" w:type="dxa"/>
              <w:left w:w="195" w:type="dxa"/>
              <w:bottom w:w="90" w:type="dxa"/>
              <w:right w:w="195" w:type="dxa"/>
            </w:tcMar>
            <w:vAlign w:val="center"/>
          </w:tcPr>
          <w:p w14:paraId="6F664A9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71069.62</w:t>
            </w:r>
          </w:p>
        </w:tc>
        <w:tc>
          <w:tcPr>
            <w:tcW w:w="1082" w:type="dxa"/>
            <w:tcBorders>
              <w:left w:val="nil"/>
              <w:right w:val="nil"/>
            </w:tcBorders>
            <w:shd w:val="clear" w:color="auto" w:fill="auto"/>
            <w:tcMar>
              <w:top w:w="90" w:type="dxa"/>
              <w:left w:w="195" w:type="dxa"/>
              <w:bottom w:w="90" w:type="dxa"/>
              <w:right w:w="195" w:type="dxa"/>
            </w:tcMar>
            <w:vAlign w:val="center"/>
          </w:tcPr>
          <w:p w14:paraId="42481FA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68C4C5D2"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tcPr>
          <w:p w14:paraId="5DB7A1BD" w14:textId="77777777" w:rsidR="006C5163" w:rsidRPr="006C5163" w:rsidRDefault="006C5163" w:rsidP="006C5163">
            <w:pPr>
              <w:spacing w:before="100" w:beforeAutospacing="1" w:after="100" w:afterAutospacing="1"/>
              <w:rPr>
                <w:rFonts w:ascii="Times New Roman" w:eastAsia="Times New Roman" w:hAnsi="Times New Roman" w:cs="Times New Roman"/>
                <w:b/>
                <w:bCs/>
                <w:color w:val="000000"/>
                <w:spacing w:val="3"/>
                <w:sz w:val="13"/>
                <w:szCs w:val="13"/>
                <w:lang w:val="en-GB" w:eastAsia="en-GB"/>
              </w:rPr>
            </w:pPr>
            <w:r w:rsidRPr="006C5163">
              <w:rPr>
                <w:rFonts w:ascii="Times New Roman" w:eastAsia="Times New Roman" w:hAnsi="Times New Roman" w:cs="Times New Roman"/>
                <w:b/>
                <w:bCs/>
                <w:color w:val="000000"/>
                <w:spacing w:val="3"/>
                <w:sz w:val="13"/>
                <w:szCs w:val="13"/>
                <w:lang w:val="en-GB" w:eastAsia="en-GB"/>
              </w:rPr>
              <w:t>Random effects model for measurement tool (Q = 26.99, p = &lt; 0.001*)</w:t>
            </w:r>
          </w:p>
        </w:tc>
      </w:tr>
      <w:tr w:rsidR="006C5163" w:rsidRPr="006C5163" w14:paraId="2ADB25E1" w14:textId="77777777" w:rsidTr="002C4AEA">
        <w:trPr>
          <w:trHeight w:val="57"/>
        </w:trPr>
        <w:tc>
          <w:tcPr>
            <w:tcW w:w="1560" w:type="dxa"/>
            <w:vMerge w:val="restart"/>
            <w:tcBorders>
              <w:left w:val="nil"/>
              <w:right w:val="nil"/>
            </w:tcBorders>
            <w:shd w:val="clear" w:color="auto" w:fill="auto"/>
            <w:tcMar>
              <w:top w:w="90" w:type="dxa"/>
              <w:left w:w="480" w:type="dxa"/>
              <w:bottom w:w="90" w:type="dxa"/>
              <w:right w:w="195" w:type="dxa"/>
            </w:tcMar>
            <w:hideMark/>
          </w:tcPr>
          <w:p w14:paraId="5FE5F449"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measure-</w:t>
            </w:r>
            <w:proofErr w:type="spellStart"/>
            <w:r w:rsidRPr="006C5163">
              <w:rPr>
                <w:rFonts w:ascii="Times New Roman" w:eastAsia="Times New Roman" w:hAnsi="Times New Roman" w:cs="Times New Roman"/>
                <w:color w:val="000000"/>
                <w:spacing w:val="3"/>
                <w:sz w:val="18"/>
                <w:szCs w:val="18"/>
                <w:lang w:val="en-GB" w:eastAsia="en-GB"/>
              </w:rPr>
              <w:t>ment</w:t>
            </w:r>
            <w:proofErr w:type="spellEnd"/>
            <w:r w:rsidRPr="006C5163">
              <w:rPr>
                <w:rFonts w:ascii="Times New Roman" w:eastAsia="Times New Roman" w:hAnsi="Times New Roman" w:cs="Times New Roman"/>
                <w:color w:val="000000"/>
                <w:spacing w:val="3"/>
                <w:sz w:val="18"/>
                <w:szCs w:val="18"/>
                <w:lang w:val="en-GB" w:eastAsia="en-GB"/>
              </w:rPr>
              <w:t xml:space="preserve"> tool</w:t>
            </w:r>
          </w:p>
        </w:tc>
        <w:tc>
          <w:tcPr>
            <w:tcW w:w="1984" w:type="dxa"/>
            <w:tcBorders>
              <w:left w:val="nil"/>
              <w:right w:val="nil"/>
            </w:tcBorders>
            <w:shd w:val="clear" w:color="auto" w:fill="auto"/>
            <w:tcMar>
              <w:top w:w="90" w:type="dxa"/>
              <w:left w:w="195" w:type="dxa"/>
              <w:bottom w:w="90" w:type="dxa"/>
              <w:right w:w="195" w:type="dxa"/>
            </w:tcMar>
            <w:vAlign w:val="center"/>
          </w:tcPr>
          <w:p w14:paraId="13D97D0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BSI-GSI</w:t>
            </w:r>
          </w:p>
        </w:tc>
        <w:tc>
          <w:tcPr>
            <w:tcW w:w="851" w:type="dxa"/>
            <w:tcBorders>
              <w:left w:val="nil"/>
              <w:right w:val="nil"/>
            </w:tcBorders>
            <w:shd w:val="clear" w:color="auto" w:fill="auto"/>
            <w:tcMar>
              <w:top w:w="90" w:type="dxa"/>
              <w:left w:w="195" w:type="dxa"/>
              <w:bottom w:w="90" w:type="dxa"/>
              <w:right w:w="195" w:type="dxa"/>
            </w:tcMar>
            <w:vAlign w:val="center"/>
          </w:tcPr>
          <w:p w14:paraId="199EF7C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26</w:t>
            </w:r>
          </w:p>
        </w:tc>
        <w:tc>
          <w:tcPr>
            <w:tcW w:w="850" w:type="dxa"/>
            <w:tcBorders>
              <w:left w:val="nil"/>
              <w:right w:val="nil"/>
            </w:tcBorders>
            <w:shd w:val="clear" w:color="auto" w:fill="auto"/>
            <w:tcMar>
              <w:top w:w="90" w:type="dxa"/>
              <w:left w:w="195" w:type="dxa"/>
              <w:bottom w:w="90" w:type="dxa"/>
              <w:right w:w="195" w:type="dxa"/>
            </w:tcMar>
            <w:vAlign w:val="center"/>
          </w:tcPr>
          <w:p w14:paraId="029331A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0.87</w:t>
            </w:r>
          </w:p>
        </w:tc>
        <w:tc>
          <w:tcPr>
            <w:tcW w:w="1242" w:type="dxa"/>
            <w:tcBorders>
              <w:left w:val="nil"/>
              <w:right w:val="nil"/>
            </w:tcBorders>
            <w:shd w:val="clear" w:color="auto" w:fill="auto"/>
            <w:tcMar>
              <w:top w:w="90" w:type="dxa"/>
              <w:left w:w="195" w:type="dxa"/>
              <w:bottom w:w="90" w:type="dxa"/>
              <w:right w:w="195" w:type="dxa"/>
            </w:tcMar>
            <w:vAlign w:val="center"/>
          </w:tcPr>
          <w:p w14:paraId="63E5AB2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1-0.73</w:t>
            </w:r>
          </w:p>
        </w:tc>
        <w:tc>
          <w:tcPr>
            <w:tcW w:w="1451" w:type="dxa"/>
            <w:tcBorders>
              <w:left w:val="nil"/>
              <w:right w:val="nil"/>
            </w:tcBorders>
            <w:shd w:val="clear" w:color="auto" w:fill="auto"/>
            <w:tcMar>
              <w:top w:w="90" w:type="dxa"/>
              <w:left w:w="195" w:type="dxa"/>
              <w:bottom w:w="90" w:type="dxa"/>
              <w:right w:w="195" w:type="dxa"/>
            </w:tcMar>
            <w:vAlign w:val="center"/>
          </w:tcPr>
          <w:p w14:paraId="7CE3502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9966.85</w:t>
            </w:r>
          </w:p>
        </w:tc>
        <w:tc>
          <w:tcPr>
            <w:tcW w:w="1082" w:type="dxa"/>
            <w:tcBorders>
              <w:left w:val="nil"/>
              <w:right w:val="nil"/>
            </w:tcBorders>
            <w:shd w:val="clear" w:color="auto" w:fill="auto"/>
            <w:tcMar>
              <w:top w:w="90" w:type="dxa"/>
              <w:left w:w="195" w:type="dxa"/>
              <w:bottom w:w="90" w:type="dxa"/>
              <w:right w:w="195" w:type="dxa"/>
            </w:tcMar>
            <w:vAlign w:val="center"/>
          </w:tcPr>
          <w:p w14:paraId="378600D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21DFB295"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3448E030"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6ACD54CC"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CORE-OM</w:t>
            </w:r>
          </w:p>
        </w:tc>
        <w:tc>
          <w:tcPr>
            <w:tcW w:w="851" w:type="dxa"/>
            <w:tcBorders>
              <w:left w:val="nil"/>
              <w:right w:val="nil"/>
            </w:tcBorders>
            <w:shd w:val="clear" w:color="auto" w:fill="F2F2F2"/>
            <w:tcMar>
              <w:top w:w="90" w:type="dxa"/>
              <w:left w:w="195" w:type="dxa"/>
              <w:bottom w:w="90" w:type="dxa"/>
              <w:right w:w="195" w:type="dxa"/>
            </w:tcMar>
            <w:vAlign w:val="center"/>
          </w:tcPr>
          <w:p w14:paraId="623AFB4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35</w:t>
            </w:r>
          </w:p>
        </w:tc>
        <w:tc>
          <w:tcPr>
            <w:tcW w:w="850" w:type="dxa"/>
            <w:tcBorders>
              <w:left w:val="nil"/>
              <w:right w:val="nil"/>
            </w:tcBorders>
            <w:shd w:val="clear" w:color="auto" w:fill="F2F2F2"/>
            <w:tcMar>
              <w:top w:w="90" w:type="dxa"/>
              <w:left w:w="195" w:type="dxa"/>
              <w:bottom w:w="90" w:type="dxa"/>
              <w:right w:w="195" w:type="dxa"/>
            </w:tcMar>
            <w:vAlign w:val="center"/>
          </w:tcPr>
          <w:p w14:paraId="0BC61B93"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1.04</w:t>
            </w:r>
          </w:p>
        </w:tc>
        <w:tc>
          <w:tcPr>
            <w:tcW w:w="1242" w:type="dxa"/>
            <w:tcBorders>
              <w:left w:val="nil"/>
              <w:right w:val="nil"/>
            </w:tcBorders>
            <w:shd w:val="clear" w:color="auto" w:fill="F2F2F2"/>
            <w:tcMar>
              <w:top w:w="90" w:type="dxa"/>
              <w:left w:w="195" w:type="dxa"/>
              <w:bottom w:w="90" w:type="dxa"/>
              <w:right w:w="195" w:type="dxa"/>
            </w:tcMar>
            <w:vAlign w:val="center"/>
          </w:tcPr>
          <w:p w14:paraId="4A1C8EE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1.18-0.9</w:t>
            </w:r>
          </w:p>
        </w:tc>
        <w:tc>
          <w:tcPr>
            <w:tcW w:w="1451" w:type="dxa"/>
            <w:tcBorders>
              <w:left w:val="nil"/>
              <w:right w:val="nil"/>
            </w:tcBorders>
            <w:shd w:val="clear" w:color="auto" w:fill="F2F2F2"/>
            <w:tcMar>
              <w:top w:w="90" w:type="dxa"/>
              <w:left w:w="195" w:type="dxa"/>
              <w:bottom w:w="90" w:type="dxa"/>
              <w:right w:w="195" w:type="dxa"/>
            </w:tcMar>
            <w:vAlign w:val="center"/>
          </w:tcPr>
          <w:p w14:paraId="44A2E5B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72198841.45</w:t>
            </w:r>
          </w:p>
        </w:tc>
        <w:tc>
          <w:tcPr>
            <w:tcW w:w="1082" w:type="dxa"/>
            <w:tcBorders>
              <w:left w:val="nil"/>
              <w:right w:val="nil"/>
            </w:tcBorders>
            <w:shd w:val="clear" w:color="auto" w:fill="F2F2F2"/>
            <w:tcMar>
              <w:top w:w="90" w:type="dxa"/>
              <w:left w:w="195" w:type="dxa"/>
              <w:bottom w:w="90" w:type="dxa"/>
              <w:right w:w="195" w:type="dxa"/>
            </w:tcMar>
            <w:vAlign w:val="center"/>
          </w:tcPr>
          <w:p w14:paraId="3854A23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5DA76C20" w14:textId="77777777" w:rsidTr="002C4AEA">
        <w:trPr>
          <w:trHeight w:val="57"/>
        </w:trPr>
        <w:tc>
          <w:tcPr>
            <w:tcW w:w="1560" w:type="dxa"/>
            <w:vMerge/>
            <w:tcBorders>
              <w:left w:val="nil"/>
              <w:right w:val="nil"/>
            </w:tcBorders>
            <w:shd w:val="clear" w:color="auto" w:fill="auto"/>
            <w:tcMar>
              <w:top w:w="90" w:type="dxa"/>
              <w:left w:w="480" w:type="dxa"/>
              <w:bottom w:w="90" w:type="dxa"/>
              <w:right w:w="195" w:type="dxa"/>
            </w:tcMar>
          </w:tcPr>
          <w:p w14:paraId="1DD2C41D" w14:textId="77777777" w:rsidR="006C5163" w:rsidRPr="006C5163" w:rsidRDefault="006C5163" w:rsidP="006C5163">
            <w:pPr>
              <w:spacing w:after="0"/>
              <w:rPr>
                <w:rFonts w:ascii="Times New Roman" w:eastAsia="Times New Roman" w:hAnsi="Times New Roman" w:cs="Times New Roman"/>
                <w:color w:val="000000"/>
                <w:spacing w:val="3"/>
                <w:sz w:val="18"/>
                <w:szCs w:val="18"/>
                <w:lang w:val="en-GB" w:eastAsia="en-GB"/>
              </w:rPr>
            </w:pPr>
          </w:p>
        </w:tc>
        <w:tc>
          <w:tcPr>
            <w:tcW w:w="1984" w:type="dxa"/>
            <w:tcBorders>
              <w:left w:val="nil"/>
              <w:right w:val="nil"/>
            </w:tcBorders>
            <w:shd w:val="clear" w:color="auto" w:fill="auto"/>
            <w:tcMar>
              <w:top w:w="90" w:type="dxa"/>
              <w:left w:w="195" w:type="dxa"/>
              <w:bottom w:w="90" w:type="dxa"/>
              <w:right w:w="195" w:type="dxa"/>
            </w:tcMar>
            <w:vAlign w:val="center"/>
          </w:tcPr>
          <w:p w14:paraId="39BA590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OQ-45</w:t>
            </w:r>
          </w:p>
        </w:tc>
        <w:tc>
          <w:tcPr>
            <w:tcW w:w="851" w:type="dxa"/>
            <w:tcBorders>
              <w:left w:val="nil"/>
              <w:right w:val="nil"/>
            </w:tcBorders>
            <w:shd w:val="clear" w:color="auto" w:fill="auto"/>
            <w:tcMar>
              <w:top w:w="90" w:type="dxa"/>
              <w:left w:w="195" w:type="dxa"/>
              <w:bottom w:w="90" w:type="dxa"/>
              <w:right w:w="195" w:type="dxa"/>
            </w:tcMar>
            <w:vAlign w:val="center"/>
          </w:tcPr>
          <w:p w14:paraId="3CF6999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13</w:t>
            </w:r>
          </w:p>
        </w:tc>
        <w:tc>
          <w:tcPr>
            <w:tcW w:w="850" w:type="dxa"/>
            <w:tcBorders>
              <w:left w:val="nil"/>
              <w:right w:val="nil"/>
            </w:tcBorders>
            <w:shd w:val="clear" w:color="auto" w:fill="auto"/>
            <w:tcMar>
              <w:top w:w="90" w:type="dxa"/>
              <w:left w:w="195" w:type="dxa"/>
              <w:bottom w:w="90" w:type="dxa"/>
              <w:right w:w="195" w:type="dxa"/>
            </w:tcMar>
            <w:vAlign w:val="center"/>
          </w:tcPr>
          <w:p w14:paraId="5B6E2DB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0.57</w:t>
            </w:r>
          </w:p>
        </w:tc>
        <w:tc>
          <w:tcPr>
            <w:tcW w:w="1242" w:type="dxa"/>
            <w:tcBorders>
              <w:left w:val="nil"/>
              <w:right w:val="nil"/>
            </w:tcBorders>
            <w:shd w:val="clear" w:color="auto" w:fill="auto"/>
            <w:tcMar>
              <w:top w:w="90" w:type="dxa"/>
              <w:left w:w="195" w:type="dxa"/>
              <w:bottom w:w="90" w:type="dxa"/>
              <w:right w:w="195" w:type="dxa"/>
            </w:tcMar>
            <w:vAlign w:val="center"/>
          </w:tcPr>
          <w:p w14:paraId="2CDC7762"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0.74-0.41</w:t>
            </w:r>
          </w:p>
        </w:tc>
        <w:tc>
          <w:tcPr>
            <w:tcW w:w="1451" w:type="dxa"/>
            <w:tcBorders>
              <w:left w:val="nil"/>
              <w:right w:val="nil"/>
            </w:tcBorders>
            <w:shd w:val="clear" w:color="auto" w:fill="auto"/>
            <w:tcMar>
              <w:top w:w="90" w:type="dxa"/>
              <w:left w:w="195" w:type="dxa"/>
              <w:bottom w:w="90" w:type="dxa"/>
              <w:right w:w="195" w:type="dxa"/>
            </w:tcMar>
            <w:vAlign w:val="center"/>
          </w:tcPr>
          <w:p w14:paraId="20DCC36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1090596.15</w:t>
            </w:r>
          </w:p>
        </w:tc>
        <w:tc>
          <w:tcPr>
            <w:tcW w:w="1082" w:type="dxa"/>
            <w:tcBorders>
              <w:left w:val="nil"/>
              <w:right w:val="nil"/>
            </w:tcBorders>
            <w:shd w:val="clear" w:color="auto" w:fill="auto"/>
            <w:tcMar>
              <w:top w:w="90" w:type="dxa"/>
              <w:left w:w="195" w:type="dxa"/>
              <w:bottom w:w="90" w:type="dxa"/>
              <w:right w:w="195" w:type="dxa"/>
            </w:tcMar>
            <w:vAlign w:val="center"/>
          </w:tcPr>
          <w:p w14:paraId="5040B688"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73568500"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7AEBF6F7"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496E5EC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SCL (Global)</w:t>
            </w:r>
          </w:p>
        </w:tc>
        <w:tc>
          <w:tcPr>
            <w:tcW w:w="851" w:type="dxa"/>
            <w:tcBorders>
              <w:left w:val="nil"/>
              <w:right w:val="nil"/>
            </w:tcBorders>
            <w:shd w:val="clear" w:color="auto" w:fill="F2F2F2"/>
            <w:tcMar>
              <w:top w:w="90" w:type="dxa"/>
              <w:left w:w="195" w:type="dxa"/>
              <w:bottom w:w="90" w:type="dxa"/>
              <w:right w:w="195" w:type="dxa"/>
            </w:tcMar>
            <w:vAlign w:val="center"/>
          </w:tcPr>
          <w:p w14:paraId="2A37250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22</w:t>
            </w:r>
          </w:p>
        </w:tc>
        <w:tc>
          <w:tcPr>
            <w:tcW w:w="850" w:type="dxa"/>
            <w:tcBorders>
              <w:left w:val="nil"/>
              <w:right w:val="nil"/>
            </w:tcBorders>
            <w:shd w:val="clear" w:color="auto" w:fill="F2F2F2"/>
            <w:tcMar>
              <w:top w:w="90" w:type="dxa"/>
              <w:left w:w="195" w:type="dxa"/>
              <w:bottom w:w="90" w:type="dxa"/>
              <w:right w:w="195" w:type="dxa"/>
            </w:tcMar>
            <w:vAlign w:val="center"/>
          </w:tcPr>
          <w:p w14:paraId="209364F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1.05</w:t>
            </w:r>
          </w:p>
        </w:tc>
        <w:tc>
          <w:tcPr>
            <w:tcW w:w="1242" w:type="dxa"/>
            <w:tcBorders>
              <w:left w:val="nil"/>
              <w:right w:val="nil"/>
            </w:tcBorders>
            <w:shd w:val="clear" w:color="auto" w:fill="F2F2F2"/>
            <w:tcMar>
              <w:top w:w="90" w:type="dxa"/>
              <w:left w:w="195" w:type="dxa"/>
              <w:bottom w:w="90" w:type="dxa"/>
              <w:right w:w="195" w:type="dxa"/>
            </w:tcMar>
            <w:vAlign w:val="center"/>
          </w:tcPr>
          <w:p w14:paraId="51961EA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1.23-0.87</w:t>
            </w:r>
          </w:p>
        </w:tc>
        <w:tc>
          <w:tcPr>
            <w:tcW w:w="1451" w:type="dxa"/>
            <w:tcBorders>
              <w:left w:val="nil"/>
              <w:right w:val="nil"/>
            </w:tcBorders>
            <w:shd w:val="clear" w:color="auto" w:fill="F2F2F2"/>
            <w:tcMar>
              <w:top w:w="90" w:type="dxa"/>
              <w:left w:w="195" w:type="dxa"/>
              <w:bottom w:w="90" w:type="dxa"/>
              <w:right w:w="195" w:type="dxa"/>
            </w:tcMar>
            <w:vAlign w:val="center"/>
          </w:tcPr>
          <w:p w14:paraId="0722668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15779.11</w:t>
            </w:r>
          </w:p>
        </w:tc>
        <w:tc>
          <w:tcPr>
            <w:tcW w:w="1082" w:type="dxa"/>
            <w:tcBorders>
              <w:left w:val="nil"/>
              <w:right w:val="nil"/>
            </w:tcBorders>
            <w:shd w:val="clear" w:color="auto" w:fill="F2F2F2"/>
            <w:tcMar>
              <w:top w:w="90" w:type="dxa"/>
              <w:left w:w="195" w:type="dxa"/>
              <w:bottom w:w="90" w:type="dxa"/>
              <w:right w:w="195" w:type="dxa"/>
            </w:tcMar>
            <w:vAlign w:val="center"/>
          </w:tcPr>
          <w:p w14:paraId="4DC4009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6AA87B71" w14:textId="77777777" w:rsidTr="006C5163">
        <w:trPr>
          <w:trHeight w:val="57"/>
        </w:trPr>
        <w:tc>
          <w:tcPr>
            <w:tcW w:w="1560" w:type="dxa"/>
            <w:vMerge/>
            <w:tcBorders>
              <w:left w:val="nil"/>
              <w:right w:val="nil"/>
            </w:tcBorders>
            <w:shd w:val="clear" w:color="auto" w:fill="auto"/>
            <w:tcMar>
              <w:top w:w="90" w:type="dxa"/>
              <w:left w:w="480" w:type="dxa"/>
              <w:bottom w:w="90" w:type="dxa"/>
              <w:right w:w="195" w:type="dxa"/>
            </w:tcMar>
          </w:tcPr>
          <w:p w14:paraId="59395865"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2F2F2"/>
            <w:tcMar>
              <w:top w:w="90" w:type="dxa"/>
              <w:left w:w="195" w:type="dxa"/>
              <w:bottom w:w="90" w:type="dxa"/>
              <w:right w:w="195" w:type="dxa"/>
            </w:tcMar>
            <w:vAlign w:val="center"/>
          </w:tcPr>
          <w:p w14:paraId="0800FD3A"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PCL</w:t>
            </w:r>
          </w:p>
        </w:tc>
        <w:tc>
          <w:tcPr>
            <w:tcW w:w="851" w:type="dxa"/>
            <w:tcBorders>
              <w:left w:val="nil"/>
              <w:right w:val="nil"/>
            </w:tcBorders>
            <w:shd w:val="clear" w:color="auto" w:fill="F2F2F2"/>
            <w:tcMar>
              <w:top w:w="90" w:type="dxa"/>
              <w:left w:w="195" w:type="dxa"/>
              <w:bottom w:w="90" w:type="dxa"/>
              <w:right w:w="195" w:type="dxa"/>
            </w:tcMar>
            <w:vAlign w:val="center"/>
          </w:tcPr>
          <w:p w14:paraId="28FF4814"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12</w:t>
            </w:r>
          </w:p>
        </w:tc>
        <w:tc>
          <w:tcPr>
            <w:tcW w:w="850" w:type="dxa"/>
            <w:tcBorders>
              <w:left w:val="nil"/>
              <w:right w:val="nil"/>
            </w:tcBorders>
            <w:shd w:val="clear" w:color="auto" w:fill="F2F2F2"/>
            <w:tcMar>
              <w:top w:w="90" w:type="dxa"/>
              <w:left w:w="195" w:type="dxa"/>
              <w:bottom w:w="90" w:type="dxa"/>
              <w:right w:w="195" w:type="dxa"/>
            </w:tcMar>
            <w:vAlign w:val="center"/>
          </w:tcPr>
          <w:p w14:paraId="647CEEF8"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1.29</w:t>
            </w:r>
          </w:p>
        </w:tc>
        <w:tc>
          <w:tcPr>
            <w:tcW w:w="1242" w:type="dxa"/>
            <w:tcBorders>
              <w:left w:val="nil"/>
              <w:right w:val="nil"/>
            </w:tcBorders>
            <w:shd w:val="clear" w:color="auto" w:fill="F2F2F2"/>
            <w:tcMar>
              <w:top w:w="90" w:type="dxa"/>
              <w:left w:w="195" w:type="dxa"/>
              <w:bottom w:w="90" w:type="dxa"/>
              <w:right w:w="195" w:type="dxa"/>
            </w:tcMar>
            <w:vAlign w:val="center"/>
          </w:tcPr>
          <w:p w14:paraId="27E899C7"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1.61-0.97</w:t>
            </w:r>
          </w:p>
        </w:tc>
        <w:tc>
          <w:tcPr>
            <w:tcW w:w="1451" w:type="dxa"/>
            <w:tcBorders>
              <w:left w:val="nil"/>
              <w:right w:val="nil"/>
            </w:tcBorders>
            <w:shd w:val="clear" w:color="auto" w:fill="F2F2F2"/>
            <w:tcMar>
              <w:top w:w="90" w:type="dxa"/>
              <w:left w:w="195" w:type="dxa"/>
              <w:bottom w:w="90" w:type="dxa"/>
              <w:right w:w="195" w:type="dxa"/>
            </w:tcMar>
            <w:vAlign w:val="center"/>
          </w:tcPr>
          <w:p w14:paraId="21604089"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3642.32</w:t>
            </w:r>
          </w:p>
        </w:tc>
        <w:tc>
          <w:tcPr>
            <w:tcW w:w="1082" w:type="dxa"/>
            <w:tcBorders>
              <w:left w:val="nil"/>
              <w:right w:val="nil"/>
            </w:tcBorders>
            <w:shd w:val="clear" w:color="auto" w:fill="F2F2F2"/>
            <w:tcMar>
              <w:top w:w="90" w:type="dxa"/>
              <w:left w:w="195" w:type="dxa"/>
              <w:bottom w:w="90" w:type="dxa"/>
              <w:right w:w="195" w:type="dxa"/>
            </w:tcMar>
            <w:vAlign w:val="center"/>
          </w:tcPr>
          <w:p w14:paraId="04988810" w14:textId="77777777" w:rsidR="006C5163" w:rsidRPr="006C5163" w:rsidRDefault="006C5163" w:rsidP="006C5163">
            <w:pPr>
              <w:spacing w:before="100" w:beforeAutospacing="1" w:after="100" w:afterAutospacing="1"/>
              <w:rPr>
                <w:rFonts w:ascii="Times New Roman" w:eastAsia="Calibri" w:hAnsi="Times New Roman" w:cs="Times New Roman"/>
                <w:color w:val="000000"/>
                <w:spacing w:val="3"/>
                <w:sz w:val="13"/>
                <w:szCs w:val="13"/>
                <w:lang w:val="en-GB"/>
              </w:rPr>
            </w:pPr>
            <w:r w:rsidRPr="006C5163">
              <w:rPr>
                <w:rFonts w:ascii="Times New Roman" w:eastAsia="Calibri" w:hAnsi="Times New Roman" w:cs="Times New Roman"/>
                <w:color w:val="000000"/>
                <w:spacing w:val="3"/>
                <w:sz w:val="13"/>
                <w:szCs w:val="13"/>
                <w:lang w:val="en-GB"/>
              </w:rPr>
              <w:t>100.0%</w:t>
            </w:r>
          </w:p>
        </w:tc>
      </w:tr>
      <w:tr w:rsidR="006C5163" w:rsidRPr="006C5163" w14:paraId="4A576E81" w14:textId="77777777" w:rsidTr="002C4AEA">
        <w:trPr>
          <w:trHeight w:val="57"/>
        </w:trPr>
        <w:tc>
          <w:tcPr>
            <w:tcW w:w="9020" w:type="dxa"/>
            <w:gridSpan w:val="7"/>
            <w:tcBorders>
              <w:top w:val="single" w:sz="4" w:space="0" w:color="auto"/>
              <w:left w:val="nil"/>
              <w:right w:val="nil"/>
            </w:tcBorders>
            <w:shd w:val="clear" w:color="auto" w:fill="auto"/>
            <w:tcMar>
              <w:top w:w="90" w:type="dxa"/>
              <w:left w:w="195" w:type="dxa"/>
              <w:bottom w:w="90" w:type="dxa"/>
              <w:right w:w="195" w:type="dxa"/>
            </w:tcMar>
            <w:vAlign w:val="center"/>
          </w:tcPr>
          <w:p w14:paraId="5C948FA4"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Times New Roman" w:hAnsi="Times New Roman" w:cs="Times New Roman"/>
                <w:color w:val="000000"/>
                <w:spacing w:val="3"/>
                <w:sz w:val="13"/>
                <w:szCs w:val="13"/>
                <w:lang w:val="en-GB" w:eastAsia="en-GB"/>
              </w:rPr>
              <w:t>Random effects model for sample size (Q = 1.03, p = 0.599*)</w:t>
            </w:r>
          </w:p>
        </w:tc>
      </w:tr>
      <w:tr w:rsidR="006C5163" w:rsidRPr="006C5163" w14:paraId="4A10C1E9" w14:textId="77777777" w:rsidTr="006C5163">
        <w:trPr>
          <w:trHeight w:val="57"/>
        </w:trPr>
        <w:tc>
          <w:tcPr>
            <w:tcW w:w="1560" w:type="dxa"/>
            <w:vMerge w:val="restart"/>
            <w:tcBorders>
              <w:left w:val="nil"/>
              <w:right w:val="nil"/>
            </w:tcBorders>
            <w:shd w:val="clear" w:color="auto" w:fill="auto"/>
            <w:tcMar>
              <w:top w:w="90" w:type="dxa"/>
              <w:left w:w="480" w:type="dxa"/>
              <w:bottom w:w="90" w:type="dxa"/>
              <w:right w:w="195" w:type="dxa"/>
            </w:tcMar>
            <w:vAlign w:val="center"/>
            <w:hideMark/>
          </w:tcPr>
          <w:p w14:paraId="1737223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r w:rsidRPr="006C5163">
              <w:rPr>
                <w:rFonts w:ascii="Times New Roman" w:eastAsia="Times New Roman" w:hAnsi="Times New Roman" w:cs="Times New Roman"/>
                <w:color w:val="000000"/>
                <w:spacing w:val="3"/>
                <w:sz w:val="18"/>
                <w:szCs w:val="18"/>
                <w:lang w:val="en-GB" w:eastAsia="en-GB"/>
              </w:rPr>
              <w:t>sample size</w:t>
            </w:r>
          </w:p>
        </w:tc>
        <w:tc>
          <w:tcPr>
            <w:tcW w:w="1984" w:type="dxa"/>
            <w:tcBorders>
              <w:left w:val="nil"/>
              <w:right w:val="nil"/>
            </w:tcBorders>
            <w:shd w:val="clear" w:color="auto" w:fill="F2F2F2"/>
            <w:tcMar>
              <w:top w:w="90" w:type="dxa"/>
              <w:left w:w="195" w:type="dxa"/>
              <w:bottom w:w="90" w:type="dxa"/>
              <w:right w:w="195" w:type="dxa"/>
            </w:tcMar>
            <w:vAlign w:val="center"/>
          </w:tcPr>
          <w:p w14:paraId="3929035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large</w:t>
            </w:r>
          </w:p>
        </w:tc>
        <w:tc>
          <w:tcPr>
            <w:tcW w:w="851" w:type="dxa"/>
            <w:tcBorders>
              <w:left w:val="nil"/>
              <w:right w:val="nil"/>
            </w:tcBorders>
            <w:shd w:val="clear" w:color="auto" w:fill="F2F2F2"/>
            <w:tcMar>
              <w:top w:w="90" w:type="dxa"/>
              <w:left w:w="195" w:type="dxa"/>
              <w:bottom w:w="90" w:type="dxa"/>
              <w:right w:w="195" w:type="dxa"/>
            </w:tcMar>
            <w:vAlign w:val="center"/>
          </w:tcPr>
          <w:p w14:paraId="75719BC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110</w:t>
            </w:r>
          </w:p>
        </w:tc>
        <w:tc>
          <w:tcPr>
            <w:tcW w:w="850" w:type="dxa"/>
            <w:tcBorders>
              <w:left w:val="nil"/>
              <w:right w:val="nil"/>
            </w:tcBorders>
            <w:shd w:val="clear" w:color="auto" w:fill="F2F2F2"/>
            <w:tcMar>
              <w:top w:w="90" w:type="dxa"/>
              <w:left w:w="195" w:type="dxa"/>
              <w:bottom w:w="90" w:type="dxa"/>
              <w:right w:w="195" w:type="dxa"/>
            </w:tcMar>
            <w:vAlign w:val="center"/>
          </w:tcPr>
          <w:p w14:paraId="22733C6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1.01</w:t>
            </w:r>
          </w:p>
        </w:tc>
        <w:tc>
          <w:tcPr>
            <w:tcW w:w="1242" w:type="dxa"/>
            <w:tcBorders>
              <w:left w:val="nil"/>
              <w:right w:val="nil"/>
            </w:tcBorders>
            <w:shd w:val="clear" w:color="auto" w:fill="F2F2F2"/>
            <w:tcMar>
              <w:top w:w="90" w:type="dxa"/>
              <w:left w:w="195" w:type="dxa"/>
              <w:bottom w:w="90" w:type="dxa"/>
              <w:right w:w="195" w:type="dxa"/>
            </w:tcMar>
            <w:vAlign w:val="center"/>
          </w:tcPr>
          <w:p w14:paraId="39E1EE8D"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1.1-0.92</w:t>
            </w:r>
          </w:p>
        </w:tc>
        <w:tc>
          <w:tcPr>
            <w:tcW w:w="1451" w:type="dxa"/>
            <w:tcBorders>
              <w:left w:val="nil"/>
              <w:right w:val="nil"/>
            </w:tcBorders>
            <w:shd w:val="clear" w:color="auto" w:fill="F2F2F2"/>
            <w:tcMar>
              <w:top w:w="90" w:type="dxa"/>
              <w:left w:w="195" w:type="dxa"/>
              <w:bottom w:w="90" w:type="dxa"/>
              <w:right w:w="195" w:type="dxa"/>
            </w:tcMar>
            <w:vAlign w:val="center"/>
          </w:tcPr>
          <w:p w14:paraId="2B895F9B"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104379542.58</w:t>
            </w:r>
          </w:p>
        </w:tc>
        <w:tc>
          <w:tcPr>
            <w:tcW w:w="1082" w:type="dxa"/>
            <w:tcBorders>
              <w:left w:val="nil"/>
              <w:right w:val="nil"/>
            </w:tcBorders>
            <w:shd w:val="clear" w:color="auto" w:fill="F2F2F2"/>
            <w:tcMar>
              <w:top w:w="90" w:type="dxa"/>
              <w:left w:w="195" w:type="dxa"/>
              <w:bottom w:w="90" w:type="dxa"/>
              <w:right w:w="195" w:type="dxa"/>
            </w:tcMar>
            <w:vAlign w:val="center"/>
          </w:tcPr>
          <w:p w14:paraId="5025829E"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100.0%</w:t>
            </w:r>
          </w:p>
        </w:tc>
      </w:tr>
      <w:tr w:rsidR="006C5163" w:rsidRPr="006C5163" w14:paraId="22E55DC8" w14:textId="77777777" w:rsidTr="006C5163">
        <w:trPr>
          <w:trHeight w:val="57"/>
        </w:trPr>
        <w:tc>
          <w:tcPr>
            <w:tcW w:w="1560" w:type="dxa"/>
            <w:vMerge/>
            <w:tcBorders>
              <w:left w:val="nil"/>
              <w:right w:val="nil"/>
            </w:tcBorders>
            <w:shd w:val="clear" w:color="auto" w:fill="FFFFFF"/>
            <w:tcMar>
              <w:top w:w="90" w:type="dxa"/>
              <w:left w:w="480" w:type="dxa"/>
              <w:bottom w:w="90" w:type="dxa"/>
              <w:right w:w="195" w:type="dxa"/>
            </w:tcMar>
          </w:tcPr>
          <w:p w14:paraId="7FEBF1AA"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right w:val="nil"/>
            </w:tcBorders>
            <w:shd w:val="clear" w:color="auto" w:fill="FFFFFF"/>
            <w:tcMar>
              <w:top w:w="90" w:type="dxa"/>
              <w:left w:w="195" w:type="dxa"/>
              <w:bottom w:w="90" w:type="dxa"/>
              <w:right w:w="195" w:type="dxa"/>
            </w:tcMar>
            <w:vAlign w:val="center"/>
          </w:tcPr>
          <w:p w14:paraId="19A307C9"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medium</w:t>
            </w:r>
          </w:p>
        </w:tc>
        <w:tc>
          <w:tcPr>
            <w:tcW w:w="851" w:type="dxa"/>
            <w:tcBorders>
              <w:left w:val="nil"/>
              <w:right w:val="nil"/>
            </w:tcBorders>
            <w:shd w:val="clear" w:color="auto" w:fill="FFFFFF"/>
            <w:tcMar>
              <w:top w:w="90" w:type="dxa"/>
              <w:left w:w="195" w:type="dxa"/>
              <w:bottom w:w="90" w:type="dxa"/>
              <w:right w:w="195" w:type="dxa"/>
            </w:tcMar>
            <w:vAlign w:val="center"/>
          </w:tcPr>
          <w:p w14:paraId="1E6E7BC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38</w:t>
            </w:r>
          </w:p>
        </w:tc>
        <w:tc>
          <w:tcPr>
            <w:tcW w:w="850" w:type="dxa"/>
            <w:tcBorders>
              <w:left w:val="nil"/>
              <w:right w:val="nil"/>
            </w:tcBorders>
            <w:shd w:val="clear" w:color="auto" w:fill="FFFFFF"/>
            <w:tcMar>
              <w:top w:w="90" w:type="dxa"/>
              <w:left w:w="195" w:type="dxa"/>
              <w:bottom w:w="90" w:type="dxa"/>
              <w:right w:w="195" w:type="dxa"/>
            </w:tcMar>
            <w:vAlign w:val="center"/>
          </w:tcPr>
          <w:p w14:paraId="0F8EEE90"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1.11</w:t>
            </w:r>
          </w:p>
        </w:tc>
        <w:tc>
          <w:tcPr>
            <w:tcW w:w="1242" w:type="dxa"/>
            <w:tcBorders>
              <w:left w:val="nil"/>
              <w:right w:val="nil"/>
            </w:tcBorders>
            <w:shd w:val="clear" w:color="auto" w:fill="FFFFFF"/>
            <w:tcMar>
              <w:top w:w="90" w:type="dxa"/>
              <w:left w:w="195" w:type="dxa"/>
              <w:bottom w:w="90" w:type="dxa"/>
              <w:right w:w="195" w:type="dxa"/>
            </w:tcMar>
            <w:vAlign w:val="center"/>
          </w:tcPr>
          <w:p w14:paraId="7962D46A"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1.3-0.92</w:t>
            </w:r>
          </w:p>
        </w:tc>
        <w:tc>
          <w:tcPr>
            <w:tcW w:w="1451" w:type="dxa"/>
            <w:tcBorders>
              <w:left w:val="nil"/>
              <w:right w:val="nil"/>
            </w:tcBorders>
            <w:shd w:val="clear" w:color="auto" w:fill="FFFFFF"/>
            <w:tcMar>
              <w:top w:w="90" w:type="dxa"/>
              <w:left w:w="195" w:type="dxa"/>
              <w:bottom w:w="90" w:type="dxa"/>
              <w:right w:w="195" w:type="dxa"/>
            </w:tcMar>
            <w:vAlign w:val="center"/>
          </w:tcPr>
          <w:p w14:paraId="5F7BD8F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4366.03</w:t>
            </w:r>
          </w:p>
        </w:tc>
        <w:tc>
          <w:tcPr>
            <w:tcW w:w="1082" w:type="dxa"/>
            <w:tcBorders>
              <w:left w:val="nil"/>
              <w:right w:val="nil"/>
            </w:tcBorders>
            <w:shd w:val="clear" w:color="auto" w:fill="FFFFFF"/>
            <w:tcMar>
              <w:top w:w="90" w:type="dxa"/>
              <w:left w:w="195" w:type="dxa"/>
              <w:bottom w:w="90" w:type="dxa"/>
              <w:right w:w="195" w:type="dxa"/>
            </w:tcMar>
            <w:vAlign w:val="center"/>
          </w:tcPr>
          <w:p w14:paraId="2D409D7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99.0%</w:t>
            </w:r>
          </w:p>
        </w:tc>
      </w:tr>
      <w:tr w:rsidR="006C5163" w:rsidRPr="006C5163" w14:paraId="396FE4BB" w14:textId="77777777" w:rsidTr="006C5163">
        <w:trPr>
          <w:trHeight w:val="57"/>
        </w:trPr>
        <w:tc>
          <w:tcPr>
            <w:tcW w:w="1560" w:type="dxa"/>
            <w:vMerge/>
            <w:tcBorders>
              <w:left w:val="nil"/>
              <w:bottom w:val="single" w:sz="4" w:space="0" w:color="auto"/>
              <w:right w:val="nil"/>
            </w:tcBorders>
            <w:shd w:val="clear" w:color="auto" w:fill="auto"/>
            <w:vAlign w:val="center"/>
            <w:hideMark/>
          </w:tcPr>
          <w:p w14:paraId="544B980C" w14:textId="77777777" w:rsidR="006C5163" w:rsidRPr="006C5163" w:rsidRDefault="006C5163" w:rsidP="006C5163">
            <w:pPr>
              <w:spacing w:after="0"/>
              <w:rPr>
                <w:rFonts w:ascii="Times New Roman" w:eastAsia="Times New Roman" w:hAnsi="Times New Roman" w:cs="Times New Roman"/>
                <w:color w:val="000000"/>
                <w:spacing w:val="3"/>
                <w:sz w:val="15"/>
                <w:szCs w:val="15"/>
                <w:lang w:val="en-GB" w:eastAsia="en-GB"/>
              </w:rPr>
            </w:pPr>
          </w:p>
        </w:tc>
        <w:tc>
          <w:tcPr>
            <w:tcW w:w="1984" w:type="dxa"/>
            <w:tcBorders>
              <w:left w:val="nil"/>
              <w:bottom w:val="single" w:sz="4" w:space="0" w:color="auto"/>
              <w:right w:val="nil"/>
            </w:tcBorders>
            <w:shd w:val="clear" w:color="auto" w:fill="F2F2F2"/>
            <w:tcMar>
              <w:top w:w="90" w:type="dxa"/>
              <w:left w:w="195" w:type="dxa"/>
              <w:bottom w:w="90" w:type="dxa"/>
              <w:right w:w="195" w:type="dxa"/>
            </w:tcMar>
            <w:vAlign w:val="center"/>
          </w:tcPr>
          <w:p w14:paraId="7314EEC1"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small</w:t>
            </w:r>
          </w:p>
        </w:tc>
        <w:tc>
          <w:tcPr>
            <w:tcW w:w="851" w:type="dxa"/>
            <w:tcBorders>
              <w:left w:val="nil"/>
              <w:bottom w:val="single" w:sz="4" w:space="0" w:color="auto"/>
              <w:right w:val="nil"/>
            </w:tcBorders>
            <w:shd w:val="clear" w:color="auto" w:fill="F2F2F2"/>
            <w:tcMar>
              <w:top w:w="90" w:type="dxa"/>
              <w:left w:w="195" w:type="dxa"/>
              <w:bottom w:w="90" w:type="dxa"/>
              <w:right w:w="195" w:type="dxa"/>
            </w:tcMar>
            <w:vAlign w:val="center"/>
          </w:tcPr>
          <w:p w14:paraId="05185F9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36</w:t>
            </w:r>
          </w:p>
        </w:tc>
        <w:tc>
          <w:tcPr>
            <w:tcW w:w="850" w:type="dxa"/>
            <w:tcBorders>
              <w:left w:val="nil"/>
              <w:bottom w:val="single" w:sz="4" w:space="0" w:color="auto"/>
              <w:right w:val="nil"/>
            </w:tcBorders>
            <w:shd w:val="clear" w:color="auto" w:fill="F2F2F2"/>
            <w:tcMar>
              <w:top w:w="90" w:type="dxa"/>
              <w:left w:w="195" w:type="dxa"/>
              <w:bottom w:w="90" w:type="dxa"/>
              <w:right w:w="195" w:type="dxa"/>
            </w:tcMar>
            <w:vAlign w:val="center"/>
          </w:tcPr>
          <w:p w14:paraId="131913D5"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0.99</w:t>
            </w:r>
          </w:p>
        </w:tc>
        <w:tc>
          <w:tcPr>
            <w:tcW w:w="1242" w:type="dxa"/>
            <w:tcBorders>
              <w:left w:val="nil"/>
              <w:bottom w:val="single" w:sz="4" w:space="0" w:color="auto"/>
              <w:right w:val="nil"/>
            </w:tcBorders>
            <w:shd w:val="clear" w:color="auto" w:fill="F2F2F2"/>
            <w:tcMar>
              <w:top w:w="90" w:type="dxa"/>
              <w:left w:w="195" w:type="dxa"/>
              <w:bottom w:w="90" w:type="dxa"/>
              <w:right w:w="195" w:type="dxa"/>
            </w:tcMar>
            <w:vAlign w:val="center"/>
          </w:tcPr>
          <w:p w14:paraId="441A8747"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1.18-0.81</w:t>
            </w:r>
          </w:p>
        </w:tc>
        <w:tc>
          <w:tcPr>
            <w:tcW w:w="1451" w:type="dxa"/>
            <w:tcBorders>
              <w:left w:val="nil"/>
              <w:bottom w:val="single" w:sz="4" w:space="0" w:color="auto"/>
              <w:right w:val="nil"/>
            </w:tcBorders>
            <w:shd w:val="clear" w:color="auto" w:fill="F2F2F2"/>
            <w:tcMar>
              <w:top w:w="90" w:type="dxa"/>
              <w:left w:w="195" w:type="dxa"/>
              <w:bottom w:w="90" w:type="dxa"/>
              <w:right w:w="195" w:type="dxa"/>
            </w:tcMar>
            <w:vAlign w:val="center"/>
          </w:tcPr>
          <w:p w14:paraId="48C491C6"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1001.45</w:t>
            </w:r>
          </w:p>
        </w:tc>
        <w:tc>
          <w:tcPr>
            <w:tcW w:w="1082" w:type="dxa"/>
            <w:tcBorders>
              <w:left w:val="nil"/>
              <w:bottom w:val="single" w:sz="4" w:space="0" w:color="auto"/>
              <w:right w:val="nil"/>
            </w:tcBorders>
            <w:shd w:val="clear" w:color="auto" w:fill="F2F2F2"/>
            <w:tcMar>
              <w:top w:w="90" w:type="dxa"/>
              <w:left w:w="195" w:type="dxa"/>
              <w:bottom w:w="90" w:type="dxa"/>
              <w:right w:w="195" w:type="dxa"/>
            </w:tcMar>
            <w:vAlign w:val="center"/>
          </w:tcPr>
          <w:p w14:paraId="381930BF" w14:textId="77777777" w:rsidR="006C5163" w:rsidRPr="006C5163" w:rsidRDefault="006C5163" w:rsidP="006C5163">
            <w:pPr>
              <w:spacing w:before="100" w:beforeAutospacing="1" w:after="100" w:afterAutospacing="1"/>
              <w:rPr>
                <w:rFonts w:ascii="Times New Roman" w:eastAsia="Times New Roman" w:hAnsi="Times New Roman" w:cs="Times New Roman"/>
                <w:color w:val="000000"/>
                <w:spacing w:val="3"/>
                <w:sz w:val="13"/>
                <w:szCs w:val="13"/>
                <w:lang w:val="en-GB" w:eastAsia="en-GB"/>
              </w:rPr>
            </w:pPr>
            <w:r w:rsidRPr="006C5163">
              <w:rPr>
                <w:rFonts w:ascii="Times New Roman" w:eastAsia="Calibri" w:hAnsi="Times New Roman" w:cs="Times New Roman"/>
                <w:color w:val="000000"/>
                <w:spacing w:val="3"/>
                <w:sz w:val="13"/>
                <w:szCs w:val="13"/>
                <w:lang w:val="en-GB"/>
              </w:rPr>
              <w:t>97.0%</w:t>
            </w:r>
          </w:p>
        </w:tc>
      </w:tr>
      <w:tr w:rsidR="006C5163" w:rsidRPr="006C5163" w14:paraId="59A7ABF9" w14:textId="77777777" w:rsidTr="002C4AEA">
        <w:tc>
          <w:tcPr>
            <w:tcW w:w="9020" w:type="dxa"/>
            <w:gridSpan w:val="7"/>
            <w:tcBorders>
              <w:top w:val="single" w:sz="4" w:space="0" w:color="auto"/>
              <w:left w:val="nil"/>
            </w:tcBorders>
            <w:shd w:val="clear" w:color="auto" w:fill="auto"/>
            <w:tcMar>
              <w:top w:w="0" w:type="dxa"/>
              <w:left w:w="0" w:type="dxa"/>
              <w:bottom w:w="0" w:type="dxa"/>
              <w:right w:w="0" w:type="dxa"/>
            </w:tcMar>
            <w:vAlign w:val="center"/>
            <w:hideMark/>
          </w:tcPr>
          <w:p w14:paraId="14A6AF81" w14:textId="77777777" w:rsidR="006C5163" w:rsidRPr="006C5163" w:rsidRDefault="006C5163" w:rsidP="006C5163">
            <w:pPr>
              <w:spacing w:after="0"/>
              <w:rPr>
                <w:rFonts w:ascii="Times New Roman" w:eastAsia="Times New Roman" w:hAnsi="Times New Roman" w:cs="Times New Roman"/>
                <w:color w:val="000000"/>
                <w:sz w:val="15"/>
                <w:szCs w:val="15"/>
                <w:lang w:val="en-GB" w:eastAsia="en-GB"/>
              </w:rPr>
            </w:pPr>
            <w:r w:rsidRPr="006C5163">
              <w:rPr>
                <w:rFonts w:ascii="Times New Roman" w:eastAsia="Times New Roman" w:hAnsi="Times New Roman" w:cs="Times New Roman"/>
                <w:i/>
                <w:iCs/>
                <w:color w:val="000000"/>
                <w:spacing w:val="3"/>
                <w:sz w:val="15"/>
                <w:szCs w:val="15"/>
                <w:lang w:val="en-GB" w:eastAsia="en-GB"/>
              </w:rPr>
              <w:t>Note.</w:t>
            </w:r>
            <w:r w:rsidRPr="006C5163">
              <w:rPr>
                <w:rFonts w:ascii="Times New Roman" w:eastAsia="Times New Roman" w:hAnsi="Times New Roman" w:cs="Times New Roman"/>
                <w:color w:val="000000"/>
                <w:spacing w:val="3"/>
                <w:sz w:val="15"/>
                <w:szCs w:val="15"/>
                <w:lang w:val="en-GB" w:eastAsia="en-GB"/>
              </w:rPr>
              <w:t> * = &lt; .05</w:t>
            </w:r>
          </w:p>
        </w:tc>
      </w:tr>
    </w:tbl>
    <w:p w14:paraId="107D4D92" w14:textId="77777777" w:rsidR="006C5163" w:rsidRPr="006C5163" w:rsidRDefault="006C5163" w:rsidP="006C5163">
      <w:pPr>
        <w:spacing w:after="0"/>
        <w:rPr>
          <w:rFonts w:ascii="Times New Roman" w:eastAsia="Calibri" w:hAnsi="Times New Roman" w:cs="Times New Roman"/>
          <w:color w:val="000000"/>
          <w:sz w:val="16"/>
          <w:szCs w:val="16"/>
          <w:lang w:val="en-GB"/>
        </w:rPr>
        <w:sectPr w:rsidR="006C5163" w:rsidRPr="006C5163" w:rsidSect="00593179">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tbl>
      <w:tblPr>
        <w:tblW w:w="13960" w:type="dxa"/>
        <w:tblCellMar>
          <w:top w:w="15" w:type="dxa"/>
          <w:left w:w="15" w:type="dxa"/>
          <w:bottom w:w="15" w:type="dxa"/>
          <w:right w:w="15" w:type="dxa"/>
        </w:tblCellMar>
        <w:tblLook w:val="04A0" w:firstRow="1" w:lastRow="0" w:firstColumn="1" w:lastColumn="0" w:noHBand="0" w:noVBand="1"/>
      </w:tblPr>
      <w:tblGrid>
        <w:gridCol w:w="1559"/>
        <w:gridCol w:w="2264"/>
        <w:gridCol w:w="2121"/>
        <w:gridCol w:w="1274"/>
        <w:gridCol w:w="1132"/>
        <w:gridCol w:w="1556"/>
        <w:gridCol w:w="1132"/>
        <w:gridCol w:w="1132"/>
        <w:gridCol w:w="1025"/>
        <w:gridCol w:w="765"/>
      </w:tblGrid>
      <w:tr w:rsidR="006C5163" w:rsidRPr="006C5163" w14:paraId="00B1C951" w14:textId="77777777" w:rsidTr="002C4AEA">
        <w:trPr>
          <w:tblHeader/>
        </w:trPr>
        <w:tc>
          <w:tcPr>
            <w:tcW w:w="0" w:type="auto"/>
            <w:gridSpan w:val="10"/>
            <w:tcBorders>
              <w:top w:val="nil"/>
              <w:left w:val="nil"/>
              <w:bottom w:val="nil"/>
              <w:right w:val="nil"/>
            </w:tcBorders>
            <w:shd w:val="clear" w:color="auto" w:fill="auto"/>
            <w:tcMar>
              <w:top w:w="90" w:type="dxa"/>
              <w:left w:w="195" w:type="dxa"/>
              <w:bottom w:w="90" w:type="dxa"/>
              <w:right w:w="195" w:type="dxa"/>
            </w:tcMar>
            <w:vAlign w:val="center"/>
            <w:hideMark/>
          </w:tcPr>
          <w:p w14:paraId="321592E9" w14:textId="77777777" w:rsidR="006C5163" w:rsidRPr="006C5163" w:rsidRDefault="006C5163" w:rsidP="006C5163">
            <w:pPr>
              <w:spacing w:after="0"/>
              <w:rPr>
                <w:rFonts w:ascii="Times New Roman" w:eastAsia="Times New Roman" w:hAnsi="Times New Roman" w:cs="Times New Roman"/>
                <w:color w:val="000000"/>
                <w:spacing w:val="3"/>
                <w:sz w:val="20"/>
                <w:szCs w:val="20"/>
                <w:lang w:val="en-GB" w:eastAsia="en-GB"/>
              </w:rPr>
            </w:pPr>
            <w:r w:rsidRPr="006C5163">
              <w:rPr>
                <w:rFonts w:ascii="Times New Roman" w:eastAsia="Times New Roman" w:hAnsi="Times New Roman" w:cs="Times New Roman"/>
                <w:b/>
                <w:bCs/>
                <w:color w:val="000000"/>
                <w:spacing w:val="3"/>
                <w:sz w:val="20"/>
                <w:szCs w:val="20"/>
                <w:lang w:val="en-GB" w:eastAsia="en-GB"/>
              </w:rPr>
              <w:lastRenderedPageBreak/>
              <w:t xml:space="preserve">Table 6: </w:t>
            </w:r>
            <w:r w:rsidRPr="006C5163">
              <w:rPr>
                <w:rFonts w:ascii="Times New Roman" w:eastAsia="Times New Roman" w:hAnsi="Times New Roman" w:cs="Times New Roman"/>
                <w:color w:val="000000"/>
                <w:spacing w:val="3"/>
                <w:sz w:val="20"/>
                <w:szCs w:val="20"/>
                <w:lang w:val="en-GB" w:eastAsia="en-GB"/>
              </w:rPr>
              <w:t xml:space="preserve">Meta-regression moderator variables (continuous) for depression, </w:t>
            </w:r>
            <w:proofErr w:type="gramStart"/>
            <w:r w:rsidRPr="006C5163">
              <w:rPr>
                <w:rFonts w:ascii="Times New Roman" w:eastAsia="Times New Roman" w:hAnsi="Times New Roman" w:cs="Times New Roman"/>
                <w:color w:val="000000"/>
                <w:spacing w:val="3"/>
                <w:sz w:val="20"/>
                <w:szCs w:val="20"/>
                <w:lang w:val="en-GB" w:eastAsia="en-GB"/>
              </w:rPr>
              <w:t>anxiety</w:t>
            </w:r>
            <w:proofErr w:type="gramEnd"/>
            <w:r w:rsidRPr="006C5163">
              <w:rPr>
                <w:rFonts w:ascii="Times New Roman" w:eastAsia="Times New Roman" w:hAnsi="Times New Roman" w:cs="Times New Roman"/>
                <w:color w:val="000000"/>
                <w:spacing w:val="3"/>
                <w:sz w:val="20"/>
                <w:szCs w:val="20"/>
                <w:lang w:val="en-GB" w:eastAsia="en-GB"/>
              </w:rPr>
              <w:t xml:space="preserve"> and miscellaneous outcome domains.</w:t>
            </w:r>
          </w:p>
        </w:tc>
      </w:tr>
      <w:tr w:rsidR="006C5163" w:rsidRPr="006C5163" w14:paraId="309E4B73" w14:textId="77777777" w:rsidTr="002C4AEA">
        <w:trPr>
          <w:tblHeader/>
        </w:trPr>
        <w:tc>
          <w:tcPr>
            <w:tcW w:w="1559"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F84E5A4"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Domain</w:t>
            </w: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86AADC7"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Moderator</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F99917E"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Mean (range)</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16F85B0"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k</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E686E87"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B</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76516B9"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CI</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C257D58"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SE</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5464D0B"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Q</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506820D" w14:textId="77777777" w:rsidR="006C5163" w:rsidRPr="006C5163" w:rsidRDefault="006C5163" w:rsidP="006C5163">
            <w:pPr>
              <w:spacing w:after="0"/>
              <w:rPr>
                <w:rFonts w:ascii="Times New Roman" w:eastAsia="Times New Roman" w:hAnsi="Times New Roman" w:cs="Times New Roman"/>
                <w:i/>
                <w:iCs/>
                <w:color w:val="000000"/>
                <w:spacing w:val="3"/>
                <w:sz w:val="16"/>
                <w:szCs w:val="16"/>
                <w:lang w:val="en-GB" w:eastAsia="en-GB"/>
              </w:rPr>
            </w:pPr>
            <w:r w:rsidRPr="006C5163">
              <w:rPr>
                <w:rFonts w:ascii="Times New Roman" w:eastAsia="Times New Roman" w:hAnsi="Times New Roman" w:cs="Times New Roman"/>
                <w:i/>
                <w:iCs/>
                <w:color w:val="000000"/>
                <w:spacing w:val="3"/>
                <w:sz w:val="16"/>
                <w:szCs w:val="16"/>
                <w:lang w:val="en-GB" w:eastAsia="en-GB"/>
              </w:rPr>
              <w:t>p</w:t>
            </w:r>
          </w:p>
        </w:tc>
        <w:tc>
          <w:tcPr>
            <w:tcW w:w="0" w:type="auto"/>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5B80B81"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R</w:t>
            </w:r>
            <w:r w:rsidRPr="006C5163">
              <w:rPr>
                <w:rFonts w:ascii="Times New Roman" w:eastAsia="Times New Roman" w:hAnsi="Times New Roman" w:cs="Times New Roman"/>
                <w:b/>
                <w:bCs/>
                <w:color w:val="000000"/>
                <w:spacing w:val="3"/>
                <w:sz w:val="16"/>
                <w:szCs w:val="16"/>
                <w:vertAlign w:val="superscript"/>
                <w:lang w:val="en-GB" w:eastAsia="en-GB"/>
              </w:rPr>
              <w:t>2</w:t>
            </w:r>
          </w:p>
        </w:tc>
      </w:tr>
      <w:tr w:rsidR="006C5163" w:rsidRPr="006C5163" w14:paraId="66EF3586" w14:textId="77777777" w:rsidTr="002C4AEA">
        <w:tc>
          <w:tcPr>
            <w:tcW w:w="1559" w:type="dxa"/>
            <w:vMerge w:val="restart"/>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3C150B8"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depression</w:t>
            </w: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A4289C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Year (of publication)</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5AD209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2012.16 (1988-2020)</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DC9082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140</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44A368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E19BC2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0.01–0.02</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C53A3A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FB9C07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0.24</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4187E2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0.62</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AAD56F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60D3637A"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01E53B36"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21D3ED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mean age</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6FF943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36.25 (19-60.5)</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5E707D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126</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B24532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B9660F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313029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B56C49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0.11</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AC123C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0.74</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E878A5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3CE90A29"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289C35EF"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BCDD9E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Sessions (mean)</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32D691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15.32 (1-46.5)</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0250F4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84</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8C765D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49BB80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0.02-0</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4F0088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785473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1.54</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F0AE19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0.22</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F7CAC4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0.47</w:t>
            </w:r>
          </w:p>
        </w:tc>
      </w:tr>
      <w:tr w:rsidR="006C5163" w:rsidRPr="006C5163" w14:paraId="15CE3F3F"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5337AAD9"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9A22C8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ethnicity (% minority)</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D9263B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0.23 (0-0.66)</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4088AA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62</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6BBBF1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-0.09</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B9DFB5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0.5–0.69</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6C1193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0.30</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8F14BB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0.09</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BF190A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0.76</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D4832B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04257960"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245D002C"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EDC58E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gender (% female)</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64A486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0.67 (0-1)</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AC7F4F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132</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40CF93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0C0FB2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0.4–0.39</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670216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0.20</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6BD0C4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D8E018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0.99</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BDD4ED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35D90D4D"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2CAE1C5C"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E82D00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employment (% in full-time</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B72CDB7"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0.53 (0.05-1)</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E4AE26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46</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9DBC20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0.31</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EAEC2F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0.97–0.35</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17A10F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0.34</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2EA878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0.85</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A5E738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0.36</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481E27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6619CCC1" w14:textId="77777777" w:rsidTr="006C5163">
        <w:tc>
          <w:tcPr>
            <w:tcW w:w="1559" w:type="dxa"/>
            <w:vMerge w:val="restart"/>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2E00D60"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anxiety</w:t>
            </w: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86E03E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Year (of publication)</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F9786B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2012.93 (1999-2020)</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317C1E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84</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176368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0.02</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F158AD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0.04-0</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87C38B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099944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3.78</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EDB78E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0.05</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4B95C6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3.27</w:t>
            </w:r>
          </w:p>
        </w:tc>
      </w:tr>
      <w:tr w:rsidR="006C5163" w:rsidRPr="006C5163" w14:paraId="43B66468"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06D0E7F3"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75F14F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mean age</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5B430B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35.36 (19-60.5)</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CBD559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79</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689406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A793C6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80F656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1B30C4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CEA8EB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0.91</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D716EDA"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07C4E93F"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4736C0FF"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A96E0F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Sessions (mean)</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9410D8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16 (1-46.5)</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FB14E9C"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52</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0218A9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1CEAD7A"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0E20D5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B27A64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0.03</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B23483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0.85</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397207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267BB786"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2834C6F7"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BC1CA9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ethnicity (% minority)</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486136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0.19 (0-0.59)</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6A2CBE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40</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E7632D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0.31</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7884F1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1.62–0.99</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34F3D8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0.66</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1F8873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0.22</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668FA2A"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0.64</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451F04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0EB3525E"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733C6073"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E4D14A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gender (% female)</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E1D8A9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0.67 (0.078-1)</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E5B2A9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79</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A7E756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-0.27</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06A6B8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0.31–0.85</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DACBB1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0.30</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6933EE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0.82</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9E0BE97"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0.36</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DFC9A2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456D6BD8"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106BA59C"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CBD13C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employment (% in full-time</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CABDB4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 (0.05-1)</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8074E6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29</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B571CE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0.95</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7FBD9C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1.55-0.35</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3DD77D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24A30F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9.64</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3455BBC"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6DCF34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24.18</w:t>
            </w:r>
          </w:p>
        </w:tc>
      </w:tr>
      <w:tr w:rsidR="006C5163" w:rsidRPr="006C5163" w14:paraId="38AC7BCD" w14:textId="77777777" w:rsidTr="002C4AEA">
        <w:tc>
          <w:tcPr>
            <w:tcW w:w="1559" w:type="dxa"/>
            <w:vMerge w:val="restart"/>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11CF05C7"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r w:rsidRPr="006C5163">
              <w:rPr>
                <w:rFonts w:ascii="Times New Roman" w:eastAsia="Times New Roman" w:hAnsi="Times New Roman" w:cs="Times New Roman"/>
                <w:b/>
                <w:bCs/>
                <w:color w:val="000000"/>
                <w:spacing w:val="3"/>
                <w:sz w:val="16"/>
                <w:szCs w:val="16"/>
                <w:lang w:val="en-GB" w:eastAsia="en-GB"/>
              </w:rPr>
              <w:t>miscellaneous</w:t>
            </w: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E1D61A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Year (of publication)</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837627C"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2012.55 (2000-2020)</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FCA18B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184</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72242D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86B650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0.02–0.01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B0FDAD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A4A67E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0.07</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380086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0.79</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1CFB70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00A9747E"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4C164A87"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E35FBD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mean age</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80AC53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35.15 (21.8-52.5)</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03D8B1A"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156</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40E4B6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36F519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098BC0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E734E8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2897C0D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0.93</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0CF02C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78DA3FAD"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7FE6B919"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5157DE2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Sessions (mean)</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2F377E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15.5 (1-64.9)</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14AE587"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108</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154505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-0.01</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4A9C2EA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4B72E2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272C52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1.77</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801E5A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0.18</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BD3D68A"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0.69</w:t>
            </w:r>
          </w:p>
        </w:tc>
      </w:tr>
      <w:tr w:rsidR="006C5163" w:rsidRPr="006C5163" w14:paraId="2D1385CC"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67C9BDFD"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18A93B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ethnicity (% minority)</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7C51902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0.26 (0-0.7)</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6014C6C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69</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81A44D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-0.48</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2D0AF3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0.19–1.15</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ADDF3FE"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0.34</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FE64785"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2.00</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1052708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0.16</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5B432F4"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1.20</w:t>
            </w:r>
          </w:p>
        </w:tc>
      </w:tr>
      <w:tr w:rsidR="006C5163" w:rsidRPr="006C5163" w14:paraId="63EF7804" w14:textId="77777777" w:rsidTr="002C4AEA">
        <w:tc>
          <w:tcPr>
            <w:tcW w:w="1559" w:type="dxa"/>
            <w:vMerge/>
            <w:tcBorders>
              <w:top w:val="single" w:sz="6" w:space="0" w:color="3B3F54"/>
              <w:left w:val="nil"/>
              <w:bottom w:val="single" w:sz="6" w:space="0" w:color="3B3F54"/>
              <w:right w:val="nil"/>
            </w:tcBorders>
            <w:shd w:val="clear" w:color="auto" w:fill="auto"/>
            <w:vAlign w:val="center"/>
            <w:hideMark/>
          </w:tcPr>
          <w:p w14:paraId="61009DB4"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FAEDDE0"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gender (% female)</w:t>
            </w:r>
          </w:p>
        </w:tc>
        <w:tc>
          <w:tcPr>
            <w:tcW w:w="2121"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282D243"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0.67 (0-1)</w:t>
            </w:r>
          </w:p>
        </w:tc>
        <w:tc>
          <w:tcPr>
            <w:tcW w:w="1274"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FC91FCC"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173</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31D58537"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-0.26</w:t>
            </w:r>
          </w:p>
        </w:tc>
        <w:tc>
          <w:tcPr>
            <w:tcW w:w="1556"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676459F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0.15–0.67</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FDCEB92"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0.21</w:t>
            </w:r>
          </w:p>
        </w:tc>
        <w:tc>
          <w:tcPr>
            <w:tcW w:w="1132"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2945FD68"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1.50</w:t>
            </w:r>
          </w:p>
        </w:tc>
        <w:tc>
          <w:tcPr>
            <w:tcW w:w="102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7D174F8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0.22</w:t>
            </w:r>
          </w:p>
        </w:tc>
        <w:tc>
          <w:tcPr>
            <w:tcW w:w="765" w:type="dxa"/>
            <w:tcBorders>
              <w:top w:val="single" w:sz="6" w:space="0" w:color="3B3F54"/>
              <w:left w:val="nil"/>
              <w:bottom w:val="single" w:sz="6" w:space="0" w:color="3B3F54"/>
              <w:right w:val="nil"/>
            </w:tcBorders>
            <w:shd w:val="clear" w:color="auto" w:fill="auto"/>
            <w:tcMar>
              <w:top w:w="90" w:type="dxa"/>
              <w:left w:w="195" w:type="dxa"/>
              <w:bottom w:w="90" w:type="dxa"/>
              <w:right w:w="195" w:type="dxa"/>
            </w:tcMar>
            <w:vAlign w:val="center"/>
            <w:hideMark/>
          </w:tcPr>
          <w:p w14:paraId="0253CD1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0.12</w:t>
            </w:r>
          </w:p>
        </w:tc>
      </w:tr>
      <w:tr w:rsidR="006C5163" w:rsidRPr="006C5163" w14:paraId="570F3E56" w14:textId="77777777" w:rsidTr="006C5163">
        <w:tc>
          <w:tcPr>
            <w:tcW w:w="1559" w:type="dxa"/>
            <w:vMerge/>
            <w:tcBorders>
              <w:top w:val="single" w:sz="6" w:space="0" w:color="3B3F54"/>
              <w:left w:val="nil"/>
              <w:bottom w:val="single" w:sz="6" w:space="0" w:color="3B3F54"/>
              <w:right w:val="nil"/>
            </w:tcBorders>
            <w:shd w:val="clear" w:color="auto" w:fill="auto"/>
            <w:vAlign w:val="center"/>
            <w:hideMark/>
          </w:tcPr>
          <w:p w14:paraId="74DC260A" w14:textId="77777777" w:rsidR="006C5163" w:rsidRPr="006C5163" w:rsidRDefault="006C5163" w:rsidP="006C5163">
            <w:pPr>
              <w:spacing w:after="0"/>
              <w:rPr>
                <w:rFonts w:ascii="Times New Roman" w:eastAsia="Times New Roman" w:hAnsi="Times New Roman" w:cs="Times New Roman"/>
                <w:b/>
                <w:bCs/>
                <w:color w:val="000000"/>
                <w:spacing w:val="3"/>
                <w:sz w:val="16"/>
                <w:szCs w:val="16"/>
                <w:lang w:val="en-GB" w:eastAsia="en-GB"/>
              </w:rPr>
            </w:pPr>
          </w:p>
        </w:tc>
        <w:tc>
          <w:tcPr>
            <w:tcW w:w="226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CAC56C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employment (% in full-time</w:t>
            </w:r>
          </w:p>
        </w:tc>
        <w:tc>
          <w:tcPr>
            <w:tcW w:w="2121"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A88ED2D"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0.53 (0-1)</w:t>
            </w:r>
          </w:p>
        </w:tc>
        <w:tc>
          <w:tcPr>
            <w:tcW w:w="1274"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1FFA0A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60</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36C20CB1"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-0.14</w:t>
            </w:r>
          </w:p>
        </w:tc>
        <w:tc>
          <w:tcPr>
            <w:tcW w:w="1556"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4D6DB1B9"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0.5–0.78</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447F4BB"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0.33</w:t>
            </w:r>
          </w:p>
        </w:tc>
        <w:tc>
          <w:tcPr>
            <w:tcW w:w="1132"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7845A56"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0.18</w:t>
            </w:r>
          </w:p>
        </w:tc>
        <w:tc>
          <w:tcPr>
            <w:tcW w:w="102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0B8A7C1F"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0.67</w:t>
            </w:r>
          </w:p>
        </w:tc>
        <w:tc>
          <w:tcPr>
            <w:tcW w:w="765" w:type="dxa"/>
            <w:tcBorders>
              <w:top w:val="single" w:sz="6" w:space="0" w:color="3B3F54"/>
              <w:left w:val="nil"/>
              <w:bottom w:val="single" w:sz="6" w:space="0" w:color="3B3F54"/>
              <w:right w:val="nil"/>
            </w:tcBorders>
            <w:shd w:val="clear" w:color="auto" w:fill="F2F2F2"/>
            <w:tcMar>
              <w:top w:w="90" w:type="dxa"/>
              <w:left w:w="195" w:type="dxa"/>
              <w:bottom w:w="90" w:type="dxa"/>
              <w:right w:w="195" w:type="dxa"/>
            </w:tcMar>
            <w:vAlign w:val="center"/>
            <w:hideMark/>
          </w:tcPr>
          <w:p w14:paraId="5AC873CC" w14:textId="77777777" w:rsidR="006C5163" w:rsidRPr="006C5163" w:rsidRDefault="006C5163" w:rsidP="006C5163">
            <w:pPr>
              <w:spacing w:after="0"/>
              <w:rPr>
                <w:rFonts w:ascii="Times New Roman" w:eastAsia="Times New Roman" w:hAnsi="Times New Roman" w:cs="Times New Roman"/>
                <w:color w:val="000000"/>
                <w:spacing w:val="3"/>
                <w:sz w:val="16"/>
                <w:szCs w:val="16"/>
                <w:lang w:val="en-GB" w:eastAsia="en-GB"/>
              </w:rPr>
            </w:pPr>
            <w:r w:rsidRPr="006C5163">
              <w:rPr>
                <w:rFonts w:ascii="Times New Roman" w:eastAsia="Times New Roman" w:hAnsi="Times New Roman" w:cs="Times New Roman"/>
                <w:color w:val="000000"/>
                <w:spacing w:val="3"/>
                <w:sz w:val="16"/>
                <w:szCs w:val="16"/>
                <w:lang w:val="en-GB" w:eastAsia="en-GB"/>
              </w:rPr>
              <w:t>0.00</w:t>
            </w:r>
          </w:p>
        </w:tc>
      </w:tr>
      <w:tr w:rsidR="006C5163" w:rsidRPr="006C5163" w14:paraId="257CD40D" w14:textId="77777777" w:rsidTr="002C4AEA">
        <w:tc>
          <w:tcPr>
            <w:tcW w:w="13960" w:type="dxa"/>
            <w:gridSpan w:val="10"/>
            <w:tcBorders>
              <w:top w:val="single" w:sz="6" w:space="0" w:color="3B3F54"/>
              <w:left w:val="nil"/>
            </w:tcBorders>
            <w:shd w:val="clear" w:color="auto" w:fill="auto"/>
            <w:tcMar>
              <w:top w:w="0" w:type="dxa"/>
              <w:left w:w="0" w:type="dxa"/>
              <w:bottom w:w="0" w:type="dxa"/>
              <w:right w:w="0" w:type="dxa"/>
            </w:tcMar>
            <w:vAlign w:val="center"/>
            <w:hideMark/>
          </w:tcPr>
          <w:p w14:paraId="7ED7524A" w14:textId="77777777" w:rsidR="006C5163" w:rsidRPr="006C5163" w:rsidRDefault="006C5163" w:rsidP="006C5163">
            <w:pPr>
              <w:spacing w:after="0"/>
              <w:rPr>
                <w:rFonts w:ascii="Times New Roman" w:eastAsia="Times New Roman" w:hAnsi="Times New Roman" w:cs="Times New Roman"/>
                <w:color w:val="000000"/>
                <w:sz w:val="16"/>
                <w:szCs w:val="16"/>
                <w:lang w:val="en-GB" w:eastAsia="en-GB"/>
              </w:rPr>
            </w:pPr>
            <w:r w:rsidRPr="006C5163">
              <w:rPr>
                <w:rFonts w:ascii="Times New Roman" w:eastAsia="Times New Roman" w:hAnsi="Times New Roman" w:cs="Times New Roman"/>
                <w:i/>
                <w:iCs/>
                <w:color w:val="000000"/>
                <w:spacing w:val="3"/>
                <w:sz w:val="16"/>
                <w:szCs w:val="16"/>
                <w:lang w:val="en-GB" w:eastAsia="en-GB"/>
              </w:rPr>
              <w:t>Note.</w:t>
            </w:r>
            <w:r w:rsidRPr="006C5163">
              <w:rPr>
                <w:rFonts w:ascii="Times New Roman" w:eastAsia="Times New Roman" w:hAnsi="Times New Roman" w:cs="Times New Roman"/>
                <w:color w:val="000000"/>
                <w:spacing w:val="3"/>
                <w:sz w:val="16"/>
                <w:szCs w:val="16"/>
                <w:lang w:val="en-GB" w:eastAsia="en-GB"/>
              </w:rPr>
              <w:t>  * p = &lt;.05.</w:t>
            </w:r>
          </w:p>
        </w:tc>
      </w:tr>
    </w:tbl>
    <w:p w14:paraId="64A08B6C" w14:textId="77777777" w:rsidR="006C5163" w:rsidRDefault="006C5163" w:rsidP="006C5163">
      <w:pPr>
        <w:spacing w:after="0"/>
        <w:rPr>
          <w:rFonts w:ascii="Times New Roman" w:eastAsia="Calibri" w:hAnsi="Times New Roman" w:cs="Times New Roman"/>
          <w:color w:val="000000"/>
          <w:sz w:val="16"/>
          <w:szCs w:val="16"/>
          <w:lang w:val="en-GB"/>
        </w:rPr>
        <w:sectPr w:rsidR="006C5163" w:rsidSect="006C5163">
          <w:pgSz w:w="15840" w:h="12240" w:orient="landscape"/>
          <w:pgMar w:top="1440" w:right="1440" w:bottom="1440" w:left="1440" w:header="720" w:footer="720" w:gutter="0"/>
          <w:cols w:space="720"/>
          <w:docGrid w:linePitch="326"/>
        </w:sectPr>
      </w:pPr>
    </w:p>
    <w:p w14:paraId="4A7FD48F" w14:textId="7E5232C5" w:rsidR="0016079D" w:rsidRDefault="00B23CA6">
      <w:pPr>
        <w:pStyle w:val="BodyText"/>
      </w:pPr>
      <w:r>
        <w:lastRenderedPageBreak/>
        <w:t>For the meta-regression (i.e., continuous) variables, there was no significant omnibus models for depression outcomes or miscellaneous outcomes. Employment was the only significant model for the anxiety domain.</w:t>
      </w:r>
    </w:p>
    <w:p w14:paraId="1A0133EA" w14:textId="3D55F242" w:rsidR="0016079D" w:rsidRDefault="00B23CA6" w:rsidP="008D083E">
      <w:pPr>
        <w:pStyle w:val="BodyText"/>
      </w:pPr>
      <w:r>
        <w:t xml:space="preserve">For </w:t>
      </w:r>
      <w:r w:rsidR="008D083E">
        <w:t xml:space="preserve">the </w:t>
      </w:r>
      <w:r>
        <w:t>analysis*sessions</w:t>
      </w:r>
      <w:r w:rsidR="008D083E">
        <w:t xml:space="preserve"> multi-variate analysis, </w:t>
      </w:r>
      <w:r>
        <w:t>neither variable was significant when combined within a multi-variate model for any of the three outcome domains. These findings remained when allowing the variables to interact, with the interaction term also not significant.</w:t>
      </w:r>
      <w:r w:rsidR="008D083E">
        <w:t xml:space="preserve"> </w:t>
      </w:r>
      <w:r>
        <w:t>For loss to follow-up*sessions, the multi-variate model found sessions to not be significant for each domain. Continent was not significant for the anxiety or miscellaneous domain. Continent was significant for the depression domain but only the level of the UK. When allowing for interaction terms there was no significant moderator or interaction term for any of the domains.</w:t>
      </w:r>
    </w:p>
    <w:p w14:paraId="3B31639C" w14:textId="77777777" w:rsidR="0016079D" w:rsidRDefault="00B23CA6">
      <w:r>
        <w:br w:type="page"/>
      </w:r>
    </w:p>
    <w:p w14:paraId="70C73C13" w14:textId="77777777" w:rsidR="0016079D" w:rsidRDefault="00B23CA6">
      <w:pPr>
        <w:pStyle w:val="Heading1"/>
      </w:pPr>
      <w:bookmarkStart w:id="18" w:name="discussion"/>
      <w:bookmarkEnd w:id="10"/>
      <w:bookmarkEnd w:id="17"/>
      <w:r>
        <w:lastRenderedPageBreak/>
        <w:t>Discussion</w:t>
      </w:r>
    </w:p>
    <w:p w14:paraId="26588E07" w14:textId="77777777" w:rsidR="0016079D" w:rsidRDefault="00B23CA6">
      <w:pPr>
        <w:pStyle w:val="FirstParagraph"/>
      </w:pPr>
      <w:r>
        <w:t>The aim of this review was to provide an up-to-date and systematic review of the literature for the effectiveness of psychological therapy in routine settings. 252 studies (</w:t>
      </w:r>
      <w:r>
        <w:rPr>
          <w:i/>
        </w:rPr>
        <w:t>k</w:t>
      </w:r>
      <w:r>
        <w:t xml:space="preserve"> = 298) were identified, of which 223 (88.5%, </w:t>
      </w:r>
      <w:r>
        <w:rPr>
          <w:i/>
        </w:rPr>
        <w:t>k</w:t>
      </w:r>
      <w:r>
        <w:t xml:space="preserve"> = 263) were eligible for the meta-analysis, producing the largest known synthesis of psychological therapy effectiveness studies conducted to date. The large number of included studies reflected the increased publication of practice-based evidence (71.48% since 2010). Consistent with prior psychotherapy effectiveness reviews, we found large pre-post effect sizes (</w:t>
      </w:r>
      <w:r>
        <w:rPr>
          <w:i/>
        </w:rPr>
        <w:t>d</w:t>
      </w:r>
      <w:r>
        <w:t xml:space="preserve"> = 0.80 - 1.01) across multiple outcome domains (depression, anxiety, and miscellaneous outcomes). Continent was the only moderator significant for all domains, with UK and North American studies producing comparably larger effect-sizes.</w:t>
      </w:r>
    </w:p>
    <w:p w14:paraId="2E4D7664" w14:textId="3D282703" w:rsidR="0016079D" w:rsidRDefault="00B23CA6">
      <w:pPr>
        <w:pStyle w:val="BodyText"/>
      </w:pPr>
      <w:r>
        <w:t xml:space="preserve">For depression outcomes, no other moderator was significant in explaining heterogeneity. Four subgroup moderators (modality, severity, experience, measurement tool) were significant for anxiety and miscellaneous outcomes. For treatment modality, cognitive-behavioral interventions produced larger effect-sizes for miscellaneous outcomes. For treatment severity, anxiety effect-sizes were larger in mild and university services, while miscellaneous outcomes were larger in mild and severe services. For experience, training professionals’ effect-sizes were larger (i.e., compared to qualified professionals) for anxiety outcomes, but smaller for miscellaneous outcomes. Finally, for measurement tool, sensitivity to change was higher for the GAD-7 (anxiety) and lower for the OQ-45 (global distress). Anxiety outpatient samples also outperformed inpatient samples. The only significant meta-regressive variable was for employment (i.e., larger rates linked to larger effect-sizes) </w:t>
      </w:r>
      <w:r w:rsidR="008D083E">
        <w:t>for</w:t>
      </w:r>
      <w:r>
        <w:t xml:space="preserve"> anxiety samples. Multivariate meta-regressive models (analysis</w:t>
      </w:r>
      <w:r w:rsidR="008D083E">
        <w:t>*</w:t>
      </w:r>
      <w:r>
        <w:t>dosage, continent</w:t>
      </w:r>
      <w:r w:rsidR="008D083E">
        <w:t>*</w:t>
      </w:r>
      <w:r>
        <w:t>dosage) produced null findings.</w:t>
      </w:r>
    </w:p>
    <w:p w14:paraId="6CC3979E" w14:textId="77777777" w:rsidR="0016079D" w:rsidRDefault="00B23CA6">
      <w:pPr>
        <w:pStyle w:val="Heading2"/>
      </w:pPr>
      <w:bookmarkStart w:id="19" w:name="interpretation-of-findings"/>
      <w:r>
        <w:lastRenderedPageBreak/>
        <w:t>Interpretation of Findings</w:t>
      </w:r>
    </w:p>
    <w:p w14:paraId="269C7891" w14:textId="010FE513" w:rsidR="0016079D" w:rsidRDefault="00B23CA6">
      <w:pPr>
        <w:pStyle w:val="FirstParagraph"/>
      </w:pPr>
      <w:r>
        <w:t>This review found that most individuals accessing psychological therapy are female, consistent with global epidemiological estimates of mental health gender prevalence (Seedat et al., 2009). The finding of large clinical improvements during psychotherapy and across outcomes was consistent with prior meta-analyses of psychotherapy effectiveness for depression outcomes (</w:t>
      </w:r>
      <w:hyperlink w:anchor="ref-Hans2013">
        <w:r>
          <w:rPr>
            <w:rStyle w:val="Hyperlink"/>
          </w:rPr>
          <w:t>Hans &amp; Hiller, 2013</w:t>
        </w:r>
      </w:hyperlink>
      <w:r>
        <w:t xml:space="preserve">; </w:t>
      </w:r>
      <w:hyperlink w:anchor="ref-Wakefield2021">
        <w:r>
          <w:rPr>
            <w:rStyle w:val="Hyperlink"/>
          </w:rPr>
          <w:t>Wakefield et al., 2021</w:t>
        </w:r>
      </w:hyperlink>
      <w:r>
        <w:t>), anxiety outcomes (</w:t>
      </w:r>
      <w:hyperlink w:anchor="ref-Stewart2009a">
        <w:r>
          <w:rPr>
            <w:rStyle w:val="Hyperlink"/>
          </w:rPr>
          <w:t>Stewart &amp; Chambless, 2009</w:t>
        </w:r>
      </w:hyperlink>
      <w:r>
        <w:t xml:space="preserve">; </w:t>
      </w:r>
      <w:hyperlink w:anchor="ref-Wakefield2021">
        <w:r>
          <w:rPr>
            <w:rStyle w:val="Hyperlink"/>
          </w:rPr>
          <w:t>Wakefield et al., 2021</w:t>
        </w:r>
      </w:hyperlink>
      <w:r>
        <w:t>), and nonspecific outcomes (</w:t>
      </w:r>
      <w:hyperlink w:anchor="ref-Cahill2010">
        <w:r>
          <w:rPr>
            <w:rStyle w:val="Hyperlink"/>
          </w:rPr>
          <w:t>Cahill et al., 2010</w:t>
        </w:r>
      </w:hyperlink>
      <w:r>
        <w:t xml:space="preserve">). Pooled effect-sizes were smaller than that found for </w:t>
      </w:r>
      <w:hyperlink w:anchor="ref-Cahill2010">
        <w:r>
          <w:rPr>
            <w:rStyle w:val="Hyperlink"/>
          </w:rPr>
          <w:t>Cahill et al.</w:t>
        </w:r>
      </w:hyperlink>
      <w:r>
        <w:t xml:space="preserve"> (</w:t>
      </w:r>
      <w:hyperlink w:anchor="ref-Cahill2010">
        <w:r>
          <w:rPr>
            <w:rStyle w:val="Hyperlink"/>
          </w:rPr>
          <w:t>2010</w:t>
        </w:r>
      </w:hyperlink>
      <w:r>
        <w:t>) (</w:t>
      </w:r>
      <w:r>
        <w:rPr>
          <w:i/>
        </w:rPr>
        <w:t>d</w:t>
      </w:r>
      <w:r>
        <w:t xml:space="preserve"> = 1.29), although this may reflect differences in review focus (e.g., Cahill et al., 2010 included group treatments) or changing distribution of geographical representation (i.e., more studies from non-UK/North American countries). Large clinical improvements are also in fitting with countless meta-analyses of psychotherapy controlled trials (</w:t>
      </w:r>
      <w:proofErr w:type="spellStart"/>
      <w:r>
        <w:fldChar w:fldCharType="begin"/>
      </w:r>
      <w:r>
        <w:instrText xml:space="preserve"> HYPERLINK \l "ref-Cuijpers2014" \h </w:instrText>
      </w:r>
      <w:r>
        <w:fldChar w:fldCharType="separate"/>
      </w:r>
      <w:r w:rsidR="002362CA">
        <w:rPr>
          <w:rStyle w:val="Hyperlink"/>
        </w:rPr>
        <w:t>Cuijpers</w:t>
      </w:r>
      <w:proofErr w:type="spellEnd"/>
      <w:r>
        <w:rPr>
          <w:rStyle w:val="Hyperlink"/>
        </w:rPr>
        <w:t xml:space="preserve">, </w:t>
      </w:r>
      <w:proofErr w:type="spellStart"/>
      <w:r>
        <w:rPr>
          <w:rStyle w:val="Hyperlink"/>
        </w:rPr>
        <w:t>Sijbrandij</w:t>
      </w:r>
      <w:proofErr w:type="spellEnd"/>
      <w:r>
        <w:rPr>
          <w:rStyle w:val="Hyperlink"/>
        </w:rPr>
        <w:t>, et al., 2014</w:t>
      </w:r>
      <w:r>
        <w:rPr>
          <w:rStyle w:val="Hyperlink"/>
        </w:rPr>
        <w:fldChar w:fldCharType="end"/>
      </w:r>
      <w:r>
        <w:t xml:space="preserve">; e.g., </w:t>
      </w:r>
      <w:hyperlink w:anchor="ref-Cuijpers2008">
        <w:proofErr w:type="spellStart"/>
        <w:r w:rsidR="002362CA">
          <w:rPr>
            <w:rStyle w:val="Hyperlink"/>
          </w:rPr>
          <w:t>Cuijpers</w:t>
        </w:r>
        <w:proofErr w:type="spellEnd"/>
        <w:r>
          <w:rPr>
            <w:rStyle w:val="Hyperlink"/>
          </w:rPr>
          <w:t xml:space="preserve"> et al., 2008</w:t>
        </w:r>
      </w:hyperlink>
      <w:r>
        <w:t xml:space="preserve">; </w:t>
      </w:r>
      <w:hyperlink w:anchor="ref-Mayo-Wilson2014">
        <w:r>
          <w:rPr>
            <w:rStyle w:val="Hyperlink"/>
          </w:rPr>
          <w:t>Mayo-Wilson et al., 2014</w:t>
        </w:r>
      </w:hyperlink>
      <w:r>
        <w:t xml:space="preserve">; </w:t>
      </w:r>
      <w:hyperlink w:anchor="ref-Olatunji2014">
        <w:r>
          <w:rPr>
            <w:rStyle w:val="Hyperlink"/>
          </w:rPr>
          <w:t>Olatunji et al., 2014</w:t>
        </w:r>
      </w:hyperlink>
      <w:r>
        <w:t xml:space="preserve">). </w:t>
      </w:r>
      <w:r w:rsidR="008D083E">
        <w:t>T</w:t>
      </w:r>
      <w:r>
        <w:t xml:space="preserve">he sensitivity analysis (i.e., fixed effects model) demonstrated a notable drop in anxiety outcomes (from </w:t>
      </w:r>
      <w:r>
        <w:rPr>
          <w:i/>
        </w:rPr>
        <w:t>d</w:t>
      </w:r>
      <w:r>
        <w:t xml:space="preserve"> 0.80 to 0.57) although still represents important clinical improvements.</w:t>
      </w:r>
    </w:p>
    <w:p w14:paraId="5BCA295E" w14:textId="77777777" w:rsidR="0016079D" w:rsidRDefault="00B23CA6">
      <w:pPr>
        <w:pStyle w:val="BodyText"/>
      </w:pPr>
      <w:r>
        <w:t>The finding that the UK and North America produce larger effect-sizes was a novel finding. It is possible that there are continental differences in models of training, service structures, therapy provision and emphasis on evidence-based practice which underlie the observed differences in pooled effect-sizes between continents. This is consistent with UK and US clinical guidance recommending delivery of empirically supported treatments (</w:t>
      </w:r>
      <w:hyperlink w:anchor="ref-APA2006">
        <w:r>
          <w:rPr>
            <w:rStyle w:val="Hyperlink"/>
          </w:rPr>
          <w:t>APA, 2006</w:t>
        </w:r>
      </w:hyperlink>
      <w:r>
        <w:t xml:space="preserve">; </w:t>
      </w:r>
      <w:hyperlink w:anchor="ref-NICE2011">
        <w:r>
          <w:rPr>
            <w:rStyle w:val="Hyperlink"/>
          </w:rPr>
          <w:t>NICE, 2011</w:t>
        </w:r>
      </w:hyperlink>
      <w:r>
        <w:t>). Despite differences, all continents demonstrated positive change for all outcomes (</w:t>
      </w:r>
      <w:r>
        <w:rPr>
          <w:i/>
        </w:rPr>
        <w:t>d</w:t>
      </w:r>
      <w:r>
        <w:t xml:space="preserve"> = 0.59 - 1.10) supporting the universality hypothesis (i.e., that psychotherapy is assumed to work across cultures., </w:t>
      </w:r>
      <w:hyperlink w:anchor="ref-Fluckiger2018">
        <w:r>
          <w:rPr>
            <w:rStyle w:val="Hyperlink"/>
          </w:rPr>
          <w:t>Flückiger et al., 2018</w:t>
        </w:r>
      </w:hyperlink>
      <w:r>
        <w:t>).</w:t>
      </w:r>
    </w:p>
    <w:p w14:paraId="75A1DB0E" w14:textId="635D1B1F" w:rsidR="0016079D" w:rsidRDefault="00B23CA6">
      <w:pPr>
        <w:pStyle w:val="BodyText"/>
      </w:pPr>
      <w:r>
        <w:lastRenderedPageBreak/>
        <w:t xml:space="preserve">Consistent with prior evidence </w:t>
      </w:r>
      <w:hyperlink w:anchor="ref-Cuijpers2020">
        <w:proofErr w:type="spellStart"/>
        <w:r>
          <w:rPr>
            <w:rStyle w:val="Hyperlink"/>
          </w:rPr>
          <w:t>Cuijpers</w:t>
        </w:r>
        <w:proofErr w:type="spellEnd"/>
        <w:r>
          <w:rPr>
            <w:rStyle w:val="Hyperlink"/>
          </w:rPr>
          <w:t xml:space="preserve"> et al.</w:t>
        </w:r>
      </w:hyperlink>
      <w:r>
        <w:t xml:space="preserve"> (</w:t>
      </w:r>
      <w:hyperlink w:anchor="ref-Cuijpers2020">
        <w:r>
          <w:rPr>
            <w:rStyle w:val="Hyperlink"/>
          </w:rPr>
          <w:t>2020</w:t>
        </w:r>
      </w:hyperlink>
      <w:r>
        <w:t>), psychotherapy produced strong clinical improvements for depression but with absence of evidence for significant between modality differences (</w:t>
      </w:r>
      <w:hyperlink w:anchor="ref-Barth2013a">
        <w:r>
          <w:rPr>
            <w:rStyle w:val="Hyperlink"/>
          </w:rPr>
          <w:t>Barth et al., 2013</w:t>
        </w:r>
      </w:hyperlink>
      <w:r>
        <w:t>). The finding that counselling produced smaller effect-sizes for anxiety outcomes was not expected and may be an artefact of few included samples (</w:t>
      </w:r>
      <w:r>
        <w:rPr>
          <w:i/>
        </w:rPr>
        <w:t>k</w:t>
      </w:r>
      <w:r>
        <w:t xml:space="preserve"> = 2). Perhaps more surprising was that cognitive-behavioural approaches fared no better than psychodynamic approaches, despite CBT being a front-line treatment within various mental healthcare systems (e.g., </w:t>
      </w:r>
      <w:hyperlink w:anchor="ref-NICE2011">
        <w:r>
          <w:rPr>
            <w:rStyle w:val="Hyperlink"/>
          </w:rPr>
          <w:t>NICE, 2011</w:t>
        </w:r>
      </w:hyperlink>
      <w:r>
        <w:t>). Cognitive-behavioural approaches produced superior effect sizes for miscellaneous outcomes however it was not clear (without further analysis) if this was related to superiority for global distress outcomes, specific diagnosis outcomes (e.g., PTSD, OCD) or a combination as this domain was not specific.</w:t>
      </w:r>
    </w:p>
    <w:p w14:paraId="5D5D951B" w14:textId="6FEB30E7" w:rsidR="0016079D" w:rsidRDefault="00B23CA6">
      <w:pPr>
        <w:pStyle w:val="BodyText"/>
      </w:pPr>
      <w:r>
        <w:t xml:space="preserve">Consistent with several prior meta-analytic reviews (e.g., </w:t>
      </w:r>
      <w:hyperlink w:anchor="ref-Cuijpers2014a">
        <w:proofErr w:type="spellStart"/>
        <w:r w:rsidR="002362CA">
          <w:rPr>
            <w:rStyle w:val="Hyperlink"/>
          </w:rPr>
          <w:t>Cuijpers</w:t>
        </w:r>
        <w:proofErr w:type="spellEnd"/>
        <w:r>
          <w:rPr>
            <w:rStyle w:val="Hyperlink"/>
          </w:rPr>
          <w:t>, Turner, et al., 2014</w:t>
        </w:r>
      </w:hyperlink>
      <w:r>
        <w:t xml:space="preserve">; </w:t>
      </w:r>
      <w:hyperlink w:anchor="ref-Driessen2010">
        <w:r>
          <w:rPr>
            <w:rStyle w:val="Hyperlink"/>
          </w:rPr>
          <w:t>Driessen et al., 2010</w:t>
        </w:r>
      </w:hyperlink>
      <w:r>
        <w:t xml:space="preserve">; </w:t>
      </w:r>
      <w:hyperlink w:anchor="ref-Furukawa2017">
        <w:r>
          <w:rPr>
            <w:rStyle w:val="Hyperlink"/>
          </w:rPr>
          <w:t>Furukawa et al., 2017</w:t>
        </w:r>
      </w:hyperlink>
      <w:r>
        <w:t xml:space="preserve">) sample severity did not predict effectiveness of treatment for depression. For anxiety and miscellaneous outcomes, services categorised ‘mild’consistently produced larger outcomes. For anxiety, university samples were also comparable, while for miscellaneous outcomes inpatient samples were comparable. In sum, effect-sizes for non-depression outcomes were consistently reduced for more severe community dwelling patients which provides support for increasing severity being associated with smaller improvements. What is less clear is the inconsistency for inpatient samples. For miscellaneous outcomes the inpatient setting produces comparable results (i.e., to outpatient) however for anxiety samples inpatient samples under performed. </w:t>
      </w:r>
      <w:r w:rsidR="00C77050">
        <w:t>It is possible that c</w:t>
      </w:r>
      <w:r>
        <w:t>lassifying by type of service may have been an imprecise proxy for sample severity and therefore future research should explore severity as a continuous variable in routine settings.</w:t>
      </w:r>
    </w:p>
    <w:p w14:paraId="6A2E11BC" w14:textId="77777777" w:rsidR="0016079D" w:rsidRDefault="00B23CA6">
      <w:pPr>
        <w:pStyle w:val="BodyText"/>
      </w:pPr>
      <w:r>
        <w:lastRenderedPageBreak/>
        <w:t xml:space="preserve">An unexpected finding was that trainee clinicians produced significantly larger effect-sizes for anxiety and smaller effect-sizes for miscellaneous outcomes. Prior research has largely failed to find a significant difference between qualified and unquailed clinicians (e.g., </w:t>
      </w:r>
      <w:hyperlink w:anchor="ref-Boer2005">
        <w:r>
          <w:rPr>
            <w:rStyle w:val="Hyperlink"/>
          </w:rPr>
          <w:t>Boer et al., 2005</w:t>
        </w:r>
      </w:hyperlink>
      <w:r>
        <w:t xml:space="preserve">; </w:t>
      </w:r>
      <w:hyperlink w:anchor="ref-Buckley2006">
        <w:r>
          <w:rPr>
            <w:rStyle w:val="Hyperlink"/>
          </w:rPr>
          <w:t>Buckley et al., 2006</w:t>
        </w:r>
      </w:hyperlink>
      <w:r>
        <w:t xml:space="preserve">; </w:t>
      </w:r>
      <w:hyperlink w:anchor="ref-Montgomery2010">
        <w:r>
          <w:rPr>
            <w:rStyle w:val="Hyperlink"/>
          </w:rPr>
          <w:t>Montgomery et al., 2010</w:t>
        </w:r>
      </w:hyperlink>
      <w:r>
        <w:t>). A potential explanation is that clinicians in training are highly supervised and may therefore: (i) be less likely to ‘therapeutically drift’ (</w:t>
      </w:r>
      <w:hyperlink w:anchor="ref-Waller2016">
        <w:r>
          <w:rPr>
            <w:rStyle w:val="Hyperlink"/>
          </w:rPr>
          <w:t>Waller &amp; Turner, 2016</w:t>
        </w:r>
      </w:hyperlink>
      <w:r>
        <w:t>) from the identified therapeutic model, (ii) receive more up-to-date training on evidence-based approaches; and (iii) more readily engage in deliberate skills practice. It is not clear however why this would apply to anxiety conditions but not miscellaneous outcomes. The current study failed to find support for dosage, sample size, gender, type of analysis, ethnicity, stage of study development, age, or publication as moderators of effect size.</w:t>
      </w:r>
    </w:p>
    <w:p w14:paraId="046B4CD7" w14:textId="77777777" w:rsidR="0016079D" w:rsidRDefault="00B23CA6">
      <w:pPr>
        <w:pStyle w:val="Heading2"/>
      </w:pPr>
      <w:bookmarkStart w:id="20" w:name="limitations"/>
      <w:bookmarkEnd w:id="19"/>
      <w:r>
        <w:t>Limitations</w:t>
      </w:r>
    </w:p>
    <w:p w14:paraId="236F8B08" w14:textId="77777777" w:rsidR="0016079D" w:rsidRDefault="00B23CA6">
      <w:pPr>
        <w:pStyle w:val="FirstParagraph"/>
      </w:pPr>
      <w:r>
        <w:t>Perhaps the most notable critique of this review is that it it based exclusively upon observational evidence (i.e., no control group or randomization). The absence of comparison conditions means that we are unable to rule out alternative explanations for observed effect-sizes such as placebo or natural recovery (</w:t>
      </w:r>
      <w:hyperlink w:anchor="ref-Posternak2001">
        <w:r>
          <w:rPr>
            <w:rStyle w:val="Hyperlink"/>
          </w:rPr>
          <w:t>Posternak &amp; Miller, 2001</w:t>
        </w:r>
      </w:hyperlink>
      <w:r>
        <w:t xml:space="preserve">; </w:t>
      </w:r>
      <w:hyperlink w:anchor="ref-Whiteford2012">
        <w:r>
          <w:rPr>
            <w:rStyle w:val="Hyperlink"/>
          </w:rPr>
          <w:t>Whiteford et al., 2012</w:t>
        </w:r>
      </w:hyperlink>
      <w:r>
        <w:t>).</w:t>
      </w:r>
    </w:p>
    <w:p w14:paraId="09356ADB" w14:textId="3F0914A2" w:rsidR="0016079D" w:rsidRDefault="00B23CA6">
      <w:pPr>
        <w:pStyle w:val="BodyText"/>
      </w:pPr>
      <w:r>
        <w:t>A key design limitation surrounds statistical dependency. Efforts to avoid statistical dependency included: (i) taking one sample measure per domain, (ii) aggregating multiple unique study samples within a single domain, and (iii) extracting one measurement tool per study, per construct (i.e., preference system). These approaches have known limitations (</w:t>
      </w:r>
      <w:hyperlink w:anchor="ref-Borenstein2021">
        <w:r>
          <w:rPr>
            <w:rStyle w:val="Hyperlink"/>
          </w:rPr>
          <w:t>Borenstein et al., 2021</w:t>
        </w:r>
      </w:hyperlink>
      <w:r>
        <w:t xml:space="preserve">; </w:t>
      </w:r>
      <w:hyperlink w:anchor="ref-Hoyt2018">
        <w:r>
          <w:rPr>
            <w:rStyle w:val="Hyperlink"/>
          </w:rPr>
          <w:t>Hoyt &amp; Del Re, 2018</w:t>
        </w:r>
      </w:hyperlink>
      <w:r>
        <w:t xml:space="preserve">; </w:t>
      </w:r>
      <w:hyperlink w:anchor="ref-VandenNoortgate2013a">
        <w:r>
          <w:rPr>
            <w:rStyle w:val="Hyperlink"/>
          </w:rPr>
          <w:t>Van den Noortgate et al., 2013</w:t>
        </w:r>
      </w:hyperlink>
      <w:r>
        <w:t xml:space="preserve">). A more </w:t>
      </w:r>
      <w:r w:rsidR="00C77050">
        <w:t>sufficient</w:t>
      </w:r>
      <w:r>
        <w:t xml:space="preserve"> approach would have been to model dependency using a multi-level analysis (</w:t>
      </w:r>
      <w:hyperlink w:anchor="ref-VandenNoortgate2013a">
        <w:r>
          <w:rPr>
            <w:rStyle w:val="Hyperlink"/>
          </w:rPr>
          <w:t>Van den Noortgate et al., 2013</w:t>
        </w:r>
      </w:hyperlink>
      <w:r>
        <w:t xml:space="preserve">, </w:t>
      </w:r>
      <w:hyperlink w:anchor="ref-VandenNoortgate2015">
        <w:r>
          <w:rPr>
            <w:rStyle w:val="Hyperlink"/>
          </w:rPr>
          <w:t>2015</w:t>
        </w:r>
      </w:hyperlink>
      <w:r>
        <w:t>) and should be considered for replications.</w:t>
      </w:r>
    </w:p>
    <w:p w14:paraId="615108D5" w14:textId="5AA015BE" w:rsidR="0016079D" w:rsidRDefault="00B23CA6">
      <w:pPr>
        <w:pStyle w:val="BodyText"/>
      </w:pPr>
      <w:r>
        <w:lastRenderedPageBreak/>
        <w:t>An additional limitation is that bias was not sufficiently assessed. It became apparent during the review stage that the RoB tool ha</w:t>
      </w:r>
      <w:r w:rsidR="0071058D">
        <w:t>d</w:t>
      </w:r>
      <w:r>
        <w:t xml:space="preserve"> significant limitations; that it is primarily auditing manuscript reporting detail and not necessarily </w:t>
      </w:r>
      <w:r w:rsidR="0071058D">
        <w:t xml:space="preserve">assessing </w:t>
      </w:r>
      <w:r>
        <w:t xml:space="preserve">risk of bias. In the absence of a sufficient assessment of RoB we could not determine the degree to which bias may have influenced results. Future reviews of effectiveness should strive to use the most appropriate RoB tool available (see </w:t>
      </w:r>
      <w:hyperlink w:anchor="ref-Munder2018">
        <w:r>
          <w:rPr>
            <w:rStyle w:val="Hyperlink"/>
          </w:rPr>
          <w:t>Munder &amp; Barth, 2018</w:t>
        </w:r>
      </w:hyperlink>
      <w:r>
        <w:t>).</w:t>
      </w:r>
    </w:p>
    <w:p w14:paraId="7CCCB2D6" w14:textId="621BE733" w:rsidR="0016079D" w:rsidRDefault="00B23CA6">
      <w:pPr>
        <w:pStyle w:val="BodyText"/>
      </w:pPr>
      <w:r>
        <w:t>Due to resource constraints</w:t>
      </w:r>
      <w:r w:rsidR="0071058D">
        <w:t>,</w:t>
      </w:r>
      <w:r>
        <w:t xml:space="preserve"> the systematic search</w:t>
      </w:r>
      <w:r w:rsidR="0071058D">
        <w:t>,</w:t>
      </w:r>
      <w:r>
        <w:t xml:space="preserve"> data extraction and RoB ratings were not performed in duplicate. For the subsample of full texts screened by two coders there was a strong, but not perfect agreement/ reliability (80%, </w:t>
      </w:r>
      <m:oMath>
        <m:r>
          <w:rPr>
            <w:rFonts w:ascii="Cambria Math" w:hAnsi="Cambria Math"/>
          </w:rPr>
          <m:t>κ</m:t>
        </m:r>
      </m:oMath>
      <w:r>
        <w:t xml:space="preserve"> = 0.65). There is subsequently </w:t>
      </w:r>
      <w:r w:rsidR="0071058D">
        <w:t xml:space="preserve">certainty that </w:t>
      </w:r>
      <w:r>
        <w:t>several studies screened only once will have been incorrectly excluded. Future reviews should follow best practice guidelines of screening in duplicate (</w:t>
      </w:r>
      <w:hyperlink w:anchor="ref-Polanin2019">
        <w:r>
          <w:rPr>
            <w:rStyle w:val="Hyperlink"/>
          </w:rPr>
          <w:t>Polanin et al., 2019</w:t>
        </w:r>
      </w:hyperlink>
      <w:r>
        <w:t>). Similarly, not extracting data or assessing RoB in duplicate is problematic due to risk of unreliable estimates of treatment effect and RoB (</w:t>
      </w:r>
      <w:hyperlink w:anchor="ref-Armijo-Olivo2014">
        <w:r>
          <w:rPr>
            <w:rStyle w:val="Hyperlink"/>
          </w:rPr>
          <w:t>Armijo-Olivo et al., 2014</w:t>
        </w:r>
      </w:hyperlink>
      <w:r>
        <w:t xml:space="preserve">). An additional limitation surrounds coding decisions </w:t>
      </w:r>
      <w:r w:rsidR="0071058D">
        <w:t>for</w:t>
      </w:r>
      <w:r>
        <w:t xml:space="preserve"> moderator variables. Therapy modality was coded from manuscript self-definition. The degree to which treatments </w:t>
      </w:r>
      <w:r w:rsidR="0071058D">
        <w:t>truly resembled</w:t>
      </w:r>
      <w:r>
        <w:t xml:space="preserve"> treatment code (or treatment intended) is not clear. It was also apparent during extraction that very few practice-based studies report fidelity/adherence checks. As this becomes more routinely reported opportunities for modelling differences based on fidelity/adherence will become available.</w:t>
      </w:r>
    </w:p>
    <w:p w14:paraId="53F5A551" w14:textId="77777777" w:rsidR="0016079D" w:rsidRDefault="00B23CA6">
      <w:pPr>
        <w:pStyle w:val="BodyText"/>
      </w:pPr>
      <w:r>
        <w:t xml:space="preserve">The search strategy used in this review, although produced many results, is unlikely to have identified every available study. Search terms were based on prior reviews and omitted several terms that were found to produce an unmanageable number of hits (e.g., “effectiveness,” “evaluation”). Despite this we feel that the current reviews gives an adequate range and depth of </w:t>
      </w:r>
      <w:r>
        <w:lastRenderedPageBreak/>
        <w:t>effectiveness research with which to make tentative interpretations regarding the field of psychotherapy effectiveness research.</w:t>
      </w:r>
    </w:p>
    <w:p w14:paraId="11D3EBB8" w14:textId="6E0EE8D5" w:rsidR="0016079D" w:rsidRDefault="00B23CA6">
      <w:pPr>
        <w:pStyle w:val="BodyText"/>
      </w:pPr>
      <w:r>
        <w:t>A further caveat is the decision to focus exclusively on self-report measures of effectiveness. Meta-analytic evidence has demonstrated significant differences between self-report and clinician rated measures of clinical improvement (</w:t>
      </w:r>
      <w:proofErr w:type="spellStart"/>
      <w:r>
        <w:fldChar w:fldCharType="begin"/>
      </w:r>
      <w:r>
        <w:instrText xml:space="preserve"> HYPERLINK \l "ref-Cuijpers2010a" \h </w:instrText>
      </w:r>
      <w:r>
        <w:fldChar w:fldCharType="separate"/>
      </w:r>
      <w:r>
        <w:rPr>
          <w:rStyle w:val="Hyperlink"/>
        </w:rPr>
        <w:t>Cuijpers</w:t>
      </w:r>
      <w:proofErr w:type="spellEnd"/>
      <w:r>
        <w:rPr>
          <w:rStyle w:val="Hyperlink"/>
        </w:rPr>
        <w:t xml:space="preserve"> et al., 2010</w:t>
      </w:r>
      <w:r>
        <w:rPr>
          <w:rStyle w:val="Hyperlink"/>
        </w:rPr>
        <w:fldChar w:fldCharType="end"/>
      </w:r>
      <w:r>
        <w:t>). Future research is therefore needed to see if the pooled effect-sizes from this study are consistent with clinician rated measures of effectiveness in routine settings.</w:t>
      </w:r>
    </w:p>
    <w:p w14:paraId="0A06BCC7" w14:textId="77777777" w:rsidR="0016079D" w:rsidRDefault="00B23CA6">
      <w:pPr>
        <w:pStyle w:val="Heading2"/>
      </w:pPr>
      <w:bookmarkStart w:id="21" w:name="X9345910a78a7f8b889db834485a476d2ea40d9d"/>
      <w:bookmarkEnd w:id="20"/>
      <w:r>
        <w:t>Implications for Research, Policy &amp; Practice</w:t>
      </w:r>
    </w:p>
    <w:p w14:paraId="3F84C3FB" w14:textId="77777777" w:rsidR="0016079D" w:rsidRDefault="00B23CA6">
      <w:pPr>
        <w:pStyle w:val="FirstParagraph"/>
      </w:pPr>
      <w:r>
        <w:t>To provide further understanding around the effectiveness of routinely delivered therapy future research should: (a) include fidelity and competency measures to confirm whether treatments delivered resembled treatment intended; (b) routinely assess outcomes at follow-up to establish maintenance of gains; (c) provide greater representation of therapy outcomes from non-western countries/services; and (d) explore variability in outcome between clinicians.</w:t>
      </w:r>
    </w:p>
    <w:p w14:paraId="635F5C08" w14:textId="77777777" w:rsidR="0016079D" w:rsidRDefault="00B23CA6">
      <w:pPr>
        <w:pStyle w:val="BodyText"/>
      </w:pPr>
      <w:r>
        <w:t xml:space="preserve">In terms of policy and practice, the following implications are considered. First, the need for development of reporting standards for practice-based evidence. The marked variation in how studies report details around the sample and intervention make comparisons and replication difficult. For example ethnicity rates were only reported for 127 samples (42.62%). This prevents accurate calculation of ethnicity rates across services/studies. Simply calculating the average rate of representation across those studies which do report statistics is not a valid approach as it is does not account for why studies omit ethnicity rates. Potential reasons include clinician/researcher oversight in reporting, or alternatively a marked lack of ethnic representation/access in these services/studies. There was also a lack of endeavor from studies to </w:t>
      </w:r>
      <w:r>
        <w:lastRenderedPageBreak/>
        <w:t>contextualize demographic utilization rates in terms of how representative they are of the populations/communities that they are intended to serve. Future practice-based studies of therapy effectiveness should routinely report all relevant rates of patient demographics and also quantify how proportionate they are of communities served.</w:t>
      </w:r>
    </w:p>
    <w:p w14:paraId="5C5A95AB" w14:textId="77777777" w:rsidR="0016079D" w:rsidRDefault="00B23CA6">
      <w:pPr>
        <w:pStyle w:val="BodyText"/>
      </w:pPr>
      <w:r>
        <w:t>Second, this study found no evidence of differential outcome based on ethnicity, age, or marital status through meta-regression. This provides further support for the need to provide fair and equitable access of psycholotherapy across the dimensions of age, ethnicity and marital status as there is no evidence that they impede effectiveness.</w:t>
      </w:r>
    </w:p>
    <w:p w14:paraId="1A2C9724" w14:textId="7F0176A6" w:rsidR="0016079D" w:rsidRDefault="00B23CA6">
      <w:pPr>
        <w:pStyle w:val="BodyText"/>
      </w:pPr>
      <w:r>
        <w:t xml:space="preserve">Third, routine recording of outcomes maintained at follow-up points should be enabled through necessary service commissioning of follow-up reviews/assessments. The body of evidence presented here concerns improvements made at the end of treatment. While follow-up was not </w:t>
      </w:r>
      <w:r w:rsidR="000A2545">
        <w:t>the focus of this</w:t>
      </w:r>
      <w:r>
        <w:t xml:space="preserve"> review, it was frequently apparent to reviewers that follow-up was rarely reported within studies. This information is necessary to determine the durability of improvements made during treatment.</w:t>
      </w:r>
    </w:p>
    <w:p w14:paraId="3BAF07A3" w14:textId="77777777" w:rsidR="0016079D" w:rsidRDefault="00B23CA6">
      <w:pPr>
        <w:pStyle w:val="BodyText"/>
      </w:pPr>
      <w:r>
        <w:t>Fourth, in light of differential outcomes demonstrated between qualified and unqualified clinicians (e.g. unqualified producing greater outcomes for anxiety) a review of training needs may be required for clinicians at different levels of experience.</w:t>
      </w:r>
    </w:p>
    <w:p w14:paraId="44C4BD99" w14:textId="77777777" w:rsidR="0016079D" w:rsidRDefault="00B23CA6">
      <w:pPr>
        <w:pStyle w:val="Heading2"/>
      </w:pPr>
      <w:bookmarkStart w:id="22" w:name="conclusion"/>
      <w:bookmarkEnd w:id="21"/>
      <w:r>
        <w:t>Conclusion</w:t>
      </w:r>
    </w:p>
    <w:p w14:paraId="4AAA7810" w14:textId="77777777" w:rsidR="0016079D" w:rsidRDefault="00B23CA6">
      <w:pPr>
        <w:pStyle w:val="FirstParagraph"/>
      </w:pPr>
      <w:r>
        <w:t xml:space="preserve">This review provides substantial support for the effectiveness of psychological therapy as delivered in routine settings across a range of outcomes. A key limitation of this review, and potentially the wider literature is the highly western-centric representation and reliance upon observational pre-post study designs. Nevertheless, for patients seeking help for psychological </w:t>
      </w:r>
      <w:r>
        <w:lastRenderedPageBreak/>
        <w:t>distress in routine services, there is growing evidence that interventions provided are clinically effective. The challenge for routine service delivery and associated effectiveness research is now to demonstrate the durability of this acute phase effect.</w:t>
      </w:r>
    </w:p>
    <w:p w14:paraId="08CCE3B8" w14:textId="77777777" w:rsidR="0016079D" w:rsidRDefault="00B23CA6">
      <w:r>
        <w:br w:type="page"/>
      </w:r>
    </w:p>
    <w:p w14:paraId="3748BE85" w14:textId="77777777" w:rsidR="0016079D" w:rsidRDefault="00B23CA6">
      <w:pPr>
        <w:pStyle w:val="Heading1"/>
      </w:pPr>
      <w:bookmarkStart w:id="23" w:name="references"/>
      <w:bookmarkEnd w:id="18"/>
      <w:bookmarkEnd w:id="22"/>
      <w:r>
        <w:lastRenderedPageBreak/>
        <w:t>References</w:t>
      </w:r>
    </w:p>
    <w:p w14:paraId="7CC1C263" w14:textId="77777777" w:rsidR="0016079D" w:rsidRDefault="00B23CA6">
      <w:pPr>
        <w:pStyle w:val="Bibliography"/>
      </w:pPr>
      <w:bookmarkStart w:id="24" w:name="refs"/>
      <w:r>
        <w:t xml:space="preserve">Addis, M. E., &amp; Krasnow, A. D. (2000). A national survey of practicing psychologists’ attitudes toward psychotherapy treatment manuals. </w:t>
      </w:r>
      <w:r>
        <w:rPr>
          <w:i/>
        </w:rPr>
        <w:t>Journal of Consulting and Clinical Psychology</w:t>
      </w:r>
      <w:r>
        <w:t xml:space="preserve">, </w:t>
      </w:r>
      <w:r>
        <w:rPr>
          <w:i/>
        </w:rPr>
        <w:t>68</w:t>
      </w:r>
      <w:r>
        <w:t xml:space="preserve">(2), 331–339. </w:t>
      </w:r>
      <w:hyperlink r:id="rId17">
        <w:r>
          <w:rPr>
            <w:rStyle w:val="Hyperlink"/>
          </w:rPr>
          <w:t>https://doi.org/10.1037/0022-006X.68.2.331</w:t>
        </w:r>
      </w:hyperlink>
    </w:p>
    <w:p w14:paraId="55DC0185" w14:textId="77777777" w:rsidR="0016079D" w:rsidRDefault="00B23CA6">
      <w:pPr>
        <w:pStyle w:val="Bibliography"/>
      </w:pPr>
      <w:bookmarkStart w:id="25" w:name="ref-APA2006"/>
      <w:r>
        <w:t xml:space="preserve">APA. (2006). Evidence-based practice in psychology. </w:t>
      </w:r>
      <w:r>
        <w:rPr>
          <w:i/>
        </w:rPr>
        <w:t>Presidential Task Force on Evidence-Based Practice. American Psychologist</w:t>
      </w:r>
      <w:r>
        <w:t xml:space="preserve">, </w:t>
      </w:r>
      <w:r>
        <w:rPr>
          <w:i/>
        </w:rPr>
        <w:t>61</w:t>
      </w:r>
      <w:r>
        <w:t xml:space="preserve">, 271–285. </w:t>
      </w:r>
      <w:hyperlink r:id="rId18">
        <w:r>
          <w:rPr>
            <w:rStyle w:val="Hyperlink"/>
          </w:rPr>
          <w:t>https://doi.org/www.apa.org/pubs/journals/features/evidence-based-statement.pdf</w:t>
        </w:r>
      </w:hyperlink>
    </w:p>
    <w:p w14:paraId="7433326A" w14:textId="77777777" w:rsidR="0016079D" w:rsidRDefault="00B23CA6">
      <w:pPr>
        <w:pStyle w:val="Bibliography"/>
      </w:pPr>
      <w:bookmarkStart w:id="26" w:name="ref-Armijo-Olivo2014"/>
      <w:bookmarkEnd w:id="25"/>
      <w:r>
        <w:t xml:space="preserve">Armijo-Olivo, S., Ospina, M., Costa, B. R. da, Egger, M., Saltaji, H., Fuentes, J., Ha, C., &amp; Cummings, G. G. (2014). Poor Reliability between Cochrane Reviewers and Blinded External Reviewers When Applying the Cochrane Risk of Bias Tool in Physical Therapy Trials. </w:t>
      </w:r>
      <w:r>
        <w:rPr>
          <w:i/>
        </w:rPr>
        <w:t>PLOS ONE</w:t>
      </w:r>
      <w:r>
        <w:t xml:space="preserve">, </w:t>
      </w:r>
      <w:r>
        <w:rPr>
          <w:i/>
        </w:rPr>
        <w:t>9</w:t>
      </w:r>
      <w:r>
        <w:t xml:space="preserve">(5), e96920. </w:t>
      </w:r>
      <w:hyperlink r:id="rId19">
        <w:r>
          <w:rPr>
            <w:rStyle w:val="Hyperlink"/>
          </w:rPr>
          <w:t>https://doi.org/10.1371/journal.pone.0096920</w:t>
        </w:r>
      </w:hyperlink>
    </w:p>
    <w:p w14:paraId="6B220A4F" w14:textId="77777777" w:rsidR="0016079D" w:rsidRDefault="00B23CA6">
      <w:pPr>
        <w:pStyle w:val="Bibliography"/>
      </w:pPr>
      <w:bookmarkStart w:id="27" w:name="ref-Balk2012"/>
      <w:bookmarkEnd w:id="26"/>
      <w:r>
        <w:t xml:space="preserve">Balk, E. M., Earley, A., Patel, K., Trikalinos, T. A., &amp; Dahabreh, I. J. (2012). Empirical assessment of within-arm correlation imputation in trials of continuous outcomes. </w:t>
      </w:r>
      <w:r>
        <w:rPr>
          <w:i/>
        </w:rPr>
        <w:t>Methods Research Reports</w:t>
      </w:r>
      <w:r>
        <w:t xml:space="preserve">, </w:t>
      </w:r>
      <w:r>
        <w:rPr>
          <w:i/>
        </w:rPr>
        <w:t>12</w:t>
      </w:r>
      <w:r>
        <w:t>(13).</w:t>
      </w:r>
    </w:p>
    <w:p w14:paraId="57F28937" w14:textId="77777777" w:rsidR="0016079D" w:rsidRDefault="00B23CA6">
      <w:pPr>
        <w:pStyle w:val="Bibliography"/>
      </w:pPr>
      <w:bookmarkStart w:id="28" w:name="ref-Barkham2001a"/>
      <w:bookmarkEnd w:id="27"/>
      <w:proofErr w:type="spellStart"/>
      <w:r>
        <w:t>Barkham</w:t>
      </w:r>
      <w:proofErr w:type="spellEnd"/>
      <w:r>
        <w:t xml:space="preserve">, M., Margison, F., Leach, C., Lucock, M., Mellor-Clark, J., Evans, C., Benson, L., Connell, J., Audin, K., &amp; McGrath, G. (2001). Service profiling and outcomes benchmarking using the CORE-OM: Toward practice-based evidence in the psychological therapies. </w:t>
      </w:r>
      <w:r>
        <w:rPr>
          <w:i/>
        </w:rPr>
        <w:t>Journal of Consulting and Clinical Psychology</w:t>
      </w:r>
      <w:r>
        <w:t xml:space="preserve">, </w:t>
      </w:r>
      <w:r>
        <w:rPr>
          <w:i/>
        </w:rPr>
        <w:t>69</w:t>
      </w:r>
      <w:r>
        <w:t xml:space="preserve">(2), 184–196. </w:t>
      </w:r>
      <w:hyperlink r:id="rId20">
        <w:r>
          <w:rPr>
            <w:rStyle w:val="Hyperlink"/>
          </w:rPr>
          <w:t>https://doi.org/10.1037/0022-006X.69.2.184</w:t>
        </w:r>
      </w:hyperlink>
    </w:p>
    <w:p w14:paraId="0E86EE6E" w14:textId="77777777" w:rsidR="0016079D" w:rsidRDefault="00B23CA6">
      <w:pPr>
        <w:pStyle w:val="Bibliography"/>
      </w:pPr>
      <w:bookmarkStart w:id="29" w:name="ref-Barkham2010b"/>
      <w:bookmarkEnd w:id="28"/>
      <w:r>
        <w:t xml:space="preserve">Barkham, M., Stiles, W. B., Lambert, M. J., &amp; Mellor-Clark, J. (2010). Building a rigorous and relevant knowledge base for the psychological therapies. In M. Barkham, G. E. Hardy, &amp; </w:t>
      </w:r>
      <w:r>
        <w:lastRenderedPageBreak/>
        <w:t xml:space="preserve">J. Mellor-Clark (Eds.), </w:t>
      </w:r>
      <w:r>
        <w:rPr>
          <w:i/>
        </w:rPr>
        <w:t>Developing and Delivering Practice-Based Evidence</w:t>
      </w:r>
      <w:r>
        <w:t xml:space="preserve"> (pp. 21–61). John Wiley &amp; Sons Ltd. </w:t>
      </w:r>
      <w:hyperlink r:id="rId21">
        <w:r>
          <w:rPr>
            <w:rStyle w:val="Hyperlink"/>
          </w:rPr>
          <w:t>https://doi.org/10.1002/9780470687994.ch2</w:t>
        </w:r>
      </w:hyperlink>
    </w:p>
    <w:p w14:paraId="6975B791" w14:textId="77777777" w:rsidR="0016079D" w:rsidRDefault="00B23CA6">
      <w:pPr>
        <w:pStyle w:val="Bibliography"/>
      </w:pPr>
      <w:bookmarkStart w:id="30" w:name="ref-Barth2013a"/>
      <w:bookmarkEnd w:id="29"/>
      <w:r>
        <w:t xml:space="preserve">Barth, J., Munder, T., Gerger, H., Nüesch, E., Trelle, S., Znoj, H., Jüni, P., &amp; Cuijpers, P. (2013). Comparative efficacy of seven psychotherapeutic interventions for patients with depression: A network meta-analysis. </w:t>
      </w:r>
      <w:r>
        <w:rPr>
          <w:i/>
        </w:rPr>
        <w:t>PLoS Medicine</w:t>
      </w:r>
      <w:r>
        <w:t xml:space="preserve">, </w:t>
      </w:r>
      <w:r>
        <w:rPr>
          <w:i/>
        </w:rPr>
        <w:t>10</w:t>
      </w:r>
      <w:r>
        <w:t xml:space="preserve">(5), e1001454. </w:t>
      </w:r>
      <w:hyperlink r:id="rId22">
        <w:r>
          <w:rPr>
            <w:rStyle w:val="Hyperlink"/>
          </w:rPr>
          <w:t>https://doi.org/10.1371/journal.pmed.1001454</w:t>
        </w:r>
      </w:hyperlink>
    </w:p>
    <w:p w14:paraId="64102C10" w14:textId="77777777" w:rsidR="0016079D" w:rsidRDefault="00B23CA6">
      <w:pPr>
        <w:pStyle w:val="Bibliography"/>
      </w:pPr>
      <w:bookmarkStart w:id="31" w:name="ref-Becker1988"/>
      <w:bookmarkEnd w:id="30"/>
      <w:r>
        <w:t xml:space="preserve">Becker, B. J. (1988). Synthesizing standardized mean-change measures. </w:t>
      </w:r>
      <w:r>
        <w:rPr>
          <w:i/>
        </w:rPr>
        <w:t>British Journal of Mathematical &amp; Statistical Psychology</w:t>
      </w:r>
      <w:r>
        <w:t xml:space="preserve">, </w:t>
      </w:r>
      <w:r>
        <w:rPr>
          <w:i/>
        </w:rPr>
        <w:t>41</w:t>
      </w:r>
      <w:r>
        <w:t xml:space="preserve">(2), 257–278. </w:t>
      </w:r>
      <w:hyperlink r:id="rId23">
        <w:r>
          <w:rPr>
            <w:rStyle w:val="Hyperlink"/>
          </w:rPr>
          <w:t>https://doi.org/10.1111/j.2044-8317.1988.tb00901</w:t>
        </w:r>
      </w:hyperlink>
    </w:p>
    <w:p w14:paraId="5B773B5A" w14:textId="77777777" w:rsidR="0016079D" w:rsidRDefault="00B23CA6">
      <w:pPr>
        <w:pStyle w:val="Bibliography"/>
      </w:pPr>
      <w:bookmarkStart w:id="32" w:name="ref-Begg1994"/>
      <w:bookmarkEnd w:id="31"/>
      <w:r>
        <w:t xml:space="preserve">Begg, C. B., &amp; Mazumdar, M. (1994). Operating characteristics of a rank correlation test for publication bias. </w:t>
      </w:r>
      <w:r>
        <w:rPr>
          <w:i/>
        </w:rPr>
        <w:t>Biometrics</w:t>
      </w:r>
      <w:r>
        <w:t xml:space="preserve">, </w:t>
      </w:r>
      <w:r>
        <w:rPr>
          <w:i/>
        </w:rPr>
        <w:t>50</w:t>
      </w:r>
      <w:r>
        <w:t xml:space="preserve">(4), 1088–1101. </w:t>
      </w:r>
      <w:hyperlink r:id="rId24">
        <w:r>
          <w:rPr>
            <w:rStyle w:val="Hyperlink"/>
          </w:rPr>
          <w:t>https://doi.org/10.2307/2533446</w:t>
        </w:r>
      </w:hyperlink>
    </w:p>
    <w:p w14:paraId="082CC7DC" w14:textId="77777777" w:rsidR="0016079D" w:rsidRDefault="00B23CA6">
      <w:pPr>
        <w:pStyle w:val="Bibliography"/>
      </w:pPr>
      <w:bookmarkStart w:id="33" w:name="ref-Boer2005"/>
      <w:bookmarkEnd w:id="32"/>
      <w:r>
        <w:t xml:space="preserve">Boer, P., Wiersma, D., Russo, S., &amp; Bosch, R. P. (2005). Cognitive self-therapy: A contribution to long-term treatment of depression and anxiety. </w:t>
      </w:r>
      <w:r>
        <w:rPr>
          <w:i/>
        </w:rPr>
        <w:t>Cochrane Database for Systematic Reviews</w:t>
      </w:r>
      <w:r>
        <w:t xml:space="preserve">, </w:t>
      </w:r>
      <w:r>
        <w:rPr>
          <w:i/>
        </w:rPr>
        <w:t>2</w:t>
      </w:r>
      <w:r>
        <w:t>.</w:t>
      </w:r>
    </w:p>
    <w:p w14:paraId="38FC066F" w14:textId="77777777" w:rsidR="0016079D" w:rsidRDefault="00B23CA6">
      <w:pPr>
        <w:pStyle w:val="Bibliography"/>
      </w:pPr>
      <w:bookmarkStart w:id="34" w:name="ref-Borenstein2021"/>
      <w:bookmarkEnd w:id="33"/>
      <w:r>
        <w:t xml:space="preserve">Borenstein, M., Hedges, L. V., Higgins, J. P. T., &amp; Rothstein, H. R. (2021). </w:t>
      </w:r>
      <w:r>
        <w:rPr>
          <w:i/>
        </w:rPr>
        <w:t>Introduction to Meta-Analysis</w:t>
      </w:r>
      <w:r>
        <w:t>. John Wiley &amp; Sons.</w:t>
      </w:r>
    </w:p>
    <w:p w14:paraId="378F9D0D" w14:textId="77777777" w:rsidR="0016079D" w:rsidRDefault="00B23CA6">
      <w:pPr>
        <w:pStyle w:val="Bibliography"/>
      </w:pPr>
      <w:bookmarkStart w:id="35" w:name="ref-Buckley2006"/>
      <w:bookmarkEnd w:id="34"/>
      <w:r>
        <w:t xml:space="preserve">Buckley, J. V., Newman, D. W., Kellett, S., &amp; Beail, N. (2006). A naturalistic comparison of the effectiveness of trainee and qualified clinical psychologists. </w:t>
      </w:r>
      <w:r>
        <w:rPr>
          <w:i/>
        </w:rPr>
        <w:t>Psychology and Psychotherapy: Theory, Research and Practice</w:t>
      </w:r>
      <w:r>
        <w:t xml:space="preserve">, </w:t>
      </w:r>
      <w:r>
        <w:rPr>
          <w:i/>
        </w:rPr>
        <w:t>79</w:t>
      </w:r>
      <w:r>
        <w:t xml:space="preserve">(1), 137–144. </w:t>
      </w:r>
      <w:hyperlink r:id="rId25">
        <w:r>
          <w:rPr>
            <w:rStyle w:val="Hyperlink"/>
          </w:rPr>
          <w:t>https://doi.org/10.1348/147608305X52595</w:t>
        </w:r>
      </w:hyperlink>
    </w:p>
    <w:p w14:paraId="1B88D590" w14:textId="77777777" w:rsidR="0016079D" w:rsidRDefault="00B23CA6">
      <w:pPr>
        <w:pStyle w:val="Bibliography"/>
      </w:pPr>
      <w:bookmarkStart w:id="36" w:name="ref-Cahill2010"/>
      <w:bookmarkEnd w:id="35"/>
      <w:r>
        <w:lastRenderedPageBreak/>
        <w:t xml:space="preserve">Cahill, J., Barkham, M., &amp; Stiles, W. (2010). Systematic review of practice-based research on psychological therapies in routine clinic settings. </w:t>
      </w:r>
      <w:r>
        <w:rPr>
          <w:i/>
        </w:rPr>
        <w:t>The British Journal of Clinical Psychology</w:t>
      </w:r>
      <w:r>
        <w:t xml:space="preserve">, </w:t>
      </w:r>
      <w:r>
        <w:rPr>
          <w:i/>
        </w:rPr>
        <w:t>49</w:t>
      </w:r>
      <w:r>
        <w:t xml:space="preserve">(4), 421–453. </w:t>
      </w:r>
      <w:hyperlink r:id="rId26">
        <w:r>
          <w:rPr>
            <w:rStyle w:val="Hyperlink"/>
          </w:rPr>
          <w:t>https://doi.org/10.1348/014466509X470789</w:t>
        </w:r>
      </w:hyperlink>
    </w:p>
    <w:p w14:paraId="6B75C6FB" w14:textId="77777777" w:rsidR="0016079D" w:rsidRDefault="00B23CA6">
      <w:pPr>
        <w:pStyle w:val="Bibliography"/>
      </w:pPr>
      <w:bookmarkStart w:id="37" w:name="ref-Card2015"/>
      <w:bookmarkEnd w:id="36"/>
      <w:r>
        <w:t xml:space="preserve">Card, N. A. (2015). </w:t>
      </w:r>
      <w:r>
        <w:rPr>
          <w:i/>
        </w:rPr>
        <w:t>Applied Meta-Analysis for Social Science Research</w:t>
      </w:r>
      <w:r>
        <w:t>. Guilford Publications.</w:t>
      </w:r>
    </w:p>
    <w:p w14:paraId="205F8AF0" w14:textId="77777777" w:rsidR="0016079D" w:rsidRDefault="00B23CA6">
      <w:pPr>
        <w:pStyle w:val="Bibliography"/>
      </w:pPr>
      <w:bookmarkStart w:id="38" w:name="ref-Carpenter2018"/>
      <w:bookmarkEnd w:id="37"/>
      <w:r>
        <w:t xml:space="preserve">Carpenter, J. K., Andrews, L. A., Witcraft, S. M., Powers, M. B., Smits, J. A. J., &amp; Hofmann, S. G. (2018). Cognitive behavioral therapy for anxiety and related disorders: A meta-analysis of randomized placebo-controlled trials. </w:t>
      </w:r>
      <w:r>
        <w:rPr>
          <w:i/>
        </w:rPr>
        <w:t>Depression and Anxiety</w:t>
      </w:r>
      <w:r>
        <w:t xml:space="preserve">, </w:t>
      </w:r>
      <w:r>
        <w:rPr>
          <w:i/>
        </w:rPr>
        <w:t>35</w:t>
      </w:r>
      <w:r>
        <w:t xml:space="preserve">(6), 502–514. </w:t>
      </w:r>
      <w:hyperlink r:id="rId27">
        <w:r>
          <w:rPr>
            <w:rStyle w:val="Hyperlink"/>
          </w:rPr>
          <w:t>https://doi.org/10.1002/da.22728</w:t>
        </w:r>
      </w:hyperlink>
    </w:p>
    <w:p w14:paraId="7E05D534" w14:textId="7631C1A7" w:rsidR="0016079D" w:rsidRDefault="00B23CA6" w:rsidP="000A2545">
      <w:pPr>
        <w:pStyle w:val="Bibliography"/>
      </w:pPr>
      <w:bookmarkStart w:id="39" w:name="ref-Castonguay2021"/>
      <w:bookmarkEnd w:id="38"/>
      <w:r>
        <w:t xml:space="preserve">Castonguay, L. G., Barkham, M., Jeong Youn, S., &amp; Page, A. C. (2021). Practice-based evidence  findings from routine clinical settings. In M. Barkham, W. Lutz, &amp; L. G. Castonguay (Eds.), </w:t>
      </w:r>
      <w:r>
        <w:rPr>
          <w:i/>
        </w:rPr>
        <w:t>Bergin and Garfield’s Handbook of Psychotherapy and Behavior Change</w:t>
      </w:r>
      <w:r>
        <w:t xml:space="preserve"> (Seventh, pp. 191–222). Wiley.</w:t>
      </w:r>
      <w:bookmarkEnd w:id="39"/>
    </w:p>
    <w:p w14:paraId="40D13383" w14:textId="77777777" w:rsidR="0016079D" w:rsidRDefault="00B23CA6">
      <w:pPr>
        <w:pStyle w:val="Bibliography"/>
      </w:pPr>
      <w:bookmarkStart w:id="40" w:name="ref-Castonguay2013"/>
      <w:r>
        <w:t xml:space="preserve">Castonguay, L. G., Barkham, M., Lutz, W., &amp; McAleavey, A. A. (2013). Practice-oriented reserach: Approaches and applications. In M. J. Lambert (Ed.), </w:t>
      </w:r>
      <w:r>
        <w:rPr>
          <w:i/>
        </w:rPr>
        <w:t>Bergin and Garfield’s Handbook of Psychotherapy and Behavior Change</w:t>
      </w:r>
      <w:r>
        <w:t xml:space="preserve"> (Sixth, pp. 85–133). Wiley.</w:t>
      </w:r>
    </w:p>
    <w:p w14:paraId="2AC696A3" w14:textId="77777777" w:rsidR="0016079D" w:rsidRDefault="00B23CA6">
      <w:pPr>
        <w:pStyle w:val="Bibliography"/>
      </w:pPr>
      <w:bookmarkStart w:id="41" w:name="ref-Chambless1998"/>
      <w:bookmarkEnd w:id="40"/>
      <w:r>
        <w:t xml:space="preserve">Chambless, D. L., &amp; Hollon, S. D. (1998). Defining empirically supported therapies. </w:t>
      </w:r>
      <w:r>
        <w:rPr>
          <w:i/>
        </w:rPr>
        <w:t>Journal of Consulting and Clinical Psychology,</w:t>
      </w:r>
      <w:r>
        <w:t xml:space="preserve"> </w:t>
      </w:r>
      <w:r>
        <w:rPr>
          <w:i/>
        </w:rPr>
        <w:t>66</w:t>
      </w:r>
      <w:r>
        <w:t xml:space="preserve">(1), 7–18. </w:t>
      </w:r>
      <w:hyperlink r:id="rId28">
        <w:r>
          <w:rPr>
            <w:rStyle w:val="Hyperlink"/>
          </w:rPr>
          <w:t>https://doi.org/10.1037//0022-006x.66.1.7</w:t>
        </w:r>
      </w:hyperlink>
    </w:p>
    <w:bookmarkEnd w:id="41"/>
    <w:p w14:paraId="1F8DAFED" w14:textId="4EA5D990" w:rsidR="0016079D" w:rsidRDefault="00B23CA6">
      <w:pPr>
        <w:pStyle w:val="Bibliography"/>
      </w:pPr>
      <w:r>
        <w:t xml:space="preserve">Chambless, D. L., &amp; Ollendick, T. H. (2001). Empirically supported psychological interventions: Controversies and evidence. </w:t>
      </w:r>
      <w:r>
        <w:rPr>
          <w:i/>
        </w:rPr>
        <w:t xml:space="preserve">Empirically Supported Psychological Interventions: </w:t>
      </w:r>
      <w:r>
        <w:rPr>
          <w:i/>
        </w:rPr>
        <w:lastRenderedPageBreak/>
        <w:t>Controversies and Evidence</w:t>
      </w:r>
      <w:r>
        <w:t xml:space="preserve">, </w:t>
      </w:r>
      <w:r>
        <w:rPr>
          <w:i/>
        </w:rPr>
        <w:t>52</w:t>
      </w:r>
      <w:r>
        <w:t>(1), 685–716.</w:t>
      </w:r>
      <w:r w:rsidR="000A2545">
        <w:t xml:space="preserve"> </w:t>
      </w:r>
      <w:hyperlink r:id="rId29" w:history="1">
        <w:r w:rsidR="000A2545" w:rsidRPr="00212461">
          <w:rPr>
            <w:rStyle w:val="Hyperlink"/>
          </w:rPr>
          <w:t>https://doi.org/10.1146/annurev.psych.52.1.685</w:t>
        </w:r>
      </w:hyperlink>
    </w:p>
    <w:p w14:paraId="265EABB2" w14:textId="77777777" w:rsidR="0016079D" w:rsidRDefault="00B23CA6">
      <w:pPr>
        <w:pStyle w:val="Bibliography"/>
      </w:pPr>
      <w:bookmarkStart w:id="42" w:name="ref-Clark2018"/>
      <w:r>
        <w:t xml:space="preserve">Clark, D. M., Canvin, L., Green, J., Layard, R., Pilling, S., &amp; Janecka, M. (2018). Transparency about the outcomes of mental health services (IAPT approach): An analysis of public data. </w:t>
      </w:r>
      <w:r>
        <w:rPr>
          <w:i/>
        </w:rPr>
        <w:t>The Lancet</w:t>
      </w:r>
      <w:r>
        <w:t xml:space="preserve">, </w:t>
      </w:r>
      <w:r>
        <w:rPr>
          <w:i/>
        </w:rPr>
        <w:t>391</w:t>
      </w:r>
      <w:r>
        <w:t xml:space="preserve">(10121), 679–686. </w:t>
      </w:r>
      <w:hyperlink r:id="rId30">
        <w:r>
          <w:rPr>
            <w:rStyle w:val="Hyperlink"/>
          </w:rPr>
          <w:t>https://doi.org/10.1016/S0140-6736(17)32133-5</w:t>
        </w:r>
      </w:hyperlink>
    </w:p>
    <w:p w14:paraId="18ED9313" w14:textId="77777777" w:rsidR="0016079D" w:rsidRDefault="00B23CA6">
      <w:pPr>
        <w:pStyle w:val="Bibliography"/>
      </w:pPr>
      <w:bookmarkStart w:id="43" w:name="ref-Cochran1954"/>
      <w:bookmarkEnd w:id="42"/>
      <w:r>
        <w:t xml:space="preserve">Cochran, W. G. (1954). The combination of estimates from different experiments. </w:t>
      </w:r>
      <w:r>
        <w:rPr>
          <w:i/>
        </w:rPr>
        <w:t>Biometrics</w:t>
      </w:r>
      <w:r>
        <w:t xml:space="preserve">, </w:t>
      </w:r>
      <w:r>
        <w:rPr>
          <w:i/>
        </w:rPr>
        <w:t>10</w:t>
      </w:r>
      <w:r>
        <w:t xml:space="preserve">(1), 101–129. </w:t>
      </w:r>
      <w:hyperlink r:id="rId31">
        <w:r>
          <w:rPr>
            <w:rStyle w:val="Hyperlink"/>
          </w:rPr>
          <w:t>https://doi.org/10.2307/3001666</w:t>
        </w:r>
      </w:hyperlink>
    </w:p>
    <w:p w14:paraId="6D2FF759" w14:textId="77777777" w:rsidR="0016079D" w:rsidRDefault="00B23CA6">
      <w:pPr>
        <w:pStyle w:val="Bibliography"/>
      </w:pPr>
      <w:bookmarkStart w:id="44" w:name="ref-Cohen1960"/>
      <w:bookmarkEnd w:id="43"/>
      <w:r>
        <w:t xml:space="preserve">Cohen, J. (1960). A coefficient of agreement for nominal scales. </w:t>
      </w:r>
      <w:r>
        <w:rPr>
          <w:i/>
        </w:rPr>
        <w:t>Educational and Psychological Measurement</w:t>
      </w:r>
      <w:r>
        <w:t xml:space="preserve">, </w:t>
      </w:r>
      <w:r>
        <w:rPr>
          <w:i/>
        </w:rPr>
        <w:t>20</w:t>
      </w:r>
      <w:r>
        <w:t xml:space="preserve">(1), 37–46. </w:t>
      </w:r>
      <w:hyperlink r:id="rId32">
        <w:r>
          <w:rPr>
            <w:rStyle w:val="Hyperlink"/>
          </w:rPr>
          <w:t>https://doi.org/10.1177/001316446002000104</w:t>
        </w:r>
      </w:hyperlink>
    </w:p>
    <w:p w14:paraId="461C2D50" w14:textId="77777777" w:rsidR="0016079D" w:rsidRDefault="00B23CA6">
      <w:pPr>
        <w:pStyle w:val="Bibliography"/>
      </w:pPr>
      <w:bookmarkStart w:id="45" w:name="ref-Connell2007a"/>
      <w:bookmarkEnd w:id="44"/>
      <w:r>
        <w:t xml:space="preserve">Connell, J., Barkham, M., &amp; Mellor-Clark, J. (2007). CORE-OM mental health norms of students attending university counselling services benchmarked against an age-matched primary care sample. </w:t>
      </w:r>
      <w:r>
        <w:rPr>
          <w:i/>
        </w:rPr>
        <w:t>British Journal of Guidance &amp; Counselling</w:t>
      </w:r>
      <w:r>
        <w:t xml:space="preserve">, </w:t>
      </w:r>
      <w:r>
        <w:rPr>
          <w:i/>
        </w:rPr>
        <w:t>35</w:t>
      </w:r>
      <w:r>
        <w:t xml:space="preserve">(1), 41–57. </w:t>
      </w:r>
      <w:hyperlink r:id="rId33">
        <w:r>
          <w:rPr>
            <w:rStyle w:val="Hyperlink"/>
          </w:rPr>
          <w:t>https://doi.org/10.1080/03069880601106781</w:t>
        </w:r>
      </w:hyperlink>
    </w:p>
    <w:p w14:paraId="42033F1D" w14:textId="77777777" w:rsidR="0016079D" w:rsidRDefault="00B23CA6">
      <w:pPr>
        <w:pStyle w:val="Bibliography"/>
      </w:pPr>
      <w:bookmarkStart w:id="46" w:name="ref-Cooper1998"/>
      <w:bookmarkEnd w:id="45"/>
      <w:r>
        <w:t xml:space="preserve">Cooper, H. M. (1998). </w:t>
      </w:r>
      <w:r>
        <w:rPr>
          <w:i/>
        </w:rPr>
        <w:t>Synthesizing Research: A Guide for Literature Reviews</w:t>
      </w:r>
      <w:r>
        <w:t>. SAGE.</w:t>
      </w:r>
    </w:p>
    <w:p w14:paraId="11990857" w14:textId="77777777" w:rsidR="0016079D" w:rsidRDefault="00B23CA6">
      <w:pPr>
        <w:pStyle w:val="Bibliography"/>
      </w:pPr>
      <w:bookmarkStart w:id="47" w:name="ref-Cuijpers2016"/>
      <w:bookmarkEnd w:id="46"/>
      <w:r>
        <w:t xml:space="preserve">Cuijpers, P. (2016). </w:t>
      </w:r>
      <w:r>
        <w:rPr>
          <w:i/>
        </w:rPr>
        <w:t>Meta-analyses in mental health research: A practical guide</w:t>
      </w:r>
      <w:r>
        <w:t>. University of Amsterdam.</w:t>
      </w:r>
    </w:p>
    <w:p w14:paraId="36E1AC0D" w14:textId="77777777" w:rsidR="0016079D" w:rsidRDefault="00B23CA6">
      <w:pPr>
        <w:pStyle w:val="Bibliography"/>
      </w:pPr>
      <w:bookmarkStart w:id="48" w:name="ref-Cuijpers2011"/>
      <w:bookmarkEnd w:id="47"/>
      <w:r>
        <w:t xml:space="preserve">Cuijpers, P., Clignet, F., van Meijel, B., van Straten, A., Li, J., &amp; Andersson, G. (2011). Psychological treatment of depression in inpatients: A systematic review and meta-analysis. </w:t>
      </w:r>
      <w:r>
        <w:rPr>
          <w:i/>
        </w:rPr>
        <w:t>Clinical Psychology Review</w:t>
      </w:r>
      <w:r>
        <w:t xml:space="preserve">, </w:t>
      </w:r>
      <w:r>
        <w:rPr>
          <w:i/>
        </w:rPr>
        <w:t>31</w:t>
      </w:r>
      <w:r>
        <w:t xml:space="preserve">(3), 353–360. </w:t>
      </w:r>
      <w:hyperlink r:id="rId34">
        <w:r>
          <w:rPr>
            <w:rStyle w:val="Hyperlink"/>
          </w:rPr>
          <w:t>https://doi.org/10.1016/j.cpr.2011.01.002</w:t>
        </w:r>
      </w:hyperlink>
    </w:p>
    <w:p w14:paraId="0A923C47" w14:textId="77777777" w:rsidR="0016079D" w:rsidRDefault="00B23CA6">
      <w:pPr>
        <w:pStyle w:val="Bibliography"/>
      </w:pPr>
      <w:bookmarkStart w:id="49" w:name="ref-Cuijpers2013"/>
      <w:bookmarkEnd w:id="48"/>
      <w:r>
        <w:lastRenderedPageBreak/>
        <w:t xml:space="preserve">Cuijpers, P., Huibers, M., Daniel Ebert, D., Koole, S. L., &amp; Andersson, G. (2013). How much psychotherapy is needed to treat depression? A metaregression analysis. </w:t>
      </w:r>
      <w:r>
        <w:rPr>
          <w:i/>
        </w:rPr>
        <w:t>Journal of Affective Disorders</w:t>
      </w:r>
      <w:r>
        <w:t xml:space="preserve">, </w:t>
      </w:r>
      <w:r>
        <w:rPr>
          <w:i/>
        </w:rPr>
        <w:t>149</w:t>
      </w:r>
      <w:r>
        <w:t xml:space="preserve">(1-3), 1–13. </w:t>
      </w:r>
      <w:hyperlink r:id="rId35">
        <w:r>
          <w:rPr>
            <w:rStyle w:val="Hyperlink"/>
          </w:rPr>
          <w:t>https://doi.org/10.1016/j.jad.2013.02.030</w:t>
        </w:r>
      </w:hyperlink>
    </w:p>
    <w:p w14:paraId="7095FFDD" w14:textId="54D204DB" w:rsidR="0016079D" w:rsidRDefault="00B23CA6">
      <w:pPr>
        <w:pStyle w:val="Bibliography"/>
      </w:pPr>
      <w:bookmarkStart w:id="50" w:name="ref-Cuijpers2020"/>
      <w:bookmarkEnd w:id="49"/>
      <w:proofErr w:type="spellStart"/>
      <w:r>
        <w:t>Cuijpers</w:t>
      </w:r>
      <w:proofErr w:type="spellEnd"/>
      <w:r>
        <w:t>, P</w:t>
      </w:r>
      <w:r w:rsidR="002362CA">
        <w:t>.</w:t>
      </w:r>
      <w:r>
        <w:t xml:space="preserve">, Karyotaki, E., de Wit, L., &amp; Ebert, D. D. (2020). The effects of fifteen evidence-supported therapies for adult depression: A meta-analytic review. </w:t>
      </w:r>
      <w:r>
        <w:rPr>
          <w:i/>
        </w:rPr>
        <w:t>Psychotherapy Research</w:t>
      </w:r>
      <w:r>
        <w:t xml:space="preserve">, </w:t>
      </w:r>
      <w:r>
        <w:rPr>
          <w:i/>
        </w:rPr>
        <w:t>30</w:t>
      </w:r>
      <w:r>
        <w:t xml:space="preserve">(3), 279–293. </w:t>
      </w:r>
      <w:hyperlink r:id="rId36">
        <w:r>
          <w:rPr>
            <w:rStyle w:val="Hyperlink"/>
          </w:rPr>
          <w:t>https://doi.org/10.1080/10503307.2019.1649732</w:t>
        </w:r>
      </w:hyperlink>
    </w:p>
    <w:p w14:paraId="4585C529" w14:textId="55B9A021" w:rsidR="0016079D" w:rsidRDefault="00B23CA6">
      <w:pPr>
        <w:pStyle w:val="Bibliography"/>
      </w:pPr>
      <w:bookmarkStart w:id="51" w:name="ref-Cuijpers2010a"/>
      <w:bookmarkEnd w:id="50"/>
      <w:proofErr w:type="spellStart"/>
      <w:r>
        <w:t>Cuijpers</w:t>
      </w:r>
      <w:proofErr w:type="spellEnd"/>
      <w:r>
        <w:t>, P</w:t>
      </w:r>
      <w:r w:rsidR="002362CA">
        <w:t>.</w:t>
      </w:r>
      <w:r>
        <w:t xml:space="preserve">, Li, J., Hofmann, S. G., &amp; Andersson, G. (2010). Self-reported versus clinician-rated symptoms of depression as outcome measures in psychotherapy research on depression: A meta-analysis. </w:t>
      </w:r>
      <w:r>
        <w:rPr>
          <w:i/>
        </w:rPr>
        <w:t>Clinical Psychology Review</w:t>
      </w:r>
      <w:r>
        <w:t xml:space="preserve">, </w:t>
      </w:r>
      <w:r>
        <w:rPr>
          <w:i/>
        </w:rPr>
        <w:t>30</w:t>
      </w:r>
      <w:r>
        <w:t xml:space="preserve">(6), 768–778. </w:t>
      </w:r>
      <w:hyperlink r:id="rId37">
        <w:r>
          <w:rPr>
            <w:rStyle w:val="Hyperlink"/>
          </w:rPr>
          <w:t>https://doi.org/10.1016/j.cpr.2010.06.001</w:t>
        </w:r>
      </w:hyperlink>
    </w:p>
    <w:p w14:paraId="147005AA" w14:textId="77777777" w:rsidR="0016079D" w:rsidRDefault="00B23CA6">
      <w:pPr>
        <w:pStyle w:val="Bibliography"/>
      </w:pPr>
      <w:bookmarkStart w:id="52" w:name="ref-Cuijpers2014"/>
      <w:bookmarkEnd w:id="51"/>
      <w:proofErr w:type="spellStart"/>
      <w:r>
        <w:t>Cuijpers</w:t>
      </w:r>
      <w:proofErr w:type="spellEnd"/>
      <w:r>
        <w:t xml:space="preserve">, P., Sijbrandij, M., Koole, S., Huibers, M., Berking, M., &amp; Andersson, G. (2014). Psychological treatment of generalized anxiety disorder: A meta-analysis. </w:t>
      </w:r>
      <w:r>
        <w:rPr>
          <w:i/>
        </w:rPr>
        <w:t>Clinical Psychology Review</w:t>
      </w:r>
      <w:r>
        <w:t xml:space="preserve">, </w:t>
      </w:r>
      <w:r>
        <w:rPr>
          <w:i/>
        </w:rPr>
        <w:t>34</w:t>
      </w:r>
      <w:r>
        <w:t xml:space="preserve">(2), 130–140. </w:t>
      </w:r>
      <w:hyperlink r:id="rId38">
        <w:r>
          <w:rPr>
            <w:rStyle w:val="Hyperlink"/>
          </w:rPr>
          <w:t>https://doi.org/10.1016/j.cpr.2014.01.002</w:t>
        </w:r>
      </w:hyperlink>
    </w:p>
    <w:p w14:paraId="289604FB" w14:textId="77777777" w:rsidR="0016079D" w:rsidRDefault="00B23CA6">
      <w:pPr>
        <w:pStyle w:val="Bibliography"/>
      </w:pPr>
      <w:bookmarkStart w:id="53" w:name="ref-Cuijpers2010"/>
      <w:bookmarkEnd w:id="52"/>
      <w:r>
        <w:t xml:space="preserve">Cuijpers, P., Straten, A. van, Bohlmeijer, E., Hollon, S. D., &amp; Andersson, G. (2010). The effects of psychotherapy for adult depression are overestimated: A meta-analysis of study quality and effect size. </w:t>
      </w:r>
      <w:r>
        <w:rPr>
          <w:i/>
        </w:rPr>
        <w:t>Psychological Medicine</w:t>
      </w:r>
      <w:r>
        <w:t xml:space="preserve">, </w:t>
      </w:r>
      <w:r>
        <w:rPr>
          <w:i/>
        </w:rPr>
        <w:t>40</w:t>
      </w:r>
      <w:r>
        <w:t xml:space="preserve">(2), 211–223. </w:t>
      </w:r>
      <w:hyperlink r:id="rId39">
        <w:r>
          <w:rPr>
            <w:rStyle w:val="Hyperlink"/>
          </w:rPr>
          <w:t>https://doi.org/10.1017/S0033291709006114</w:t>
        </w:r>
      </w:hyperlink>
    </w:p>
    <w:p w14:paraId="1E49C9D5" w14:textId="77777777" w:rsidR="0016079D" w:rsidRDefault="00B23CA6">
      <w:pPr>
        <w:pStyle w:val="Bibliography"/>
      </w:pPr>
      <w:bookmarkStart w:id="54" w:name="ref-Cuijpers2014a"/>
      <w:bookmarkEnd w:id="53"/>
      <w:r>
        <w:t xml:space="preserve">Cuijpers, P., Turner, E. H., Mohr, D. C., Hofmann, S. G., Andersson, G., Berking, M., &amp; Coyne, J. (2014). Comparison of psychotherapies for adult depression to pill placebo control groups: A meta-analysis. </w:t>
      </w:r>
      <w:r>
        <w:rPr>
          <w:i/>
        </w:rPr>
        <w:t>Psychological Medicine</w:t>
      </w:r>
      <w:r>
        <w:t xml:space="preserve">, </w:t>
      </w:r>
      <w:r>
        <w:rPr>
          <w:i/>
        </w:rPr>
        <w:t>44</w:t>
      </w:r>
      <w:r>
        <w:t xml:space="preserve">(4), 685–695. </w:t>
      </w:r>
      <w:hyperlink r:id="rId40">
        <w:r>
          <w:rPr>
            <w:rStyle w:val="Hyperlink"/>
          </w:rPr>
          <w:t>https://doi.org/10.1017/S0033291713000457</w:t>
        </w:r>
      </w:hyperlink>
    </w:p>
    <w:p w14:paraId="54024505" w14:textId="77777777" w:rsidR="0016079D" w:rsidRDefault="00B23CA6">
      <w:pPr>
        <w:pStyle w:val="Bibliography"/>
      </w:pPr>
      <w:bookmarkStart w:id="55" w:name="ref-Cuijpers2008"/>
      <w:bookmarkEnd w:id="54"/>
      <w:proofErr w:type="spellStart"/>
      <w:r>
        <w:lastRenderedPageBreak/>
        <w:t>Cuijpers</w:t>
      </w:r>
      <w:proofErr w:type="spellEnd"/>
      <w:r>
        <w:t xml:space="preserve">, P., van Straten, A., Andersson, G., &amp; van Oppen, P. (2008). Psychotherapy for depression in adults: A meta-analysis of comparative outcome studies. </w:t>
      </w:r>
      <w:r>
        <w:rPr>
          <w:i/>
        </w:rPr>
        <w:t>Journal of Consulting and Clinical Psychology</w:t>
      </w:r>
      <w:r>
        <w:t xml:space="preserve">, </w:t>
      </w:r>
      <w:r>
        <w:rPr>
          <w:i/>
        </w:rPr>
        <w:t>76</w:t>
      </w:r>
      <w:r>
        <w:t xml:space="preserve">(6), 909–922. </w:t>
      </w:r>
      <w:hyperlink r:id="rId41">
        <w:r>
          <w:rPr>
            <w:rStyle w:val="Hyperlink"/>
          </w:rPr>
          <w:t>https://doi.org/10.1037/a0013075</w:t>
        </w:r>
      </w:hyperlink>
    </w:p>
    <w:p w14:paraId="761EB8E4" w14:textId="77777777" w:rsidR="0016079D" w:rsidRDefault="00B23CA6">
      <w:pPr>
        <w:pStyle w:val="Bibliography"/>
      </w:pPr>
      <w:bookmarkStart w:id="56" w:name="ref-deJong2021a"/>
      <w:bookmarkEnd w:id="55"/>
      <w:r>
        <w:t xml:space="preserve">de Jong, K., Conijn, J. M., Gallagher, R. A. V., Reshetnikova, A. S., Heij, M., &amp; Lutz, M. C. (2021). Using progress feedback to improve outcomes and reduce drop-out, treatment duration, and deterioration: A multilevel meta-analysis. </w:t>
      </w:r>
      <w:r>
        <w:rPr>
          <w:i/>
        </w:rPr>
        <w:t>Clinical Psychology Review</w:t>
      </w:r>
      <w:r>
        <w:t xml:space="preserve">, </w:t>
      </w:r>
      <w:r>
        <w:rPr>
          <w:i/>
        </w:rPr>
        <w:t>85</w:t>
      </w:r>
      <w:r>
        <w:t xml:space="preserve">, 102002. </w:t>
      </w:r>
      <w:hyperlink r:id="rId42">
        <w:r>
          <w:rPr>
            <w:rStyle w:val="Hyperlink"/>
          </w:rPr>
          <w:t>https://doi.org/10.1016/j.cpr.2021.102002</w:t>
        </w:r>
      </w:hyperlink>
    </w:p>
    <w:bookmarkEnd w:id="56"/>
    <w:p w14:paraId="13A7E822" w14:textId="77777777" w:rsidR="0016079D" w:rsidRDefault="00B23CA6">
      <w:pPr>
        <w:pStyle w:val="Bibliography"/>
      </w:pPr>
      <w:r>
        <w:t xml:space="preserve">Delgadillo, J., McMillan, D., Leach, C., Lucock, M., Gilbody, S., &amp; Wood, N. (2014). Benchmarking routine psychological services: A discussion of challenges and methods. </w:t>
      </w:r>
      <w:r>
        <w:rPr>
          <w:i/>
        </w:rPr>
        <w:t>Behavioural and Cognitive Psychotherapy</w:t>
      </w:r>
      <w:r>
        <w:t xml:space="preserve">, </w:t>
      </w:r>
      <w:r>
        <w:rPr>
          <w:i/>
        </w:rPr>
        <w:t>42</w:t>
      </w:r>
      <w:r>
        <w:t xml:space="preserve">(1), 16–30. </w:t>
      </w:r>
      <w:hyperlink r:id="rId43">
        <w:r>
          <w:rPr>
            <w:rStyle w:val="Hyperlink"/>
          </w:rPr>
          <w:t>https://doi.org/10.1017/S135246581200080X</w:t>
        </w:r>
      </w:hyperlink>
    </w:p>
    <w:p w14:paraId="2B812A02" w14:textId="77777777" w:rsidR="0016079D" w:rsidRDefault="00B23CA6">
      <w:pPr>
        <w:pStyle w:val="Bibliography"/>
      </w:pPr>
      <w:bookmarkStart w:id="57" w:name="ref-Delgadillo2014a"/>
      <w:r>
        <w:t xml:space="preserve">Delgadillo, J., McMillan, D., Leach, C., Lucock, M., Gilbody, S., &amp; Wood, N. (2014). Benchmarking routine psychological services: A discussion of challenges and methods. </w:t>
      </w:r>
      <w:r>
        <w:rPr>
          <w:i/>
        </w:rPr>
        <w:t>Behavioural and Cognitive Psychotherapy</w:t>
      </w:r>
      <w:r>
        <w:t xml:space="preserve">, </w:t>
      </w:r>
      <w:r>
        <w:rPr>
          <w:i/>
        </w:rPr>
        <w:t>42</w:t>
      </w:r>
      <w:r>
        <w:t xml:space="preserve">(1), 16–30. </w:t>
      </w:r>
      <w:hyperlink r:id="rId44">
        <w:r>
          <w:rPr>
            <w:rStyle w:val="Hyperlink"/>
          </w:rPr>
          <w:t>https://doi.org/10.1017/S135246581200080X</w:t>
        </w:r>
      </w:hyperlink>
    </w:p>
    <w:p w14:paraId="15355769" w14:textId="77777777" w:rsidR="0016079D" w:rsidRDefault="00B23CA6">
      <w:pPr>
        <w:pStyle w:val="Bibliography"/>
      </w:pPr>
      <w:bookmarkStart w:id="58" w:name="ref-Driessen2010"/>
      <w:bookmarkEnd w:id="57"/>
      <w:r>
        <w:t xml:space="preserve">Driessen, E., Cuijpers, P., Hollon, S. D., &amp; Dekker, J. J. M. (2010). Does pretreatment severity moderate the efficacy of psychological treatment of adult outpatient depression? A meta-analysis. </w:t>
      </w:r>
      <w:r>
        <w:rPr>
          <w:i/>
        </w:rPr>
        <w:t>Journal of Consulting and Clinical Psychology</w:t>
      </w:r>
      <w:r>
        <w:t xml:space="preserve">, </w:t>
      </w:r>
      <w:r>
        <w:rPr>
          <w:i/>
        </w:rPr>
        <w:t>78</w:t>
      </w:r>
      <w:r>
        <w:t xml:space="preserve">(5), 668–680. </w:t>
      </w:r>
      <w:hyperlink r:id="rId45">
        <w:r>
          <w:rPr>
            <w:rStyle w:val="Hyperlink"/>
          </w:rPr>
          <w:t>https://doi.org/10.1037/a0020570</w:t>
        </w:r>
      </w:hyperlink>
    </w:p>
    <w:p w14:paraId="3A6711F7" w14:textId="77777777" w:rsidR="0016079D" w:rsidRDefault="00B23CA6">
      <w:pPr>
        <w:pStyle w:val="Bibliography"/>
      </w:pPr>
      <w:bookmarkStart w:id="59" w:name="ref-Egger1997"/>
      <w:bookmarkEnd w:id="58"/>
      <w:r>
        <w:t xml:space="preserve">Egger, M., Smith, G. D., Schneider, M., &amp; Minder, C. (1997). Bias in meta-analysis detected by a simple, graphical test. </w:t>
      </w:r>
      <w:r>
        <w:rPr>
          <w:i/>
        </w:rPr>
        <w:t>BMJ</w:t>
      </w:r>
      <w:r>
        <w:t xml:space="preserve">, </w:t>
      </w:r>
      <w:r>
        <w:rPr>
          <w:i/>
        </w:rPr>
        <w:t>315</w:t>
      </w:r>
      <w:r>
        <w:t xml:space="preserve">(7109), 629–634. </w:t>
      </w:r>
      <w:hyperlink r:id="rId46">
        <w:r>
          <w:rPr>
            <w:rStyle w:val="Hyperlink"/>
          </w:rPr>
          <w:t>https://doi.org/10.1136/bmj.315.7109.629</w:t>
        </w:r>
      </w:hyperlink>
    </w:p>
    <w:p w14:paraId="1F28FAC3" w14:textId="77777777" w:rsidR="0016079D" w:rsidRDefault="00B23CA6">
      <w:pPr>
        <w:pStyle w:val="Bibliography"/>
      </w:pPr>
      <w:bookmarkStart w:id="60" w:name="ref-Fluckiger2018"/>
      <w:bookmarkEnd w:id="59"/>
      <w:r>
        <w:lastRenderedPageBreak/>
        <w:t xml:space="preserve">Flückiger, C., Del Re, A. C., Barth, J., Hoyt, W. T., Levitt, H., Munder, T., Spielmans, G. I., Swift, J. K., Vîslă, A., &amp; Wampold, B. E. (2018). Considerations of how to conduct meta-analyses in psychological interventions. </w:t>
      </w:r>
      <w:r>
        <w:rPr>
          <w:i/>
        </w:rPr>
        <w:t>Psychotherapy Research</w:t>
      </w:r>
      <w:r>
        <w:t xml:space="preserve">, </w:t>
      </w:r>
      <w:r>
        <w:rPr>
          <w:i/>
        </w:rPr>
        <w:t>28</w:t>
      </w:r>
      <w:r>
        <w:t xml:space="preserve">(3), 329–332. </w:t>
      </w:r>
      <w:hyperlink r:id="rId47">
        <w:r>
          <w:rPr>
            <w:rStyle w:val="Hyperlink"/>
          </w:rPr>
          <w:t>https://doi.org/10.1080/10503307.2018.1430390</w:t>
        </w:r>
      </w:hyperlink>
    </w:p>
    <w:p w14:paraId="0228D001" w14:textId="77777777" w:rsidR="0016079D" w:rsidRDefault="00B23CA6">
      <w:pPr>
        <w:pStyle w:val="Bibliography"/>
      </w:pPr>
      <w:bookmarkStart w:id="61" w:name="ref-Fluckiger2020"/>
      <w:bookmarkEnd w:id="60"/>
      <w:r>
        <w:t xml:space="preserve">Flückiger, C., Wampold, B. E., Delgadillo, J., Rubel, J., Vîslă, A., &amp; Lutz, W. (2020). Is there an evidence-based number of sessions in outpatient psychotherapy?  A comparison of naturalistic conditions across countries. </w:t>
      </w:r>
      <w:r>
        <w:rPr>
          <w:i/>
        </w:rPr>
        <w:t>Psychotherapy and Psychosomatics</w:t>
      </w:r>
      <w:r>
        <w:t xml:space="preserve">, </w:t>
      </w:r>
      <w:r>
        <w:rPr>
          <w:i/>
        </w:rPr>
        <w:t>89</w:t>
      </w:r>
      <w:r>
        <w:t xml:space="preserve">(5), 333–335. </w:t>
      </w:r>
      <w:hyperlink r:id="rId48">
        <w:r>
          <w:rPr>
            <w:rStyle w:val="Hyperlink"/>
          </w:rPr>
          <w:t>https://doi.org/10.1159/000507793</w:t>
        </w:r>
      </w:hyperlink>
    </w:p>
    <w:p w14:paraId="58AC65AB" w14:textId="77777777" w:rsidR="0016079D" w:rsidRDefault="00B23CA6">
      <w:pPr>
        <w:pStyle w:val="Bibliography"/>
      </w:pPr>
      <w:bookmarkStart w:id="62" w:name="ref-Freedland2011"/>
      <w:bookmarkEnd w:id="61"/>
      <w:r>
        <w:t xml:space="preserve">Freedland, K. E., Mohr, D. C., Davidson, K. W., &amp; Schwartz, J. E. (2011). Usual and unusual care: Existing practice control groups in randomized controlled trials of behavioral interventions. </w:t>
      </w:r>
      <w:r>
        <w:rPr>
          <w:i/>
        </w:rPr>
        <w:t>Psychosomatic Medicine</w:t>
      </w:r>
      <w:r>
        <w:t xml:space="preserve">, </w:t>
      </w:r>
      <w:r>
        <w:rPr>
          <w:i/>
        </w:rPr>
        <w:t>73</w:t>
      </w:r>
      <w:r>
        <w:t xml:space="preserve">(4), 323–335. </w:t>
      </w:r>
      <w:hyperlink r:id="rId49">
        <w:r>
          <w:rPr>
            <w:rStyle w:val="Hyperlink"/>
          </w:rPr>
          <w:t>https://doi.org/10.1097/PSY.0b013e318218e1fb</w:t>
        </w:r>
      </w:hyperlink>
    </w:p>
    <w:p w14:paraId="68C54209" w14:textId="77777777" w:rsidR="0016079D" w:rsidRDefault="00B23CA6">
      <w:pPr>
        <w:pStyle w:val="Bibliography"/>
      </w:pPr>
      <w:bookmarkStart w:id="63" w:name="ref-Furukawa2017"/>
      <w:bookmarkEnd w:id="62"/>
      <w:r>
        <w:t xml:space="preserve">Furukawa, T. A., Weitz, E. S., Tanaka, S., Hollon, S. D., Hofmann, S. G., Andersson, G., Twisk, J., DeRubeis, R. J., Dimidjian, S., Hegerl, U., Mergl, R., Jarrett, R. B., Vittengl, J. R., Watanabe, N., &amp; Cuijpers, P. (2017). Initial severity of depression and efficacy of cognitivebehavioural therapy: Individual-participant data meta-analysis of pill-placebo-controlled trials. </w:t>
      </w:r>
      <w:r>
        <w:rPr>
          <w:i/>
        </w:rPr>
        <w:t>British Journal of Psychiatry</w:t>
      </w:r>
      <w:r>
        <w:t xml:space="preserve">, </w:t>
      </w:r>
      <w:r>
        <w:rPr>
          <w:i/>
        </w:rPr>
        <w:t>210</w:t>
      </w:r>
      <w:r>
        <w:t xml:space="preserve">(3), 190–196. </w:t>
      </w:r>
      <w:hyperlink r:id="rId50">
        <w:r>
          <w:rPr>
            <w:rStyle w:val="Hyperlink"/>
          </w:rPr>
          <w:t>https://doi.org/10.1192/bjp.bp.116.187773</w:t>
        </w:r>
      </w:hyperlink>
    </w:p>
    <w:p w14:paraId="72834934" w14:textId="77777777" w:rsidR="0016079D" w:rsidRDefault="00B23CA6">
      <w:pPr>
        <w:pStyle w:val="Bibliography"/>
      </w:pPr>
      <w:bookmarkStart w:id="64" w:name="ref-Gleser2009"/>
      <w:bookmarkEnd w:id="63"/>
      <w:r>
        <w:t xml:space="preserve">Gleser, L. J., &amp; Olkin, I. (2009). Stochastically dependent effect sizes. In H. Cooper, L. V. Hedges, &amp; J. C. Valentine (Eds.), </w:t>
      </w:r>
      <w:r>
        <w:rPr>
          <w:i/>
        </w:rPr>
        <w:t>The Handbook of Research Synthesis and Meta-Analysis</w:t>
      </w:r>
      <w:r>
        <w:t xml:space="preserve"> (Second, pp. 357–376). Russell Sage.</w:t>
      </w:r>
    </w:p>
    <w:p w14:paraId="319C4C59" w14:textId="77777777" w:rsidR="0016079D" w:rsidRDefault="00B23CA6">
      <w:pPr>
        <w:pStyle w:val="Bibliography"/>
      </w:pPr>
      <w:bookmarkStart w:id="65" w:name="ref-Guyatt2008"/>
      <w:bookmarkEnd w:id="64"/>
      <w:r>
        <w:lastRenderedPageBreak/>
        <w:t xml:space="preserve">Guyatt, G. H., Oxman, A. D., Vist, G. E., Kunz, R., Falck-Ytter, Y., Alonso-Coello, P., &amp; Schünemann, H. J. (2008). GRADE: An emerging consensus on rating quality of evidence and strength of recommendations. </w:t>
      </w:r>
      <w:r>
        <w:rPr>
          <w:i/>
        </w:rPr>
        <w:t>BMJ</w:t>
      </w:r>
      <w:r>
        <w:t xml:space="preserve">, </w:t>
      </w:r>
      <w:r>
        <w:rPr>
          <w:i/>
        </w:rPr>
        <w:t>336</w:t>
      </w:r>
      <w:r>
        <w:t xml:space="preserve">(7650), 924–926. </w:t>
      </w:r>
      <w:hyperlink r:id="rId51">
        <w:r>
          <w:rPr>
            <w:rStyle w:val="Hyperlink"/>
          </w:rPr>
          <w:t>https://doi.org/10.1136/bmj.39489.470347.AD</w:t>
        </w:r>
      </w:hyperlink>
    </w:p>
    <w:p w14:paraId="60DB590E" w14:textId="77777777" w:rsidR="0016079D" w:rsidRDefault="00B23CA6">
      <w:pPr>
        <w:pStyle w:val="Bibliography"/>
      </w:pPr>
      <w:bookmarkStart w:id="66" w:name="ref-Gyani2013"/>
      <w:bookmarkEnd w:id="65"/>
      <w:r>
        <w:t xml:space="preserve">Gyani, A., Shafran, R., Layard, R., &amp; Clark, D. M. (2013). Enhancing recovery rates: Lessons from year one of IAPT. </w:t>
      </w:r>
      <w:r>
        <w:rPr>
          <w:i/>
        </w:rPr>
        <w:t>Behaviour Research and Therapy</w:t>
      </w:r>
      <w:r>
        <w:t xml:space="preserve">, </w:t>
      </w:r>
      <w:r>
        <w:rPr>
          <w:i/>
        </w:rPr>
        <w:t>51</w:t>
      </w:r>
      <w:r>
        <w:t xml:space="preserve">(9), 597–606. </w:t>
      </w:r>
      <w:hyperlink r:id="rId52">
        <w:r>
          <w:rPr>
            <w:rStyle w:val="Hyperlink"/>
          </w:rPr>
          <w:t>https://doi.org/10.1016/j.brat.2013.06.004</w:t>
        </w:r>
      </w:hyperlink>
    </w:p>
    <w:p w14:paraId="59F44BD2" w14:textId="77777777" w:rsidR="0016079D" w:rsidRDefault="00B23CA6">
      <w:pPr>
        <w:pStyle w:val="Bibliography"/>
      </w:pPr>
      <w:bookmarkStart w:id="67" w:name="ref-Hans2013"/>
      <w:bookmarkEnd w:id="66"/>
      <w:r>
        <w:t xml:space="preserve">Hans, E., &amp; Hiller, W. (2013). Effectiveness of and dropout from outpatient cognitive behavioral therapy for adult unipolar depression: A meta-analysis of nonrandomized effectiveness studies. </w:t>
      </w:r>
      <w:r>
        <w:rPr>
          <w:i/>
        </w:rPr>
        <w:t>Journal of Consulting and Clinical Psychology</w:t>
      </w:r>
      <w:r>
        <w:t xml:space="preserve">, </w:t>
      </w:r>
      <w:r>
        <w:rPr>
          <w:i/>
        </w:rPr>
        <w:t>81</w:t>
      </w:r>
      <w:r>
        <w:t xml:space="preserve">(1), 75–88. </w:t>
      </w:r>
      <w:hyperlink r:id="rId53">
        <w:r>
          <w:rPr>
            <w:rStyle w:val="Hyperlink"/>
          </w:rPr>
          <w:t>https://doi.org/10.1037/a0031080</w:t>
        </w:r>
      </w:hyperlink>
    </w:p>
    <w:p w14:paraId="0C0D9A0C" w14:textId="77777777" w:rsidR="0016079D" w:rsidRDefault="00B23CA6">
      <w:pPr>
        <w:pStyle w:val="Bibliography"/>
      </w:pPr>
      <w:bookmarkStart w:id="68" w:name="ref-Harrer2019a"/>
      <w:bookmarkEnd w:id="67"/>
      <w:r>
        <w:t xml:space="preserve">Harrer, M., Cuijpers, P., Furukawa, T. A., &amp; Ebert, David. D. (2019a). </w:t>
      </w:r>
      <w:r>
        <w:rPr>
          <w:i/>
        </w:rPr>
        <w:t>Dmetar: Companion R package for the guide ’doing meta-analysis in R’.</w:t>
      </w:r>
      <w:r>
        <w:t xml:space="preserve"> [R Package].</w:t>
      </w:r>
    </w:p>
    <w:p w14:paraId="00DB8146" w14:textId="77777777" w:rsidR="0016079D" w:rsidRDefault="00B23CA6">
      <w:pPr>
        <w:pStyle w:val="Bibliography"/>
      </w:pPr>
      <w:bookmarkStart w:id="69" w:name="ref-Harrer2019"/>
      <w:bookmarkEnd w:id="68"/>
      <w:r>
        <w:t xml:space="preserve">Harrer, M., Cuijpers, P., Furukawa, Toshi. A., &amp; Ebert, David. D. (2019b). Multiple Meta-Regression. In </w:t>
      </w:r>
      <w:r>
        <w:rPr>
          <w:i/>
        </w:rPr>
        <w:t>Doing meta-analysis in R: A hands-on guide</w:t>
      </w:r>
      <w:r>
        <w:t>.</w:t>
      </w:r>
    </w:p>
    <w:p w14:paraId="7FFB15C5" w14:textId="77777777" w:rsidR="0016079D" w:rsidRDefault="00B23CA6">
      <w:pPr>
        <w:pStyle w:val="Bibliography"/>
      </w:pPr>
      <w:bookmarkStart w:id="70" w:name="ref-Higgins2008"/>
      <w:bookmarkEnd w:id="69"/>
      <w:r>
        <w:t xml:space="preserve">Higgins, J., &amp; Green, S. (Eds.). (2008). </w:t>
      </w:r>
      <w:r>
        <w:rPr>
          <w:i/>
        </w:rPr>
        <w:t>Cochrane Handbook for Systematic Reviews of Interventions</w:t>
      </w:r>
      <w:r>
        <w:t xml:space="preserve">. John Wiley &amp; Sons, Ltd. </w:t>
      </w:r>
      <w:hyperlink r:id="rId54">
        <w:r>
          <w:rPr>
            <w:rStyle w:val="Hyperlink"/>
          </w:rPr>
          <w:t>https://doi.org/10.1002/9780470712184.fmatter</w:t>
        </w:r>
      </w:hyperlink>
    </w:p>
    <w:p w14:paraId="5E7F2160" w14:textId="77777777" w:rsidR="0016079D" w:rsidRDefault="00B23CA6">
      <w:pPr>
        <w:pStyle w:val="Bibliography"/>
      </w:pPr>
      <w:bookmarkStart w:id="71" w:name="ref-Higgins2002"/>
      <w:bookmarkEnd w:id="70"/>
      <w:r>
        <w:t xml:space="preserve">Higgins, J., &amp; Thompson, S. (2002). Quantifying heterogeneity in a meta-analysis. </w:t>
      </w:r>
      <w:r>
        <w:rPr>
          <w:i/>
        </w:rPr>
        <w:t>Statistics in Medicine</w:t>
      </w:r>
      <w:r>
        <w:t xml:space="preserve">, </w:t>
      </w:r>
      <w:r>
        <w:rPr>
          <w:i/>
        </w:rPr>
        <w:t>21</w:t>
      </w:r>
      <w:r>
        <w:t xml:space="preserve">(11), 1539–1558. </w:t>
      </w:r>
      <w:hyperlink r:id="rId55">
        <w:r>
          <w:rPr>
            <w:rStyle w:val="Hyperlink"/>
          </w:rPr>
          <w:t>https://doi.org/10.1002/sim.1186</w:t>
        </w:r>
      </w:hyperlink>
    </w:p>
    <w:p w14:paraId="4E303A2A" w14:textId="77777777" w:rsidR="0016079D" w:rsidRDefault="00B23CA6">
      <w:pPr>
        <w:pStyle w:val="Bibliography"/>
      </w:pPr>
      <w:bookmarkStart w:id="72" w:name="ref-Higgins2003"/>
      <w:bookmarkEnd w:id="71"/>
      <w:r>
        <w:t xml:space="preserve">Higgins, J., Thompson, S., Deeks, J. J., &amp; Altman, D. G. (2003). Measuring inconsistency in meta-analyses. </w:t>
      </w:r>
      <w:r>
        <w:rPr>
          <w:i/>
        </w:rPr>
        <w:t>BMJ</w:t>
      </w:r>
      <w:r>
        <w:t xml:space="preserve">, </w:t>
      </w:r>
      <w:r>
        <w:rPr>
          <w:i/>
        </w:rPr>
        <w:t>327</w:t>
      </w:r>
      <w:r>
        <w:t xml:space="preserve">(7414), 557–560. </w:t>
      </w:r>
      <w:hyperlink r:id="rId56">
        <w:r>
          <w:rPr>
            <w:rStyle w:val="Hyperlink"/>
          </w:rPr>
          <w:t>https://doi.org/10.1136/bmj.327.7414.557</w:t>
        </w:r>
      </w:hyperlink>
    </w:p>
    <w:p w14:paraId="2B343261" w14:textId="77777777" w:rsidR="0016079D" w:rsidRDefault="00B23CA6">
      <w:pPr>
        <w:pStyle w:val="Bibliography"/>
      </w:pPr>
      <w:bookmarkStart w:id="73" w:name="ref-Hoyt2018"/>
      <w:bookmarkEnd w:id="72"/>
      <w:r>
        <w:lastRenderedPageBreak/>
        <w:t xml:space="preserve">Hoyt, W. T., &amp; Del Re, A. C. (2018). Effect size calculation in meta-analyses of psychotherapy outcome research. </w:t>
      </w:r>
      <w:r>
        <w:rPr>
          <w:i/>
        </w:rPr>
        <w:t>Psychotherapy Research</w:t>
      </w:r>
      <w:r>
        <w:t xml:space="preserve">, </w:t>
      </w:r>
      <w:r>
        <w:rPr>
          <w:i/>
        </w:rPr>
        <w:t>28</w:t>
      </w:r>
      <w:r>
        <w:t xml:space="preserve">(3), 379–388. </w:t>
      </w:r>
      <w:hyperlink r:id="rId57">
        <w:r>
          <w:rPr>
            <w:rStyle w:val="Hyperlink"/>
          </w:rPr>
          <w:t>https://doi.org/10.1080/10503307.2017.1405171</w:t>
        </w:r>
      </w:hyperlink>
    </w:p>
    <w:p w14:paraId="0C7D73E8" w14:textId="77777777" w:rsidR="0016079D" w:rsidRDefault="00B23CA6">
      <w:pPr>
        <w:pStyle w:val="Bibliography"/>
      </w:pPr>
      <w:bookmarkStart w:id="74" w:name="ref-Hunsley2007"/>
      <w:bookmarkEnd w:id="73"/>
      <w:r>
        <w:t xml:space="preserve">Hunsley, J., &amp; Lee, C. M. (2007). Research-informed benchmarks for psychological treatments: Efficacy studies, effectiveness studies, and beyond. </w:t>
      </w:r>
      <w:r>
        <w:rPr>
          <w:i/>
        </w:rPr>
        <w:t>Professional Psychology: Research and Practice</w:t>
      </w:r>
      <w:r>
        <w:t xml:space="preserve">, </w:t>
      </w:r>
      <w:r>
        <w:rPr>
          <w:i/>
        </w:rPr>
        <w:t>38</w:t>
      </w:r>
      <w:r>
        <w:t xml:space="preserve">(1), 21–33. </w:t>
      </w:r>
      <w:hyperlink r:id="rId58">
        <w:r>
          <w:rPr>
            <w:rStyle w:val="Hyperlink"/>
          </w:rPr>
          <w:t>https://doi.org/10.1037/0735-7028.38.1.21</w:t>
        </w:r>
      </w:hyperlink>
    </w:p>
    <w:p w14:paraId="43D43564" w14:textId="77777777" w:rsidR="0016079D" w:rsidRDefault="00B23CA6">
      <w:pPr>
        <w:pStyle w:val="Bibliography"/>
      </w:pPr>
      <w:bookmarkStart w:id="75" w:name="ref-Juni2001"/>
      <w:bookmarkEnd w:id="74"/>
      <w:r>
        <w:t xml:space="preserve">Jüni, P., Altman, D. G., &amp; Egger, M. (2001). Assessing the quality of controlled clinical trials. </w:t>
      </w:r>
      <w:r>
        <w:rPr>
          <w:i/>
        </w:rPr>
        <w:t>BMJ</w:t>
      </w:r>
      <w:r>
        <w:t xml:space="preserve">, </w:t>
      </w:r>
      <w:r>
        <w:rPr>
          <w:i/>
        </w:rPr>
        <w:t>323</w:t>
      </w:r>
      <w:r>
        <w:t>(7303), 42–46.</w:t>
      </w:r>
    </w:p>
    <w:p w14:paraId="3F111A51" w14:textId="77777777" w:rsidR="0016079D" w:rsidRDefault="00B23CA6">
      <w:pPr>
        <w:pStyle w:val="Bibliography"/>
      </w:pPr>
      <w:bookmarkStart w:id="76" w:name="ref-Lambert2013a"/>
      <w:bookmarkEnd w:id="75"/>
      <w:r>
        <w:t xml:space="preserve">Lambert, M. J. (2013). The efficacy and effectiveness of psychotherapy. In M. J. Lambert &amp; A. E. Bergin (Eds.), </w:t>
      </w:r>
      <w:r>
        <w:rPr>
          <w:i/>
        </w:rPr>
        <w:t>Bergin and Garfield’s handbook of psychotherapy and behavior change</w:t>
      </w:r>
      <w:r>
        <w:t xml:space="preserve"> (6th ed., pp. 169–218). John Wiley &amp; Sons, Incorporated.</w:t>
      </w:r>
    </w:p>
    <w:p w14:paraId="0E2B58DD" w14:textId="77777777" w:rsidR="0016079D" w:rsidRDefault="00B23CA6">
      <w:pPr>
        <w:pStyle w:val="Bibliography"/>
      </w:pPr>
      <w:bookmarkStart w:id="77" w:name="ref-Landis1977"/>
      <w:bookmarkEnd w:id="76"/>
      <w:r>
        <w:t xml:space="preserve">Landis, J. R., &amp; Koch, G. G. (1977). The measurement of observer agreement for categorical data. </w:t>
      </w:r>
      <w:r>
        <w:rPr>
          <w:i/>
        </w:rPr>
        <w:t>Biometrics</w:t>
      </w:r>
      <w:r>
        <w:t xml:space="preserve">, </w:t>
      </w:r>
      <w:r>
        <w:rPr>
          <w:i/>
        </w:rPr>
        <w:t>33</w:t>
      </w:r>
      <w:r>
        <w:t xml:space="preserve">(1), 159–174. </w:t>
      </w:r>
      <w:hyperlink r:id="rId59">
        <w:r>
          <w:rPr>
            <w:rStyle w:val="Hyperlink"/>
          </w:rPr>
          <w:t>https://doi.org/10.2307/2529310</w:t>
        </w:r>
      </w:hyperlink>
    </w:p>
    <w:p w14:paraId="12926FF6" w14:textId="77777777" w:rsidR="0016079D" w:rsidRDefault="00B23CA6">
      <w:pPr>
        <w:pStyle w:val="Bibliography"/>
      </w:pPr>
      <w:bookmarkStart w:id="78" w:name="ref-Lemma2008"/>
      <w:bookmarkEnd w:id="77"/>
      <w:r>
        <w:t xml:space="preserve">Lemma, A., Roth, A. D., &amp; Pilling, S. (2008). </w:t>
      </w:r>
      <w:r>
        <w:rPr>
          <w:i/>
        </w:rPr>
        <w:t>The competences required to deliver effective Psychoanalytic/ Psychodynamic Therapy</w:t>
      </w:r>
      <w:r>
        <w:t>. Research Department of Clinical, Educational and Health Psychology, University College London.</w:t>
      </w:r>
    </w:p>
    <w:bookmarkEnd w:id="78"/>
    <w:p w14:paraId="16DDDB4E" w14:textId="77777777" w:rsidR="0016079D" w:rsidRDefault="00B23CA6">
      <w:pPr>
        <w:pStyle w:val="Bibliography"/>
      </w:pPr>
      <w:r>
        <w:t xml:space="preserve">Lewis, C., Roberts, N. P., Andrew, M., Starling, E., &amp; Bisson, J. I. (2020). Psychological therapies for post-traumatic stress disorder in adults: Systematic review and meta-analysis. </w:t>
      </w:r>
      <w:r>
        <w:rPr>
          <w:i/>
        </w:rPr>
        <w:t>European Journal of Psychotraumatology</w:t>
      </w:r>
      <w:r>
        <w:t xml:space="preserve">, </w:t>
      </w:r>
      <w:r>
        <w:rPr>
          <w:i/>
        </w:rPr>
        <w:t>11</w:t>
      </w:r>
      <w:r>
        <w:t xml:space="preserve">(1), 1729633. </w:t>
      </w:r>
      <w:hyperlink r:id="rId60">
        <w:r>
          <w:rPr>
            <w:rStyle w:val="Hyperlink"/>
          </w:rPr>
          <w:t>https://doi.org/10.1080/20008198.2020.1729633</w:t>
        </w:r>
      </w:hyperlink>
    </w:p>
    <w:p w14:paraId="5832F5E2" w14:textId="77777777" w:rsidR="0016079D" w:rsidRDefault="00B23CA6">
      <w:pPr>
        <w:pStyle w:val="Bibliography"/>
      </w:pPr>
      <w:bookmarkStart w:id="79" w:name="ref-Lewis2020"/>
      <w:r>
        <w:lastRenderedPageBreak/>
        <w:t xml:space="preserve">Lewis, C., Roberts, N. P., Andrew, M., Starling, E., &amp; Bisson, J. I. (2020). Psychological therapies for post-traumatic stress disorder in adults: Systematic review and meta-analysis. </w:t>
      </w:r>
      <w:r>
        <w:rPr>
          <w:i/>
        </w:rPr>
        <w:t>European Journal of Psychotraumatology</w:t>
      </w:r>
      <w:r>
        <w:t xml:space="preserve">, </w:t>
      </w:r>
      <w:r>
        <w:rPr>
          <w:i/>
        </w:rPr>
        <w:t>11</w:t>
      </w:r>
      <w:r>
        <w:t xml:space="preserve">(1), 1729633. </w:t>
      </w:r>
      <w:hyperlink r:id="rId61">
        <w:r>
          <w:rPr>
            <w:rStyle w:val="Hyperlink"/>
          </w:rPr>
          <w:t>https://doi.org/10.1080/20008198.2020.1729633</w:t>
        </w:r>
      </w:hyperlink>
    </w:p>
    <w:p w14:paraId="158FB7B5" w14:textId="77777777" w:rsidR="0016079D" w:rsidRDefault="00B23CA6">
      <w:pPr>
        <w:pStyle w:val="Bibliography"/>
      </w:pPr>
      <w:bookmarkStart w:id="80" w:name="ref-Linardon2017"/>
      <w:bookmarkEnd w:id="79"/>
      <w:proofErr w:type="spellStart"/>
      <w:r>
        <w:t>Linardon</w:t>
      </w:r>
      <w:proofErr w:type="spellEnd"/>
      <w:r>
        <w:t xml:space="preserve">, J., Wade, T. D., de la Piedad Garcia, X., &amp; Brennan, L. (2017). The efficacy of cognitive-behavioral therapy for eating disorders: A systematic review and meta-analysis. </w:t>
      </w:r>
      <w:r>
        <w:rPr>
          <w:i/>
        </w:rPr>
        <w:t>Journal of Consulting and Clinical Psychology</w:t>
      </w:r>
      <w:r>
        <w:t xml:space="preserve">, </w:t>
      </w:r>
      <w:r>
        <w:rPr>
          <w:i/>
        </w:rPr>
        <w:t>85</w:t>
      </w:r>
      <w:r>
        <w:t xml:space="preserve">(11), 1080–1094. </w:t>
      </w:r>
      <w:hyperlink r:id="rId62">
        <w:r>
          <w:rPr>
            <w:rStyle w:val="Hyperlink"/>
          </w:rPr>
          <w:t>https://doi.org/10.1037/ccp0000245</w:t>
        </w:r>
      </w:hyperlink>
    </w:p>
    <w:bookmarkEnd w:id="80"/>
    <w:p w14:paraId="458751FA" w14:textId="77777777" w:rsidR="0016079D" w:rsidRDefault="00B23CA6">
      <w:pPr>
        <w:pStyle w:val="Bibliography"/>
      </w:pPr>
      <w:r>
        <w:t xml:space="preserve">Lutz, W., Schiefele, A.-K., Wucherpfennig, F., Rubel, J., &amp; Stulz, N. (2016). Clinical effectiveness of cognitive behavioral therapy for depression in routine care: A propensity score based comparison between randomized controlled trials and clinical practice. </w:t>
      </w:r>
      <w:r>
        <w:rPr>
          <w:i/>
        </w:rPr>
        <w:t>Journal of Affective Disorders</w:t>
      </w:r>
      <w:r>
        <w:t xml:space="preserve">, </w:t>
      </w:r>
      <w:r>
        <w:rPr>
          <w:i/>
        </w:rPr>
        <w:t>189</w:t>
      </w:r>
      <w:r>
        <w:t xml:space="preserve">(1), 150–158. </w:t>
      </w:r>
      <w:hyperlink r:id="rId63">
        <w:r>
          <w:rPr>
            <w:rStyle w:val="Hyperlink"/>
          </w:rPr>
          <w:t>https://doi.org/10.1016/j.jad.2015.08.072</w:t>
        </w:r>
      </w:hyperlink>
    </w:p>
    <w:p w14:paraId="609836BB" w14:textId="77777777" w:rsidR="0016079D" w:rsidRDefault="00B23CA6">
      <w:pPr>
        <w:pStyle w:val="Bibliography"/>
      </w:pPr>
      <w:bookmarkStart w:id="81" w:name="ref-Margison2000"/>
      <w:proofErr w:type="spellStart"/>
      <w:r>
        <w:t>Margison</w:t>
      </w:r>
      <w:proofErr w:type="spellEnd"/>
      <w:r>
        <w:t xml:space="preserve">, F. R., Barkham, M., Evans, C., McGrath, G., Clark, J. M., Audin, K., &amp; Connell, J. (2000). Measurement and psychotherapy: Evidence-based practice and practice-based evidence. </w:t>
      </w:r>
      <w:r>
        <w:rPr>
          <w:i/>
        </w:rPr>
        <w:t>British Journal of Psychiatry</w:t>
      </w:r>
      <w:r>
        <w:t xml:space="preserve">, </w:t>
      </w:r>
      <w:r>
        <w:rPr>
          <w:i/>
        </w:rPr>
        <w:t>177</w:t>
      </w:r>
      <w:r>
        <w:t xml:space="preserve">(2), 123–130. </w:t>
      </w:r>
      <w:hyperlink r:id="rId64">
        <w:r>
          <w:rPr>
            <w:rStyle w:val="Hyperlink"/>
          </w:rPr>
          <w:t>https://doi.org/10.1192/bjp.177.2.123</w:t>
        </w:r>
      </w:hyperlink>
    </w:p>
    <w:bookmarkEnd w:id="81"/>
    <w:p w14:paraId="4A7884F7" w14:textId="77777777" w:rsidR="0016079D" w:rsidRDefault="00B23CA6">
      <w:pPr>
        <w:pStyle w:val="Bibliography"/>
      </w:pPr>
      <w:r>
        <w:t xml:space="preserve">Mayo-Wilson, E., Dias, S., Mavranezouli, I., Kew, K., Clark, D. M., Ades, A. E., &amp; Pilling, S. (2014). Psychological and pharmacological interventions for social anxiety disorder in adults: A systematic review and network meta-analysis. </w:t>
      </w:r>
      <w:r>
        <w:rPr>
          <w:i/>
        </w:rPr>
        <w:t>The Lancet Psychiatry</w:t>
      </w:r>
      <w:r>
        <w:t xml:space="preserve">, </w:t>
      </w:r>
      <w:r>
        <w:rPr>
          <w:i/>
        </w:rPr>
        <w:t>1</w:t>
      </w:r>
      <w:r>
        <w:t xml:space="preserve">(5), 368–376. </w:t>
      </w:r>
      <w:hyperlink r:id="rId65">
        <w:r>
          <w:rPr>
            <w:rStyle w:val="Hyperlink"/>
          </w:rPr>
          <w:t>https://doi.org/10.1016/S2215-0366(14)70329-3</w:t>
        </w:r>
      </w:hyperlink>
    </w:p>
    <w:p w14:paraId="526C30D6" w14:textId="77777777" w:rsidR="0016079D" w:rsidRDefault="00B23CA6">
      <w:pPr>
        <w:pStyle w:val="Bibliography"/>
      </w:pPr>
      <w:bookmarkStart w:id="82" w:name="ref-Montgomery2010"/>
      <w:r>
        <w:lastRenderedPageBreak/>
        <w:t xml:space="preserve">Montgomery, E. C., Kunik, M. E., Wilson, N., Stanley, M. A., &amp; Weiss, B. (2010). Can paraprofessionals deliver cognitive-behavioral therapy to treat anxiety and depressive symptoms? </w:t>
      </w:r>
      <w:r>
        <w:rPr>
          <w:i/>
        </w:rPr>
        <w:t>Bulletin of the Menninger Clinic</w:t>
      </w:r>
      <w:r>
        <w:t xml:space="preserve">, </w:t>
      </w:r>
      <w:r>
        <w:rPr>
          <w:i/>
        </w:rPr>
        <w:t>74</w:t>
      </w:r>
      <w:r>
        <w:t xml:space="preserve">(1), 45–62. </w:t>
      </w:r>
      <w:hyperlink r:id="rId66">
        <w:r>
          <w:rPr>
            <w:rStyle w:val="Hyperlink"/>
          </w:rPr>
          <w:t>https://doi.org/10.1521/bumc.2010.74.1.45</w:t>
        </w:r>
      </w:hyperlink>
    </w:p>
    <w:p w14:paraId="1B9A73EF" w14:textId="77777777" w:rsidR="0016079D" w:rsidRDefault="00B23CA6">
      <w:pPr>
        <w:pStyle w:val="Bibliography"/>
      </w:pPr>
      <w:bookmarkStart w:id="83" w:name="ref-Morris2008"/>
      <w:bookmarkEnd w:id="82"/>
      <w:r>
        <w:t xml:space="preserve">Morris, S. B. (2008). Estimating effect sizes from pretest-posttest-control group designs. </w:t>
      </w:r>
      <w:r>
        <w:rPr>
          <w:i/>
        </w:rPr>
        <w:t>Organizational Research Methods</w:t>
      </w:r>
      <w:r>
        <w:t xml:space="preserve">, </w:t>
      </w:r>
      <w:r>
        <w:rPr>
          <w:i/>
        </w:rPr>
        <w:t>11</w:t>
      </w:r>
      <w:r>
        <w:t xml:space="preserve">(2), 364–386. </w:t>
      </w:r>
      <w:hyperlink r:id="rId67">
        <w:r>
          <w:rPr>
            <w:rStyle w:val="Hyperlink"/>
          </w:rPr>
          <w:t>https://doi.org/10.1177/1094428106291059</w:t>
        </w:r>
      </w:hyperlink>
    </w:p>
    <w:p w14:paraId="0F5E6AC6" w14:textId="77777777" w:rsidR="0016079D" w:rsidRDefault="00B23CA6">
      <w:pPr>
        <w:pStyle w:val="Bibliography"/>
      </w:pPr>
      <w:bookmarkStart w:id="84" w:name="ref-Munder2018"/>
      <w:bookmarkEnd w:id="83"/>
      <w:r>
        <w:t xml:space="preserve">Munder, T., &amp; Barth, J. (2018). Cochrane’s risk of bias tool in the context of psychotherapy outcome research. </w:t>
      </w:r>
      <w:r>
        <w:rPr>
          <w:i/>
        </w:rPr>
        <w:t>Psychotherapy Research</w:t>
      </w:r>
      <w:r>
        <w:t xml:space="preserve">, </w:t>
      </w:r>
      <w:r>
        <w:rPr>
          <w:i/>
        </w:rPr>
        <w:t>28</w:t>
      </w:r>
      <w:r>
        <w:t xml:space="preserve">(3), 347–355. </w:t>
      </w:r>
      <w:hyperlink r:id="rId68">
        <w:r>
          <w:rPr>
            <w:rStyle w:val="Hyperlink"/>
          </w:rPr>
          <w:t>https://doi.org/10.1080/10503307.2017.1411628</w:t>
        </w:r>
      </w:hyperlink>
    </w:p>
    <w:p w14:paraId="3432E454" w14:textId="77777777" w:rsidR="0016079D" w:rsidRDefault="00B23CA6">
      <w:pPr>
        <w:pStyle w:val="Bibliography"/>
      </w:pPr>
      <w:bookmarkStart w:id="85" w:name="ref-Munn2020"/>
      <w:bookmarkEnd w:id="84"/>
      <w:r>
        <w:t xml:space="preserve">Munn, Z., Barker, T. H., Moola, S., Tufanaru, C., Stern, C., McArthur, A., Stephenson, M., &amp; Aromataris, E. (2020). Methodological quality of case series studies: An introduction to the JBI critical appraisal tool. </w:t>
      </w:r>
      <w:r>
        <w:rPr>
          <w:i/>
        </w:rPr>
        <w:t>JBI Evidence Synthesis</w:t>
      </w:r>
      <w:r>
        <w:t xml:space="preserve">, </w:t>
      </w:r>
      <w:r>
        <w:rPr>
          <w:i/>
        </w:rPr>
        <w:t>18</w:t>
      </w:r>
      <w:r>
        <w:t xml:space="preserve">(10), 2127–2133. </w:t>
      </w:r>
      <w:hyperlink r:id="rId69">
        <w:r>
          <w:rPr>
            <w:rStyle w:val="Hyperlink"/>
          </w:rPr>
          <w:t>https://doi.org/10.11124/JBISRIR-D-19-00099</w:t>
        </w:r>
      </w:hyperlink>
    </w:p>
    <w:bookmarkEnd w:id="85"/>
    <w:p w14:paraId="1F6E3F69" w14:textId="77777777" w:rsidR="0016079D" w:rsidRDefault="00B23CA6">
      <w:pPr>
        <w:pStyle w:val="Bibliography"/>
      </w:pPr>
      <w:r>
        <w:t xml:space="preserve">National Collaborating Centre for Mental Health. (2011). </w:t>
      </w:r>
      <w:r>
        <w:rPr>
          <w:i/>
        </w:rPr>
        <w:t>Common Mental Health Disorders: Identification and Pathways to Care</w:t>
      </w:r>
      <w:r>
        <w:t xml:space="preserve"> (Vol. 123). RCPsych Publications.</w:t>
      </w:r>
    </w:p>
    <w:p w14:paraId="449D1A8A" w14:textId="77777777" w:rsidR="0016079D" w:rsidRDefault="00B23CA6">
      <w:pPr>
        <w:pStyle w:val="Bibliography"/>
      </w:pPr>
      <w:r>
        <w:t xml:space="preserve">NICE. (2011). </w:t>
      </w:r>
      <w:r>
        <w:rPr>
          <w:i/>
        </w:rPr>
        <w:t>Common mental health problems: Identification and pathways to care</w:t>
      </w:r>
      <w:r>
        <w:t>. National Institute for Clinical Excellence (NICE).</w:t>
      </w:r>
    </w:p>
    <w:p w14:paraId="324333A3" w14:textId="77777777" w:rsidR="0016079D" w:rsidRDefault="00B23CA6">
      <w:pPr>
        <w:pStyle w:val="Bibliography"/>
      </w:pPr>
      <w:bookmarkStart w:id="86" w:name="ref-Nordmo2020"/>
      <w:proofErr w:type="spellStart"/>
      <w:r>
        <w:t>Nordmo</w:t>
      </w:r>
      <w:proofErr w:type="spellEnd"/>
      <w:r>
        <w:t xml:space="preserve">, M., Sønderland, N. M., Havik, O. E., Eilertsen, D.-E., Monsen, J. T., &amp; Solbakken, O. A. (2020). Effectiveness of open-ended psychotherapy under clinically representative conditions. </w:t>
      </w:r>
      <w:r>
        <w:rPr>
          <w:i/>
        </w:rPr>
        <w:t>Frontiers in Psychiatry</w:t>
      </w:r>
      <w:r>
        <w:t xml:space="preserve">, </w:t>
      </w:r>
      <w:r>
        <w:rPr>
          <w:i/>
        </w:rPr>
        <w:t>11</w:t>
      </w:r>
      <w:r>
        <w:t xml:space="preserve">, 384. </w:t>
      </w:r>
      <w:hyperlink r:id="rId70">
        <w:r>
          <w:rPr>
            <w:rStyle w:val="Hyperlink"/>
          </w:rPr>
          <w:t>https://doi.org/10.3389/fpsyt.2020.00384</w:t>
        </w:r>
      </w:hyperlink>
    </w:p>
    <w:bookmarkEnd w:id="86"/>
    <w:p w14:paraId="5720D16D" w14:textId="77777777" w:rsidR="0016079D" w:rsidRDefault="00B23CA6">
      <w:pPr>
        <w:pStyle w:val="Bibliography"/>
      </w:pPr>
      <w:r>
        <w:lastRenderedPageBreak/>
        <w:t xml:space="preserve">Olatunji, B. O., Davis, M. L., Powers, M. B., &amp; Smits, J. A. J. (2015). Cognitive-behavioral therapy for obsessive-compulsive disorder: A meta-analysis of treatment outcome and moderators. </w:t>
      </w:r>
      <w:r>
        <w:rPr>
          <w:i/>
        </w:rPr>
        <w:t>FOCUS</w:t>
      </w:r>
      <w:r>
        <w:t xml:space="preserve">, </w:t>
      </w:r>
      <w:r>
        <w:rPr>
          <w:i/>
        </w:rPr>
        <w:t>13</w:t>
      </w:r>
      <w:r>
        <w:t xml:space="preserve">(2), 222–231. </w:t>
      </w:r>
      <w:hyperlink r:id="rId71">
        <w:r>
          <w:rPr>
            <w:rStyle w:val="Hyperlink"/>
          </w:rPr>
          <w:t>https://doi.org/10.1176/appi.focus.130219</w:t>
        </w:r>
      </w:hyperlink>
    </w:p>
    <w:p w14:paraId="5B8948F2" w14:textId="77777777" w:rsidR="0016079D" w:rsidRDefault="00B23CA6">
      <w:pPr>
        <w:pStyle w:val="Bibliography"/>
      </w:pPr>
      <w:bookmarkStart w:id="87" w:name="ref-Olatunji2014"/>
      <w:r>
        <w:t xml:space="preserve">Olatunji, B. O., Kauffman, B. Y., Meltzer, S., Davis, M. L., Smits, J. A. J., &amp; Powers, M. B. (2014). Cognitive-behavioral therapy for hypochondriasis/health anxiety: A meta-analysis of treatment outcome and moderators. </w:t>
      </w:r>
      <w:r>
        <w:rPr>
          <w:i/>
        </w:rPr>
        <w:t>Behaviour Research and Therapy</w:t>
      </w:r>
      <w:r>
        <w:t xml:space="preserve">, </w:t>
      </w:r>
      <w:r>
        <w:rPr>
          <w:i/>
        </w:rPr>
        <w:t>58</w:t>
      </w:r>
      <w:r>
        <w:t xml:space="preserve">, 65–74. </w:t>
      </w:r>
      <w:hyperlink r:id="rId72">
        <w:r>
          <w:rPr>
            <w:rStyle w:val="Hyperlink"/>
          </w:rPr>
          <w:t>https://doi.org/10.1016/j.brat.2014.05.002</w:t>
        </w:r>
      </w:hyperlink>
    </w:p>
    <w:p w14:paraId="3CC04B00" w14:textId="77777777" w:rsidR="0016079D" w:rsidRDefault="00B23CA6">
      <w:pPr>
        <w:pStyle w:val="Bibliography"/>
      </w:pPr>
      <w:bookmarkStart w:id="88" w:name="ref-Ouzzani2016"/>
      <w:bookmarkEnd w:id="87"/>
      <w:r>
        <w:t xml:space="preserve">Ouzzani, M., Hammady, H., Fedorowicz, Z., &amp; Elmagarmid, A. (2016). Rayyan: A web and mobile app for systematic reviews. </w:t>
      </w:r>
      <w:r>
        <w:rPr>
          <w:i/>
        </w:rPr>
        <w:t>Systematic Reviews</w:t>
      </w:r>
      <w:r>
        <w:t xml:space="preserve">, </w:t>
      </w:r>
      <w:r>
        <w:rPr>
          <w:i/>
        </w:rPr>
        <w:t>5</w:t>
      </w:r>
      <w:r>
        <w:t xml:space="preserve">(1), 210. </w:t>
      </w:r>
      <w:hyperlink r:id="rId73">
        <w:r>
          <w:rPr>
            <w:rStyle w:val="Hyperlink"/>
          </w:rPr>
          <w:t>https://doi.org/10.1186/s13643-016-0384-4</w:t>
        </w:r>
      </w:hyperlink>
    </w:p>
    <w:p w14:paraId="380A05BC" w14:textId="77777777" w:rsidR="0016079D" w:rsidRDefault="00B23CA6">
      <w:pPr>
        <w:pStyle w:val="Bibliography"/>
      </w:pPr>
      <w:bookmarkStart w:id="89" w:name="ref-Page2021"/>
      <w:bookmarkEnd w:id="88"/>
      <w: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Pr>
          <w:i/>
        </w:rPr>
        <w:t>PLOS Medicine</w:t>
      </w:r>
      <w:r>
        <w:t xml:space="preserve">, </w:t>
      </w:r>
      <w:r>
        <w:rPr>
          <w:i/>
        </w:rPr>
        <w:t>18</w:t>
      </w:r>
      <w:r>
        <w:t xml:space="preserve">(3), e1003583. </w:t>
      </w:r>
      <w:hyperlink r:id="rId74">
        <w:r>
          <w:rPr>
            <w:rStyle w:val="Hyperlink"/>
          </w:rPr>
          <w:t>https://doi.org/10.1371/journal.pmed.1003583</w:t>
        </w:r>
      </w:hyperlink>
    </w:p>
    <w:bookmarkEnd w:id="89"/>
    <w:p w14:paraId="738AC2C1" w14:textId="77777777" w:rsidR="0016079D" w:rsidRDefault="00B23CA6">
      <w:pPr>
        <w:pStyle w:val="Bibliography"/>
      </w:pPr>
      <w:r>
        <w:t xml:space="preserve">Persons, J. B., Bostrom, A., &amp; Bertagnolli, A. (1999). Results of randomized controlled trials of cognitive therapy for depression generalize to private practice. </w:t>
      </w:r>
      <w:r>
        <w:rPr>
          <w:i/>
        </w:rPr>
        <w:t>Cognitive Therapy and Research</w:t>
      </w:r>
      <w:r>
        <w:t xml:space="preserve">, </w:t>
      </w:r>
      <w:r>
        <w:rPr>
          <w:i/>
        </w:rPr>
        <w:t>23</w:t>
      </w:r>
      <w:r>
        <w:t xml:space="preserve">(5), 535–548. </w:t>
      </w:r>
      <w:hyperlink r:id="rId75">
        <w:r>
          <w:rPr>
            <w:rStyle w:val="Hyperlink"/>
          </w:rPr>
          <w:t>https://doi.org/10.1023/A:1018724505659</w:t>
        </w:r>
      </w:hyperlink>
    </w:p>
    <w:p w14:paraId="15F8CC3F" w14:textId="77777777" w:rsidR="0016079D" w:rsidRDefault="00B23CA6">
      <w:pPr>
        <w:pStyle w:val="Bibliography"/>
      </w:pPr>
      <w:r>
        <w:t xml:space="preserve">Philips, B., &amp; Falkenström, F. (2021). What research evidence is valid for psychotherapy research? </w:t>
      </w:r>
      <w:r>
        <w:rPr>
          <w:i/>
        </w:rPr>
        <w:t>Frontiers in Psychiatry</w:t>
      </w:r>
      <w:r>
        <w:t xml:space="preserve">, </w:t>
      </w:r>
      <w:r>
        <w:rPr>
          <w:i/>
        </w:rPr>
        <w:t>11</w:t>
      </w:r>
      <w:r>
        <w:t xml:space="preserve">, 1549. </w:t>
      </w:r>
      <w:hyperlink r:id="rId76">
        <w:r>
          <w:rPr>
            <w:rStyle w:val="Hyperlink"/>
          </w:rPr>
          <w:t>https://doi.org/10.3389/fpsyt.2020.625380</w:t>
        </w:r>
      </w:hyperlink>
    </w:p>
    <w:p w14:paraId="60C506AF" w14:textId="77777777" w:rsidR="0016079D" w:rsidRDefault="00B23CA6">
      <w:pPr>
        <w:pStyle w:val="Bibliography"/>
      </w:pPr>
      <w:bookmarkStart w:id="90" w:name="ref-Polanin2019"/>
      <w:proofErr w:type="spellStart"/>
      <w:r>
        <w:lastRenderedPageBreak/>
        <w:t>Polanin</w:t>
      </w:r>
      <w:proofErr w:type="spellEnd"/>
      <w:r>
        <w:t xml:space="preserve">, J. R., Pigott, T. D., Espelage, D. L., &amp; Grotpeter, J. K. (2019). Best practice guidelines for abstract screening large-evidence systematic reviews and meta-analyses. </w:t>
      </w:r>
      <w:r>
        <w:rPr>
          <w:i/>
        </w:rPr>
        <w:t>Research Synthesis Methods</w:t>
      </w:r>
      <w:r>
        <w:t xml:space="preserve">, </w:t>
      </w:r>
      <w:r>
        <w:rPr>
          <w:i/>
        </w:rPr>
        <w:t>10</w:t>
      </w:r>
      <w:r>
        <w:t xml:space="preserve">(3), 330–342. </w:t>
      </w:r>
      <w:hyperlink r:id="rId77">
        <w:r>
          <w:rPr>
            <w:rStyle w:val="Hyperlink"/>
          </w:rPr>
          <w:t>https://doi.org/10.1002/jrsm.1354</w:t>
        </w:r>
      </w:hyperlink>
    </w:p>
    <w:p w14:paraId="019E5E44" w14:textId="77777777" w:rsidR="0016079D" w:rsidRDefault="00B23CA6">
      <w:pPr>
        <w:pStyle w:val="Bibliography"/>
      </w:pPr>
      <w:bookmarkStart w:id="91" w:name="ref-Posternak2001"/>
      <w:bookmarkEnd w:id="90"/>
      <w:r>
        <w:t xml:space="preserve">Posternak, M. A., &amp; Miller, I. (2001). Untreated short-term course of major depression: A meta-analysis of outcomes from studies using wait-list control groups. </w:t>
      </w:r>
      <w:r>
        <w:rPr>
          <w:i/>
        </w:rPr>
        <w:t>Journal of Affective Disorders</w:t>
      </w:r>
      <w:r>
        <w:t xml:space="preserve">, </w:t>
      </w:r>
      <w:r>
        <w:rPr>
          <w:i/>
        </w:rPr>
        <w:t>66</w:t>
      </w:r>
      <w:r>
        <w:t xml:space="preserve">(2-3), 139–146. </w:t>
      </w:r>
      <w:hyperlink r:id="rId78">
        <w:r>
          <w:rPr>
            <w:rStyle w:val="Hyperlink"/>
          </w:rPr>
          <w:t>https://doi.org/10.1016/s0165-0327(00)00304-9</w:t>
        </w:r>
      </w:hyperlink>
    </w:p>
    <w:p w14:paraId="3392FF64" w14:textId="77777777" w:rsidR="0016079D" w:rsidRDefault="00B23CA6">
      <w:pPr>
        <w:pStyle w:val="Bibliography"/>
      </w:pPr>
      <w:bookmarkStart w:id="92" w:name="ref-R-base"/>
      <w:bookmarkEnd w:id="91"/>
      <w:r>
        <w:t xml:space="preserve">R Core Team. (2020). </w:t>
      </w:r>
      <w:r>
        <w:rPr>
          <w:i/>
        </w:rPr>
        <w:t>R: A language and environment for statistical computing</w:t>
      </w:r>
      <w:r>
        <w:t xml:space="preserve">. R Foundation for Statistical Computing. </w:t>
      </w:r>
      <w:hyperlink r:id="rId79">
        <w:r>
          <w:rPr>
            <w:rStyle w:val="Hyperlink"/>
          </w:rPr>
          <w:t>https://www.R-project.org/</w:t>
        </w:r>
      </w:hyperlink>
    </w:p>
    <w:bookmarkEnd w:id="92"/>
    <w:p w14:paraId="295C6B02" w14:textId="77777777" w:rsidR="0016079D" w:rsidRDefault="00B23CA6">
      <w:pPr>
        <w:pStyle w:val="Bibliography"/>
      </w:pPr>
      <w:r>
        <w:t xml:space="preserve">Rosa-Alcázar, A. I., Sánchez-Meca, J., Gómez-Conesa, A., &amp; Marín-Martínez, F. (2008). Psychological treatment of obsessivecompulsive disorder: A meta-analysis. </w:t>
      </w:r>
      <w:r>
        <w:rPr>
          <w:i/>
        </w:rPr>
        <w:t>Clinical Psychology Review</w:t>
      </w:r>
      <w:r>
        <w:t xml:space="preserve">, </w:t>
      </w:r>
      <w:r>
        <w:rPr>
          <w:i/>
        </w:rPr>
        <w:t>28</w:t>
      </w:r>
      <w:r>
        <w:t xml:space="preserve">(8), 1310–1325. </w:t>
      </w:r>
      <w:hyperlink r:id="rId80">
        <w:r>
          <w:rPr>
            <w:rStyle w:val="Hyperlink"/>
          </w:rPr>
          <w:t>https://doi.org/10.1016/j.cpr.2008.07.001</w:t>
        </w:r>
      </w:hyperlink>
    </w:p>
    <w:p w14:paraId="6AB67D72" w14:textId="77777777" w:rsidR="0016079D" w:rsidRDefault="00B23CA6">
      <w:pPr>
        <w:pStyle w:val="Bibliography"/>
      </w:pPr>
      <w:bookmarkStart w:id="93" w:name="ref-Rosenthal1979"/>
      <w:r>
        <w:t xml:space="preserve">Rosenthal, R. (1979). The file drawer problem and tolerance for null results. </w:t>
      </w:r>
      <w:r>
        <w:rPr>
          <w:i/>
        </w:rPr>
        <w:t>Psychological Bulletin</w:t>
      </w:r>
      <w:r>
        <w:t xml:space="preserve">, </w:t>
      </w:r>
      <w:r>
        <w:rPr>
          <w:i/>
        </w:rPr>
        <w:t>86</w:t>
      </w:r>
      <w:r>
        <w:t xml:space="preserve">(3), 638–641. </w:t>
      </w:r>
      <w:hyperlink r:id="rId81">
        <w:r>
          <w:rPr>
            <w:rStyle w:val="Hyperlink"/>
          </w:rPr>
          <w:t>https://doi.org/10.1037/0033-2909.86.3.638</w:t>
        </w:r>
      </w:hyperlink>
    </w:p>
    <w:bookmarkEnd w:id="93"/>
    <w:p w14:paraId="75F7794B" w14:textId="77777777" w:rsidR="0016079D" w:rsidRDefault="00B23CA6">
      <w:pPr>
        <w:pStyle w:val="Bibliography"/>
      </w:pPr>
      <w:r>
        <w:t xml:space="preserve">Roth, A., Hill, A., &amp; Pilling, S. (2009). </w:t>
      </w:r>
      <w:r>
        <w:rPr>
          <w:i/>
        </w:rPr>
        <w:t>The competences required to deliver effective Humanistic Psychological Therapies</w:t>
      </w:r>
      <w:r>
        <w:t>. London: University College London.</w:t>
      </w:r>
    </w:p>
    <w:p w14:paraId="25FC3EC5" w14:textId="77777777" w:rsidR="0016079D" w:rsidRDefault="00B23CA6">
      <w:pPr>
        <w:pStyle w:val="Bibliography"/>
      </w:pPr>
      <w:r>
        <w:t xml:space="preserve">Roth, A., &amp; Pilling, S. (2008). Using an evidence-based methodology to identify the competences required to deliver effective cognitive and behavioural therapy for depression and anxiety disorders. </w:t>
      </w:r>
      <w:r>
        <w:rPr>
          <w:i/>
        </w:rPr>
        <w:t>Behavioural and Cognitive Psychotherapy</w:t>
      </w:r>
      <w:r>
        <w:t xml:space="preserve">, </w:t>
      </w:r>
      <w:r>
        <w:rPr>
          <w:i/>
        </w:rPr>
        <w:t>36</w:t>
      </w:r>
      <w:r>
        <w:t xml:space="preserve">(2), 129–147. </w:t>
      </w:r>
      <w:hyperlink r:id="rId82">
        <w:r>
          <w:rPr>
            <w:rStyle w:val="Hyperlink"/>
          </w:rPr>
          <w:t>https://doi.org/10.1017/S1352465808004141</w:t>
        </w:r>
      </w:hyperlink>
    </w:p>
    <w:p w14:paraId="0DBEEE63" w14:textId="77777777" w:rsidR="0016079D" w:rsidRDefault="00B23CA6">
      <w:pPr>
        <w:pStyle w:val="Bibliography"/>
      </w:pPr>
      <w:r>
        <w:lastRenderedPageBreak/>
        <w:t>Sánchez-</w:t>
      </w:r>
      <w:proofErr w:type="spellStart"/>
      <w:r>
        <w:t>Meca</w:t>
      </w:r>
      <w:proofErr w:type="spellEnd"/>
      <w:r>
        <w:t xml:space="preserve">, J., Rosa-Alcázar, A. I., Marín-Martínez, F., &amp; Gómez-Conesa, A. (2010). Psychological treatment of panic disorder with or without agoraphobia: A meta-analysis. </w:t>
      </w:r>
      <w:r>
        <w:rPr>
          <w:i/>
        </w:rPr>
        <w:t>Clinical Psychology Review</w:t>
      </w:r>
      <w:r>
        <w:t xml:space="preserve">, </w:t>
      </w:r>
      <w:r>
        <w:rPr>
          <w:i/>
        </w:rPr>
        <w:t>30</w:t>
      </w:r>
      <w:r>
        <w:t xml:space="preserve">(1), 37–50. </w:t>
      </w:r>
      <w:hyperlink r:id="rId83">
        <w:r>
          <w:rPr>
            <w:rStyle w:val="Hyperlink"/>
          </w:rPr>
          <w:t>https://doi.org/10.1016/j.cpr.2009.08.011</w:t>
        </w:r>
      </w:hyperlink>
    </w:p>
    <w:p w14:paraId="5BD45214" w14:textId="77777777" w:rsidR="0016079D" w:rsidRDefault="00B23CA6">
      <w:pPr>
        <w:pStyle w:val="Bibliography"/>
      </w:pPr>
      <w:bookmarkStart w:id="94" w:name="ref-R-meta"/>
      <w:r>
        <w:t xml:space="preserve">Schwarzer, G. (2020). </w:t>
      </w:r>
      <w:r>
        <w:rPr>
          <w:i/>
        </w:rPr>
        <w:t>Meta: General package for meta-analysis</w:t>
      </w:r>
      <w:r>
        <w:t xml:space="preserve">. </w:t>
      </w:r>
      <w:hyperlink r:id="rId84">
        <w:r>
          <w:rPr>
            <w:rStyle w:val="Hyperlink"/>
          </w:rPr>
          <w:t>https://CRAN.R-project.org/package=meta</w:t>
        </w:r>
      </w:hyperlink>
    </w:p>
    <w:p w14:paraId="7B5D9FCE" w14:textId="77777777" w:rsidR="0016079D" w:rsidRDefault="00B23CA6">
      <w:pPr>
        <w:pStyle w:val="Bibliography"/>
      </w:pPr>
      <w:bookmarkStart w:id="95" w:name="ref-Shadish1997a"/>
      <w:bookmarkEnd w:id="94"/>
      <w:r>
        <w:t xml:space="preserve">Shadish, W. R., Matt, G. E., Navarro, A. M., Siegle, G., Crits-Christoph, P., Hazelrigg, M. D., Jorm, A. F., Lyons, L. C., Nietzel, M. T., Robinson, L., Prout, H. T., Smith, M. L., Svartberg, M., &amp; Weiss, B. (1997). Evidence that therapy works in clincally representative conditions. </w:t>
      </w:r>
      <w:r>
        <w:rPr>
          <w:i/>
        </w:rPr>
        <w:t>Journal of Consulting and Clinical Psychology</w:t>
      </w:r>
      <w:r>
        <w:t xml:space="preserve">, </w:t>
      </w:r>
      <w:r>
        <w:rPr>
          <w:i/>
        </w:rPr>
        <w:t>65</w:t>
      </w:r>
      <w:r>
        <w:t xml:space="preserve">(3), 355–365. </w:t>
      </w:r>
      <w:hyperlink r:id="rId85">
        <w:r>
          <w:rPr>
            <w:rStyle w:val="Hyperlink"/>
          </w:rPr>
          <w:t>https://doi.org/10.1037/0022-006X.65.3.355</w:t>
        </w:r>
      </w:hyperlink>
    </w:p>
    <w:p w14:paraId="51C89A2C" w14:textId="77777777" w:rsidR="0016079D" w:rsidRDefault="00B23CA6">
      <w:pPr>
        <w:pStyle w:val="Bibliography"/>
      </w:pPr>
      <w:bookmarkStart w:id="96" w:name="ref-Shadish2000"/>
      <w:bookmarkEnd w:id="95"/>
      <w:r>
        <w:t xml:space="preserve">Shadish, W. R., Navarro, A. M., Matt, G. E., &amp; Phillips, G. (2000). The effects of psychological therapies under clinically representative conditions: A meta-analysis. </w:t>
      </w:r>
      <w:r>
        <w:rPr>
          <w:i/>
        </w:rPr>
        <w:t>Psychological Bulletin</w:t>
      </w:r>
      <w:r>
        <w:t xml:space="preserve">, </w:t>
      </w:r>
      <w:r>
        <w:rPr>
          <w:i/>
        </w:rPr>
        <w:t>126</w:t>
      </w:r>
      <w:r>
        <w:t xml:space="preserve">(4), 512–529. </w:t>
      </w:r>
      <w:hyperlink r:id="rId86">
        <w:r>
          <w:rPr>
            <w:rStyle w:val="Hyperlink"/>
          </w:rPr>
          <w:t>https://doi.org/10.1037/0033-2909.126.4.512</w:t>
        </w:r>
      </w:hyperlink>
    </w:p>
    <w:p w14:paraId="17CF5909" w14:textId="77777777" w:rsidR="0016079D" w:rsidRDefault="00B23CA6">
      <w:pPr>
        <w:pStyle w:val="Bibliography"/>
      </w:pPr>
      <w:bookmarkStart w:id="97" w:name="ref-Spielmans2018"/>
      <w:bookmarkEnd w:id="96"/>
      <w:r>
        <w:t xml:space="preserve">Spielmans, G. I., &amp; Flückiger, C. (2018). Moderators in psychotherapy meta-analysis. </w:t>
      </w:r>
      <w:r>
        <w:rPr>
          <w:i/>
        </w:rPr>
        <w:t>Psychotherapy Research</w:t>
      </w:r>
      <w:r>
        <w:t xml:space="preserve">, </w:t>
      </w:r>
      <w:r>
        <w:rPr>
          <w:i/>
        </w:rPr>
        <w:t>28</w:t>
      </w:r>
      <w:r>
        <w:t xml:space="preserve">(3), 333–346. </w:t>
      </w:r>
      <w:hyperlink r:id="rId87">
        <w:r>
          <w:rPr>
            <w:rStyle w:val="Hyperlink"/>
          </w:rPr>
          <w:t>https://doi.org/10.1080/10503307.2017.1422214</w:t>
        </w:r>
      </w:hyperlink>
    </w:p>
    <w:p w14:paraId="089779F3" w14:textId="77777777" w:rsidR="0016079D" w:rsidRDefault="00B23CA6">
      <w:pPr>
        <w:pStyle w:val="Bibliography"/>
      </w:pPr>
      <w:bookmarkStart w:id="98" w:name="ref-Stewart2009a"/>
      <w:bookmarkEnd w:id="97"/>
      <w:r>
        <w:t xml:space="preserve">Stewart, R. E., &amp; Chambless, D. L. (2009). Cognitive-behavioral therapy for adult anxiety disorders in clinical practice: A meta-analysis of effectiveness studies. </w:t>
      </w:r>
      <w:r>
        <w:rPr>
          <w:i/>
        </w:rPr>
        <w:t>Journal of Consulting and Clinical Psychology</w:t>
      </w:r>
      <w:r>
        <w:t xml:space="preserve">, </w:t>
      </w:r>
      <w:r>
        <w:rPr>
          <w:i/>
        </w:rPr>
        <w:t>77</w:t>
      </w:r>
      <w:r>
        <w:t xml:space="preserve">(4), 595–606. </w:t>
      </w:r>
      <w:hyperlink r:id="rId88">
        <w:r>
          <w:rPr>
            <w:rStyle w:val="Hyperlink"/>
          </w:rPr>
          <w:t>https://doi.org/10.1037/a0016032</w:t>
        </w:r>
      </w:hyperlink>
    </w:p>
    <w:p w14:paraId="362E244A" w14:textId="77777777" w:rsidR="0016079D" w:rsidRDefault="00B23CA6">
      <w:pPr>
        <w:pStyle w:val="Bibliography"/>
      </w:pPr>
      <w:bookmarkStart w:id="99" w:name="ref-Turner2020"/>
      <w:bookmarkEnd w:id="98"/>
      <w:r>
        <w:t xml:space="preserve">Turner, D. T., Reijnders, M., van der Gaag, M., Karyotaki, E., Valmaggia, L. R., Moritz, S., Lecomte, T., Turkington, D., Penadés, R., Elkis, H., Cather, C., Shawyer, F., O’Connor, </w:t>
      </w:r>
      <w:r>
        <w:lastRenderedPageBreak/>
        <w:t xml:space="preserve">K., Li, Z.-J., de Paiva Barretto, E. M., &amp; Cuijpers, P. (2020). Efficacy and moderators of cognitive behavioural therapy for psychosis versus other psychological interventions: An individual-participant data meta-analysis. </w:t>
      </w:r>
      <w:r>
        <w:rPr>
          <w:i/>
        </w:rPr>
        <w:t>Frontiers in Psychiatry</w:t>
      </w:r>
      <w:r>
        <w:t xml:space="preserve">, </w:t>
      </w:r>
      <w:r>
        <w:rPr>
          <w:i/>
        </w:rPr>
        <w:t>11</w:t>
      </w:r>
      <w:r>
        <w:t xml:space="preserve">, 402. </w:t>
      </w:r>
      <w:hyperlink r:id="rId89">
        <w:r>
          <w:rPr>
            <w:rStyle w:val="Hyperlink"/>
          </w:rPr>
          <w:t>https://doi.org/10.3389/fpsyt.2020.00402</w:t>
        </w:r>
      </w:hyperlink>
    </w:p>
    <w:p w14:paraId="2332E986" w14:textId="77777777" w:rsidR="0016079D" w:rsidRDefault="00B23CA6">
      <w:pPr>
        <w:pStyle w:val="Bibliography"/>
      </w:pPr>
      <w:bookmarkStart w:id="100" w:name="ref-VandenNoortgate2013a"/>
      <w:bookmarkEnd w:id="99"/>
      <w:r>
        <w:t xml:space="preserve">Van den Noortgate, W., López-López, J. A., Marín-Martínez, F., &amp; Sánchez-Meca, J. (2013). Three-level meta-analysis of dependent effect sizes. </w:t>
      </w:r>
      <w:r>
        <w:rPr>
          <w:i/>
        </w:rPr>
        <w:t>Behavior Research Methods</w:t>
      </w:r>
      <w:r>
        <w:t xml:space="preserve">, </w:t>
      </w:r>
      <w:r>
        <w:rPr>
          <w:i/>
        </w:rPr>
        <w:t>45</w:t>
      </w:r>
      <w:r>
        <w:t xml:space="preserve">(2), 576–594. </w:t>
      </w:r>
      <w:hyperlink r:id="rId90">
        <w:r>
          <w:rPr>
            <w:rStyle w:val="Hyperlink"/>
          </w:rPr>
          <w:t>https://doi.org/10.3758/s13428-012-0261-6</w:t>
        </w:r>
      </w:hyperlink>
    </w:p>
    <w:p w14:paraId="73358DD2" w14:textId="77777777" w:rsidR="0016079D" w:rsidRDefault="00B23CA6">
      <w:pPr>
        <w:pStyle w:val="Bibliography"/>
      </w:pPr>
      <w:bookmarkStart w:id="101" w:name="ref-VandenNoortgate2015"/>
      <w:bookmarkEnd w:id="100"/>
      <w:r>
        <w:t xml:space="preserve">Van den Noortgate, W., López-López, J. A., Marín-Martínez, F., &amp; Sánchez-Meca, J. (2015). Meta-analysis of multiple outcomes: A multilevel approach. </w:t>
      </w:r>
      <w:r>
        <w:rPr>
          <w:i/>
        </w:rPr>
        <w:t>Behavior Research Methods</w:t>
      </w:r>
      <w:r>
        <w:t xml:space="preserve">, </w:t>
      </w:r>
      <w:r>
        <w:rPr>
          <w:i/>
        </w:rPr>
        <w:t>47</w:t>
      </w:r>
      <w:r>
        <w:t xml:space="preserve">(4), 1274–1294. </w:t>
      </w:r>
      <w:hyperlink r:id="rId91">
        <w:r>
          <w:rPr>
            <w:rStyle w:val="Hyperlink"/>
          </w:rPr>
          <w:t>https://doi.org/10.3758/s13428-014-0527-2</w:t>
        </w:r>
      </w:hyperlink>
    </w:p>
    <w:bookmarkEnd w:id="101"/>
    <w:p w14:paraId="688EB0D1" w14:textId="77777777" w:rsidR="0016079D" w:rsidRDefault="00B23CA6">
      <w:pPr>
        <w:pStyle w:val="Bibliography"/>
      </w:pPr>
      <w:r>
        <w:t xml:space="preserve">van der Lem, R., de Wever, W. W., van der Wee, N. J., van Veen, T., Cuijpers, P., &amp; Zitman, F. G. (2012). The generalizability of psychotherapy efficacy trials in major depressive disorder: An analysis of the influence of patient selection in efficacy trials on symptom outcome in daily practice. </w:t>
      </w:r>
      <w:r>
        <w:rPr>
          <w:i/>
        </w:rPr>
        <w:t>BMC Psychiatry</w:t>
      </w:r>
      <w:r>
        <w:t xml:space="preserve">, </w:t>
      </w:r>
      <w:r>
        <w:rPr>
          <w:i/>
        </w:rPr>
        <w:t>12</w:t>
      </w:r>
      <w:r>
        <w:t xml:space="preserve">(1), 192. </w:t>
      </w:r>
      <w:hyperlink r:id="rId92">
        <w:r>
          <w:rPr>
            <w:rStyle w:val="Hyperlink"/>
          </w:rPr>
          <w:t>https://doi.org/10.1186/1471-244X-12-192</w:t>
        </w:r>
      </w:hyperlink>
    </w:p>
    <w:p w14:paraId="4975F587" w14:textId="77777777" w:rsidR="0016079D" w:rsidRDefault="00B23CA6">
      <w:pPr>
        <w:pStyle w:val="Bibliography"/>
      </w:pPr>
      <w:bookmarkStart w:id="102" w:name="ref-R-metafor"/>
      <w:proofErr w:type="spellStart"/>
      <w:r>
        <w:t>Viechtbauer</w:t>
      </w:r>
      <w:proofErr w:type="spellEnd"/>
      <w:r>
        <w:t xml:space="preserve">, W. (2020). </w:t>
      </w:r>
      <w:r>
        <w:rPr>
          <w:i/>
        </w:rPr>
        <w:t>Metafor: Meta-analysis package for r</w:t>
      </w:r>
      <w:r>
        <w:t xml:space="preserve">. </w:t>
      </w:r>
      <w:hyperlink r:id="rId93">
        <w:r>
          <w:rPr>
            <w:rStyle w:val="Hyperlink"/>
          </w:rPr>
          <w:t>https://CRAN.R-project.org/package=metafor</w:t>
        </w:r>
      </w:hyperlink>
    </w:p>
    <w:bookmarkEnd w:id="102"/>
    <w:p w14:paraId="4D592504" w14:textId="77777777" w:rsidR="0016079D" w:rsidRDefault="00B23CA6">
      <w:pPr>
        <w:pStyle w:val="Bibliography"/>
      </w:pPr>
      <w:r>
        <w:t xml:space="preserve">Wakefield, S., Kellett, S., Simmonds-Buckley, M., Stockton, D., Bradbury, A., &amp; Delgadillo, J. (2021). Improving Access to Psychological Therapies (IAPT) in the United Kingdom: A systematic review and meta-analysis of 10-years of practice-based evidence. </w:t>
      </w:r>
      <w:r>
        <w:rPr>
          <w:i/>
        </w:rPr>
        <w:t>British Journal of Clinical Psychology</w:t>
      </w:r>
      <w:r>
        <w:t xml:space="preserve">, </w:t>
      </w:r>
      <w:r>
        <w:rPr>
          <w:i/>
        </w:rPr>
        <w:t>60</w:t>
      </w:r>
      <w:r>
        <w:t xml:space="preserve">(1), 1–37. </w:t>
      </w:r>
      <w:hyperlink r:id="rId94">
        <w:r>
          <w:rPr>
            <w:rStyle w:val="Hyperlink"/>
          </w:rPr>
          <w:t>https://doi.org/10.1111/bjc.12259</w:t>
        </w:r>
      </w:hyperlink>
    </w:p>
    <w:p w14:paraId="171C233C" w14:textId="77777777" w:rsidR="0016079D" w:rsidRDefault="00B23CA6">
      <w:pPr>
        <w:pStyle w:val="Bibliography"/>
      </w:pPr>
      <w:bookmarkStart w:id="103" w:name="ref-Waller2016"/>
      <w:r>
        <w:lastRenderedPageBreak/>
        <w:t xml:space="preserve">Waller, G., &amp; Turner, H. (2016). Therapist drift redux: Why well-meaning clinicians fail to deliver evidence-based therapy, and how to get back on track. </w:t>
      </w:r>
      <w:r>
        <w:rPr>
          <w:i/>
        </w:rPr>
        <w:t>Behaviour Research and Therapy</w:t>
      </w:r>
      <w:r>
        <w:t xml:space="preserve">, </w:t>
      </w:r>
      <w:r>
        <w:rPr>
          <w:i/>
        </w:rPr>
        <w:t>77</w:t>
      </w:r>
      <w:r>
        <w:t xml:space="preserve">, 129–137. </w:t>
      </w:r>
      <w:hyperlink r:id="rId95">
        <w:r>
          <w:rPr>
            <w:rStyle w:val="Hyperlink"/>
          </w:rPr>
          <w:t>https://doi.org/10.1016/j.brat.2015.12.005</w:t>
        </w:r>
      </w:hyperlink>
    </w:p>
    <w:bookmarkEnd w:id="103"/>
    <w:p w14:paraId="2D80820D" w14:textId="77777777" w:rsidR="0016079D" w:rsidRDefault="00B23CA6">
      <w:pPr>
        <w:pStyle w:val="Bibliography"/>
      </w:pPr>
      <w:r>
        <w:t xml:space="preserve">Weisz, J. R., Weiss, B., Han, S. S., Granger, D. A., &amp; Morton, T. (1995). Effects of psychotherapy with children and adolescents revisited: A meta-analysis of treatment outcome studies. </w:t>
      </w:r>
      <w:r>
        <w:rPr>
          <w:i/>
        </w:rPr>
        <w:t>Psychological Bulletin</w:t>
      </w:r>
      <w:r>
        <w:t xml:space="preserve">, </w:t>
      </w:r>
      <w:r>
        <w:rPr>
          <w:i/>
        </w:rPr>
        <w:t>117</w:t>
      </w:r>
      <w:r>
        <w:t xml:space="preserve">(3), 450–468. </w:t>
      </w:r>
      <w:hyperlink r:id="rId96">
        <w:r>
          <w:rPr>
            <w:rStyle w:val="Hyperlink"/>
          </w:rPr>
          <w:t>https://doi.org/10.1037/0033-2909.117.3.450</w:t>
        </w:r>
      </w:hyperlink>
    </w:p>
    <w:p w14:paraId="357A6439" w14:textId="77777777" w:rsidR="0016079D" w:rsidRDefault="00B23CA6">
      <w:pPr>
        <w:pStyle w:val="Bibliography"/>
      </w:pPr>
      <w:bookmarkStart w:id="104" w:name="ref-Whiston2019"/>
      <w:r>
        <w:t xml:space="preserve">Whiston, A., Bockting, C. L. H., &amp; Semkovska, M. (2019). Towards personalising treatment: A systematic review and meta-analysis of face-to-face efficacy moderators of cognitive-behavioral therapy and interpersonal psychotherapy for major depressive disorder. </w:t>
      </w:r>
      <w:r>
        <w:rPr>
          <w:i/>
        </w:rPr>
        <w:t>Psychological Medicine</w:t>
      </w:r>
      <w:r>
        <w:t xml:space="preserve">, </w:t>
      </w:r>
      <w:r>
        <w:rPr>
          <w:i/>
        </w:rPr>
        <w:t>49</w:t>
      </w:r>
      <w:r>
        <w:t xml:space="preserve">(16), 2657–2668. </w:t>
      </w:r>
      <w:hyperlink r:id="rId97">
        <w:r>
          <w:rPr>
            <w:rStyle w:val="Hyperlink"/>
          </w:rPr>
          <w:t>https://doi.org/10.1017/S0033291719002812</w:t>
        </w:r>
      </w:hyperlink>
    </w:p>
    <w:p w14:paraId="3363BAB8" w14:textId="77777777" w:rsidR="0016079D" w:rsidRDefault="00B23CA6">
      <w:pPr>
        <w:pStyle w:val="Bibliography"/>
      </w:pPr>
      <w:bookmarkStart w:id="105" w:name="ref-Whiteford2012"/>
      <w:bookmarkEnd w:id="104"/>
      <w:r>
        <w:t xml:space="preserve">Whiteford, H., Harris, M., Mckeon, G., Baxter, A., Pennell, C., Barendregt, J., &amp; Wang, J. (2012). Estimating remission from untreated major depression: A systematic review and meta-analysis. </w:t>
      </w:r>
      <w:r>
        <w:rPr>
          <w:i/>
        </w:rPr>
        <w:t>Psychological Medicine</w:t>
      </w:r>
      <w:r>
        <w:t xml:space="preserve">, </w:t>
      </w:r>
      <w:r>
        <w:rPr>
          <w:i/>
        </w:rPr>
        <w:t>43</w:t>
      </w:r>
      <w:r>
        <w:t xml:space="preserve">, 1–17. </w:t>
      </w:r>
      <w:hyperlink r:id="rId98">
        <w:r>
          <w:rPr>
            <w:rStyle w:val="Hyperlink"/>
          </w:rPr>
          <w:t>https://doi.org/10.1017/S0033291712001717</w:t>
        </w:r>
      </w:hyperlink>
    </w:p>
    <w:bookmarkEnd w:id="105"/>
    <w:p w14:paraId="13FF00C9" w14:textId="77777777" w:rsidR="0016079D" w:rsidRDefault="00B23CA6">
      <w:pPr>
        <w:pStyle w:val="Bibliography"/>
      </w:pPr>
      <w:r>
        <w:t xml:space="preserve">Wolitzky-Taylor, K. B., Horowitz, J. D., Powers, M. B., &amp; Telch, M. J. (2008). Psychological approaches in the treatment of specific phobias: A meta-analysis. </w:t>
      </w:r>
      <w:r>
        <w:rPr>
          <w:i/>
        </w:rPr>
        <w:t>Clinical Psychology Review</w:t>
      </w:r>
      <w:r>
        <w:t xml:space="preserve">, </w:t>
      </w:r>
      <w:r>
        <w:rPr>
          <w:i/>
        </w:rPr>
        <w:t>28</w:t>
      </w:r>
      <w:r>
        <w:t xml:space="preserve">(6), 1021–1037. </w:t>
      </w:r>
      <w:hyperlink r:id="rId99">
        <w:r>
          <w:rPr>
            <w:rStyle w:val="Hyperlink"/>
          </w:rPr>
          <w:t>https://doi.org/10.1016/j.cpr.2008.02.007</w:t>
        </w:r>
      </w:hyperlink>
    </w:p>
    <w:p w14:paraId="6BB6B2B1" w14:textId="33CFE329" w:rsidR="0016079D" w:rsidRDefault="00B23CA6" w:rsidP="00CB0379">
      <w:pPr>
        <w:pStyle w:val="Bibliography"/>
      </w:pPr>
      <w:r>
        <w:t xml:space="preserve">Zimmerman, M., Mattia, J. I., &amp; Posternak, M. A. (2002). Are subjects in pharmacological treatment trials of depression representative of patients in routine clinical practice? </w:t>
      </w:r>
      <w:r>
        <w:rPr>
          <w:i/>
        </w:rPr>
        <w:lastRenderedPageBreak/>
        <w:t>American Journal of Psychiatry</w:t>
      </w:r>
      <w:r>
        <w:t xml:space="preserve">, </w:t>
      </w:r>
      <w:r>
        <w:rPr>
          <w:i/>
        </w:rPr>
        <w:t>159</w:t>
      </w:r>
      <w:r>
        <w:t xml:space="preserve">(3), 469–473. </w:t>
      </w:r>
      <w:hyperlink r:id="rId100">
        <w:r>
          <w:rPr>
            <w:rStyle w:val="Hyperlink"/>
          </w:rPr>
          <w:t>https://doi.org/10.1176/appi.ajp.159.3.469</w:t>
        </w:r>
      </w:hyperlink>
      <w:bookmarkEnd w:id="23"/>
      <w:bookmarkEnd w:id="24"/>
    </w:p>
    <w:sectPr w:rsidR="001607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42BF" w14:textId="77777777" w:rsidR="006F6FDF" w:rsidRDefault="006F6FDF">
      <w:pPr>
        <w:spacing w:after="0"/>
      </w:pPr>
      <w:r>
        <w:separator/>
      </w:r>
    </w:p>
  </w:endnote>
  <w:endnote w:type="continuationSeparator" w:id="0">
    <w:p w14:paraId="1D907313" w14:textId="77777777" w:rsidR="006F6FDF" w:rsidRDefault="006F6F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AED5" w14:textId="77777777" w:rsidR="007A18E2" w:rsidRDefault="007A1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DD42" w14:textId="77777777" w:rsidR="007A18E2" w:rsidRDefault="007A1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563B" w14:textId="77777777" w:rsidR="007A18E2" w:rsidRDefault="007A1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743E" w14:textId="77777777" w:rsidR="006F6FDF" w:rsidRDefault="006F6FDF">
      <w:r>
        <w:separator/>
      </w:r>
    </w:p>
  </w:footnote>
  <w:footnote w:type="continuationSeparator" w:id="0">
    <w:p w14:paraId="3E64E01E" w14:textId="77777777" w:rsidR="006F6FDF" w:rsidRDefault="006F6FDF">
      <w:r>
        <w:continuationSeparator/>
      </w:r>
    </w:p>
  </w:footnote>
  <w:footnote w:id="1">
    <w:p w14:paraId="194C1E8F" w14:textId="48FBCF16" w:rsidR="00970937" w:rsidRPr="00970937" w:rsidRDefault="00970937">
      <w:pPr>
        <w:pStyle w:val="FootnoteText"/>
        <w:rPr>
          <w:lang w:val="en-GB"/>
        </w:rPr>
      </w:pPr>
      <w:r>
        <w:rPr>
          <w:rStyle w:val="FootnoteReference"/>
        </w:rPr>
        <w:footnoteRef/>
      </w:r>
      <w:r>
        <w:t xml:space="preserve"> </w:t>
      </w:r>
      <w:r>
        <w:rPr>
          <w:lang w:val="en-GB"/>
        </w:rPr>
        <w:t xml:space="preserve">Protocol available at: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B719" w14:textId="1E04D84B" w:rsidR="007A18E2" w:rsidRDefault="006F6FDF">
    <w:pPr>
      <w:pStyle w:val="Header"/>
    </w:pPr>
    <w:r>
      <w:rPr>
        <w:noProof/>
      </w:rPr>
      <w:pict w14:anchorId="3AEA72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560503" o:spid="_x0000_s1027" type="#_x0000_t136" alt="" style="position:absolute;margin-left:0;margin-top:0;width:508.7pt;height:127.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font-weight:bold" string="PrePrin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C0CF" w14:textId="3E1CF9A4" w:rsidR="007A18E2" w:rsidRPr="007A18E2" w:rsidRDefault="006F6FDF" w:rsidP="007A18E2">
    <w:pPr>
      <w:rPr>
        <w:rFonts w:ascii="Times New Roman" w:hAnsi="Times New Roman" w:cs="Times New Roman"/>
        <w:color w:val="000000" w:themeColor="text1"/>
        <w:sz w:val="13"/>
        <w:szCs w:val="13"/>
      </w:rPr>
    </w:pPr>
    <w:r>
      <w:rPr>
        <w:noProof/>
      </w:rPr>
      <w:pict w14:anchorId="78A1D2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560504" o:spid="_x0000_s1026" type="#_x0000_t136" alt="" style="position:absolute;margin-left:0;margin-top:0;width:508.7pt;height:127.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font-weight:bold" string="PrePrint"/>
        </v:shape>
      </w:pict>
    </w:r>
    <w:r w:rsidR="007A18E2" w:rsidRPr="007A18E2">
      <w:rPr>
        <w:rFonts w:ascii="Times New Roman" w:hAnsi="Times New Roman" w:cs="Times New Roman"/>
        <w:color w:val="000000" w:themeColor="text1"/>
        <w:sz w:val="13"/>
        <w:szCs w:val="13"/>
        <w:shd w:val="clear" w:color="auto" w:fill="FFFFFF"/>
      </w:rPr>
      <w:t>© </w:t>
    </w:r>
    <w:r w:rsidR="007A18E2">
      <w:rPr>
        <w:rFonts w:ascii="Times New Roman" w:hAnsi="Times New Roman" w:cs="Times New Roman"/>
        <w:color w:val="000000" w:themeColor="text1"/>
        <w:sz w:val="13"/>
        <w:szCs w:val="13"/>
        <w:shd w:val="clear" w:color="auto" w:fill="FFFFFF"/>
      </w:rPr>
      <w:t>2021</w:t>
    </w:r>
    <w:r w:rsidR="007A18E2" w:rsidRPr="007A18E2">
      <w:rPr>
        <w:rFonts w:ascii="Times New Roman" w:hAnsi="Times New Roman" w:cs="Times New Roman"/>
        <w:color w:val="000000" w:themeColor="text1"/>
        <w:sz w:val="13"/>
        <w:szCs w:val="13"/>
        <w:shd w:val="clear" w:color="auto" w:fill="FFFFFF"/>
      </w:rPr>
      <w:t>. This manuscript version is made available under the CC-BY-NC-ND 4.0 license </w:t>
    </w:r>
    <w:hyperlink r:id="rId1" w:tgtFrame="_blank" w:history="1">
      <w:r w:rsidR="007A18E2" w:rsidRPr="007A18E2">
        <w:rPr>
          <w:rStyle w:val="Hyperlink"/>
          <w:rFonts w:ascii="Times New Roman" w:hAnsi="Times New Roman" w:cs="Times New Roman"/>
          <w:sz w:val="13"/>
          <w:szCs w:val="13"/>
        </w:rPr>
        <w:t>https://creativecommons.org/licenses/by-nc-nd/4.0/</w:t>
      </w:r>
    </w:hyperlink>
  </w:p>
  <w:p w14:paraId="1195FA5D" w14:textId="77777777" w:rsidR="007A18E2" w:rsidRPr="007A18E2" w:rsidRDefault="007A18E2" w:rsidP="007A18E2">
    <w:pPr>
      <w:pStyle w:val="Header"/>
      <w:rPr>
        <w:rFonts w:ascii="Times New Roman" w:hAnsi="Times New Roman" w:cs="Times New Roman"/>
        <w:color w:val="000000" w:themeColor="text1"/>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AFDD" w14:textId="18E9469A" w:rsidR="007A18E2" w:rsidRDefault="006F6FDF">
    <w:pPr>
      <w:pStyle w:val="Header"/>
    </w:pPr>
    <w:r>
      <w:rPr>
        <w:noProof/>
      </w:rPr>
      <w:pict w14:anchorId="48463E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560502" o:spid="_x0000_s1025" type="#_x0000_t136" alt="" style="position:absolute;margin-left:0;margin-top:0;width:508.7pt;height:127.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font-weight:bold" string="PrePri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6FAE05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592A00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71273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C48F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FC51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25027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CC2D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2E71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9AA8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C7E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ACC5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E313A4"/>
    <w:multiLevelType w:val="hybridMultilevel"/>
    <w:tmpl w:val="6A78E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AB5FAF"/>
    <w:multiLevelType w:val="hybridMultilevel"/>
    <w:tmpl w:val="FBA44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88BC1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C4B3C97"/>
    <w:multiLevelType w:val="hybridMultilevel"/>
    <w:tmpl w:val="47C6D47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64D4118"/>
    <w:multiLevelType w:val="hybridMultilevel"/>
    <w:tmpl w:val="128A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152D87"/>
    <w:multiLevelType w:val="hybridMultilevel"/>
    <w:tmpl w:val="7FDA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0"/>
  </w:num>
  <w:num w:numId="21">
    <w:abstractNumId w:val="0"/>
  </w:num>
  <w:num w:numId="22">
    <w:abstractNumId w:val="15"/>
  </w:num>
  <w:num w:numId="23">
    <w:abstractNumId w:val="14"/>
  </w:num>
  <w:num w:numId="24">
    <w:abstractNumId w:val="12"/>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45"/>
    <w:rsid w:val="0016079D"/>
    <w:rsid w:val="002362CA"/>
    <w:rsid w:val="003431B8"/>
    <w:rsid w:val="00373551"/>
    <w:rsid w:val="00415319"/>
    <w:rsid w:val="004E29B3"/>
    <w:rsid w:val="00590D07"/>
    <w:rsid w:val="006C5163"/>
    <w:rsid w:val="006F6FDF"/>
    <w:rsid w:val="0071058D"/>
    <w:rsid w:val="00784D58"/>
    <w:rsid w:val="007A18E2"/>
    <w:rsid w:val="008D083E"/>
    <w:rsid w:val="008D6863"/>
    <w:rsid w:val="00906CE3"/>
    <w:rsid w:val="00970937"/>
    <w:rsid w:val="00AC3EEF"/>
    <w:rsid w:val="00AE4540"/>
    <w:rsid w:val="00B23CA6"/>
    <w:rsid w:val="00B86B75"/>
    <w:rsid w:val="00BC48D5"/>
    <w:rsid w:val="00C36279"/>
    <w:rsid w:val="00C77050"/>
    <w:rsid w:val="00CB0379"/>
    <w:rsid w:val="00E315A3"/>
    <w:rsid w:val="00F32A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8F950"/>
  <w15:docId w15:val="{626A14E4-8214-744F-B0E8-C1CE7E48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5281A"/>
    <w:pPr>
      <w:keepNext/>
      <w:keepLines/>
      <w:spacing w:before="48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45281A"/>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link w:val="Heading3Char"/>
    <w:uiPriority w:val="9"/>
    <w:unhideWhenUsed/>
    <w:qFormat/>
    <w:rsid w:val="0045281A"/>
    <w:pPr>
      <w:keepNext/>
      <w:keepLines/>
      <w:spacing w:before="200" w:after="0" w:line="480" w:lineRule="auto"/>
      <w:ind w:firstLine="7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45281A"/>
    <w:pPr>
      <w:spacing w:before="180" w:after="18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5281A"/>
    <w:pPr>
      <w:keepNext/>
      <w:keepLines/>
      <w:spacing w:before="480" w:after="24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5281A"/>
    <w:pPr>
      <w:keepNext/>
      <w:keepLines/>
      <w:jc w:val="center"/>
    </w:pPr>
    <w:rPr>
      <w:rFonts w:ascii="Times New Roman" w:hAnsi="Times New Roman"/>
      <w:color w:val="000000" w:themeColor="text1"/>
    </w:rPr>
  </w:style>
  <w:style w:type="paragraph" w:styleId="Date">
    <w:name w:val="Date"/>
    <w:next w:val="BodyText"/>
    <w:qFormat/>
    <w:rsid w:val="0045281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51BE"/>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86194"/>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uiPriority w:val="99"/>
    <w:rsid w:val="0045281A"/>
    <w:rPr>
      <w:rFonts w:ascii="Times New Roman" w:hAnsi="Times New Roman"/>
    </w:rPr>
  </w:style>
  <w:style w:type="paragraph" w:styleId="BodyTextFirstIndent">
    <w:name w:val="Body Text First Indent"/>
    <w:basedOn w:val="BodyText"/>
    <w:link w:val="BodyTextFirstIndentChar"/>
    <w:semiHidden/>
    <w:unhideWhenUsed/>
    <w:rsid w:val="0045281A"/>
    <w:pPr>
      <w:spacing w:before="0" w:after="200" w:line="240" w:lineRule="auto"/>
      <w:ind w:firstLine="360"/>
    </w:pPr>
    <w:rPr>
      <w:rFonts w:asciiTheme="minorHAnsi" w:hAnsiTheme="minorHAnsi"/>
    </w:rPr>
  </w:style>
  <w:style w:type="character" w:customStyle="1" w:styleId="BodyTextFirstIndentChar">
    <w:name w:val="Body Text First Indent Char"/>
    <w:basedOn w:val="BodyTextChar"/>
    <w:link w:val="BodyTextFirstIndent"/>
    <w:semiHidden/>
    <w:rsid w:val="0045281A"/>
    <w:rPr>
      <w:rFonts w:ascii="Times New Roman" w:hAnsi="Times New Roman"/>
    </w:rPr>
  </w:style>
  <w:style w:type="character" w:styleId="FollowedHyperlink">
    <w:name w:val="FollowedHyperlink"/>
    <w:basedOn w:val="DefaultParagraphFont"/>
    <w:semiHidden/>
    <w:unhideWhenUsed/>
    <w:rsid w:val="0045281A"/>
    <w:rPr>
      <w:color w:val="800080" w:themeColor="followedHyperlink"/>
      <w:u w:val="single"/>
    </w:rPr>
  </w:style>
  <w:style w:type="paragraph" w:styleId="Footer">
    <w:name w:val="footer"/>
    <w:basedOn w:val="Normal"/>
    <w:link w:val="FooterChar"/>
    <w:uiPriority w:val="99"/>
    <w:unhideWhenUsed/>
    <w:rsid w:val="009751BE"/>
    <w:pPr>
      <w:tabs>
        <w:tab w:val="center" w:pos="4513"/>
        <w:tab w:val="right" w:pos="9026"/>
      </w:tabs>
      <w:spacing w:after="0"/>
    </w:pPr>
  </w:style>
  <w:style w:type="character" w:customStyle="1" w:styleId="FooterChar">
    <w:name w:val="Footer Char"/>
    <w:basedOn w:val="DefaultParagraphFont"/>
    <w:link w:val="Footer"/>
    <w:uiPriority w:val="99"/>
    <w:rsid w:val="009751BE"/>
  </w:style>
  <w:style w:type="table" w:styleId="TableGrid">
    <w:name w:val="Table Grid"/>
    <w:basedOn w:val="TableNormal"/>
    <w:uiPriority w:val="39"/>
    <w:rsid w:val="003431B8"/>
    <w:pPr>
      <w:spacing w:after="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906CE3"/>
    <w:pPr>
      <w:spacing w:after="160"/>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906CE3"/>
    <w:rPr>
      <w:rFonts w:eastAsiaTheme="minorEastAsia"/>
      <w:sz w:val="20"/>
      <w:szCs w:val="20"/>
      <w:lang w:val="en-AU" w:eastAsia="zh-CN"/>
    </w:rPr>
  </w:style>
  <w:style w:type="paragraph" w:styleId="ListParagraph">
    <w:name w:val="List Paragraph"/>
    <w:basedOn w:val="Normal"/>
    <w:uiPriority w:val="34"/>
    <w:qFormat/>
    <w:rsid w:val="00906CE3"/>
    <w:pPr>
      <w:spacing w:after="160" w:line="259" w:lineRule="auto"/>
      <w:ind w:left="720"/>
      <w:contextualSpacing/>
    </w:pPr>
    <w:rPr>
      <w:sz w:val="22"/>
      <w:szCs w:val="22"/>
      <w:lang w:val="en-AU"/>
    </w:rPr>
  </w:style>
  <w:style w:type="numbering" w:customStyle="1" w:styleId="NoList1">
    <w:name w:val="No List1"/>
    <w:next w:val="NoList"/>
    <w:uiPriority w:val="99"/>
    <w:semiHidden/>
    <w:unhideWhenUsed/>
    <w:rsid w:val="006C5163"/>
  </w:style>
  <w:style w:type="character" w:customStyle="1" w:styleId="Heading3Char">
    <w:name w:val="Heading 3 Char"/>
    <w:basedOn w:val="DefaultParagraphFont"/>
    <w:link w:val="Heading3"/>
    <w:uiPriority w:val="9"/>
    <w:rsid w:val="006C5163"/>
    <w:rPr>
      <w:rFonts w:ascii="Times New Roman" w:eastAsiaTheme="majorEastAsia" w:hAnsi="Times New Roman" w:cstheme="majorBidi"/>
      <w:b/>
      <w:bCs/>
      <w:color w:val="000000" w:themeColor="text1"/>
    </w:rPr>
  </w:style>
  <w:style w:type="table" w:customStyle="1" w:styleId="TableGrid1">
    <w:name w:val="Table Grid1"/>
    <w:basedOn w:val="TableNormal"/>
    <w:next w:val="TableGrid"/>
    <w:uiPriority w:val="39"/>
    <w:rsid w:val="006C5163"/>
    <w:pPr>
      <w:spacing w:after="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C5163"/>
    <w:rPr>
      <w:i/>
      <w:iCs/>
    </w:rPr>
  </w:style>
  <w:style w:type="character" w:styleId="Strong">
    <w:name w:val="Strong"/>
    <w:basedOn w:val="DefaultParagraphFont"/>
    <w:uiPriority w:val="22"/>
    <w:qFormat/>
    <w:rsid w:val="006C5163"/>
    <w:rPr>
      <w:b/>
      <w:bCs/>
    </w:rPr>
  </w:style>
  <w:style w:type="paragraph" w:styleId="Header">
    <w:name w:val="header"/>
    <w:basedOn w:val="Normal"/>
    <w:link w:val="HeaderChar"/>
    <w:uiPriority w:val="99"/>
    <w:unhideWhenUsed/>
    <w:rsid w:val="006C5163"/>
    <w:pPr>
      <w:tabs>
        <w:tab w:val="center" w:pos="4513"/>
        <w:tab w:val="right" w:pos="9026"/>
      </w:tabs>
      <w:spacing w:after="0"/>
    </w:pPr>
    <w:rPr>
      <w:lang w:val="en-GB"/>
    </w:rPr>
  </w:style>
  <w:style w:type="character" w:customStyle="1" w:styleId="HeaderChar">
    <w:name w:val="Header Char"/>
    <w:basedOn w:val="DefaultParagraphFont"/>
    <w:link w:val="Header"/>
    <w:uiPriority w:val="99"/>
    <w:rsid w:val="006C5163"/>
    <w:rPr>
      <w:lang w:val="en-GB"/>
    </w:rPr>
  </w:style>
  <w:style w:type="character" w:styleId="UnresolvedMention">
    <w:name w:val="Unresolved Mention"/>
    <w:basedOn w:val="DefaultParagraphFont"/>
    <w:uiPriority w:val="99"/>
    <w:semiHidden/>
    <w:unhideWhenUsed/>
    <w:rsid w:val="000A2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367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48/014466509X470789" TargetMode="External"/><Relationship Id="rId21" Type="http://schemas.openxmlformats.org/officeDocument/2006/relationships/hyperlink" Target="https://doi.org/10.1002/9780470687994.ch2" TargetMode="External"/><Relationship Id="rId42" Type="http://schemas.openxmlformats.org/officeDocument/2006/relationships/hyperlink" Target="https://doi.org/10.1016/j.cpr.2021.102002" TargetMode="External"/><Relationship Id="rId47" Type="http://schemas.openxmlformats.org/officeDocument/2006/relationships/hyperlink" Target="https://doi.org/10.1080/10503307.2018.1430390" TargetMode="External"/><Relationship Id="rId63" Type="http://schemas.openxmlformats.org/officeDocument/2006/relationships/hyperlink" Target="https://doi.org/10.1016/j.jad.2015.08.072" TargetMode="External"/><Relationship Id="rId68" Type="http://schemas.openxmlformats.org/officeDocument/2006/relationships/hyperlink" Target="https://doi.org/10.1080/10503307.2017.1411628" TargetMode="External"/><Relationship Id="rId84" Type="http://schemas.openxmlformats.org/officeDocument/2006/relationships/hyperlink" Target="https://CRAN.R-project.org/package=meta" TargetMode="External"/><Relationship Id="rId89" Type="http://schemas.openxmlformats.org/officeDocument/2006/relationships/hyperlink" Target="https://doi.org/10.3389/fpsyt.2020.00402" TargetMode="Externa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hyperlink" Target="https://doi.org/10.1177/001316446002000104" TargetMode="External"/><Relationship Id="rId37" Type="http://schemas.openxmlformats.org/officeDocument/2006/relationships/hyperlink" Target="https://doi.org/10.1016/j.cpr.2010.06.001" TargetMode="External"/><Relationship Id="rId53" Type="http://schemas.openxmlformats.org/officeDocument/2006/relationships/hyperlink" Target="https://doi.org/10.1037/a0031080" TargetMode="External"/><Relationship Id="rId58" Type="http://schemas.openxmlformats.org/officeDocument/2006/relationships/hyperlink" Target="https://doi.org/10.1037/0735-7028.38.1.21" TargetMode="External"/><Relationship Id="rId74" Type="http://schemas.openxmlformats.org/officeDocument/2006/relationships/hyperlink" Target="https://doi.org/10.1371/journal.pmed.1003583" TargetMode="External"/><Relationship Id="rId79" Type="http://schemas.openxmlformats.org/officeDocument/2006/relationships/hyperlink" Target="https://www.R-project.org/"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i.org/10.3758/s13428-012-0261-6" TargetMode="External"/><Relationship Id="rId95" Type="http://schemas.openxmlformats.org/officeDocument/2006/relationships/hyperlink" Target="https://doi.org/10.1016/j.brat.2015.12.005" TargetMode="External"/><Relationship Id="rId22" Type="http://schemas.openxmlformats.org/officeDocument/2006/relationships/hyperlink" Target="https://doi.org/10.1371/journal.pmed.1001454" TargetMode="External"/><Relationship Id="rId27" Type="http://schemas.openxmlformats.org/officeDocument/2006/relationships/hyperlink" Target="https://doi.org/10.1002/da.22728" TargetMode="External"/><Relationship Id="rId43" Type="http://schemas.openxmlformats.org/officeDocument/2006/relationships/hyperlink" Target="https://doi.org/10.1017/S135246581200080X" TargetMode="External"/><Relationship Id="rId48" Type="http://schemas.openxmlformats.org/officeDocument/2006/relationships/hyperlink" Target="https://doi.org/10.1159/000507793" TargetMode="External"/><Relationship Id="rId64" Type="http://schemas.openxmlformats.org/officeDocument/2006/relationships/hyperlink" Target="https://doi.org/10.1192/bjp.177.2.123" TargetMode="External"/><Relationship Id="rId69" Type="http://schemas.openxmlformats.org/officeDocument/2006/relationships/hyperlink" Target="https://doi.org/10.11124/JBISRIR-D-19-00099" TargetMode="External"/><Relationship Id="rId80" Type="http://schemas.openxmlformats.org/officeDocument/2006/relationships/hyperlink" Target="https://doi.org/10.1016/j.cpr.2008.07.001" TargetMode="External"/><Relationship Id="rId85" Type="http://schemas.openxmlformats.org/officeDocument/2006/relationships/hyperlink" Target="https://doi.org/10.1037/0022-006X.65.3.355" TargetMode="External"/><Relationship Id="rId12" Type="http://schemas.openxmlformats.org/officeDocument/2006/relationships/header" Target="header2.xml"/><Relationship Id="rId17" Type="http://schemas.openxmlformats.org/officeDocument/2006/relationships/hyperlink" Target="https://doi.org/10.1037/0022-006X.68.2.331" TargetMode="External"/><Relationship Id="rId25" Type="http://schemas.openxmlformats.org/officeDocument/2006/relationships/hyperlink" Target="https://doi.org/10.1348/147608305X52595" TargetMode="External"/><Relationship Id="rId33" Type="http://schemas.openxmlformats.org/officeDocument/2006/relationships/hyperlink" Target="https://doi.org/10.1080/03069880601106781" TargetMode="External"/><Relationship Id="rId38" Type="http://schemas.openxmlformats.org/officeDocument/2006/relationships/hyperlink" Target="https://doi.org/10.1016/j.cpr.2014.01.002" TargetMode="External"/><Relationship Id="rId46" Type="http://schemas.openxmlformats.org/officeDocument/2006/relationships/hyperlink" Target="https://doi.org/10.1136/bmj.315.7109.629" TargetMode="External"/><Relationship Id="rId59" Type="http://schemas.openxmlformats.org/officeDocument/2006/relationships/hyperlink" Target="https://doi.org/10.2307/2529310" TargetMode="External"/><Relationship Id="rId67" Type="http://schemas.openxmlformats.org/officeDocument/2006/relationships/hyperlink" Target="https://doi.org/10.1177/1094428106291059" TargetMode="External"/><Relationship Id="rId20" Type="http://schemas.openxmlformats.org/officeDocument/2006/relationships/hyperlink" Target="https://doi.org/10.1037/0022-006X.69.2.184" TargetMode="External"/><Relationship Id="rId41" Type="http://schemas.openxmlformats.org/officeDocument/2006/relationships/hyperlink" Target="https://doi.org/10.1037/a0013075" TargetMode="External"/><Relationship Id="rId54" Type="http://schemas.openxmlformats.org/officeDocument/2006/relationships/hyperlink" Target="https://doi.org/10.1002/9780470712184.fmatter" TargetMode="External"/><Relationship Id="rId62" Type="http://schemas.openxmlformats.org/officeDocument/2006/relationships/hyperlink" Target="https://doi.org/10.1037/ccp0000245" TargetMode="External"/><Relationship Id="rId70" Type="http://schemas.openxmlformats.org/officeDocument/2006/relationships/hyperlink" Target="https://doi.org/10.3389/fpsyt.2020.00384" TargetMode="External"/><Relationship Id="rId75" Type="http://schemas.openxmlformats.org/officeDocument/2006/relationships/hyperlink" Target="https://doi.org/10.1023/A:1018724505659" TargetMode="External"/><Relationship Id="rId83" Type="http://schemas.openxmlformats.org/officeDocument/2006/relationships/hyperlink" Target="https://doi.org/10.1016/j.cpr.2009.08.011" TargetMode="External"/><Relationship Id="rId88" Type="http://schemas.openxmlformats.org/officeDocument/2006/relationships/hyperlink" Target="https://doi.org/10.1037/a0016032" TargetMode="External"/><Relationship Id="rId91" Type="http://schemas.openxmlformats.org/officeDocument/2006/relationships/hyperlink" Target="https://doi.org/10.3758/s13428-014-0527-2" TargetMode="External"/><Relationship Id="rId96" Type="http://schemas.openxmlformats.org/officeDocument/2006/relationships/hyperlink" Target="https://doi.org/10.1037/0033-2909.117.3.4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doi.org/10.1111/j.2044-8317.1988.tb00901" TargetMode="External"/><Relationship Id="rId28" Type="http://schemas.openxmlformats.org/officeDocument/2006/relationships/hyperlink" Target="https://doi.org/10.1037//0022-006x.66.1.7" TargetMode="External"/><Relationship Id="rId36" Type="http://schemas.openxmlformats.org/officeDocument/2006/relationships/hyperlink" Target="https://doi.org/10.1080/10503307.2019.1649732" TargetMode="External"/><Relationship Id="rId49" Type="http://schemas.openxmlformats.org/officeDocument/2006/relationships/hyperlink" Target="https://doi.org/10.1097/PSY.0b013e318218e1fb" TargetMode="External"/><Relationship Id="rId57" Type="http://schemas.openxmlformats.org/officeDocument/2006/relationships/hyperlink" Target="https://doi.org/10.1080/10503307.2017.1405171" TargetMode="External"/><Relationship Id="rId10" Type="http://schemas.openxmlformats.org/officeDocument/2006/relationships/image" Target="media/image3.png"/><Relationship Id="rId31" Type="http://schemas.openxmlformats.org/officeDocument/2006/relationships/hyperlink" Target="https://doi.org/10.2307/3001666" TargetMode="External"/><Relationship Id="rId44" Type="http://schemas.openxmlformats.org/officeDocument/2006/relationships/hyperlink" Target="https://doi.org/10.1017/S135246581200080X" TargetMode="External"/><Relationship Id="rId52" Type="http://schemas.openxmlformats.org/officeDocument/2006/relationships/hyperlink" Target="https://doi.org/10.1016/j.brat.2013.06.004" TargetMode="External"/><Relationship Id="rId60" Type="http://schemas.openxmlformats.org/officeDocument/2006/relationships/hyperlink" Target="https://doi.org/10.1080/20008198.2020.1729633" TargetMode="External"/><Relationship Id="rId65" Type="http://schemas.openxmlformats.org/officeDocument/2006/relationships/hyperlink" Target="https://doi.org/10.1016/S2215-0366(14)70329-3" TargetMode="External"/><Relationship Id="rId73" Type="http://schemas.openxmlformats.org/officeDocument/2006/relationships/hyperlink" Target="https://doi.org/10.1186/s13643-016-0384-4" TargetMode="External"/><Relationship Id="rId78" Type="http://schemas.openxmlformats.org/officeDocument/2006/relationships/hyperlink" Target="https://doi.org/10.1016/s0165-0327(00)00304-9" TargetMode="External"/><Relationship Id="rId81" Type="http://schemas.openxmlformats.org/officeDocument/2006/relationships/hyperlink" Target="https://doi.org/10.1037/0033-2909.86.3.638" TargetMode="External"/><Relationship Id="rId86" Type="http://schemas.openxmlformats.org/officeDocument/2006/relationships/hyperlink" Target="https://doi.org/10.1037/0033-2909.126.4.512" TargetMode="External"/><Relationship Id="rId94" Type="http://schemas.openxmlformats.org/officeDocument/2006/relationships/hyperlink" Target="https://doi.org/10.1111/bjc.12259" TargetMode="External"/><Relationship Id="rId99" Type="http://schemas.openxmlformats.org/officeDocument/2006/relationships/hyperlink" Target="https://doi.org/10.1016/j.cpr.2008.02.007"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https://doi.org/www.apa.org/pubs/journals/features/evidence-based-statement.pdf" TargetMode="External"/><Relationship Id="rId39" Type="http://schemas.openxmlformats.org/officeDocument/2006/relationships/hyperlink" Target="https://doi.org/10.1017/S0033291709006114" TargetMode="External"/><Relationship Id="rId34" Type="http://schemas.openxmlformats.org/officeDocument/2006/relationships/hyperlink" Target="https://doi.org/10.1016/j.cpr.2011.01.002" TargetMode="External"/><Relationship Id="rId50" Type="http://schemas.openxmlformats.org/officeDocument/2006/relationships/hyperlink" Target="https://doi.org/10.1192/bjp.bp.116.187773" TargetMode="External"/><Relationship Id="rId55" Type="http://schemas.openxmlformats.org/officeDocument/2006/relationships/hyperlink" Target="https://doi.org/10.1002/sim.1186" TargetMode="External"/><Relationship Id="rId76" Type="http://schemas.openxmlformats.org/officeDocument/2006/relationships/hyperlink" Target="https://doi.org/10.3389/fpsyt.2020.625380" TargetMode="External"/><Relationship Id="rId97" Type="http://schemas.openxmlformats.org/officeDocument/2006/relationships/hyperlink" Target="https://doi.org/10.1017/S0033291719002812" TargetMode="External"/><Relationship Id="rId7" Type="http://schemas.openxmlformats.org/officeDocument/2006/relationships/endnotes" Target="endnotes.xml"/><Relationship Id="rId71" Type="http://schemas.openxmlformats.org/officeDocument/2006/relationships/hyperlink" Target="https://doi.org/10.1176/appi.focus.130219" TargetMode="External"/><Relationship Id="rId92" Type="http://schemas.openxmlformats.org/officeDocument/2006/relationships/hyperlink" Target="https://doi.org/10.1186/1471-244X-12-192" TargetMode="External"/><Relationship Id="rId2" Type="http://schemas.openxmlformats.org/officeDocument/2006/relationships/numbering" Target="numbering.xml"/><Relationship Id="rId29" Type="http://schemas.openxmlformats.org/officeDocument/2006/relationships/hyperlink" Target="https://doi.org/10.1146/annurev.psych.52.1.685" TargetMode="External"/><Relationship Id="rId24" Type="http://schemas.openxmlformats.org/officeDocument/2006/relationships/hyperlink" Target="https://doi.org/10.2307/2533446" TargetMode="External"/><Relationship Id="rId40" Type="http://schemas.openxmlformats.org/officeDocument/2006/relationships/hyperlink" Target="https://doi.org/10.1017/S0033291713000457" TargetMode="External"/><Relationship Id="rId45" Type="http://schemas.openxmlformats.org/officeDocument/2006/relationships/hyperlink" Target="https://doi.org/10.1037/a0020570" TargetMode="External"/><Relationship Id="rId66" Type="http://schemas.openxmlformats.org/officeDocument/2006/relationships/hyperlink" Target="https://doi.org/10.1521/bumc.2010.74.1.45" TargetMode="External"/><Relationship Id="rId87" Type="http://schemas.openxmlformats.org/officeDocument/2006/relationships/hyperlink" Target="https://doi.org/10.1080/10503307.2017.1422214" TargetMode="External"/><Relationship Id="rId61" Type="http://schemas.openxmlformats.org/officeDocument/2006/relationships/hyperlink" Target="https://doi.org/10.1080/20008198.2020.1729633" TargetMode="External"/><Relationship Id="rId82" Type="http://schemas.openxmlformats.org/officeDocument/2006/relationships/hyperlink" Target="https://doi.org/10.1017/S1352465808004141" TargetMode="External"/><Relationship Id="rId19" Type="http://schemas.openxmlformats.org/officeDocument/2006/relationships/hyperlink" Target="https://doi.org/10.1371/journal.pone.0096920" TargetMode="External"/><Relationship Id="rId14" Type="http://schemas.openxmlformats.org/officeDocument/2006/relationships/footer" Target="footer2.xml"/><Relationship Id="rId30" Type="http://schemas.openxmlformats.org/officeDocument/2006/relationships/hyperlink" Target="https://doi.org/10.1016/S0140-6736(17)32133-5" TargetMode="External"/><Relationship Id="rId35" Type="http://schemas.openxmlformats.org/officeDocument/2006/relationships/hyperlink" Target="https://doi.org/10.1016/j.jad.2013.02.030" TargetMode="External"/><Relationship Id="rId56" Type="http://schemas.openxmlformats.org/officeDocument/2006/relationships/hyperlink" Target="https://doi.org/10.1136/bmj.327.7414.557" TargetMode="External"/><Relationship Id="rId77" Type="http://schemas.openxmlformats.org/officeDocument/2006/relationships/hyperlink" Target="https://doi.org/10.1002/jrsm.1354" TargetMode="External"/><Relationship Id="rId100" Type="http://schemas.openxmlformats.org/officeDocument/2006/relationships/hyperlink" Target="https://doi.org/10.1176/appi.ajp.159.3.469" TargetMode="External"/><Relationship Id="rId8" Type="http://schemas.openxmlformats.org/officeDocument/2006/relationships/image" Target="media/image1.png"/><Relationship Id="rId51" Type="http://schemas.openxmlformats.org/officeDocument/2006/relationships/hyperlink" Target="https://doi.org/10.1136/bmj.39489.470347.AD" TargetMode="External"/><Relationship Id="rId72" Type="http://schemas.openxmlformats.org/officeDocument/2006/relationships/hyperlink" Target="https://doi.org/10.1016/j.brat.2014.05.002" TargetMode="External"/><Relationship Id="rId93" Type="http://schemas.openxmlformats.org/officeDocument/2006/relationships/hyperlink" Target="https://CRAN.R-project.org/package=metafor" TargetMode="External"/><Relationship Id="rId98" Type="http://schemas.openxmlformats.org/officeDocument/2006/relationships/hyperlink" Target="https://doi.org/10.1017/S0033291712001717"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2085A-3609-D945-8B04-B72287C0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55</Pages>
  <Words>14706</Words>
  <Characters>83830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The Effectiveness of Psychotherapy Delivered in Routine Care Settings: A Systematic Review and Meta-Analysis</vt:lpstr>
    </vt:vector>
  </TitlesOfParts>
  <Company/>
  <LinksUpToDate>false</LinksUpToDate>
  <CharactersWithSpaces>98340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Effectiveness of Psychotherapy Delivered in Routine Care Settings: A Systematic Review and Meta-Analysis</dc:title>
  <dc:creator>Chris Gaskell</dc:creator>
  <cp:keywords/>
  <dc:description>This document reports the results of a meta-analysis on naturalistic psychotherapy outcomes</dc:description>
  <cp:lastModifiedBy>Chris Gaskell</cp:lastModifiedBy>
  <cp:revision>4</cp:revision>
  <dcterms:created xsi:type="dcterms:W3CDTF">2021-12-29T10:28:00Z</dcterms:created>
  <dcterms:modified xsi:type="dcterms:W3CDTF">2021-12-31T11:31:00Z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lassoption">
    <vt:lpwstr>openany</vt:lpwstr>
  </property>
  <property fmtid="{D5CDD505-2E9C-101B-9397-08002B2CF9AE}" pid="6" name="csl">
    <vt:lpwstr>reference-style/apa7.csl</vt:lpwstr>
  </property>
  <property fmtid="{D5CDD505-2E9C-101B-9397-08002B2CF9AE}" pid="7" name="date">
    <vt:lpwstr>2021-12-29</vt:lpwstr>
  </property>
  <property fmtid="{D5CDD505-2E9C-101B-9397-08002B2CF9AE}" pid="8" name="documentclass">
    <vt:lpwstr>book</vt:lpwstr>
  </property>
  <property fmtid="{D5CDD505-2E9C-101B-9397-08002B2CF9AE}" pid="9" name="editor_options">
    <vt:lpwstr/>
  </property>
  <property fmtid="{D5CDD505-2E9C-101B-9397-08002B2CF9AE}" pid="10" name="fontsize">
    <vt:lpwstr>12pt</vt:lpwstr>
  </property>
  <property fmtid="{D5CDD505-2E9C-101B-9397-08002B2CF9AE}" pid="11" name="geometry">
    <vt:lpwstr>left=2cm, right=2cm, top=2cm, bottom=2cm</vt:lpwstr>
  </property>
  <property fmtid="{D5CDD505-2E9C-101B-9397-08002B2CF9AE}" pid="12" name="github-repo">
    <vt:lpwstr>rstudio/bookdown-demo</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output">
    <vt:lpwstr>pdf_document</vt:lpwstr>
  </property>
  <property fmtid="{D5CDD505-2E9C-101B-9397-08002B2CF9AE}" pid="17" name="site">
    <vt:lpwstr>bookdown::bookdown_site</vt:lpwstr>
  </property>
  <property fmtid="{D5CDD505-2E9C-101B-9397-08002B2CF9AE}" pid="18" name="subparagraph">
    <vt:lpwstr>yes</vt:lpwstr>
  </property>
</Properties>
</file>