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56A5D" w14:textId="77777777" w:rsidR="008B1C8B" w:rsidRDefault="008A1F52">
      <w:r>
        <w:rPr>
          <w:b/>
          <w:sz w:val="24"/>
          <w:szCs w:val="24"/>
        </w:rPr>
        <w:t>Logistic Regression Models: a short primer (12/2021)</w:t>
      </w:r>
    </w:p>
    <w:p w14:paraId="647E7129" w14:textId="77777777" w:rsidR="008B1C8B" w:rsidRDefault="008B1C8B"/>
    <w:p w14:paraId="61C82A01" w14:textId="77777777" w:rsidR="008B1C8B" w:rsidRDefault="008A1F52">
      <w:pPr>
        <w:jc w:val="both"/>
      </w:pPr>
      <w:r>
        <w:rPr>
          <w:b/>
        </w:rPr>
        <w:t>Motivation:</w:t>
      </w:r>
      <w:r>
        <w:t xml:space="preserve"> Let’s start with a real problem that has engaged me lately. We are interested in which covariates may predict (or influence) the occurrence of a Y-chromosome loss (</w:t>
      </w:r>
      <w:r>
        <w:rPr>
          <w:rFonts w:ascii="Courier New" w:eastAsia="Courier New" w:hAnsi="Courier New" w:cs="Courier New"/>
        </w:rPr>
        <w:t>Y_call</w:t>
      </w:r>
      <w:r>
        <w:t>) in solid cancer tissues. For this purpose we created a dataset which comprises 12,4</w:t>
      </w:r>
      <w:r>
        <w:t xml:space="preserve">05 individual cancer samples. Variables which were determined included </w:t>
      </w:r>
      <w:r>
        <w:rPr>
          <w:b/>
        </w:rPr>
        <w:t>i)</w:t>
      </w:r>
      <w:r>
        <w:t xml:space="preserve"> cancer-type, </w:t>
      </w:r>
      <w:r>
        <w:rPr>
          <w:b/>
        </w:rPr>
        <w:t>ii)</w:t>
      </w:r>
      <w:r>
        <w:t xml:space="preserve"> fraction genome altered (FGA), </w:t>
      </w:r>
      <w:r>
        <w:rPr>
          <w:b/>
        </w:rPr>
        <w:t>iii)</w:t>
      </w:r>
      <w:r>
        <w:t xml:space="preserve"> age, and so on (see below for a snapshot). </w:t>
      </w:r>
    </w:p>
    <w:p w14:paraId="570048B8" w14:textId="77777777" w:rsidR="008B1C8B" w:rsidRDefault="008B1C8B"/>
    <w:p w14:paraId="40F2AB50" w14:textId="77777777" w:rsidR="008B1C8B" w:rsidRDefault="008A1F52">
      <w:r>
        <w:rPr>
          <w:noProof/>
        </w:rPr>
        <w:drawing>
          <wp:inline distT="114300" distB="114300" distL="114300" distR="114300" wp14:anchorId="43EFAE07" wp14:editId="5CF42778">
            <wp:extent cx="5895975" cy="881332"/>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l="801" t="4609"/>
                    <a:stretch>
                      <a:fillRect/>
                    </a:stretch>
                  </pic:blipFill>
                  <pic:spPr>
                    <a:xfrm>
                      <a:off x="0" y="0"/>
                      <a:ext cx="5895975" cy="881332"/>
                    </a:xfrm>
                    <a:prstGeom prst="rect">
                      <a:avLst/>
                    </a:prstGeom>
                    <a:ln/>
                  </pic:spPr>
                </pic:pic>
              </a:graphicData>
            </a:graphic>
          </wp:inline>
        </w:drawing>
      </w:r>
    </w:p>
    <w:p w14:paraId="38A2E831" w14:textId="77777777" w:rsidR="008B1C8B" w:rsidRDefault="008B1C8B"/>
    <w:p w14:paraId="5CB26841" w14:textId="77777777" w:rsidR="008B1C8B" w:rsidRDefault="008A1F52">
      <w:r>
        <w:t>The most general form of our problem can be stated as follows:</w:t>
      </w:r>
    </w:p>
    <w:p w14:paraId="43567841" w14:textId="77777777" w:rsidR="008B1C8B" w:rsidRDefault="008B1C8B"/>
    <w:p w14:paraId="67502C01" w14:textId="77777777" w:rsidR="008B1C8B" w:rsidRDefault="008A1F52">
      <m:oMathPara>
        <m:oMath>
          <m:sSub>
            <m:sSubPr>
              <m:ctrlPr>
                <w:rPr>
                  <w:rFonts w:ascii="Cambria Math" w:hAnsi="Cambria Math"/>
                </w:rPr>
              </m:ctrlPr>
            </m:sSubPr>
            <m:e>
              <m:r>
                <w:rPr>
                  <w:rFonts w:ascii="Cambria Math" w:hAnsi="Cambria Math"/>
                </w:rPr>
                <m:t>Y</m:t>
              </m:r>
            </m:e>
            <m:sub>
              <m:r>
                <w:rPr>
                  <w:rFonts w:ascii="Cambria Math" w:hAnsi="Cambria Math"/>
                </w:rPr>
                <m:t>call</m:t>
              </m:r>
            </m:sub>
          </m:sSub>
          <m:r>
            <w:rPr>
              <w:rFonts w:ascii="Cambria Math" w:hAnsi="Cambria Math"/>
            </w:rPr>
            <m:t xml:space="preserve"> ~ </m:t>
          </m:r>
          <m:r>
            <w:rPr>
              <w:rFonts w:ascii="Cambria Math" w:hAnsi="Cambria Math"/>
            </w:rPr>
            <m:t>co</m:t>
          </m:r>
          <m:r>
            <w:rPr>
              <w:rFonts w:ascii="Cambria Math" w:hAnsi="Cambria Math"/>
            </w:rPr>
            <m:t>variates</m:t>
          </m:r>
        </m:oMath>
      </m:oMathPara>
    </w:p>
    <w:p w14:paraId="09B50CC4" w14:textId="77777777" w:rsidR="008B1C8B" w:rsidRDefault="008B1C8B"/>
    <w:p w14:paraId="01B76BFC" w14:textId="77777777" w:rsidR="008B1C8B" w:rsidRDefault="008A1F52">
      <w:r>
        <w:t xml:space="preserve">Note, since the dependent variable  </w:t>
      </w:r>
      <w:r>
        <w:rPr>
          <w:i/>
        </w:rPr>
        <w:t>Y</w:t>
      </w:r>
      <w:r>
        <w:rPr>
          <w:i/>
          <w:vertAlign w:val="subscript"/>
        </w:rPr>
        <w:t xml:space="preserve">call </w:t>
      </w:r>
      <w:r>
        <w:rPr>
          <w:i/>
        </w:rPr>
        <w:t xml:space="preserve"> </w:t>
      </w:r>
      <w:r>
        <w:t>is binary [0, 1] we are using a generalized linear model (aka glm). Importantly, our dependent variable will be binomially distributed, hence we are specifying ‘</w:t>
      </w:r>
      <w:r>
        <w:rPr>
          <w:i/>
        </w:rPr>
        <w:t xml:space="preserve">family’ </w:t>
      </w:r>
      <w:r>
        <w:t xml:space="preserve">as binomial. </w:t>
      </w:r>
      <w:r>
        <w:rPr>
          <w:i/>
        </w:rPr>
        <w:t xml:space="preserve">‘family’ </w:t>
      </w:r>
      <w:r>
        <w:t>is a</w:t>
      </w:r>
      <w:r>
        <w:t xml:space="preserve"> generic function, and whenever we are using the </w:t>
      </w:r>
      <w:r>
        <w:rPr>
          <w:i/>
        </w:rPr>
        <w:t xml:space="preserve">‘binomial-family’ </w:t>
      </w:r>
      <w:r>
        <w:t xml:space="preserve">we can truly speak about </w:t>
      </w:r>
      <w:r>
        <w:rPr>
          <w:u w:val="single"/>
        </w:rPr>
        <w:t>fitting a logistic regression model</w:t>
      </w:r>
      <w:r>
        <w:t>. Translating this in R means:</w:t>
      </w:r>
    </w:p>
    <w:p w14:paraId="74B65F89" w14:textId="77777777" w:rsidR="008B1C8B" w:rsidRDefault="008B1C8B">
      <w:pPr>
        <w:rPr>
          <w:i/>
        </w:rPr>
      </w:pPr>
    </w:p>
    <w:p w14:paraId="137C056F" w14:textId="77777777" w:rsidR="008B1C8B" w:rsidRDefault="008A1F52">
      <m:oMathPara>
        <m:oMath>
          <m:r>
            <w:rPr>
              <w:rFonts w:ascii="Cambria Math" w:hAnsi="Cambria Math"/>
            </w:rPr>
            <m:t>glm</m:t>
          </m:r>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call</m:t>
              </m:r>
              <m:r>
                <w:rPr>
                  <w:rFonts w:ascii="Cambria Math" w:hAnsi="Cambria Math"/>
                </w:rPr>
                <m:t xml:space="preserve"> </m:t>
              </m:r>
            </m:sub>
          </m:sSub>
          <m:r>
            <w:rPr>
              <w:rFonts w:ascii="Cambria Math" w:hAnsi="Cambria Math"/>
            </w:rPr>
            <m:t xml:space="preserve"> ~ </m:t>
          </m:r>
          <m:r>
            <w:rPr>
              <w:rFonts w:ascii="Cambria Math" w:hAnsi="Cambria Math"/>
            </w:rPr>
            <m:t>covariates</m:t>
          </m:r>
          <m:r>
            <w:rPr>
              <w:rFonts w:ascii="Cambria Math" w:hAnsi="Cambria Math"/>
            </w:rPr>
            <m:t xml:space="preserve">, </m:t>
          </m:r>
          <m:r>
            <w:rPr>
              <w:rFonts w:ascii="Cambria Math" w:hAnsi="Cambria Math"/>
            </w:rPr>
            <m:t>family</m:t>
          </m:r>
          <m:r>
            <w:rPr>
              <w:rFonts w:ascii="Cambria Math" w:hAnsi="Cambria Math"/>
            </w:rPr>
            <m:t xml:space="preserve"> = </m:t>
          </m:r>
          <m:r>
            <w:rPr>
              <w:rFonts w:ascii="Cambria Math" w:hAnsi="Cambria Math"/>
            </w:rPr>
            <m:t>binomial</m:t>
          </m:r>
          <m:r>
            <w:rPr>
              <w:rFonts w:ascii="Cambria Math" w:hAnsi="Cambria Math"/>
            </w:rPr>
            <m:t>(</m:t>
          </m:r>
          <m:r>
            <w:rPr>
              <w:rFonts w:ascii="Cambria Math" w:hAnsi="Cambria Math"/>
            </w:rPr>
            <m:t>link</m:t>
          </m:r>
          <m:r>
            <w:rPr>
              <w:rFonts w:ascii="Cambria Math" w:hAnsi="Cambria Math"/>
            </w:rPr>
            <m:t xml:space="preserve"> = '</m:t>
          </m:r>
          <m:r>
            <w:rPr>
              <w:rFonts w:ascii="Cambria Math" w:hAnsi="Cambria Math"/>
            </w:rPr>
            <m:t>logit</m:t>
          </m:r>
          <m:r>
            <w:rPr>
              <w:rFonts w:ascii="Cambria Math" w:hAnsi="Cambria Math"/>
            </w:rPr>
            <m:t xml:space="preserve">'), </m:t>
          </m:r>
          <m:r>
            <w:rPr>
              <w:rFonts w:ascii="Cambria Math" w:hAnsi="Cambria Math"/>
            </w:rPr>
            <m:t>data</m:t>
          </m:r>
          <m:r>
            <w:rPr>
              <w:rFonts w:ascii="Cambria Math" w:hAnsi="Cambria Math"/>
            </w:rPr>
            <m:t xml:space="preserve"> = </m:t>
          </m:r>
          <m:r>
            <w:rPr>
              <w:rFonts w:ascii="Cambria Math" w:hAnsi="Cambria Math"/>
            </w:rPr>
            <m:t>input</m:t>
          </m:r>
          <m:r>
            <w:rPr>
              <w:rFonts w:ascii="Cambria Math" w:hAnsi="Cambria Math"/>
            </w:rPr>
            <m:t>)</m:t>
          </m:r>
        </m:oMath>
      </m:oMathPara>
    </w:p>
    <w:p w14:paraId="17E924B4" w14:textId="77777777" w:rsidR="008B1C8B" w:rsidRDefault="008B1C8B"/>
    <w:p w14:paraId="6631DBC3" w14:textId="77777777" w:rsidR="008B1C8B" w:rsidRDefault="008A1F52">
      <w:r>
        <w:t xml:space="preserve">Importantly, since </w:t>
      </w:r>
      <w:r>
        <w:rPr>
          <w:i/>
        </w:rPr>
        <w:t>‘Y</w:t>
      </w:r>
      <w:r>
        <w:rPr>
          <w:i/>
          <w:vertAlign w:val="subscript"/>
        </w:rPr>
        <w:t>call</w:t>
      </w:r>
      <w:r>
        <w:rPr>
          <w:i/>
        </w:rPr>
        <w:t>’</w:t>
      </w:r>
      <w:r>
        <w:t xml:space="preserve"> is binary, make sure that it is properly encoded in R (</w:t>
      </w:r>
      <w:r>
        <w:rPr>
          <w:i/>
        </w:rPr>
        <w:t>integer</w:t>
      </w:r>
      <w:r>
        <w:t xml:space="preserve">; </w:t>
      </w:r>
    </w:p>
    <w:p w14:paraId="21C8C7E5" w14:textId="77777777" w:rsidR="008B1C8B" w:rsidRDefault="008A1F52">
      <w:r>
        <w:t xml:space="preserve">1 = success, Y-chromosome loss AND 0 = failure, intact Y-chromosome). </w:t>
      </w:r>
      <w:r>
        <w:rPr>
          <w:i/>
        </w:rPr>
        <w:t xml:space="preserve"> </w:t>
      </w:r>
      <w:r>
        <w:t xml:space="preserve">  </w:t>
      </w:r>
      <w:r>
        <w:rPr>
          <w:vertAlign w:val="subscript"/>
        </w:rPr>
        <w:t xml:space="preserve"> </w:t>
      </w:r>
    </w:p>
    <w:p w14:paraId="2EA95FEE" w14:textId="77777777" w:rsidR="008B1C8B" w:rsidRDefault="008B1C8B"/>
    <w:p w14:paraId="32D1E8BB" w14:textId="77777777" w:rsidR="008B1C8B" w:rsidRDefault="008A1F52">
      <w:r>
        <w:rPr>
          <w:noProof/>
        </w:rPr>
        <w:pict w14:anchorId="1D9B1A23">
          <v:rect id="_x0000_i1030" alt="" style="width:451.3pt;height:.05pt;mso-width-percent:0;mso-height-percent:0;mso-width-percent:0;mso-height-percent:0" o:hralign="center" o:hrstd="t" o:hr="t" fillcolor="#a0a0a0" stroked="f"/>
        </w:pict>
      </w:r>
    </w:p>
    <w:p w14:paraId="39DA1B69" w14:textId="77777777" w:rsidR="008B1C8B" w:rsidRDefault="008B1C8B"/>
    <w:p w14:paraId="7F5A5DF0" w14:textId="77777777" w:rsidR="008B1C8B" w:rsidRDefault="008A1F52">
      <w:pPr>
        <w:rPr>
          <w:i/>
        </w:rPr>
      </w:pPr>
      <w:r>
        <w:rPr>
          <w:b/>
        </w:rPr>
        <w:t xml:space="preserve">Observation 1: </w:t>
      </w:r>
      <w:r>
        <w:t xml:space="preserve">Now we can naively ask ourselves: </w:t>
      </w:r>
      <w:r>
        <w:rPr>
          <w:i/>
        </w:rPr>
        <w:t xml:space="preserve">What is </w:t>
      </w:r>
      <w:r>
        <w:rPr>
          <w:i/>
        </w:rPr>
        <w:t>the probability of observing an individual cancer specimen with a Y-chromosome loss (without considering any covariate)?</w:t>
      </w:r>
    </w:p>
    <w:p w14:paraId="48D2B560" w14:textId="77777777" w:rsidR="008B1C8B" w:rsidRDefault="008A1F52">
      <w:r>
        <w:t>It's simple. Create a table and calculate the probability.</w:t>
      </w:r>
    </w:p>
    <w:p w14:paraId="56850103" w14:textId="77777777" w:rsidR="008B1C8B" w:rsidRDefault="008B1C8B"/>
    <w:p w14:paraId="4784A176" w14:textId="77777777" w:rsidR="008B1C8B" w:rsidRDefault="008A1F52">
      <w:r>
        <w:rPr>
          <w:noProof/>
        </w:rPr>
        <w:drawing>
          <wp:inline distT="114300" distB="114300" distL="114300" distR="114300" wp14:anchorId="4202B786" wp14:editId="7D476B50">
            <wp:extent cx="1671638" cy="548225"/>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671638" cy="548225"/>
                    </a:xfrm>
                    <a:prstGeom prst="rect">
                      <a:avLst/>
                    </a:prstGeom>
                    <a:ln/>
                  </pic:spPr>
                </pic:pic>
              </a:graphicData>
            </a:graphic>
          </wp:inline>
        </w:drawing>
      </w:r>
    </w:p>
    <w:p w14:paraId="46330FBF" w14:textId="77777777" w:rsidR="008B1C8B" w:rsidRDefault="008B1C8B"/>
    <w:p w14:paraId="2FEFF119" w14:textId="77777777" w:rsidR="008B1C8B" w:rsidRDefault="008A1F52">
      <w:r>
        <w:t xml:space="preserve">3959 / (3959 + 8142) = 0.327 or </w:t>
      </w:r>
      <w:r>
        <w:rPr>
          <w:b/>
        </w:rPr>
        <w:t xml:space="preserve">32.7% </w:t>
      </w:r>
      <w:r>
        <w:t>to draw a sample with a Y-chromoso</w:t>
      </w:r>
      <w:r>
        <w:t>me loss.</w:t>
      </w:r>
    </w:p>
    <w:p w14:paraId="23011657" w14:textId="77777777" w:rsidR="008B1C8B" w:rsidRDefault="008B1C8B"/>
    <w:p w14:paraId="7BC2BB4D" w14:textId="77777777" w:rsidR="008B1C8B" w:rsidRDefault="008B1C8B"/>
    <w:p w14:paraId="789885E9" w14:textId="77777777" w:rsidR="008B1C8B" w:rsidRDefault="008B1C8B"/>
    <w:p w14:paraId="0E562F1D" w14:textId="77777777" w:rsidR="008B1C8B" w:rsidRDefault="008A1F52">
      <w:r>
        <w:t>Can we confirm our naive calculation with a sophisticated model in R? Yes, we can.</w:t>
      </w:r>
    </w:p>
    <w:p w14:paraId="1B5A1B91" w14:textId="77777777" w:rsidR="008B1C8B" w:rsidRDefault="008B1C8B"/>
    <w:p w14:paraId="6AE04DB5" w14:textId="77777777" w:rsidR="008B1C8B" w:rsidRDefault="008A1F52">
      <w:r>
        <w:t>a.</w:t>
      </w:r>
      <w:r>
        <w:tab/>
      </w:r>
      <m:oMath>
        <m:r>
          <w:rPr>
            <w:rFonts w:ascii="Cambria Math" w:hAnsi="Cambria Math"/>
          </w:rPr>
          <m:t>logit</m:t>
        </m:r>
        <m:r>
          <w:rPr>
            <w:rFonts w:ascii="Cambria Math" w:hAnsi="Cambria Math"/>
          </w:rPr>
          <m:t>(</m:t>
        </m:r>
        <m:r>
          <w:rPr>
            <w:rFonts w:ascii="Cambria Math" w:hAnsi="Cambria Math"/>
          </w:rPr>
          <m:t>p</m:t>
        </m:r>
        <m:r>
          <w:rPr>
            <w:rFonts w:ascii="Cambria Math" w:hAnsi="Cambria Math"/>
          </w:rPr>
          <m:t xml:space="preserve">) = </m:t>
        </m:r>
        <m:r>
          <w:rPr>
            <w:rFonts w:ascii="Cambria Math" w:hAnsi="Cambria Math"/>
          </w:rPr>
          <m:t>log</m:t>
        </m:r>
        <m:f>
          <m:fPr>
            <m:ctrlPr>
              <w:rPr>
                <w:rFonts w:ascii="Cambria Math" w:hAnsi="Cambria Math"/>
              </w:rPr>
            </m:ctrlPr>
          </m:fPr>
          <m:num>
            <m:r>
              <w:rPr>
                <w:rFonts w:ascii="Cambria Math" w:hAnsi="Cambria Math"/>
              </w:rPr>
              <m:t>p</m:t>
            </m:r>
          </m:num>
          <m:den>
            <m:r>
              <w:rPr>
                <w:rFonts w:ascii="Cambria Math" w:hAnsi="Cambria Math"/>
              </w:rPr>
              <m:t>(1-</m:t>
            </m:r>
            <m:r>
              <w:rPr>
                <w:rFonts w:ascii="Cambria Math" w:hAnsi="Cambria Math"/>
              </w:rPr>
              <m:t>p</m:t>
            </m:r>
            <m:r>
              <w:rPr>
                <w:rFonts w:ascii="Cambria Math" w:hAnsi="Cambria Math"/>
              </w:rPr>
              <m:t>)</m:t>
            </m:r>
          </m:den>
        </m:f>
        <m:r>
          <w:rPr>
            <w:rFonts w:ascii="Cambria Math" w:hAnsi="Cambria Math"/>
          </w:rPr>
          <m:t xml:space="preserve"> = </m:t>
        </m:r>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w:t>
      </w:r>
      <w:r>
        <w:tab/>
      </w:r>
      <w:r>
        <w:tab/>
        <w:t>#’ beta</w:t>
      </w:r>
      <w:r>
        <w:rPr>
          <w:vertAlign w:val="subscript"/>
        </w:rPr>
        <w:t xml:space="preserve">0 </w:t>
      </w:r>
      <w:r>
        <w:t>is the intercept</w:t>
      </w:r>
    </w:p>
    <w:p w14:paraId="3A121642" w14:textId="77777777" w:rsidR="008B1C8B" w:rsidRDefault="008A1F52">
      <w:r>
        <w:t xml:space="preserve">b. </w:t>
      </w:r>
      <w:r>
        <w:tab/>
      </w:r>
      <m:oMath>
        <m:r>
          <w:rPr>
            <w:rFonts w:ascii="Cambria Math" w:hAnsi="Cambria Math"/>
          </w:rPr>
          <m:t>glm</m:t>
        </m:r>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call</m:t>
            </m:r>
            <m:r>
              <w:rPr>
                <w:rFonts w:ascii="Cambria Math" w:hAnsi="Cambria Math"/>
              </w:rPr>
              <m:t xml:space="preserve"> </m:t>
            </m:r>
          </m:sub>
        </m:sSub>
        <m:r>
          <w:rPr>
            <w:rFonts w:ascii="Cambria Math" w:hAnsi="Cambria Math"/>
          </w:rPr>
          <m:t xml:space="preserve"> ~ 1, </m:t>
        </m:r>
        <m:r>
          <w:rPr>
            <w:rFonts w:ascii="Cambria Math" w:hAnsi="Cambria Math"/>
          </w:rPr>
          <m:t>family</m:t>
        </m:r>
        <m:r>
          <w:rPr>
            <w:rFonts w:ascii="Cambria Math" w:hAnsi="Cambria Math"/>
          </w:rPr>
          <m:t xml:space="preserve"> = </m:t>
        </m:r>
        <m:r>
          <w:rPr>
            <w:rFonts w:ascii="Cambria Math" w:hAnsi="Cambria Math"/>
          </w:rPr>
          <m:t>binomial</m:t>
        </m:r>
        <m:r>
          <w:rPr>
            <w:rFonts w:ascii="Cambria Math" w:hAnsi="Cambria Math"/>
          </w:rPr>
          <m:t>(</m:t>
        </m:r>
        <m:r>
          <w:rPr>
            <w:rFonts w:ascii="Cambria Math" w:hAnsi="Cambria Math"/>
          </w:rPr>
          <m:t>link</m:t>
        </m:r>
        <m:r>
          <w:rPr>
            <w:rFonts w:ascii="Cambria Math" w:hAnsi="Cambria Math"/>
          </w:rPr>
          <m:t xml:space="preserve"> = '</m:t>
        </m:r>
        <m:r>
          <w:rPr>
            <w:rFonts w:ascii="Cambria Math" w:hAnsi="Cambria Math"/>
          </w:rPr>
          <m:t>logit</m:t>
        </m:r>
        <m:r>
          <w:rPr>
            <w:rFonts w:ascii="Cambria Math" w:hAnsi="Cambria Math"/>
          </w:rPr>
          <m:t xml:space="preserve">'), </m:t>
        </m:r>
        <m:r>
          <w:rPr>
            <w:rFonts w:ascii="Cambria Math" w:hAnsi="Cambria Math"/>
          </w:rPr>
          <m:t>data</m:t>
        </m:r>
        <m:r>
          <w:rPr>
            <w:rFonts w:ascii="Cambria Math" w:hAnsi="Cambria Math"/>
          </w:rPr>
          <m:t xml:space="preserve"> = </m:t>
        </m:r>
        <m:r>
          <w:rPr>
            <w:rFonts w:ascii="Cambria Math" w:hAnsi="Cambria Math"/>
          </w:rPr>
          <m:t>input</m:t>
        </m:r>
        <m:r>
          <w:rPr>
            <w:rFonts w:ascii="Cambria Math" w:hAnsi="Cambria Math"/>
          </w:rPr>
          <m:t>)</m:t>
        </m:r>
      </m:oMath>
      <w:r>
        <w:t xml:space="preserve"> </w:t>
      </w:r>
    </w:p>
    <w:p w14:paraId="62ECC568" w14:textId="77777777" w:rsidR="008B1C8B" w:rsidRDefault="008B1C8B"/>
    <w:p w14:paraId="305E020C" w14:textId="77777777" w:rsidR="008B1C8B" w:rsidRDefault="008A1F52">
      <w:r>
        <w:rPr>
          <w:noProof/>
        </w:rPr>
        <w:drawing>
          <wp:inline distT="114300" distB="114300" distL="114300" distR="114300" wp14:anchorId="37ECE1E3" wp14:editId="15A284D4">
            <wp:extent cx="4081463" cy="2714901"/>
            <wp:effectExtent l="0" t="0" r="0" b="0"/>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4081463" cy="2714901"/>
                    </a:xfrm>
                    <a:prstGeom prst="rect">
                      <a:avLst/>
                    </a:prstGeom>
                    <a:ln/>
                  </pic:spPr>
                </pic:pic>
              </a:graphicData>
            </a:graphic>
          </wp:inline>
        </w:drawing>
      </w:r>
      <w:r>
        <w:rPr>
          <w:noProof/>
        </w:rPr>
        <mc:AlternateContent>
          <mc:Choice Requires="wpg">
            <w:drawing>
              <wp:anchor distT="114300" distB="114300" distL="114300" distR="114300" simplePos="0" relativeHeight="251658240" behindDoc="0" locked="0" layoutInCell="1" hidden="0" allowOverlap="1" wp14:anchorId="16CE77CF" wp14:editId="09D6FBEC">
                <wp:simplePos x="0" y="0"/>
                <wp:positionH relativeFrom="column">
                  <wp:posOffset>1085850</wp:posOffset>
                </wp:positionH>
                <wp:positionV relativeFrom="paragraph">
                  <wp:posOffset>952500</wp:posOffset>
                </wp:positionV>
                <wp:extent cx="1933575" cy="406547"/>
                <wp:effectExtent l="0" t="0" r="0" b="0"/>
                <wp:wrapNone/>
                <wp:docPr id="4" name="Straight Arrow Connector 4"/>
                <wp:cNvGraphicFramePr/>
                <a:graphic xmlns:a="http://schemas.openxmlformats.org/drawingml/2006/main">
                  <a:graphicData uri="http://schemas.microsoft.com/office/word/2010/wordprocessingShape">
                    <wps:wsp>
                      <wps:cNvCnPr/>
                      <wps:spPr>
                        <a:xfrm flipH="1">
                          <a:off x="3264700" y="932750"/>
                          <a:ext cx="1836300" cy="369300"/>
                        </a:xfrm>
                        <a:prstGeom prst="straightConnector1">
                          <a:avLst/>
                        </a:prstGeom>
                        <a:noFill/>
                        <a:ln w="38100" cap="flat" cmpd="sng">
                          <a:solidFill>
                            <a:srgbClr val="FF0000"/>
                          </a:solidFill>
                          <a:prstDash val="solid"/>
                          <a:round/>
                          <a:headEnd type="none" w="med" len="med"/>
                          <a:tailEnd type="stealth"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114300" distT="114300" distL="114300" distR="114300" hidden="0" layoutInCell="1" locked="0" relativeHeight="0" simplePos="0">
                <wp:simplePos x="0" y="0"/>
                <wp:positionH relativeFrom="column">
                  <wp:posOffset>1085850</wp:posOffset>
                </wp:positionH>
                <wp:positionV relativeFrom="paragraph">
                  <wp:posOffset>952500</wp:posOffset>
                </wp:positionV>
                <wp:extent cx="1933575" cy="406547"/>
                <wp:effectExtent b="0" l="0" r="0" t="0"/>
                <wp:wrapNone/>
                <wp:docPr id="4" name="image12.png"/>
                <a:graphic>
                  <a:graphicData uri="http://schemas.openxmlformats.org/drawingml/2006/picture">
                    <pic:pic>
                      <pic:nvPicPr>
                        <pic:cNvPr id="0" name="image12.png"/>
                        <pic:cNvPicPr preferRelativeResize="0"/>
                      </pic:nvPicPr>
                      <pic:blipFill>
                        <a:blip r:embed="rId9"/>
                        <a:srcRect/>
                        <a:stretch>
                          <a:fillRect/>
                        </a:stretch>
                      </pic:blipFill>
                      <pic:spPr>
                        <a:xfrm>
                          <a:off x="0" y="0"/>
                          <a:ext cx="1933575" cy="406547"/>
                        </a:xfrm>
                        <a:prstGeom prst="rect"/>
                        <a:ln/>
                      </pic:spPr>
                    </pic:pic>
                  </a:graphicData>
                </a:graphic>
              </wp:anchor>
            </w:drawing>
          </mc:Fallback>
        </mc:AlternateContent>
      </w:r>
      <w:r>
        <w:rPr>
          <w:noProof/>
        </w:rPr>
        <mc:AlternateContent>
          <mc:Choice Requires="wpg">
            <w:drawing>
              <wp:anchor distT="114300" distB="114300" distL="114300" distR="114300" simplePos="0" relativeHeight="251659264" behindDoc="0" locked="0" layoutInCell="1" hidden="0" allowOverlap="1" wp14:anchorId="178B374C" wp14:editId="52D518AE">
                <wp:simplePos x="0" y="0"/>
                <wp:positionH relativeFrom="column">
                  <wp:posOffset>590550</wp:posOffset>
                </wp:positionH>
                <wp:positionV relativeFrom="paragraph">
                  <wp:posOffset>1285875</wp:posOffset>
                </wp:positionV>
                <wp:extent cx="495300" cy="285295"/>
                <wp:effectExtent l="0" t="0" r="0" b="0"/>
                <wp:wrapNone/>
                <wp:docPr id="3" name="Rounded Rectangle 3"/>
                <wp:cNvGraphicFramePr/>
                <a:graphic xmlns:a="http://schemas.openxmlformats.org/drawingml/2006/main">
                  <a:graphicData uri="http://schemas.microsoft.com/office/word/2010/wordprocessingShape">
                    <wps:wsp>
                      <wps:cNvSpPr/>
                      <wps:spPr>
                        <a:xfrm>
                          <a:off x="3828175" y="1369975"/>
                          <a:ext cx="2050200" cy="738300"/>
                        </a:xfrm>
                        <a:prstGeom prst="roundRect">
                          <a:avLst>
                            <a:gd name="adj" fmla="val 16667"/>
                          </a:avLst>
                        </a:prstGeom>
                        <a:noFill/>
                        <a:ln w="76200" cap="flat" cmpd="sng">
                          <a:solidFill>
                            <a:srgbClr val="FF0000"/>
                          </a:solidFill>
                          <a:prstDash val="solid"/>
                          <a:round/>
                          <a:headEnd type="none" w="sm" len="sm"/>
                          <a:tailEnd type="none" w="sm" len="sm"/>
                        </a:ln>
                      </wps:spPr>
                      <wps:txbx>
                        <w:txbxContent>
                          <w:p w14:paraId="22AC547E" w14:textId="77777777" w:rsidR="008B1C8B" w:rsidRDefault="008B1C8B">
                            <w:pPr>
                              <w:spacing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114300" distT="114300" distL="114300" distR="114300" hidden="0" layoutInCell="1" locked="0" relativeHeight="0" simplePos="0">
                <wp:simplePos x="0" y="0"/>
                <wp:positionH relativeFrom="column">
                  <wp:posOffset>590550</wp:posOffset>
                </wp:positionH>
                <wp:positionV relativeFrom="paragraph">
                  <wp:posOffset>1285875</wp:posOffset>
                </wp:positionV>
                <wp:extent cx="495300" cy="285295"/>
                <wp:effectExtent b="0" l="0" r="0" t="0"/>
                <wp:wrapNone/>
                <wp:docPr id="3" name="image11.png"/>
                <a:graphic>
                  <a:graphicData uri="http://schemas.openxmlformats.org/drawingml/2006/picture">
                    <pic:pic>
                      <pic:nvPicPr>
                        <pic:cNvPr id="0" name="image11.png"/>
                        <pic:cNvPicPr preferRelativeResize="0"/>
                      </pic:nvPicPr>
                      <pic:blipFill>
                        <a:blip r:embed="rId10"/>
                        <a:srcRect/>
                        <a:stretch>
                          <a:fillRect/>
                        </a:stretch>
                      </pic:blipFill>
                      <pic:spPr>
                        <a:xfrm>
                          <a:off x="0" y="0"/>
                          <a:ext cx="495300" cy="285295"/>
                        </a:xfrm>
                        <a:prstGeom prst="rect"/>
                        <a:ln/>
                      </pic:spPr>
                    </pic:pic>
                  </a:graphicData>
                </a:graphic>
              </wp:anchor>
            </w:drawing>
          </mc:Fallback>
        </mc:AlternateContent>
      </w:r>
      <w:r>
        <w:rPr>
          <w:noProof/>
        </w:rPr>
        <mc:AlternateContent>
          <mc:Choice Requires="wpg">
            <w:drawing>
              <wp:anchor distT="114300" distB="114300" distL="114300" distR="114300" simplePos="0" relativeHeight="251660288" behindDoc="0" locked="0" layoutInCell="1" hidden="0" allowOverlap="1" wp14:anchorId="54209C48" wp14:editId="02186488">
                <wp:simplePos x="0" y="0"/>
                <wp:positionH relativeFrom="column">
                  <wp:posOffset>3019425</wp:posOffset>
                </wp:positionH>
                <wp:positionV relativeFrom="paragraph">
                  <wp:posOffset>552450</wp:posOffset>
                </wp:positionV>
                <wp:extent cx="1033463" cy="711442"/>
                <wp:effectExtent l="0" t="0" r="0" b="0"/>
                <wp:wrapNone/>
                <wp:docPr id="2" name="Rectangle 2"/>
                <wp:cNvGraphicFramePr/>
                <a:graphic xmlns:a="http://schemas.openxmlformats.org/drawingml/2006/main">
                  <a:graphicData uri="http://schemas.microsoft.com/office/word/2010/wordprocessingShape">
                    <wps:wsp>
                      <wps:cNvSpPr/>
                      <wps:spPr>
                        <a:xfrm>
                          <a:off x="3381225" y="2701100"/>
                          <a:ext cx="1292400" cy="884100"/>
                        </a:xfrm>
                        <a:prstGeom prst="rect">
                          <a:avLst/>
                        </a:prstGeom>
                        <a:noFill/>
                        <a:ln w="38100" cap="flat" cmpd="sng">
                          <a:solidFill>
                            <a:srgbClr val="FF0000"/>
                          </a:solidFill>
                          <a:prstDash val="solid"/>
                          <a:round/>
                          <a:headEnd type="none" w="sm" len="sm"/>
                          <a:tailEnd type="none" w="sm" len="sm"/>
                        </a:ln>
                      </wps:spPr>
                      <wps:txbx>
                        <w:txbxContent>
                          <w:p w14:paraId="46F96729" w14:textId="77777777" w:rsidR="008B1C8B" w:rsidRDefault="008A1F52">
                            <w:pPr>
                              <w:spacing w:line="240" w:lineRule="auto"/>
                              <w:textDirection w:val="btLr"/>
                            </w:pPr>
                            <w:r>
                              <w:rPr>
                                <w:b/>
                                <w:color w:val="FF0000"/>
                                <w:sz w:val="28"/>
                              </w:rPr>
                              <w:t>log(ODDS) by default</w:t>
                            </w: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114300" distT="114300" distL="114300" distR="114300" hidden="0" layoutInCell="1" locked="0" relativeHeight="0" simplePos="0">
                <wp:simplePos x="0" y="0"/>
                <wp:positionH relativeFrom="column">
                  <wp:posOffset>3019425</wp:posOffset>
                </wp:positionH>
                <wp:positionV relativeFrom="paragraph">
                  <wp:posOffset>552450</wp:posOffset>
                </wp:positionV>
                <wp:extent cx="1033463" cy="711442"/>
                <wp:effectExtent b="0" l="0" r="0" t="0"/>
                <wp:wrapNone/>
                <wp:docPr id="2" name="image10.png"/>
                <a:graphic>
                  <a:graphicData uri="http://schemas.openxmlformats.org/drawingml/2006/picture">
                    <pic:pic>
                      <pic:nvPicPr>
                        <pic:cNvPr id="0" name="image10.png"/>
                        <pic:cNvPicPr preferRelativeResize="0"/>
                      </pic:nvPicPr>
                      <pic:blipFill>
                        <a:blip r:embed="rId11"/>
                        <a:srcRect/>
                        <a:stretch>
                          <a:fillRect/>
                        </a:stretch>
                      </pic:blipFill>
                      <pic:spPr>
                        <a:xfrm>
                          <a:off x="0" y="0"/>
                          <a:ext cx="1033463" cy="711442"/>
                        </a:xfrm>
                        <a:prstGeom prst="rect"/>
                        <a:ln/>
                      </pic:spPr>
                    </pic:pic>
                  </a:graphicData>
                </a:graphic>
              </wp:anchor>
            </w:drawing>
          </mc:Fallback>
        </mc:AlternateContent>
      </w:r>
    </w:p>
    <w:p w14:paraId="218142FB" w14:textId="77777777" w:rsidR="008B1C8B" w:rsidRDefault="008B1C8B"/>
    <w:p w14:paraId="76F348A2" w14:textId="77777777" w:rsidR="008B1C8B" w:rsidRDefault="008A1F52">
      <w:pPr>
        <w:numPr>
          <w:ilvl w:val="0"/>
          <w:numId w:val="1"/>
        </w:numPr>
      </w:pPr>
      <w:r>
        <w:t xml:space="preserve">we specify </w:t>
      </w:r>
      <w:r>
        <w:rPr>
          <w:b/>
          <w:i/>
        </w:rPr>
        <w:t>‘1’</w:t>
      </w:r>
      <w:r>
        <w:t xml:space="preserve"> as a predictor variable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to estimate the intercept without any covariate</w:t>
      </w:r>
    </w:p>
    <w:p w14:paraId="6E366A8E" w14:textId="77777777" w:rsidR="008B1C8B" w:rsidRDefault="008A1F52">
      <w:pPr>
        <w:numPr>
          <w:ilvl w:val="0"/>
          <w:numId w:val="1"/>
        </w:numPr>
      </w:pPr>
      <w:r>
        <w:t>you may realize that the model output (</w:t>
      </w:r>
      <w:r>
        <w:rPr>
          <w:rFonts w:ascii="Courier New" w:eastAsia="Courier New" w:hAnsi="Courier New" w:cs="Courier New"/>
        </w:rPr>
        <w:t>summary()</w:t>
      </w:r>
      <w:r>
        <w:t>) only include the intercept</w:t>
      </w:r>
    </w:p>
    <w:p w14:paraId="38A2C598" w14:textId="77777777" w:rsidR="008B1C8B" w:rsidRDefault="008A1F52">
      <w:pPr>
        <w:numPr>
          <w:ilvl w:val="0"/>
          <w:numId w:val="1"/>
        </w:numPr>
      </w:pPr>
      <w:r>
        <w:t xml:space="preserve">the intercept was </w:t>
      </w:r>
      <w:r>
        <w:rPr>
          <w:b/>
        </w:rPr>
        <w:t xml:space="preserve">estimated at -0.72104 </w:t>
      </w:r>
      <w:r>
        <w:t>(with associated std.error, z-value and Pr)</w:t>
      </w:r>
      <w:r>
        <w:rPr>
          <w:b/>
        </w:rPr>
        <w:t>.</w:t>
      </w:r>
    </w:p>
    <w:p w14:paraId="5783235F" w14:textId="77777777" w:rsidR="008B1C8B" w:rsidRDefault="008A1F52">
      <w:pPr>
        <w:numPr>
          <w:ilvl w:val="0"/>
          <w:numId w:val="1"/>
        </w:numPr>
      </w:pPr>
      <w:r>
        <w:t>Let's concentrate on the estimate first:</w:t>
      </w:r>
    </w:p>
    <w:p w14:paraId="5CF0D478" w14:textId="77777777" w:rsidR="008B1C8B" w:rsidRDefault="008A1F52">
      <w:pPr>
        <w:numPr>
          <w:ilvl w:val="1"/>
          <w:numId w:val="1"/>
        </w:numPr>
      </w:pPr>
      <w:r>
        <w:rPr>
          <w:b/>
        </w:rPr>
        <w:t>-0.</w:t>
      </w:r>
      <w:r>
        <w:rPr>
          <w:b/>
        </w:rPr>
        <w:t xml:space="preserve">72104 = log(ODDS) </w:t>
      </w:r>
      <w:r>
        <w:t>or the ‘logit’ (estimate)</w:t>
      </w:r>
    </w:p>
    <w:p w14:paraId="1E13DB15" w14:textId="77777777" w:rsidR="008B1C8B" w:rsidRDefault="008A1F52">
      <w:pPr>
        <w:numPr>
          <w:ilvl w:val="1"/>
          <w:numId w:val="1"/>
        </w:numPr>
      </w:pPr>
      <w:r>
        <w:t xml:space="preserve">if we </w:t>
      </w:r>
      <w:r>
        <w:rPr>
          <w:b/>
        </w:rPr>
        <w:t>exponentiate</w:t>
      </w:r>
      <w:r>
        <w:t xml:space="preserve"> the </w:t>
      </w:r>
      <w:r>
        <w:rPr>
          <w:b/>
        </w:rPr>
        <w:t>log(ODDS)</w:t>
      </w:r>
      <w:r>
        <w:t xml:space="preserve">, we obtain the </w:t>
      </w:r>
      <w:r>
        <w:rPr>
          <w:b/>
        </w:rPr>
        <w:t>ODDS</w:t>
      </w:r>
    </w:p>
    <w:p w14:paraId="7AC88626" w14:textId="77777777" w:rsidR="008B1C8B" w:rsidRDefault="008A1F52">
      <w:pPr>
        <w:numPr>
          <w:ilvl w:val="1"/>
          <w:numId w:val="1"/>
        </w:numPr>
      </w:pPr>
      <w:r>
        <w:t xml:space="preserve">exp(-0.72104) = 0.4862463 = </w:t>
      </w:r>
      <w:r>
        <w:rPr>
          <w:b/>
        </w:rPr>
        <w:t>ODDS</w:t>
      </w:r>
    </w:p>
    <w:p w14:paraId="79CF519E" w14:textId="77777777" w:rsidR="008B1C8B" w:rsidRDefault="008A1F52">
      <w:pPr>
        <w:numPr>
          <w:ilvl w:val="1"/>
          <w:numId w:val="1"/>
        </w:numPr>
      </w:pPr>
      <w:r>
        <w:rPr>
          <w:b/>
        </w:rPr>
        <w:t>ODDS / (1 + ODDS) = probability</w:t>
      </w:r>
      <w:r>
        <w:t xml:space="preserve"> (see Appendix) </w:t>
      </w:r>
    </w:p>
    <w:p w14:paraId="217B174E" w14:textId="77777777" w:rsidR="008B1C8B" w:rsidRDefault="008A1F52">
      <w:pPr>
        <w:numPr>
          <w:ilvl w:val="1"/>
          <w:numId w:val="1"/>
        </w:numPr>
      </w:pPr>
      <w:r>
        <w:rPr>
          <w:b/>
        </w:rPr>
        <w:t>probability = 0.327164 = 32.7%</w:t>
      </w:r>
      <w:r>
        <w:t xml:space="preserve"> (exactly what we calculated above in our naive </w:t>
      </w:r>
      <w:r>
        <w:t>implementation)</w:t>
      </w:r>
    </w:p>
    <w:p w14:paraId="0A39DD63" w14:textId="77777777" w:rsidR="008B1C8B" w:rsidRDefault="008A1F52">
      <w:pPr>
        <w:numPr>
          <w:ilvl w:val="0"/>
          <w:numId w:val="1"/>
        </w:numPr>
      </w:pPr>
      <w:r>
        <w:t>Std.Error is a associated with the estimate</w:t>
      </w:r>
    </w:p>
    <w:p w14:paraId="68EECE78" w14:textId="77777777" w:rsidR="008B1C8B" w:rsidRDefault="008A1F52">
      <w:pPr>
        <w:numPr>
          <w:ilvl w:val="0"/>
          <w:numId w:val="1"/>
        </w:numPr>
      </w:pPr>
      <w:r>
        <w:t>z value (</w:t>
      </w:r>
      <w:r>
        <w:rPr>
          <w:i/>
        </w:rPr>
        <w:t>how much uncertainty ‘surrounds’ the point estimate</w:t>
      </w:r>
      <w:r>
        <w:t>):</w:t>
      </w:r>
    </w:p>
    <w:p w14:paraId="2C73B194" w14:textId="77777777" w:rsidR="008B1C8B" w:rsidRDefault="008A1F52">
      <w:pPr>
        <w:numPr>
          <w:ilvl w:val="1"/>
          <w:numId w:val="1"/>
        </w:numPr>
      </w:pPr>
      <w:r>
        <w:t xml:space="preserve">the z value is simply the </w:t>
      </w:r>
      <w:r>
        <w:rPr>
          <w:b/>
        </w:rPr>
        <w:t>Estimate / Std.Error</w:t>
      </w:r>
    </w:p>
    <w:p w14:paraId="6D704864" w14:textId="77777777" w:rsidR="008B1C8B" w:rsidRDefault="008A1F52">
      <w:pPr>
        <w:numPr>
          <w:ilvl w:val="1"/>
          <w:numId w:val="1"/>
        </w:numPr>
      </w:pPr>
      <w:r>
        <w:rPr>
          <w:u w:val="single"/>
        </w:rPr>
        <w:t>rule of thumb:</w:t>
      </w:r>
      <w:r>
        <w:t xml:space="preserve"> if </w:t>
      </w:r>
      <w:r>
        <w:rPr>
          <w:i/>
        </w:rPr>
        <w:t>abs(z value) &gt; 2</w:t>
      </w:r>
      <w:r>
        <w:t xml:space="preserve">, there is a good chance that the point-estimate of </w:t>
      </w:r>
      <w:r>
        <w:t xml:space="preserve">the predictor variable is reasonable. The larger the </w:t>
      </w:r>
      <w:r>
        <w:rPr>
          <w:i/>
        </w:rPr>
        <w:t xml:space="preserve">z value </w:t>
      </w:r>
      <w:r>
        <w:t>gets, the less uncertainty there is.</w:t>
      </w:r>
    </w:p>
    <w:p w14:paraId="07960510" w14:textId="77777777" w:rsidR="008B1C8B" w:rsidRDefault="008A1F52">
      <w:pPr>
        <w:numPr>
          <w:ilvl w:val="0"/>
          <w:numId w:val="1"/>
        </w:numPr>
      </w:pPr>
      <w:r>
        <w:t xml:space="preserve">Pr(&gt;|z|) reports a p-value derived from z-statistics (details will not be covered here) </w:t>
      </w:r>
    </w:p>
    <w:p w14:paraId="214CFD79" w14:textId="77777777" w:rsidR="008B1C8B" w:rsidRDefault="008B1C8B"/>
    <w:p w14:paraId="21A4C973" w14:textId="77777777" w:rsidR="008B1C8B" w:rsidRDefault="008A1F52">
      <w:r>
        <w:rPr>
          <w:b/>
        </w:rPr>
        <w:t>Model performance.</w:t>
      </w:r>
      <w:r>
        <w:t xml:space="preserve"> The </w:t>
      </w:r>
      <w:r>
        <w:rPr>
          <w:i/>
        </w:rPr>
        <w:t>Null</w:t>
      </w:r>
      <w:r>
        <w:t xml:space="preserve"> and </w:t>
      </w:r>
      <w:r>
        <w:rPr>
          <w:i/>
        </w:rPr>
        <w:t>Residual</w:t>
      </w:r>
      <w:r>
        <w:t xml:space="preserve"> deviance is actually the same in our model, as we didn’t include any predictor variable. Hence, the residual deviance can’t be smaller than the Null deviance (i.e. </w:t>
      </w:r>
      <w:r>
        <w:rPr>
          <w:b/>
        </w:rPr>
        <w:t>Null = 15299</w:t>
      </w:r>
      <w:r>
        <w:t xml:space="preserve"> AND </w:t>
      </w:r>
      <w:r>
        <w:rPr>
          <w:b/>
        </w:rPr>
        <w:t>Residual = 15299</w:t>
      </w:r>
      <w:r>
        <w:t>).</w:t>
      </w:r>
    </w:p>
    <w:p w14:paraId="49D106FC" w14:textId="77777777" w:rsidR="008B1C8B" w:rsidRDefault="008A1F52">
      <w:r>
        <w:rPr>
          <w:noProof/>
        </w:rPr>
        <w:pict w14:anchorId="7CD557DF">
          <v:rect id="_x0000_i1029" alt="" style="width:451.3pt;height:.05pt;mso-width-percent:0;mso-height-percent:0;mso-width-percent:0;mso-height-percent:0" o:hralign="center" o:hrstd="t" o:hr="t" fillcolor="#a0a0a0" stroked="f"/>
        </w:pict>
      </w:r>
    </w:p>
    <w:p w14:paraId="7305D2F3" w14:textId="77777777" w:rsidR="008B1C8B" w:rsidRDefault="008B1C8B"/>
    <w:p w14:paraId="417AB993" w14:textId="77777777" w:rsidR="008B1C8B" w:rsidRDefault="008A1F52">
      <w:r>
        <w:rPr>
          <w:b/>
        </w:rPr>
        <w:lastRenderedPageBreak/>
        <w:t xml:space="preserve">Observation 2: </w:t>
      </w:r>
      <w:r>
        <w:rPr>
          <w:i/>
        </w:rPr>
        <w:t>How does the model change if we include one continuous predictor variable (e.g. FGA)</w:t>
      </w:r>
      <w:r>
        <w:t xml:space="preserve">? </w:t>
      </w:r>
    </w:p>
    <w:p w14:paraId="1C2E1BA4" w14:textId="77777777" w:rsidR="008B1C8B" w:rsidRDefault="008B1C8B"/>
    <w:p w14:paraId="2FE710E3" w14:textId="77777777" w:rsidR="008B1C8B" w:rsidRDefault="008A1F52">
      <m:oMathPara>
        <m:oMath>
          <m:r>
            <w:rPr>
              <w:rFonts w:ascii="Cambria Math" w:hAnsi="Cambria Math"/>
            </w:rPr>
            <m:t>logit</m:t>
          </m:r>
          <m:r>
            <w:rPr>
              <w:rFonts w:ascii="Cambria Math" w:hAnsi="Cambria Math"/>
            </w:rPr>
            <m:t>(</m:t>
          </m:r>
          <m:r>
            <w:rPr>
              <w:rFonts w:ascii="Cambria Math" w:hAnsi="Cambria Math"/>
            </w:rPr>
            <m:t>p</m:t>
          </m:r>
          <m:r>
            <w:rPr>
              <w:rFonts w:ascii="Cambria Math" w:hAnsi="Cambria Math"/>
            </w:rPr>
            <m:t xml:space="preserve">) = </m:t>
          </m:r>
          <m:r>
            <w:rPr>
              <w:rFonts w:ascii="Cambria Math" w:hAnsi="Cambria Math"/>
            </w:rPr>
            <m:t>log</m:t>
          </m:r>
          <m:f>
            <m:fPr>
              <m:ctrlPr>
                <w:rPr>
                  <w:rFonts w:ascii="Cambria Math" w:hAnsi="Cambria Math"/>
                </w:rPr>
              </m:ctrlPr>
            </m:fPr>
            <m:num>
              <m:r>
                <w:rPr>
                  <w:rFonts w:ascii="Cambria Math" w:hAnsi="Cambria Math"/>
                </w:rPr>
                <m:t>p</m:t>
              </m:r>
            </m:num>
            <m:den>
              <m:r>
                <w:rPr>
                  <w:rFonts w:ascii="Cambria Math" w:hAnsi="Cambria Math"/>
                </w:rPr>
                <m:t>(1-</m:t>
              </m:r>
              <m:r>
                <w:rPr>
                  <w:rFonts w:ascii="Cambria Math" w:hAnsi="Cambria Math"/>
                </w:rPr>
                <m:t>p</m:t>
              </m:r>
              <m:r>
                <w:rPr>
                  <w:rFonts w:ascii="Cambria Math" w:hAnsi="Cambria Math"/>
                </w:rPr>
                <m:t>)</m:t>
              </m:r>
            </m:den>
          </m:f>
          <m:r>
            <w:rPr>
              <w:rFonts w:ascii="Cambria Math" w:hAnsi="Cambria Math"/>
            </w:rPr>
            <m:t xml:space="preserve"> = </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 xml:space="preserve"> + </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r>
            <w:rPr>
              <w:rFonts w:ascii="Cambria Math" w:hAnsi="Cambria Math"/>
            </w:rPr>
            <m:t xml:space="preserve"> </m:t>
          </m:r>
          <m:r>
            <w:rPr>
              <w:rFonts w:ascii="Cambria Math" w:hAnsi="Cambria Math"/>
            </w:rPr>
            <m:t>FGA</m:t>
          </m:r>
        </m:oMath>
      </m:oMathPara>
    </w:p>
    <w:p w14:paraId="4E7F91AE" w14:textId="77777777" w:rsidR="008B1C8B" w:rsidRDefault="008A1F52">
      <m:oMath>
        <m:r>
          <w:rPr>
            <w:rFonts w:ascii="Cambria Math" w:hAnsi="Cambria Math"/>
          </w:rPr>
          <m:t>glm</m:t>
        </m:r>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call</m:t>
            </m:r>
            <m:r>
              <w:rPr>
                <w:rFonts w:ascii="Cambria Math" w:hAnsi="Cambria Math"/>
              </w:rPr>
              <m:t xml:space="preserve"> </m:t>
            </m:r>
          </m:sub>
        </m:sSub>
        <m:r>
          <w:rPr>
            <w:rFonts w:ascii="Cambria Math" w:hAnsi="Cambria Math"/>
          </w:rPr>
          <m:t xml:space="preserve"> ~ </m:t>
        </m:r>
        <m:r>
          <w:rPr>
            <w:rFonts w:ascii="Cambria Math" w:hAnsi="Cambria Math"/>
          </w:rPr>
          <m:t>FGA</m:t>
        </m:r>
        <m:r>
          <w:rPr>
            <w:rFonts w:ascii="Cambria Math" w:hAnsi="Cambria Math"/>
          </w:rPr>
          <m:t xml:space="preserve">, </m:t>
        </m:r>
        <m:r>
          <w:rPr>
            <w:rFonts w:ascii="Cambria Math" w:hAnsi="Cambria Math"/>
          </w:rPr>
          <m:t>family</m:t>
        </m:r>
        <m:r>
          <w:rPr>
            <w:rFonts w:ascii="Cambria Math" w:hAnsi="Cambria Math"/>
          </w:rPr>
          <m:t xml:space="preserve"> = </m:t>
        </m:r>
        <m:r>
          <w:rPr>
            <w:rFonts w:ascii="Cambria Math" w:hAnsi="Cambria Math"/>
          </w:rPr>
          <m:t>binomial</m:t>
        </m:r>
        <m:r>
          <w:rPr>
            <w:rFonts w:ascii="Cambria Math" w:hAnsi="Cambria Math"/>
          </w:rPr>
          <m:t>(</m:t>
        </m:r>
        <m:r>
          <w:rPr>
            <w:rFonts w:ascii="Cambria Math" w:hAnsi="Cambria Math"/>
          </w:rPr>
          <m:t>link</m:t>
        </m:r>
        <m:r>
          <w:rPr>
            <w:rFonts w:ascii="Cambria Math" w:hAnsi="Cambria Math"/>
          </w:rPr>
          <m:t xml:space="preserve"> = '</m:t>
        </m:r>
        <m:r>
          <w:rPr>
            <w:rFonts w:ascii="Cambria Math" w:hAnsi="Cambria Math"/>
          </w:rPr>
          <m:t>logit</m:t>
        </m:r>
        <m:r>
          <w:rPr>
            <w:rFonts w:ascii="Cambria Math" w:hAnsi="Cambria Math"/>
          </w:rPr>
          <m:t xml:space="preserve">'), </m:t>
        </m:r>
        <m:r>
          <w:rPr>
            <w:rFonts w:ascii="Cambria Math" w:hAnsi="Cambria Math"/>
          </w:rPr>
          <m:t>data</m:t>
        </m:r>
        <m:r>
          <w:rPr>
            <w:rFonts w:ascii="Cambria Math" w:hAnsi="Cambria Math"/>
          </w:rPr>
          <m:t xml:space="preserve"> = </m:t>
        </m:r>
        <m:r>
          <w:rPr>
            <w:rFonts w:ascii="Cambria Math" w:hAnsi="Cambria Math"/>
          </w:rPr>
          <m:t>input</m:t>
        </m:r>
        <m:r>
          <w:rPr>
            <w:rFonts w:ascii="Cambria Math" w:hAnsi="Cambria Math"/>
          </w:rPr>
          <m:t>)</m:t>
        </m:r>
      </m:oMath>
      <w:r>
        <w:t xml:space="preserve"> </w:t>
      </w:r>
    </w:p>
    <w:p w14:paraId="0F04A96A" w14:textId="77777777" w:rsidR="008B1C8B" w:rsidRDefault="008B1C8B"/>
    <w:p w14:paraId="40E3FBE2" w14:textId="77777777" w:rsidR="008B1C8B" w:rsidRDefault="008A1F52">
      <w:r>
        <w:rPr>
          <w:noProof/>
        </w:rPr>
        <w:drawing>
          <wp:inline distT="114300" distB="114300" distL="114300" distR="114300" wp14:anchorId="4A00F224" wp14:editId="21563249">
            <wp:extent cx="3919538" cy="3264052"/>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3919538" cy="3264052"/>
                    </a:xfrm>
                    <a:prstGeom prst="rect">
                      <a:avLst/>
                    </a:prstGeom>
                    <a:ln/>
                  </pic:spPr>
                </pic:pic>
              </a:graphicData>
            </a:graphic>
          </wp:inline>
        </w:drawing>
      </w:r>
    </w:p>
    <w:p w14:paraId="0542E5AC" w14:textId="77777777" w:rsidR="008B1C8B" w:rsidRDefault="008B1C8B"/>
    <w:p w14:paraId="72719F6B" w14:textId="77777777" w:rsidR="008B1C8B" w:rsidRDefault="008A1F52">
      <w:pPr>
        <w:numPr>
          <w:ilvl w:val="0"/>
          <w:numId w:val="7"/>
        </w:numPr>
      </w:pPr>
      <w:r>
        <w:rPr>
          <w:rFonts w:ascii="Arial Unicode MS" w:eastAsia="Arial Unicode MS" w:hAnsi="Arial Unicode MS" w:cs="Arial Unicode MS"/>
        </w:rPr>
        <w:t>F</w:t>
      </w:r>
      <w:r>
        <w:rPr>
          <w:rFonts w:ascii="Arial Unicode MS" w:eastAsia="Arial Unicode MS" w:hAnsi="Arial Unicode MS" w:cs="Arial Unicode MS"/>
        </w:rPr>
        <w:t>irstly, the intercept changed from the previous model (-0.72104 → -0.93740)</w:t>
      </w:r>
    </w:p>
    <w:p w14:paraId="0BFDC4F5" w14:textId="77777777" w:rsidR="008B1C8B" w:rsidRDefault="008A1F52">
      <w:pPr>
        <w:numPr>
          <w:ilvl w:val="0"/>
          <w:numId w:val="7"/>
        </w:numPr>
      </w:pPr>
      <w:r>
        <w:t xml:space="preserve">exp(-0.93740) / (1+exp(-0.93740)) = </w:t>
      </w:r>
      <w:r>
        <w:rPr>
          <w:b/>
        </w:rPr>
        <w:t>0.281</w:t>
      </w:r>
      <w:r>
        <w:t xml:space="preserve"> or </w:t>
      </w:r>
      <w:r>
        <w:rPr>
          <w:b/>
        </w:rPr>
        <w:t>28.1%</w:t>
      </w:r>
      <w:r>
        <w:t>. This means that, by including one predictor variable (in this case FGA), the chance to observe a cancer specimen with a Y-chromo</w:t>
      </w:r>
      <w:r>
        <w:t xml:space="preserve">some loss, given that </w:t>
      </w:r>
      <w:r>
        <w:rPr>
          <w:b/>
        </w:rPr>
        <w:t>FGA = 0</w:t>
      </w:r>
      <w:r>
        <w:t xml:space="preserve"> is 28.1%. Hence, the probability decreased by ~ 4% when compared to the previous model (without any predictor variable). This further suggests that FGA may have some ‘positive’ influence on the outcome (also indicated through </w:t>
      </w:r>
      <w:r>
        <w:t xml:space="preserve">a positive </w:t>
      </w:r>
      <w:r>
        <w:rPr>
          <w:i/>
        </w:rPr>
        <w:t>estimate</w:t>
      </w:r>
      <w:r>
        <w:t>.</w:t>
      </w:r>
    </w:p>
    <w:p w14:paraId="2179B2DD" w14:textId="77777777" w:rsidR="008B1C8B" w:rsidRDefault="008A1F52">
      <w:pPr>
        <w:numPr>
          <w:ilvl w:val="0"/>
          <w:numId w:val="7"/>
        </w:numPr>
      </w:pPr>
      <w:r>
        <w:t>How can we interpret the ‘FGA: estimate’ of 1.05054?</w:t>
      </w:r>
    </w:p>
    <w:p w14:paraId="54CF832E" w14:textId="77777777" w:rsidR="008B1C8B" w:rsidRDefault="008A1F52">
      <w:pPr>
        <w:ind w:left="720"/>
      </w:pPr>
      <w:r>
        <w:t xml:space="preserve">Recall our general model formula: </w:t>
      </w:r>
      <m:oMath>
        <m:r>
          <w:rPr>
            <w:rFonts w:ascii="Cambria Math" w:hAnsi="Cambria Math"/>
          </w:rPr>
          <m:t>logit</m:t>
        </m:r>
        <m:r>
          <w:rPr>
            <w:rFonts w:ascii="Cambria Math" w:hAnsi="Cambria Math"/>
          </w:rPr>
          <m:t>(</m:t>
        </m:r>
        <m:r>
          <w:rPr>
            <w:rFonts w:ascii="Cambria Math" w:hAnsi="Cambria Math"/>
          </w:rPr>
          <m:t>p</m:t>
        </m:r>
        <m:r>
          <w:rPr>
            <w:rFonts w:ascii="Cambria Math" w:hAnsi="Cambria Math"/>
          </w:rPr>
          <m:t xml:space="preserve">) = </m:t>
        </m:r>
        <m:r>
          <w:rPr>
            <w:rFonts w:ascii="Cambria Math" w:hAnsi="Cambria Math"/>
          </w:rPr>
          <m:t>log</m:t>
        </m:r>
        <m:f>
          <m:fPr>
            <m:ctrlPr>
              <w:rPr>
                <w:rFonts w:ascii="Cambria Math" w:hAnsi="Cambria Math"/>
              </w:rPr>
            </m:ctrlPr>
          </m:fPr>
          <m:num>
            <m:r>
              <w:rPr>
                <w:rFonts w:ascii="Cambria Math" w:hAnsi="Cambria Math"/>
              </w:rPr>
              <m:t>p</m:t>
            </m:r>
          </m:num>
          <m:den>
            <m:r>
              <w:rPr>
                <w:rFonts w:ascii="Cambria Math" w:hAnsi="Cambria Math"/>
              </w:rPr>
              <m:t>(1-</m:t>
            </m:r>
            <m:r>
              <w:rPr>
                <w:rFonts w:ascii="Cambria Math" w:hAnsi="Cambria Math"/>
              </w:rPr>
              <m:t>p</m:t>
            </m:r>
            <m:r>
              <w:rPr>
                <w:rFonts w:ascii="Cambria Math" w:hAnsi="Cambria Math"/>
              </w:rPr>
              <m:t>)</m:t>
            </m:r>
          </m:den>
        </m:f>
        <m:r>
          <w:rPr>
            <w:rFonts w:ascii="Cambria Math" w:hAnsi="Cambria Math"/>
          </w:rPr>
          <m:t xml:space="preserve"> = </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 xml:space="preserve"> + </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r>
          <w:rPr>
            <w:rFonts w:ascii="Cambria Math" w:hAnsi="Cambria Math"/>
          </w:rPr>
          <m:t xml:space="preserve"> </m:t>
        </m:r>
        <m:r>
          <w:rPr>
            <w:rFonts w:ascii="Cambria Math" w:hAnsi="Cambria Math"/>
          </w:rPr>
          <m:t>FGA</m:t>
        </m:r>
      </m:oMath>
    </w:p>
    <w:p w14:paraId="37E84CB6" w14:textId="77777777" w:rsidR="008B1C8B" w:rsidRDefault="008A1F52">
      <w:pPr>
        <w:numPr>
          <w:ilvl w:val="0"/>
          <w:numId w:val="3"/>
        </w:numPr>
      </w:pPr>
      <w:r>
        <w:rPr>
          <w:rFonts w:ascii="Arial Unicode MS" w:eastAsia="Arial Unicode MS" w:hAnsi="Arial Unicode MS" w:cs="Arial Unicode MS"/>
        </w:rPr>
        <w:t>{FGA = 0.1} → -0.93740 + 1.05054*0.1 = -0.832346</w:t>
      </w:r>
    </w:p>
    <w:p w14:paraId="65D3A327" w14:textId="77777777" w:rsidR="008B1C8B" w:rsidRDefault="008A1F52">
      <w:pPr>
        <w:numPr>
          <w:ilvl w:val="0"/>
          <w:numId w:val="3"/>
        </w:numPr>
      </w:pPr>
      <w:r>
        <w:rPr>
          <w:rFonts w:ascii="Arial Unicode MS" w:eastAsia="Arial Unicode MS" w:hAnsi="Arial Unicode MS" w:cs="Arial Unicode MS"/>
        </w:rPr>
        <w:t>{FGA = 0.2} → -0.93740 + 1.05054*0.2 = -0.72729</w:t>
      </w:r>
      <w:r>
        <w:rPr>
          <w:rFonts w:ascii="Arial Unicode MS" w:eastAsia="Arial Unicode MS" w:hAnsi="Arial Unicode MS" w:cs="Arial Unicode MS"/>
        </w:rPr>
        <w:t>2</w:t>
      </w:r>
    </w:p>
    <w:p w14:paraId="0327027D" w14:textId="77777777" w:rsidR="008B1C8B" w:rsidRDefault="008A1F52">
      <w:pPr>
        <w:numPr>
          <w:ilvl w:val="0"/>
          <w:numId w:val="3"/>
        </w:numPr>
      </w:pPr>
      <w:r>
        <w:rPr>
          <w:rFonts w:ascii="Arial Unicode MS" w:eastAsia="Arial Unicode MS" w:hAnsi="Arial Unicode MS" w:cs="Arial Unicode MS"/>
        </w:rPr>
        <w:t>{FGA = 0.3} → -0.93740 + 1.05054*0.3 = -0.622238</w:t>
      </w:r>
    </w:p>
    <w:p w14:paraId="0A97176E" w14:textId="77777777" w:rsidR="008B1C8B" w:rsidRDefault="008B1C8B">
      <w:pPr>
        <w:ind w:left="720"/>
      </w:pPr>
    </w:p>
    <w:p w14:paraId="616A9C45" w14:textId="77777777" w:rsidR="008B1C8B" w:rsidRDefault="008A1F52">
      <w:pPr>
        <w:ind w:left="720"/>
      </w:pPr>
      <w:r>
        <w:t xml:space="preserve">If we now want to know the difference between FGA = 0.3 and FGA = 0.2, we simply subtract the two values and obtain </w:t>
      </w:r>
      <w:r>
        <w:rPr>
          <w:b/>
        </w:rPr>
        <w:t>0.105054</w:t>
      </w:r>
      <w:r>
        <w:t>. If we want to know the difference between FGA = 0.2 and FGA = 0.1, we subtract</w:t>
      </w:r>
      <w:r>
        <w:t xml:space="preserve"> the two values and again obtain </w:t>
      </w:r>
      <w:r>
        <w:rPr>
          <w:b/>
        </w:rPr>
        <w:t>0.105054</w:t>
      </w:r>
      <w:r>
        <w:t xml:space="preserve">. You </w:t>
      </w:r>
      <w:r>
        <w:lastRenderedPageBreak/>
        <w:t xml:space="preserve">get the idea. Generally speaking - whenever I am </w:t>
      </w:r>
      <w:r>
        <w:rPr>
          <w:i/>
        </w:rPr>
        <w:t>increasing</w:t>
      </w:r>
      <w:r>
        <w:t xml:space="preserve"> or </w:t>
      </w:r>
      <w:r>
        <w:rPr>
          <w:i/>
        </w:rPr>
        <w:t>decreasing</w:t>
      </w:r>
      <w:r>
        <w:t xml:space="preserve"> ONE UNIT in FGA (in our case we are using a </w:t>
      </w:r>
      <w:r>
        <w:rPr>
          <w:b/>
        </w:rPr>
        <w:t>1/10-scale</w:t>
      </w:r>
      <w:r>
        <w:rPr>
          <w:rFonts w:ascii="Arial Unicode MS" w:eastAsia="Arial Unicode MS" w:hAnsi="Arial Unicode MS" w:cs="Arial Unicode MS"/>
        </w:rPr>
        <w:t xml:space="preserve">, since FGA is in the range of {0,1}) we exactly obtain our model estimate → </w:t>
      </w:r>
      <w:r>
        <w:rPr>
          <w:b/>
        </w:rPr>
        <w:t>0.10</w:t>
      </w:r>
      <w:r>
        <w:rPr>
          <w:b/>
        </w:rPr>
        <w:t>5054 * 10 = 1.05054.</w:t>
      </w:r>
    </w:p>
    <w:p w14:paraId="51F9F493" w14:textId="77777777" w:rsidR="008B1C8B" w:rsidRDefault="008B1C8B">
      <w:pPr>
        <w:ind w:left="720"/>
      </w:pPr>
    </w:p>
    <w:p w14:paraId="7D287D12" w14:textId="77777777" w:rsidR="008B1C8B" w:rsidRDefault="008A1F52">
      <w:pPr>
        <w:ind w:left="720"/>
      </w:pPr>
      <w:r>
        <w:t xml:space="preserve">We can also translate our FGA-Estimate into a probability (according to the formulas described in the Appendix) and obtain </w:t>
      </w:r>
      <w:r>
        <w:rPr>
          <w:b/>
        </w:rPr>
        <w:t>11.1%</w:t>
      </w:r>
      <w:r>
        <w:t>. Meaning that whenever I am increasing one unit of FGA increases the probability of observing a cancer sp</w:t>
      </w:r>
      <w:r>
        <w:t xml:space="preserve">ecimen with a Y-chromosome loss by ~ 11%. </w:t>
      </w:r>
    </w:p>
    <w:p w14:paraId="15531B4B" w14:textId="77777777" w:rsidR="008B1C8B" w:rsidRDefault="008B1C8B"/>
    <w:p w14:paraId="304ADA8C" w14:textId="77777777" w:rsidR="008B1C8B" w:rsidRDefault="008A1F52">
      <m:oMathPara>
        <m:oMath>
          <m:r>
            <w:rPr>
              <w:rFonts w:ascii="Cambria Math" w:hAnsi="Cambria Math"/>
            </w:rPr>
            <m:t>exp</m:t>
          </m:r>
          <m:r>
            <w:rPr>
              <w:rFonts w:ascii="Cambria Math" w:hAnsi="Cambria Math"/>
            </w:rPr>
            <m:t>(</m:t>
          </m:r>
          <m:r>
            <w:rPr>
              <w:rFonts w:ascii="Cambria Math" w:hAnsi="Cambria Math"/>
            </w:rPr>
            <m:t>log</m:t>
          </m:r>
          <m:r>
            <w:rPr>
              <w:rFonts w:ascii="Cambria Math" w:hAnsi="Cambria Math"/>
            </w:rPr>
            <m:t>(</m:t>
          </m:r>
          <m:r>
            <w:rPr>
              <w:rFonts w:ascii="Cambria Math" w:hAnsi="Cambria Math"/>
            </w:rPr>
            <m:t>p</m:t>
          </m:r>
          <m:r>
            <w:rPr>
              <w:rFonts w:ascii="Cambria Math" w:hAnsi="Cambria Math"/>
            </w:rPr>
            <m:t>/(1-</m:t>
          </m:r>
          <m:r>
            <w:rPr>
              <w:rFonts w:ascii="Cambria Math" w:hAnsi="Cambria Math"/>
            </w:rPr>
            <m:t>p</m:t>
          </m:r>
          <m:r>
            <w:rPr>
              <w:rFonts w:ascii="Cambria Math" w:hAnsi="Cambria Math"/>
            </w:rPr>
            <m:t>))(</m:t>
          </m:r>
          <m:r>
            <w:rPr>
              <w:rFonts w:ascii="Cambria Math" w:hAnsi="Cambria Math"/>
            </w:rPr>
            <m:t>FGA</m:t>
          </m:r>
          <m:r>
            <w:rPr>
              <w:rFonts w:ascii="Cambria Math" w:hAnsi="Cambria Math"/>
            </w:rPr>
            <m:t xml:space="preserve">=0.1) - </m:t>
          </m:r>
          <m:r>
            <w:rPr>
              <w:rFonts w:ascii="Cambria Math" w:hAnsi="Cambria Math"/>
            </w:rPr>
            <m:t>log</m:t>
          </m:r>
          <m:r>
            <w:rPr>
              <w:rFonts w:ascii="Cambria Math" w:hAnsi="Cambria Math"/>
            </w:rPr>
            <m:t>(</m:t>
          </m:r>
          <m:r>
            <w:rPr>
              <w:rFonts w:ascii="Cambria Math" w:hAnsi="Cambria Math"/>
            </w:rPr>
            <m:t>p</m:t>
          </m:r>
          <m:r>
            <w:rPr>
              <w:rFonts w:ascii="Cambria Math" w:hAnsi="Cambria Math"/>
            </w:rPr>
            <m:t>/(1-</m:t>
          </m:r>
          <m:r>
            <w:rPr>
              <w:rFonts w:ascii="Cambria Math" w:hAnsi="Cambria Math"/>
            </w:rPr>
            <m:t>p</m:t>
          </m:r>
          <m:r>
            <w:rPr>
              <w:rFonts w:ascii="Cambria Math" w:hAnsi="Cambria Math"/>
            </w:rPr>
            <m:t>))(</m:t>
          </m:r>
          <m:r>
            <w:rPr>
              <w:rFonts w:ascii="Cambria Math" w:hAnsi="Cambria Math"/>
            </w:rPr>
            <m:t>FGA</m:t>
          </m:r>
          <m:r>
            <w:rPr>
              <w:rFonts w:ascii="Cambria Math" w:hAnsi="Cambria Math"/>
            </w:rPr>
            <m:t xml:space="preserve"> = 0.2)] / </m:t>
          </m:r>
          <m:r>
            <w:rPr>
              <w:rFonts w:ascii="Cambria Math" w:hAnsi="Cambria Math"/>
            </w:rPr>
            <m:t>exp</m:t>
          </m:r>
          <m:r>
            <w:rPr>
              <w:rFonts w:ascii="Cambria Math" w:hAnsi="Cambria Math"/>
            </w:rPr>
            <m:t>(</m:t>
          </m:r>
          <m:r>
            <w:rPr>
              <w:rFonts w:ascii="Cambria Math" w:hAnsi="Cambria Math"/>
            </w:rPr>
            <m:t>log</m:t>
          </m:r>
          <m:r>
            <w:rPr>
              <w:rFonts w:ascii="Cambria Math" w:hAnsi="Cambria Math"/>
            </w:rPr>
            <m:t>(</m:t>
          </m:r>
          <m:r>
            <w:rPr>
              <w:rFonts w:ascii="Cambria Math" w:hAnsi="Cambria Math"/>
            </w:rPr>
            <m:t>p</m:t>
          </m:r>
          <m:r>
            <w:rPr>
              <w:rFonts w:ascii="Cambria Math" w:hAnsi="Cambria Math"/>
            </w:rPr>
            <m:t>/(1-</m:t>
          </m:r>
          <m:r>
            <w:rPr>
              <w:rFonts w:ascii="Cambria Math" w:hAnsi="Cambria Math"/>
            </w:rPr>
            <m:t>p</m:t>
          </m:r>
          <m:r>
            <w:rPr>
              <w:rFonts w:ascii="Cambria Math" w:hAnsi="Cambria Math"/>
            </w:rPr>
            <m:t>))(</m:t>
          </m:r>
          <m:r>
            <w:rPr>
              <w:rFonts w:ascii="Cambria Math" w:hAnsi="Cambria Math"/>
            </w:rPr>
            <m:t>FGA</m:t>
          </m:r>
          <m:r>
            <w:rPr>
              <w:rFonts w:ascii="Cambria Math" w:hAnsi="Cambria Math"/>
            </w:rPr>
            <m:t>=0.1))=</m:t>
          </m:r>
        </m:oMath>
      </m:oMathPara>
    </w:p>
    <w:p w14:paraId="42AEFF95" w14:textId="77777777" w:rsidR="008B1C8B" w:rsidRDefault="008A1F52">
      <m:oMath>
        <m:r>
          <w:rPr>
            <w:rFonts w:ascii="Cambria Math" w:hAnsi="Cambria Math"/>
          </w:rPr>
          <m:t>odds</m:t>
        </m:r>
        <m:r>
          <w:rPr>
            <w:rFonts w:ascii="Cambria Math" w:hAnsi="Cambria Math"/>
          </w:rPr>
          <m:t>(</m:t>
        </m:r>
        <m:r>
          <w:rPr>
            <w:rFonts w:ascii="Cambria Math" w:hAnsi="Cambria Math"/>
          </w:rPr>
          <m:t>FGA</m:t>
        </m:r>
        <m:r>
          <w:rPr>
            <w:rFonts w:ascii="Cambria Math" w:hAnsi="Cambria Math"/>
          </w:rPr>
          <m:t xml:space="preserve">=0.2) / </m:t>
        </m:r>
        <m:r>
          <w:rPr>
            <w:rFonts w:ascii="Cambria Math" w:hAnsi="Cambria Math"/>
          </w:rPr>
          <m:t>odds</m:t>
        </m:r>
        <m:r>
          <w:rPr>
            <w:rFonts w:ascii="Cambria Math" w:hAnsi="Cambria Math"/>
          </w:rPr>
          <m:t>(</m:t>
        </m:r>
        <m:r>
          <w:rPr>
            <w:rFonts w:ascii="Cambria Math" w:hAnsi="Cambria Math"/>
          </w:rPr>
          <m:t>FGA</m:t>
        </m:r>
        <m:r>
          <w:rPr>
            <w:rFonts w:ascii="Cambria Math" w:hAnsi="Cambria Math"/>
          </w:rPr>
          <m:t xml:space="preserve">=0.1) = </m:t>
        </m:r>
        <m:r>
          <w:rPr>
            <w:rFonts w:ascii="Cambria Math" w:hAnsi="Cambria Math"/>
          </w:rPr>
          <m:t>exp</m:t>
        </m:r>
        <m:r>
          <w:rPr>
            <w:rFonts w:ascii="Cambria Math" w:hAnsi="Cambria Math"/>
          </w:rPr>
          <m:t>(1.</m:t>
        </m:r>
      </m:oMath>
      <w:r>
        <w:t>05054)</w:t>
      </w:r>
    </w:p>
    <w:p w14:paraId="4E8FBEFC" w14:textId="77777777" w:rsidR="008B1C8B" w:rsidRDefault="008B1C8B">
      <w:pPr>
        <w:ind w:left="720"/>
      </w:pPr>
    </w:p>
    <w:p w14:paraId="7B9EAACD" w14:textId="77777777" w:rsidR="008B1C8B" w:rsidRDefault="008A1F52">
      <w:r>
        <w:t>One additional thing to mention. Com</w:t>
      </w:r>
      <w:r>
        <w:t xml:space="preserve">pare the Residual deviance in this model with the Residual deviance in the previous model. You clearly see that it is reduced, due to the incorporation of one predictor variable. </w:t>
      </w:r>
    </w:p>
    <w:p w14:paraId="110B71D6" w14:textId="77777777" w:rsidR="008B1C8B" w:rsidRDefault="008B1C8B"/>
    <w:p w14:paraId="7F1ADFDA" w14:textId="77777777" w:rsidR="008B1C8B" w:rsidRDefault="008A1F52">
      <w:r>
        <w:rPr>
          <w:noProof/>
        </w:rPr>
        <w:pict w14:anchorId="02D3E0E2">
          <v:rect id="_x0000_i1028" alt="" style="width:451.3pt;height:.05pt;mso-width-percent:0;mso-height-percent:0;mso-width-percent:0;mso-height-percent:0" o:hralign="center" o:hrstd="t" o:hr="t" fillcolor="#a0a0a0" stroked="f"/>
        </w:pict>
      </w:r>
    </w:p>
    <w:p w14:paraId="450AA87A" w14:textId="77777777" w:rsidR="008B1C8B" w:rsidRDefault="008B1C8B"/>
    <w:p w14:paraId="44EE3AF1" w14:textId="77777777" w:rsidR="008B1C8B" w:rsidRDefault="008A1F52">
      <w:pPr>
        <w:rPr>
          <w:i/>
        </w:rPr>
      </w:pPr>
      <w:r>
        <w:rPr>
          <w:b/>
        </w:rPr>
        <w:t xml:space="preserve">Observation 3: </w:t>
      </w:r>
      <w:r>
        <w:rPr>
          <w:i/>
        </w:rPr>
        <w:t xml:space="preserve">What does a full saturated model look like? </w:t>
      </w:r>
    </w:p>
    <w:p w14:paraId="02581B9A" w14:textId="77777777" w:rsidR="008B1C8B" w:rsidRDefault="008B1C8B"/>
    <w:p w14:paraId="09279394" w14:textId="77777777" w:rsidR="008B1C8B" w:rsidRDefault="008A1F52">
      <w:r>
        <w:rPr>
          <w:noProof/>
        </w:rPr>
        <w:drawing>
          <wp:inline distT="114300" distB="114300" distL="114300" distR="114300" wp14:anchorId="26C7C98A" wp14:editId="598B83AE">
            <wp:extent cx="3018557" cy="4129088"/>
            <wp:effectExtent l="0" t="0" r="0" b="0"/>
            <wp:docPr id="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3"/>
                    <a:srcRect/>
                    <a:stretch>
                      <a:fillRect/>
                    </a:stretch>
                  </pic:blipFill>
                  <pic:spPr>
                    <a:xfrm>
                      <a:off x="0" y="0"/>
                      <a:ext cx="3018557" cy="4129088"/>
                    </a:xfrm>
                    <a:prstGeom prst="rect">
                      <a:avLst/>
                    </a:prstGeom>
                    <a:ln/>
                  </pic:spPr>
                </pic:pic>
              </a:graphicData>
            </a:graphic>
          </wp:inline>
        </w:drawing>
      </w:r>
      <w:r>
        <w:rPr>
          <w:noProof/>
        </w:rPr>
        <mc:AlternateContent>
          <mc:Choice Requires="wpg">
            <w:drawing>
              <wp:anchor distT="114300" distB="114300" distL="114300" distR="114300" simplePos="0" relativeHeight="251661312" behindDoc="0" locked="0" layoutInCell="1" hidden="0" allowOverlap="1" wp14:anchorId="58478E2A" wp14:editId="4C25C6EF">
                <wp:simplePos x="0" y="0"/>
                <wp:positionH relativeFrom="column">
                  <wp:posOffset>3048000</wp:posOffset>
                </wp:positionH>
                <wp:positionV relativeFrom="paragraph">
                  <wp:posOffset>962025</wp:posOffset>
                </wp:positionV>
                <wp:extent cx="190500" cy="1553814"/>
                <wp:effectExtent l="0" t="0" r="0" b="0"/>
                <wp:wrapNone/>
                <wp:docPr id="1" name="Straight Arrow Connector 1"/>
                <wp:cNvGraphicFramePr/>
                <a:graphic xmlns:a="http://schemas.openxmlformats.org/drawingml/2006/main">
                  <a:graphicData uri="http://schemas.microsoft.com/office/word/2010/wordprocessingShape">
                    <wps:wsp>
                      <wps:cNvCnPr/>
                      <wps:spPr>
                        <a:xfrm>
                          <a:off x="2331875" y="456650"/>
                          <a:ext cx="0" cy="563700"/>
                        </a:xfrm>
                        <a:prstGeom prst="straightConnector1">
                          <a:avLst/>
                        </a:prstGeom>
                        <a:noFill/>
                        <a:ln w="9525" cap="flat" cmpd="sng">
                          <a:solidFill>
                            <a:srgbClr val="98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114300" distT="114300" distL="114300" distR="114300" hidden="0" layoutInCell="1" locked="0" relativeHeight="0" simplePos="0">
                <wp:simplePos x="0" y="0"/>
                <wp:positionH relativeFrom="column">
                  <wp:posOffset>3048000</wp:posOffset>
                </wp:positionH>
                <wp:positionV relativeFrom="paragraph">
                  <wp:posOffset>962025</wp:posOffset>
                </wp:positionV>
                <wp:extent cx="190500" cy="1553814"/>
                <wp:effectExtent b="0" l="0" r="0" t="0"/>
                <wp:wrapNone/>
                <wp:docPr id="1" name="image9.png"/>
                <a:graphic>
                  <a:graphicData uri="http://schemas.openxmlformats.org/drawingml/2006/picture">
                    <pic:pic>
                      <pic:nvPicPr>
                        <pic:cNvPr id="0" name="image9.png"/>
                        <pic:cNvPicPr preferRelativeResize="0"/>
                      </pic:nvPicPr>
                      <pic:blipFill>
                        <a:blip r:embed="rId14"/>
                        <a:srcRect/>
                        <a:stretch>
                          <a:fillRect/>
                        </a:stretch>
                      </pic:blipFill>
                      <pic:spPr>
                        <a:xfrm>
                          <a:off x="0" y="0"/>
                          <a:ext cx="190500" cy="1553814"/>
                        </a:xfrm>
                        <a:prstGeom prst="rect"/>
                        <a:ln/>
                      </pic:spPr>
                    </pic:pic>
                  </a:graphicData>
                </a:graphic>
              </wp:anchor>
            </w:drawing>
          </mc:Fallback>
        </mc:AlternateContent>
      </w:r>
    </w:p>
    <w:p w14:paraId="4E5543D3" w14:textId="77777777" w:rsidR="008B1C8B" w:rsidRDefault="008B1C8B">
      <w:pPr>
        <w:rPr>
          <w:shd w:val="clear" w:color="auto" w:fill="1155CC"/>
        </w:rPr>
      </w:pPr>
    </w:p>
    <w:p w14:paraId="3817C2D2" w14:textId="77777777" w:rsidR="008B1C8B" w:rsidRDefault="008A1F52">
      <w:r>
        <w:t>From this model, there are a few things to mention:</w:t>
      </w:r>
    </w:p>
    <w:p w14:paraId="0299C04B" w14:textId="77777777" w:rsidR="008B1C8B" w:rsidRDefault="008A1F52">
      <w:pPr>
        <w:numPr>
          <w:ilvl w:val="0"/>
          <w:numId w:val="2"/>
        </w:numPr>
      </w:pPr>
      <w:r>
        <w:t>General terms:</w:t>
      </w:r>
    </w:p>
    <w:p w14:paraId="5F72B418" w14:textId="77777777" w:rsidR="008B1C8B" w:rsidRDefault="008A1F52">
      <w:pPr>
        <w:numPr>
          <w:ilvl w:val="0"/>
          <w:numId w:val="5"/>
        </w:numPr>
        <w:rPr>
          <w:b/>
        </w:rPr>
      </w:pPr>
      <w:r>
        <w:rPr>
          <w:b/>
        </w:rPr>
        <w:t xml:space="preserve">‘~ .’ </w:t>
      </w:r>
      <w:r>
        <w:t>in the formula indicates that all variables in the data frame should be used</w:t>
      </w:r>
    </w:p>
    <w:p w14:paraId="4E73D510" w14:textId="77777777" w:rsidR="008B1C8B" w:rsidRDefault="008A1F52">
      <w:pPr>
        <w:numPr>
          <w:ilvl w:val="0"/>
          <w:numId w:val="5"/>
        </w:numPr>
      </w:pPr>
      <w:r>
        <w:t>predictor variables in this models are both, numerical (ploidy, purity, etc.) and categorical (SAMPLE_TYPE, MSI_TYPE)</w:t>
      </w:r>
    </w:p>
    <w:p w14:paraId="4CC19736" w14:textId="77777777" w:rsidR="008B1C8B" w:rsidRDefault="008B1C8B">
      <w:pPr>
        <w:ind w:left="720"/>
      </w:pPr>
    </w:p>
    <w:p w14:paraId="39D2C8A3" w14:textId="77777777" w:rsidR="008B1C8B" w:rsidRDefault="008A1F52">
      <w:pPr>
        <w:numPr>
          <w:ilvl w:val="0"/>
          <w:numId w:val="2"/>
        </w:numPr>
      </w:pPr>
      <w:r>
        <w:t>Cancer_TYPE:</w:t>
      </w:r>
    </w:p>
    <w:p w14:paraId="6667DCC5" w14:textId="77777777" w:rsidR="008B1C8B" w:rsidRDefault="008A1F52">
      <w:pPr>
        <w:numPr>
          <w:ilvl w:val="0"/>
          <w:numId w:val="6"/>
        </w:numPr>
      </w:pPr>
      <w:r>
        <w:t>I converted the variable ‘CANCER_TYPE’ from the</w:t>
      </w:r>
      <w:r>
        <w:t xml:space="preserve"> input table into a factor and used ‘Bladder Cancer’ as the reference group.</w:t>
      </w:r>
    </w:p>
    <w:p w14:paraId="398D5D50" w14:textId="77777777" w:rsidR="008B1C8B" w:rsidRDefault="008A1F52">
      <w:pPr>
        <w:numPr>
          <w:ilvl w:val="0"/>
          <w:numId w:val="6"/>
        </w:numPr>
      </w:pPr>
      <w:r>
        <w:t>This means that every cancer type estimate must be interpreted relative to bladder cancer.</w:t>
      </w:r>
    </w:p>
    <w:p w14:paraId="7F41A78A" w14:textId="77777777" w:rsidR="008B1C8B" w:rsidRDefault="008A1F52">
      <w:pPr>
        <w:numPr>
          <w:ilvl w:val="0"/>
          <w:numId w:val="6"/>
        </w:numPr>
      </w:pPr>
      <w:r>
        <w:t>If we look into the distribution of Y-chromosome loss across different cancer types, the</w:t>
      </w:r>
      <w:r>
        <w:t xml:space="preserve"> individual estimates make quite sense. </w:t>
      </w:r>
    </w:p>
    <w:p w14:paraId="14C56567" w14:textId="77777777" w:rsidR="008B1C8B" w:rsidRDefault="008A1F52">
      <w:pPr>
        <w:numPr>
          <w:ilvl w:val="0"/>
          <w:numId w:val="6"/>
        </w:numPr>
      </w:pPr>
      <w:r>
        <w:t xml:space="preserve">Those with a </w:t>
      </w:r>
      <w:r>
        <w:rPr>
          <w:b/>
        </w:rPr>
        <w:t>positive</w:t>
      </w:r>
      <w:r>
        <w:t xml:space="preserve"> estimate and those ranked higher in the plot below (e.g. Esophagastric, Pancreatic, etc.). Those cancer types are significantly different from Bladder Cancer (which in the figure below is someh</w:t>
      </w:r>
      <w:r>
        <w:t xml:space="preserve">ow in the middle). </w:t>
      </w:r>
    </w:p>
    <w:p w14:paraId="73CFD517" w14:textId="77777777" w:rsidR="008B1C8B" w:rsidRDefault="008A1F52">
      <w:pPr>
        <w:numPr>
          <w:ilvl w:val="0"/>
          <w:numId w:val="6"/>
        </w:numPr>
      </w:pPr>
      <w:r>
        <w:t>You can also choose a different reference level. By default, R is using an alphabetic order. But you can also compare everything against ‘Gliomas’ for example.</w:t>
      </w:r>
    </w:p>
    <w:p w14:paraId="072EC7CC" w14:textId="77777777" w:rsidR="008B1C8B" w:rsidRDefault="008B1C8B">
      <w:pPr>
        <w:ind w:left="720"/>
      </w:pPr>
    </w:p>
    <w:p w14:paraId="28B39B14" w14:textId="77777777" w:rsidR="008B1C8B" w:rsidRDefault="008A1F52">
      <w:pPr>
        <w:ind w:left="720"/>
      </w:pPr>
      <w:r>
        <w:rPr>
          <w:noProof/>
        </w:rPr>
        <w:drawing>
          <wp:inline distT="114300" distB="114300" distL="114300" distR="114300" wp14:anchorId="604DAB52" wp14:editId="1EB2433B">
            <wp:extent cx="3262815" cy="1992199"/>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3262815" cy="1992199"/>
                    </a:xfrm>
                    <a:prstGeom prst="rect">
                      <a:avLst/>
                    </a:prstGeom>
                    <a:ln/>
                  </pic:spPr>
                </pic:pic>
              </a:graphicData>
            </a:graphic>
          </wp:inline>
        </w:drawing>
      </w:r>
    </w:p>
    <w:p w14:paraId="0D510A10" w14:textId="77777777" w:rsidR="008B1C8B" w:rsidRDefault="008B1C8B"/>
    <w:p w14:paraId="78FBB956" w14:textId="77777777" w:rsidR="008B1C8B" w:rsidRDefault="008A1F52">
      <w:pPr>
        <w:numPr>
          <w:ilvl w:val="0"/>
          <w:numId w:val="2"/>
        </w:numPr>
      </w:pPr>
      <w:r>
        <w:t>Overall effect of CANCER_TYPE:</w:t>
      </w:r>
    </w:p>
    <w:p w14:paraId="6C021AEA" w14:textId="77777777" w:rsidR="008B1C8B" w:rsidRDefault="008A1F52">
      <w:pPr>
        <w:ind w:left="720"/>
      </w:pPr>
      <w:r>
        <w:t>We have seen that the ODDS of observing a</w:t>
      </w:r>
      <w:r>
        <w:t xml:space="preserve"> Y-chromosome loss among individual cancer types differs. We can furthermore test for an overall effect of CANCER_TYPE using a </w:t>
      </w:r>
      <w:r>
        <w:rPr>
          <w:rFonts w:ascii="Courier New" w:eastAsia="Courier New" w:hAnsi="Courier New" w:cs="Courier New"/>
        </w:rPr>
        <w:t>wald.test</w:t>
      </w:r>
      <w:r>
        <w:t xml:space="preserve"> function (</w:t>
      </w:r>
      <w:r>
        <w:rPr>
          <w:rFonts w:ascii="Courier New" w:eastAsia="Courier New" w:hAnsi="Courier New" w:cs="Courier New"/>
        </w:rPr>
        <w:t>aod</w:t>
      </w:r>
      <w:r>
        <w:t xml:space="preserve"> package). We use the wald.test function. b supplies the coefficients, while Sigma supplies the variance c</w:t>
      </w:r>
      <w:r>
        <w:t>ovariance matrix of the error terms, finally Terms tells R which terms in the model are to be tested, in this case, terms 2 - 20 are used.</w:t>
      </w:r>
    </w:p>
    <w:p w14:paraId="27CF7AD2" w14:textId="77777777" w:rsidR="008B1C8B" w:rsidRDefault="008B1C8B">
      <w:pPr>
        <w:rPr>
          <w:rFonts w:ascii="Courier New" w:eastAsia="Courier New" w:hAnsi="Courier New" w:cs="Courier New"/>
          <w:color w:val="333333"/>
          <w:highlight w:val="white"/>
        </w:rPr>
      </w:pPr>
    </w:p>
    <w:p w14:paraId="5DA78ED9" w14:textId="77777777" w:rsidR="008B1C8B" w:rsidRDefault="008A1F52">
      <w:pPr>
        <w:rPr>
          <w:rFonts w:ascii="Courier New" w:eastAsia="Courier New" w:hAnsi="Courier New" w:cs="Courier New"/>
          <w:color w:val="333333"/>
          <w:highlight w:val="white"/>
        </w:rPr>
      </w:pPr>
      <w:r>
        <w:rPr>
          <w:rFonts w:ascii="Courier New" w:eastAsia="Courier New" w:hAnsi="Courier New" w:cs="Courier New"/>
          <w:color w:val="333333"/>
          <w:highlight w:val="white"/>
        </w:rPr>
        <w:t>wald.test(b=coef(model_full), Sigma=vcov(model_full), Terms=2:20)</w:t>
      </w:r>
    </w:p>
    <w:p w14:paraId="001FFC65" w14:textId="77777777" w:rsidR="008B1C8B" w:rsidRDefault="008B1C8B">
      <w:pPr>
        <w:rPr>
          <w:rFonts w:ascii="Courier New" w:eastAsia="Courier New" w:hAnsi="Courier New" w:cs="Courier New"/>
          <w:color w:val="333333"/>
          <w:highlight w:val="white"/>
        </w:rPr>
      </w:pPr>
    </w:p>
    <w:p w14:paraId="66224ED5" w14:textId="77777777" w:rsidR="008B1C8B" w:rsidRDefault="008A1F52">
      <w:pPr>
        <w:ind w:left="720"/>
      </w:pPr>
      <w:r>
        <w:lastRenderedPageBreak/>
        <w:t>Running this model, we obtain p = 0. This means t</w:t>
      </w:r>
      <w:r>
        <w:t xml:space="preserve">hat Y chromosome loss rates among different cancer types are significantly different and that there is evidence for direct selection or maintaining the Y-chromosome. </w:t>
      </w:r>
    </w:p>
    <w:p w14:paraId="4D373EA9" w14:textId="77777777" w:rsidR="008B1C8B" w:rsidRDefault="008B1C8B">
      <w:pPr>
        <w:ind w:left="720"/>
      </w:pPr>
    </w:p>
    <w:p w14:paraId="5B6BB63B" w14:textId="77777777" w:rsidR="008B1C8B" w:rsidRDefault="008A1F52">
      <w:r>
        <w:t>There are more things we could spend some time on, but for the sake of time, we neglect the interpretation of the further terms.</w:t>
      </w:r>
    </w:p>
    <w:p w14:paraId="4E3AD14C" w14:textId="77777777" w:rsidR="008B1C8B" w:rsidRDefault="008A1F52">
      <w:r>
        <w:t>Again - pay attention to the AIC in this case. It's lower than in the previous model, indicating that the current model is bett</w:t>
      </w:r>
      <w:r>
        <w:t>er suited to describe the data</w:t>
      </w:r>
    </w:p>
    <w:p w14:paraId="417C1E9C" w14:textId="77777777" w:rsidR="008B1C8B" w:rsidRDefault="008B1C8B"/>
    <w:p w14:paraId="51AF23E2" w14:textId="77777777" w:rsidR="008B1C8B" w:rsidRDefault="008A1F52">
      <w:r>
        <w:rPr>
          <w:noProof/>
        </w:rPr>
        <w:pict w14:anchorId="37C9EB20">
          <v:rect id="_x0000_i1027" alt="" style="width:451.3pt;height:.05pt;mso-width-percent:0;mso-height-percent:0;mso-width-percent:0;mso-height-percent:0" o:hralign="center" o:hrstd="t" o:hr="t" fillcolor="#a0a0a0" stroked="f"/>
        </w:pict>
      </w:r>
    </w:p>
    <w:p w14:paraId="47006D71" w14:textId="77777777" w:rsidR="008B1C8B" w:rsidRDefault="008B1C8B"/>
    <w:p w14:paraId="767367CE" w14:textId="77777777" w:rsidR="008B1C8B" w:rsidRDefault="008A1F52">
      <w:pPr>
        <w:rPr>
          <w:i/>
        </w:rPr>
      </w:pPr>
      <w:r>
        <w:rPr>
          <w:b/>
        </w:rPr>
        <w:t>Observation 4:</w:t>
      </w:r>
      <w:r>
        <w:t xml:space="preserve"> </w:t>
      </w:r>
      <w:r>
        <w:rPr>
          <w:i/>
        </w:rPr>
        <w:t>How can we measure the goodness of fit of respective models and how can we compare two (or several) among each other?</w:t>
      </w:r>
    </w:p>
    <w:p w14:paraId="44624F49" w14:textId="77777777" w:rsidR="008B1C8B" w:rsidRDefault="008B1C8B"/>
    <w:p w14:paraId="0A886A55" w14:textId="77777777" w:rsidR="008B1C8B" w:rsidRDefault="008A1F52">
      <w:r>
        <w:t>Actually there are several attempts described in the literature. Since there are many s</w:t>
      </w:r>
      <w:r>
        <w:t xml:space="preserve">uggestions, I will not focus on one specific approach, rather, I will propose one way. </w:t>
      </w:r>
      <w:r>
        <w:rPr>
          <w:rFonts w:ascii="Courier New" w:eastAsia="Courier New" w:hAnsi="Courier New" w:cs="Courier New"/>
        </w:rPr>
        <w:t xml:space="preserve">compareGLM() </w:t>
      </w:r>
      <w:r>
        <w:t xml:space="preserve">is a function provided by the R </w:t>
      </w:r>
      <w:r>
        <w:rPr>
          <w:rFonts w:ascii="Courier New" w:eastAsia="Courier New" w:hAnsi="Courier New" w:cs="Courier New"/>
        </w:rPr>
        <w:t>rcompanion</w:t>
      </w:r>
      <w:r>
        <w:t xml:space="preserve"> package. This function calculates several ‘goodness-of-fit’ estimates (e.g. AIC, BIC, McFadden, etc.). If we are </w:t>
      </w:r>
      <w:r>
        <w:t>about to compare our Full-model (i.e. including all predictor variables) with a ‘reduced-model’ (i.e., excluding ‘CancerType’) and the Null-model (i.e. just including the intercept), we get the following output.</w:t>
      </w:r>
    </w:p>
    <w:p w14:paraId="2E63E4F2" w14:textId="77777777" w:rsidR="008B1C8B" w:rsidRDefault="008B1C8B"/>
    <w:p w14:paraId="4952D5E1" w14:textId="77777777" w:rsidR="008B1C8B" w:rsidRDefault="008A1F52">
      <w:r>
        <w:rPr>
          <w:noProof/>
        </w:rPr>
        <w:drawing>
          <wp:inline distT="114300" distB="114300" distL="114300" distR="114300" wp14:anchorId="44CBD25E" wp14:editId="5A523617">
            <wp:extent cx="5181600" cy="1162538"/>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5181600" cy="1162538"/>
                    </a:xfrm>
                    <a:prstGeom prst="rect">
                      <a:avLst/>
                    </a:prstGeom>
                    <a:ln/>
                  </pic:spPr>
                </pic:pic>
              </a:graphicData>
            </a:graphic>
          </wp:inline>
        </w:drawing>
      </w:r>
    </w:p>
    <w:p w14:paraId="09E3FAE6" w14:textId="77777777" w:rsidR="008B1C8B" w:rsidRDefault="008B1C8B"/>
    <w:p w14:paraId="0A1CFB16" w14:textId="77777777" w:rsidR="008B1C8B" w:rsidRDefault="008A1F52">
      <w:r>
        <w:t>Some naive interpretations:</w:t>
      </w:r>
    </w:p>
    <w:p w14:paraId="14D930F2" w14:textId="77777777" w:rsidR="008B1C8B" w:rsidRDefault="008A1F52">
      <w:pPr>
        <w:numPr>
          <w:ilvl w:val="0"/>
          <w:numId w:val="4"/>
        </w:numPr>
      </w:pPr>
      <w:r>
        <w:t>The lower th</w:t>
      </w:r>
      <w:r>
        <w:t>e AIC estimate the better the model performance</w:t>
      </w:r>
    </w:p>
    <w:p w14:paraId="6B375EFF" w14:textId="77777777" w:rsidR="008B1C8B" w:rsidRDefault="008A1F52">
      <w:pPr>
        <w:numPr>
          <w:ilvl w:val="0"/>
          <w:numId w:val="4"/>
        </w:numPr>
      </w:pPr>
      <w:r>
        <w:t>The higher the Pseudo-R</w:t>
      </w:r>
      <w:r>
        <w:rPr>
          <w:vertAlign w:val="superscript"/>
        </w:rPr>
        <w:t xml:space="preserve">2 </w:t>
      </w:r>
      <w:r>
        <w:t>(McFadden, Cox.and.Snell, Nagelkerke) the better</w:t>
      </w:r>
    </w:p>
    <w:p w14:paraId="4644477C" w14:textId="77777777" w:rsidR="008B1C8B" w:rsidRDefault="008B1C8B"/>
    <w:p w14:paraId="44773AC9" w14:textId="77777777" w:rsidR="008B1C8B" w:rsidRDefault="008A1F52">
      <w:r>
        <w:t>You clearly see that the more predictor variables we include (ie. full model) the more variance can be explained. This means that our</w:t>
      </w:r>
      <w:r>
        <w:t xml:space="preserve"> full model is an appropriate approximation of the dataset. For those who are more interested in assessing the goodness of fit of a model, I provide a small summary about the McFadden estimate. </w:t>
      </w:r>
    </w:p>
    <w:p w14:paraId="2D170996" w14:textId="77777777" w:rsidR="008B1C8B" w:rsidRDefault="008B1C8B">
      <w:pPr>
        <w:rPr>
          <w:b/>
        </w:rPr>
      </w:pPr>
    </w:p>
    <w:p w14:paraId="67D78DCA" w14:textId="77777777" w:rsidR="008B1C8B" w:rsidRDefault="008A1F52">
      <w:r>
        <w:rPr>
          <w:b/>
        </w:rPr>
        <w:t xml:space="preserve">McFadden: </w:t>
      </w:r>
      <w:r>
        <w:t xml:space="preserve">McFadden's </w:t>
      </w:r>
      <w:r>
        <w:t>𝑅</w:t>
      </w:r>
      <w:r>
        <w:rPr>
          <w:vertAlign w:val="superscript"/>
        </w:rPr>
        <w:t>2</w:t>
      </w:r>
      <w:r>
        <w:t xml:space="preserve"> is defined as 1−</w:t>
      </w:r>
      <w:r>
        <w:t>𝐿𝐿</w:t>
      </w:r>
      <w:r>
        <w:rPr>
          <w:vertAlign w:val="subscript"/>
        </w:rPr>
        <w:t>𝑚𝑜𝑑</w:t>
      </w:r>
      <w:r>
        <w:rPr>
          <w:vertAlign w:val="subscript"/>
        </w:rPr>
        <w:t xml:space="preserve"> </w:t>
      </w:r>
      <w:r>
        <w:t xml:space="preserve">/ </w:t>
      </w:r>
      <w:r>
        <w:t>𝐿𝐿</w:t>
      </w:r>
      <w:r>
        <w:rPr>
          <w:vertAlign w:val="subscript"/>
        </w:rPr>
        <w:t>0</w:t>
      </w:r>
      <w:r>
        <w:t xml:space="preserve">, where </w:t>
      </w:r>
      <w:r>
        <w:t>𝐿𝐿</w:t>
      </w:r>
      <w:r>
        <w:rPr>
          <w:vertAlign w:val="subscript"/>
        </w:rPr>
        <w:t>𝑚𝑜𝑑</w:t>
      </w:r>
      <w:r>
        <w:rPr>
          <w:vertAlign w:val="subscript"/>
        </w:rPr>
        <w:t xml:space="preserve"> </w:t>
      </w:r>
      <w:r>
        <w:t xml:space="preserve">is the log likelihood value for the fitted model and </w:t>
      </w:r>
      <w:r>
        <w:t>𝐿𝐿</w:t>
      </w:r>
      <w:r>
        <w:rPr>
          <w:vertAlign w:val="subscript"/>
        </w:rPr>
        <w:t xml:space="preserve">0 </w:t>
      </w:r>
      <w:r>
        <w:t>is the log likelihood for the null model which includes only an intercept as predictor (so that every individual is predicted the same probability of 'success'). For a log</w:t>
      </w:r>
      <w:r>
        <w:t xml:space="preserve">istic regression model the log likelihood value is always negative (because the likelihood contribution from each observation is a probability between 0 and 1). If your model doesn't really </w:t>
      </w:r>
      <w:r>
        <w:lastRenderedPageBreak/>
        <w:t xml:space="preserve">predict the outcome better than the null model, </w:t>
      </w:r>
      <w:r>
        <w:t>𝐿𝐿𝑚𝑜𝑑</w:t>
      </w:r>
      <w:r>
        <w:t xml:space="preserve"> will no</w:t>
      </w:r>
      <w:r>
        <w:t xml:space="preserve">t be much larger than </w:t>
      </w:r>
      <w:r>
        <w:t>𝐿𝐿</w:t>
      </w:r>
      <w:r>
        <w:t xml:space="preserve">0 and so </w:t>
      </w:r>
      <w:r>
        <w:t>𝐿𝐿</w:t>
      </w:r>
      <w:r>
        <w:rPr>
          <w:vertAlign w:val="subscript"/>
        </w:rPr>
        <w:t>𝑚𝑜𝑑</w:t>
      </w:r>
      <w:r>
        <w:t xml:space="preserve"> / </w:t>
      </w:r>
      <w:r>
        <w:t>𝐿𝐿</w:t>
      </w:r>
      <w:r>
        <w:rPr>
          <w:vertAlign w:val="subscript"/>
        </w:rPr>
        <w:t>0</w:t>
      </w:r>
      <w:r>
        <w:t xml:space="preserve"> </w:t>
      </w:r>
      <w:r>
        <w:rPr>
          <w:rFonts w:ascii="Arial Unicode MS" w:eastAsia="Arial Unicode MS" w:hAnsi="Arial Unicode MS" w:cs="Arial Unicode MS"/>
        </w:rPr>
        <w:t xml:space="preserve">≈ 1 </w:t>
      </w:r>
      <w:r>
        <w:t>and McFadden's pseudo-</w:t>
      </w:r>
      <w:r>
        <w:t>𝑅</w:t>
      </w:r>
      <w:r>
        <w:rPr>
          <w:vertAlign w:val="superscript"/>
        </w:rPr>
        <w:t>2</w:t>
      </w:r>
      <w:r>
        <w:t xml:space="preserve"> is close to 0 (your model has no predictive value).</w:t>
      </w:r>
    </w:p>
    <w:p w14:paraId="53677777" w14:textId="77777777" w:rsidR="008B1C8B" w:rsidRDefault="008A1F52">
      <w:pPr>
        <w:shd w:val="clear" w:color="auto" w:fill="FFFFFF"/>
        <w:rPr>
          <w:color w:val="232629"/>
          <w:sz w:val="23"/>
          <w:szCs w:val="23"/>
        </w:rPr>
      </w:pPr>
      <w:r>
        <w:t>Conversely if your model was really good, those individuals with a success (1) outcome would have a fitted probability c</w:t>
      </w:r>
      <w:r>
        <w:t xml:space="preserve">lose to 1, and vice versa for those with a failure (0) outcome. In this case if you go through the likelihood calculation the likelihood contribution from each individual for your model will be close to zero, such that </w:t>
      </w:r>
      <w:r>
        <w:t>𝐿𝐿</w:t>
      </w:r>
      <w:r>
        <w:rPr>
          <w:color w:val="232629"/>
          <w:sz w:val="19"/>
          <w:szCs w:val="19"/>
          <w:vertAlign w:val="subscript"/>
        </w:rPr>
        <w:t>𝑚𝑜𝑑</w:t>
      </w:r>
      <w:r>
        <w:rPr>
          <w:color w:val="232629"/>
          <w:sz w:val="19"/>
          <w:szCs w:val="19"/>
          <w:vertAlign w:val="subscript"/>
        </w:rPr>
        <w:t xml:space="preserve"> </w:t>
      </w:r>
      <w:r>
        <w:rPr>
          <w:color w:val="232629"/>
          <w:sz w:val="23"/>
          <w:szCs w:val="23"/>
        </w:rPr>
        <w:t>is close to zero, and McFa</w:t>
      </w:r>
      <w:r>
        <w:rPr>
          <w:color w:val="232629"/>
          <w:sz w:val="23"/>
          <w:szCs w:val="23"/>
        </w:rPr>
        <w:t xml:space="preserve">dden's pseudo- </w:t>
      </w:r>
      <w:r>
        <w:rPr>
          <w:color w:val="232629"/>
          <w:sz w:val="27"/>
          <w:szCs w:val="27"/>
        </w:rPr>
        <w:t>𝑅</w:t>
      </w:r>
      <w:r>
        <w:rPr>
          <w:color w:val="232629"/>
          <w:sz w:val="19"/>
          <w:szCs w:val="19"/>
          <w:vertAlign w:val="superscript"/>
        </w:rPr>
        <w:t xml:space="preserve">2 </w:t>
      </w:r>
      <w:r>
        <w:rPr>
          <w:color w:val="232629"/>
          <w:sz w:val="23"/>
          <w:szCs w:val="23"/>
        </w:rPr>
        <w:t>squared is close to 1, indicating very good predictive ability.</w:t>
      </w:r>
    </w:p>
    <w:p w14:paraId="435EFE73" w14:textId="77777777" w:rsidR="008B1C8B" w:rsidRDefault="008B1C8B"/>
    <w:p w14:paraId="2E546309" w14:textId="77777777" w:rsidR="008B1C8B" w:rsidRDefault="008A1F52">
      <w:pPr>
        <w:rPr>
          <w:color w:val="333333"/>
          <w:sz w:val="21"/>
          <w:szCs w:val="21"/>
        </w:rPr>
      </w:pPr>
      <w:r>
        <w:rPr>
          <w:b/>
        </w:rPr>
        <w:t>Likelihood Ratio Tests:</w:t>
      </w:r>
      <w:r>
        <w:t xml:space="preserve"> </w:t>
      </w:r>
      <w:r>
        <w:rPr>
          <w:color w:val="333333"/>
          <w:sz w:val="21"/>
          <w:szCs w:val="21"/>
        </w:rPr>
        <w:t>Likelihood ratio tests are used to compare the goodness of fit of two statistical models. The LRT compares two hierarchically nested models to deter</w:t>
      </w:r>
      <w:r>
        <w:rPr>
          <w:color w:val="333333"/>
          <w:sz w:val="21"/>
          <w:szCs w:val="21"/>
        </w:rPr>
        <w:t>mine whether or not adding complexity to your model (i.e., adding more parameters) makes your model significantly more accurate. The “hierarchically nested models” simply means that the complex model differs only from the simpler (or “nested”) model by the</w:t>
      </w:r>
      <w:r>
        <w:rPr>
          <w:color w:val="333333"/>
          <w:sz w:val="21"/>
          <w:szCs w:val="21"/>
        </w:rPr>
        <w:t xml:space="preserve"> addition of one or more parameters.</w:t>
      </w:r>
    </w:p>
    <w:p w14:paraId="76682144" w14:textId="77777777" w:rsidR="008B1C8B" w:rsidRDefault="008A1F52">
      <w:pPr>
        <w:rPr>
          <w:color w:val="333333"/>
          <w:sz w:val="21"/>
          <w:szCs w:val="21"/>
        </w:rPr>
      </w:pPr>
      <w:r>
        <w:rPr>
          <w:color w:val="333333"/>
          <w:sz w:val="21"/>
          <w:szCs w:val="21"/>
        </w:rPr>
        <w:t xml:space="preserve">In summary, the LRT tells us if it is beneficial to add parameters to our model, or if we should stick with our simpler model. </w:t>
      </w:r>
    </w:p>
    <w:p w14:paraId="13D1151B" w14:textId="77777777" w:rsidR="008B1C8B" w:rsidRDefault="008B1C8B"/>
    <w:p w14:paraId="572379C2" w14:textId="77777777" w:rsidR="008B1C8B" w:rsidRDefault="008A1F52">
      <m:oMath>
        <m:r>
          <w:rPr>
            <w:rFonts w:ascii="Cambria Math" w:hAnsi="Cambria Math"/>
          </w:rPr>
          <m:t>LLR</m:t>
        </m:r>
        <m:r>
          <w:rPr>
            <w:rFonts w:ascii="Cambria Math" w:hAnsi="Cambria Math"/>
          </w:rPr>
          <m:t xml:space="preserve"> = -2*[</m:t>
        </m:r>
        <m:r>
          <w:rPr>
            <w:rFonts w:ascii="Cambria Math" w:hAnsi="Cambria Math"/>
          </w:rPr>
          <m:t>loglikeli</m:t>
        </m:r>
        <m:r>
          <w:rPr>
            <w:rFonts w:ascii="Cambria Math" w:hAnsi="Cambria Math"/>
          </w:rPr>
          <m:t>h</m:t>
        </m:r>
        <m:r>
          <w:rPr>
            <w:rFonts w:ascii="Cambria Math" w:hAnsi="Cambria Math"/>
          </w:rPr>
          <m:t>ood</m:t>
        </m:r>
        <m:r>
          <w:rPr>
            <w:rFonts w:ascii="Cambria Math" w:hAnsi="Cambria Math"/>
          </w:rPr>
          <m:t>(</m:t>
        </m:r>
        <m:r>
          <w:rPr>
            <w:rFonts w:ascii="Cambria Math" w:hAnsi="Cambria Math"/>
          </w:rPr>
          <m:t>reduced</m:t>
        </m:r>
        <m:r>
          <w:rPr>
            <w:rFonts w:ascii="Cambria Math" w:hAnsi="Cambria Math"/>
          </w:rPr>
          <m:t>) -</m:t>
        </m:r>
        <m:r>
          <w:rPr>
            <w:rFonts w:ascii="Cambria Math" w:hAnsi="Cambria Math"/>
          </w:rPr>
          <m:t>loglikeli</m:t>
        </m:r>
        <m:r>
          <w:rPr>
            <w:rFonts w:ascii="Cambria Math" w:hAnsi="Cambria Math"/>
          </w:rPr>
          <m:t>h</m:t>
        </m:r>
        <m:r>
          <w:rPr>
            <w:rFonts w:ascii="Cambria Math" w:hAnsi="Cambria Math"/>
          </w:rPr>
          <m:t>ood</m:t>
        </m:r>
        <m:r>
          <w:rPr>
            <w:rFonts w:ascii="Cambria Math" w:hAnsi="Cambria Math"/>
          </w:rPr>
          <m:t>(</m:t>
        </m:r>
        <m:r>
          <w:rPr>
            <w:rFonts w:ascii="Cambria Math" w:hAnsi="Cambria Math"/>
          </w:rPr>
          <m:t>comp</m:t>
        </m:r>
        <m:r>
          <w:rPr>
            <w:rFonts w:ascii="Cambria Math" w:hAnsi="Cambria Math"/>
          </w:rPr>
          <m:t>lex</m:t>
        </m:r>
        <m:r>
          <w:rPr>
            <w:rFonts w:ascii="Cambria Math" w:hAnsi="Cambria Math"/>
          </w:rPr>
          <m:t>)]</m:t>
        </m:r>
      </m:oMath>
      <w:r>
        <w:t xml:space="preserve"> </w:t>
      </w:r>
    </w:p>
    <w:p w14:paraId="0702F639" w14:textId="77777777" w:rsidR="008B1C8B" w:rsidRDefault="008B1C8B"/>
    <w:p w14:paraId="17ACAE05" w14:textId="77777777" w:rsidR="008B1C8B" w:rsidRDefault="008A1F52">
      <w:pPr>
        <w:shd w:val="clear" w:color="auto" w:fill="FFFFFF"/>
        <w:spacing w:after="160"/>
        <w:rPr>
          <w:color w:val="333333"/>
          <w:sz w:val="21"/>
          <w:szCs w:val="21"/>
        </w:rPr>
      </w:pPr>
      <w:r>
        <w:rPr>
          <w:color w:val="333333"/>
          <w:sz w:val="21"/>
          <w:szCs w:val="21"/>
        </w:rPr>
        <w:t>The test statistics here follow a chi-squared distribution with degrees of freedom equal to the difference in the number of free parameters between the complex model and the reduced model. With this information, we may calculate the p-value, and if it is l</w:t>
      </w:r>
      <w:r>
        <w:rPr>
          <w:color w:val="333333"/>
          <w:sz w:val="21"/>
          <w:szCs w:val="21"/>
        </w:rPr>
        <w:t>ess than our significance level, we reject the null hypothesis.</w:t>
      </w:r>
    </w:p>
    <w:p w14:paraId="569CA9F7" w14:textId="77777777" w:rsidR="008B1C8B" w:rsidRDefault="008A1F52">
      <w:pPr>
        <w:shd w:val="clear" w:color="auto" w:fill="FFFFFF"/>
        <w:spacing w:after="160"/>
        <w:rPr>
          <w:rFonts w:ascii="Courier New" w:eastAsia="Courier New" w:hAnsi="Courier New" w:cs="Courier New"/>
          <w:color w:val="333333"/>
          <w:sz w:val="21"/>
          <w:szCs w:val="21"/>
        </w:rPr>
      </w:pPr>
      <w:r>
        <w:rPr>
          <w:rFonts w:ascii="Courier New" w:eastAsia="Courier New" w:hAnsi="Courier New" w:cs="Courier New"/>
          <w:color w:val="333333"/>
          <w:sz w:val="21"/>
          <w:szCs w:val="21"/>
        </w:rPr>
        <w:t>A = logLik(reduced)</w:t>
      </w:r>
    </w:p>
    <w:p w14:paraId="533152C1" w14:textId="77777777" w:rsidR="008B1C8B" w:rsidRDefault="008A1F52">
      <w:pPr>
        <w:shd w:val="clear" w:color="auto" w:fill="FFFFFF"/>
        <w:spacing w:after="160"/>
        <w:rPr>
          <w:rFonts w:ascii="Courier New" w:eastAsia="Courier New" w:hAnsi="Courier New" w:cs="Courier New"/>
          <w:color w:val="333333"/>
          <w:sz w:val="21"/>
          <w:szCs w:val="21"/>
        </w:rPr>
      </w:pPr>
      <w:r>
        <w:rPr>
          <w:rFonts w:ascii="Courier New" w:eastAsia="Courier New" w:hAnsi="Courier New" w:cs="Courier New"/>
          <w:color w:val="333333"/>
          <w:sz w:val="21"/>
          <w:szCs w:val="21"/>
        </w:rPr>
        <w:t>B = logLik(complex)</w:t>
      </w:r>
    </w:p>
    <w:p w14:paraId="264090C7" w14:textId="77777777" w:rsidR="008B1C8B" w:rsidRDefault="008A1F52">
      <w:pPr>
        <w:shd w:val="clear" w:color="auto" w:fill="FFFFFF"/>
        <w:spacing w:after="160"/>
        <w:rPr>
          <w:rFonts w:ascii="Courier New" w:eastAsia="Courier New" w:hAnsi="Courier New" w:cs="Courier New"/>
          <w:color w:val="333333"/>
          <w:sz w:val="21"/>
          <w:szCs w:val="21"/>
        </w:rPr>
      </w:pPr>
      <w:r>
        <w:rPr>
          <w:rFonts w:ascii="Courier New" w:eastAsia="Courier New" w:hAnsi="Courier New" w:cs="Courier New"/>
          <w:color w:val="333333"/>
          <w:sz w:val="21"/>
          <w:szCs w:val="21"/>
        </w:rPr>
        <w:t>LLR = -2*(as.numeric(A) - as.numeric(B))</w:t>
      </w:r>
    </w:p>
    <w:p w14:paraId="15FEF3E5" w14:textId="77777777" w:rsidR="008B1C8B" w:rsidRDefault="008A1F52">
      <w:pPr>
        <w:shd w:val="clear" w:color="auto" w:fill="FFFFFF"/>
        <w:spacing w:after="160"/>
        <w:rPr>
          <w:rFonts w:ascii="Courier New" w:eastAsia="Courier New" w:hAnsi="Courier New" w:cs="Courier New"/>
          <w:color w:val="333333"/>
          <w:sz w:val="21"/>
          <w:szCs w:val="21"/>
        </w:rPr>
      </w:pPr>
      <w:r>
        <w:rPr>
          <w:rFonts w:ascii="Courier New" w:eastAsia="Courier New" w:hAnsi="Courier New" w:cs="Courier New"/>
          <w:color w:val="333333"/>
          <w:sz w:val="21"/>
          <w:szCs w:val="21"/>
        </w:rPr>
        <w:t>p.val = pchisq(LLR, df = df(B) - df(A), lower.tail = FALSE)</w:t>
      </w:r>
    </w:p>
    <w:p w14:paraId="70DF443F" w14:textId="77777777" w:rsidR="008B1C8B" w:rsidRDefault="008A1F52">
      <w:pPr>
        <w:shd w:val="clear" w:color="auto" w:fill="FFFFFF"/>
        <w:spacing w:after="160"/>
        <w:rPr>
          <w:color w:val="333333"/>
          <w:sz w:val="21"/>
          <w:szCs w:val="21"/>
        </w:rPr>
      </w:pPr>
      <w:r>
        <w:rPr>
          <w:rFonts w:ascii="Courier New" w:eastAsia="Courier New" w:hAnsi="Courier New" w:cs="Courier New"/>
          <w:color w:val="333333"/>
          <w:sz w:val="21"/>
          <w:szCs w:val="21"/>
        </w:rPr>
        <w:t>p.val = 0</w:t>
      </w:r>
    </w:p>
    <w:p w14:paraId="404A1D99" w14:textId="77777777" w:rsidR="008B1C8B" w:rsidRDefault="008A1F52">
      <w:pPr>
        <w:shd w:val="clear" w:color="auto" w:fill="FFFFFF"/>
        <w:spacing w:after="160"/>
        <w:rPr>
          <w:color w:val="333333"/>
          <w:sz w:val="20"/>
          <w:szCs w:val="20"/>
          <w:highlight w:val="white"/>
        </w:rPr>
      </w:pPr>
      <w:r>
        <w:rPr>
          <w:color w:val="333333"/>
          <w:sz w:val="21"/>
          <w:szCs w:val="21"/>
        </w:rPr>
        <w:t>A common significance level to use is .05. Under that significance level, we would reject the null hypothesis and conclude that we should use the more complex model. In this example we o</w:t>
      </w:r>
      <w:r>
        <w:rPr>
          <w:color w:val="333333"/>
          <w:sz w:val="21"/>
          <w:szCs w:val="21"/>
        </w:rPr>
        <w:t xml:space="preserve">btain a p-value of 0, meaning that the more complex model is doing better than the reduced model. </w:t>
      </w:r>
    </w:p>
    <w:p w14:paraId="765E4208" w14:textId="77777777" w:rsidR="008B1C8B" w:rsidRDefault="008A1F52">
      <w:pPr>
        <w:shd w:val="clear" w:color="auto" w:fill="FFFFFF"/>
        <w:spacing w:after="160"/>
        <w:rPr>
          <w:color w:val="333333"/>
          <w:sz w:val="20"/>
          <w:szCs w:val="20"/>
          <w:highlight w:val="white"/>
        </w:rPr>
      </w:pPr>
      <w:r>
        <w:rPr>
          <w:color w:val="333333"/>
          <w:sz w:val="20"/>
          <w:szCs w:val="20"/>
          <w:highlight w:val="white"/>
        </w:rPr>
        <w:t xml:space="preserve">There is also a convenient function available in R, which automatically calculates the LRT for you. </w:t>
      </w:r>
    </w:p>
    <w:p w14:paraId="191829BD" w14:textId="77777777" w:rsidR="008B1C8B" w:rsidRDefault="008A1F52">
      <w:pPr>
        <w:shd w:val="clear" w:color="auto" w:fill="FFFFFF"/>
        <w:spacing w:after="160"/>
        <w:rPr>
          <w:rFonts w:ascii="Courier New" w:eastAsia="Courier New" w:hAnsi="Courier New" w:cs="Courier New"/>
          <w:color w:val="333333"/>
          <w:sz w:val="20"/>
          <w:szCs w:val="20"/>
          <w:highlight w:val="white"/>
        </w:rPr>
      </w:pPr>
      <w:r>
        <w:rPr>
          <w:rFonts w:ascii="Courier New" w:eastAsia="Courier New" w:hAnsi="Courier New" w:cs="Courier New"/>
          <w:color w:val="333333"/>
          <w:sz w:val="20"/>
          <w:szCs w:val="20"/>
          <w:highlight w:val="white"/>
        </w:rPr>
        <w:t>lrtest()</w:t>
      </w:r>
      <w:r>
        <w:rPr>
          <w:color w:val="333333"/>
          <w:sz w:val="20"/>
          <w:szCs w:val="20"/>
          <w:highlight w:val="white"/>
        </w:rPr>
        <w:t xml:space="preserve"> from the </w:t>
      </w:r>
      <w:r>
        <w:rPr>
          <w:rFonts w:ascii="Courier New" w:eastAsia="Courier New" w:hAnsi="Courier New" w:cs="Courier New"/>
          <w:color w:val="333333"/>
          <w:sz w:val="20"/>
          <w:szCs w:val="20"/>
          <w:highlight w:val="white"/>
        </w:rPr>
        <w:t>lmtest package</w:t>
      </w:r>
    </w:p>
    <w:p w14:paraId="4F0602D0" w14:textId="77777777" w:rsidR="008B1C8B" w:rsidRDefault="008B1C8B">
      <w:pPr>
        <w:rPr>
          <w:color w:val="333333"/>
          <w:sz w:val="21"/>
          <w:szCs w:val="21"/>
          <w:highlight w:val="white"/>
        </w:rPr>
      </w:pPr>
    </w:p>
    <w:p w14:paraId="34A6C685" w14:textId="77777777" w:rsidR="008B1C8B" w:rsidRDefault="008A1F52">
      <w:r>
        <w:rPr>
          <w:noProof/>
        </w:rPr>
        <w:pict w14:anchorId="1EF1F74F">
          <v:rect id="_x0000_i1026" alt="" style="width:451.3pt;height:.05pt;mso-width-percent:0;mso-height-percent:0;mso-width-percent:0;mso-height-percent:0" o:hralign="center" o:hrstd="t" o:hr="t" fillcolor="#a0a0a0" stroked="f"/>
        </w:pict>
      </w:r>
    </w:p>
    <w:p w14:paraId="7D1AB7CD" w14:textId="77777777" w:rsidR="008B1C8B" w:rsidRDefault="008B1C8B"/>
    <w:p w14:paraId="050A2B5D" w14:textId="77777777" w:rsidR="008B1C8B" w:rsidRDefault="008A1F52">
      <w:r>
        <w:rPr>
          <w:b/>
        </w:rPr>
        <w:t xml:space="preserve">Observation 5: </w:t>
      </w:r>
      <w:r>
        <w:t>Mult</w:t>
      </w:r>
      <w:r>
        <w:t>icollinearity among predictor variables.</w:t>
      </w:r>
    </w:p>
    <w:p w14:paraId="722E33DF" w14:textId="77777777" w:rsidR="008B1C8B" w:rsidRDefault="008A1F52">
      <w:r>
        <w:t>Simply speaking. If there is extensive correlation among predictor variables (especially when a lot of variables are included in the model), the outcome is highly skewed and interpretations may be grossly misleading</w:t>
      </w:r>
      <w:r>
        <w:t xml:space="preserve">. To check for the multicollinearity problem, we can take advantage of </w:t>
      </w:r>
      <w:r>
        <w:lastRenderedPageBreak/>
        <w:t xml:space="preserve">the </w:t>
      </w:r>
      <w:r>
        <w:rPr>
          <w:rFonts w:ascii="Courier New" w:eastAsia="Courier New" w:hAnsi="Courier New" w:cs="Courier New"/>
        </w:rPr>
        <w:t xml:space="preserve">vif() </w:t>
      </w:r>
      <w:r>
        <w:t>function from the car package in R. VIF stands for variance inflation factor. It measures how much the variance of any one of the coefficients is inflated due to multicollinea</w:t>
      </w:r>
      <w:r>
        <w:t>rity in the overall model. As a rule of thumb, a vif score over 5 is a problem. A score over 10 should be remedied and you should consider dropping the problematic variable from the regression model or creating an index of all the closely related variables</w:t>
      </w:r>
      <w:r>
        <w:t xml:space="preserve">. </w:t>
      </w:r>
    </w:p>
    <w:p w14:paraId="7188EED7" w14:textId="77777777" w:rsidR="008B1C8B" w:rsidRDefault="008B1C8B"/>
    <w:p w14:paraId="2D3F9FA0" w14:textId="77777777" w:rsidR="008B1C8B" w:rsidRDefault="008A1F52">
      <w:r>
        <w:rPr>
          <w:noProof/>
        </w:rPr>
        <w:drawing>
          <wp:inline distT="114300" distB="114300" distL="114300" distR="114300" wp14:anchorId="531CBAFF" wp14:editId="103EB210">
            <wp:extent cx="3328988" cy="1345595"/>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3328988" cy="1345595"/>
                    </a:xfrm>
                    <a:prstGeom prst="rect">
                      <a:avLst/>
                    </a:prstGeom>
                    <a:ln/>
                  </pic:spPr>
                </pic:pic>
              </a:graphicData>
            </a:graphic>
          </wp:inline>
        </w:drawing>
      </w:r>
    </w:p>
    <w:p w14:paraId="7CDB77CA" w14:textId="77777777" w:rsidR="008B1C8B" w:rsidRDefault="008B1C8B">
      <w:pPr>
        <w:rPr>
          <w:color w:val="333333"/>
          <w:sz w:val="26"/>
          <w:szCs w:val="26"/>
          <w:highlight w:val="white"/>
        </w:rPr>
      </w:pPr>
    </w:p>
    <w:p w14:paraId="0A8F8935" w14:textId="77777777" w:rsidR="008B1C8B" w:rsidRDefault="008A1F52">
      <w:r>
        <w:t>We see that MSI_Score as well as MSI_Type both show very high (VIF &gt;&gt; 5) estimates and this is problematic (but somehow also makes sense). So what can we do? Let’s exclude the MSI_Score predictor variable from our full model and see what is happening.</w:t>
      </w:r>
    </w:p>
    <w:p w14:paraId="3F8F5D71" w14:textId="77777777" w:rsidR="008B1C8B" w:rsidRDefault="008B1C8B"/>
    <w:p w14:paraId="7A0091D0" w14:textId="77777777" w:rsidR="008B1C8B" w:rsidRDefault="008A1F52">
      <w:r>
        <w:rPr>
          <w:noProof/>
        </w:rPr>
        <w:drawing>
          <wp:inline distT="114300" distB="114300" distL="114300" distR="114300" wp14:anchorId="5041D917" wp14:editId="093239ED">
            <wp:extent cx="3352673" cy="1527435"/>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3352673" cy="1527435"/>
                    </a:xfrm>
                    <a:prstGeom prst="rect">
                      <a:avLst/>
                    </a:prstGeom>
                    <a:ln/>
                  </pic:spPr>
                </pic:pic>
              </a:graphicData>
            </a:graphic>
          </wp:inline>
        </w:drawing>
      </w:r>
    </w:p>
    <w:p w14:paraId="02E6C9A2" w14:textId="77777777" w:rsidR="008B1C8B" w:rsidRDefault="008B1C8B"/>
    <w:p w14:paraId="6AD20312" w14:textId="77777777" w:rsidR="008B1C8B" w:rsidRDefault="008A1F52">
      <w:r>
        <w:t xml:space="preserve">Looks good :) </w:t>
      </w:r>
    </w:p>
    <w:p w14:paraId="15CCC4BA" w14:textId="77777777" w:rsidR="008B1C8B" w:rsidRDefault="008A1F52">
      <w:r>
        <w:rPr>
          <w:rFonts w:ascii="Arial Unicode MS" w:eastAsia="Arial Unicode MS" w:hAnsi="Arial Unicode MS" w:cs="Arial Unicode MS"/>
        </w:rPr>
        <w:t>Well, I know you will ask now → what’s happening with the model performance. Technically speaking they are the same (with some modest exceptions, not shown). However, as MSI_TYPE and MSI_Score were highly correlated, the performance didn’t g</w:t>
      </w:r>
      <w:r>
        <w:rPr>
          <w:rFonts w:ascii="Arial Unicode MS" w:eastAsia="Arial Unicode MS" w:hAnsi="Arial Unicode MS" w:cs="Arial Unicode MS"/>
        </w:rPr>
        <w:t xml:space="preserve">o down significantly. </w:t>
      </w:r>
    </w:p>
    <w:p w14:paraId="6BA3CF70" w14:textId="77777777" w:rsidR="008B1C8B" w:rsidRDefault="008B1C8B">
      <w:pPr>
        <w:rPr>
          <w:b/>
        </w:rPr>
      </w:pPr>
    </w:p>
    <w:p w14:paraId="0659DA8D" w14:textId="77777777" w:rsidR="008B1C8B" w:rsidRDefault="008B1C8B">
      <w:pPr>
        <w:rPr>
          <w:b/>
        </w:rPr>
      </w:pPr>
    </w:p>
    <w:p w14:paraId="40220533" w14:textId="77777777" w:rsidR="008B1C8B" w:rsidRDefault="008A1F52">
      <w:pPr>
        <w:rPr>
          <w:b/>
        </w:rPr>
      </w:pPr>
      <w:r>
        <w:rPr>
          <w:noProof/>
        </w:rPr>
        <w:pict w14:anchorId="66E4E228">
          <v:rect id="_x0000_i1025" alt="" style="width:451.3pt;height:.05pt;mso-width-percent:0;mso-height-percent:0;mso-width-percent:0;mso-height-percent:0" o:hralign="center" o:hrstd="t" o:hr="t" fillcolor="#a0a0a0" stroked="f"/>
        </w:pict>
      </w:r>
    </w:p>
    <w:p w14:paraId="742E5548" w14:textId="77777777" w:rsidR="008B1C8B" w:rsidRDefault="008B1C8B">
      <w:pPr>
        <w:rPr>
          <w:b/>
        </w:rPr>
      </w:pPr>
    </w:p>
    <w:p w14:paraId="308AB09B" w14:textId="77777777" w:rsidR="008B1C8B" w:rsidRDefault="008B1C8B"/>
    <w:p w14:paraId="53A5F11D" w14:textId="77777777" w:rsidR="008B1C8B" w:rsidRDefault="008A1F52">
      <w:pPr>
        <w:rPr>
          <w:b/>
        </w:rPr>
      </w:pPr>
      <w:r>
        <w:rPr>
          <w:b/>
        </w:rPr>
        <w:t>Take home messages</w:t>
      </w:r>
    </w:p>
    <w:p w14:paraId="201FD854" w14:textId="77777777" w:rsidR="008B1C8B" w:rsidRDefault="008A1F52">
      <w:pPr>
        <w:numPr>
          <w:ilvl w:val="0"/>
          <w:numId w:val="8"/>
        </w:numPr>
        <w:rPr>
          <w:b/>
        </w:rPr>
      </w:pPr>
      <w:r>
        <w:t>Make sure that your variables are properly encoded in R</w:t>
      </w:r>
    </w:p>
    <w:p w14:paraId="00BACC7C" w14:textId="77777777" w:rsidR="008B1C8B" w:rsidRDefault="008A1F52">
      <w:pPr>
        <w:numPr>
          <w:ilvl w:val="1"/>
          <w:numId w:val="8"/>
        </w:numPr>
        <w:rPr>
          <w:b/>
        </w:rPr>
      </w:pPr>
      <w:r>
        <w:rPr>
          <w:b/>
        </w:rPr>
        <w:t xml:space="preserve">as.integer </w:t>
      </w:r>
      <w:r>
        <w:t>for response</w:t>
      </w:r>
      <w:r>
        <w:rPr>
          <w:b/>
        </w:rPr>
        <w:t xml:space="preserve"> {0 ,1}</w:t>
      </w:r>
    </w:p>
    <w:p w14:paraId="19436CD8" w14:textId="77777777" w:rsidR="008B1C8B" w:rsidRDefault="008A1F52">
      <w:pPr>
        <w:numPr>
          <w:ilvl w:val="1"/>
          <w:numId w:val="8"/>
        </w:numPr>
        <w:rPr>
          <w:b/>
        </w:rPr>
      </w:pPr>
      <w:r>
        <w:rPr>
          <w:b/>
        </w:rPr>
        <w:t xml:space="preserve">as.factor </w:t>
      </w:r>
      <w:r>
        <w:t xml:space="preserve">for categorical variables </w:t>
      </w:r>
      <w:r>
        <w:rPr>
          <w:b/>
        </w:rPr>
        <w:t>{specify reference group}</w:t>
      </w:r>
    </w:p>
    <w:p w14:paraId="4AB34BFF" w14:textId="77777777" w:rsidR="008B1C8B" w:rsidRDefault="008A1F52">
      <w:pPr>
        <w:numPr>
          <w:ilvl w:val="1"/>
          <w:numId w:val="8"/>
        </w:numPr>
        <w:rPr>
          <w:b/>
        </w:rPr>
      </w:pPr>
      <w:r>
        <w:rPr>
          <w:b/>
        </w:rPr>
        <w:t xml:space="preserve">as.numeric </w:t>
      </w:r>
      <w:r>
        <w:t>for numerical variables</w:t>
      </w:r>
    </w:p>
    <w:p w14:paraId="5B775D73" w14:textId="77777777" w:rsidR="008B1C8B" w:rsidRDefault="008A1F52">
      <w:pPr>
        <w:numPr>
          <w:ilvl w:val="0"/>
          <w:numId w:val="8"/>
        </w:numPr>
      </w:pPr>
      <w:r>
        <w:t xml:space="preserve">provided model estimates are in </w:t>
      </w:r>
      <w:r>
        <w:rPr>
          <w:b/>
        </w:rPr>
        <w:t>logit-units (NOT ODDS)</w:t>
      </w:r>
    </w:p>
    <w:p w14:paraId="0D48E4D7" w14:textId="77777777" w:rsidR="008B1C8B" w:rsidRDefault="008A1F52">
      <w:pPr>
        <w:numPr>
          <w:ilvl w:val="1"/>
          <w:numId w:val="8"/>
        </w:numPr>
      </w:pPr>
      <w:r>
        <w:lastRenderedPageBreak/>
        <w:t>if you are interested in ODDS, you need to exponentiate the logit-units</w:t>
      </w:r>
    </w:p>
    <w:p w14:paraId="407FBA56" w14:textId="77777777" w:rsidR="008B1C8B" w:rsidRDefault="008A1F52">
      <w:pPr>
        <w:numPr>
          <w:ilvl w:val="1"/>
          <w:numId w:val="8"/>
        </w:numPr>
      </w:pPr>
      <w:r>
        <w:t xml:space="preserve">if you want to translate ODDS into probabilities take a look into the Appendix </w:t>
      </w:r>
    </w:p>
    <w:p w14:paraId="7F1C51DA" w14:textId="77777777" w:rsidR="008B1C8B" w:rsidRDefault="008A1F52">
      <w:pPr>
        <w:numPr>
          <w:ilvl w:val="0"/>
          <w:numId w:val="8"/>
        </w:numPr>
      </w:pPr>
      <w:r>
        <w:t xml:space="preserve">Use may consider the </w:t>
      </w:r>
      <w:r>
        <w:rPr>
          <w:rFonts w:ascii="Courier New" w:eastAsia="Courier New" w:hAnsi="Courier New" w:cs="Courier New"/>
        </w:rPr>
        <w:t xml:space="preserve">wald.test() </w:t>
      </w:r>
      <w:r>
        <w:t>for assessing th</w:t>
      </w:r>
      <w:r>
        <w:t>e overall effect of one predictor variable</w:t>
      </w:r>
    </w:p>
    <w:p w14:paraId="7C7D0583" w14:textId="77777777" w:rsidR="008B1C8B" w:rsidRDefault="008A1F52">
      <w:pPr>
        <w:numPr>
          <w:ilvl w:val="0"/>
          <w:numId w:val="8"/>
        </w:numPr>
      </w:pPr>
      <w:r>
        <w:t>There are several ways to compare the model fit</w:t>
      </w:r>
    </w:p>
    <w:p w14:paraId="63497364" w14:textId="77777777" w:rsidR="008B1C8B" w:rsidRDefault="008A1F52">
      <w:pPr>
        <w:numPr>
          <w:ilvl w:val="1"/>
          <w:numId w:val="8"/>
        </w:numPr>
      </w:pPr>
      <w:r>
        <w:t xml:space="preserve">Metrics described (McFadden, AIC, etc.) should be interpreted with caution. There is no ‘one size fits all’ metric, rather, use different estimates to compare model </w:t>
      </w:r>
      <w:r>
        <w:t>among each other.</w:t>
      </w:r>
    </w:p>
    <w:p w14:paraId="13DCA676" w14:textId="77777777" w:rsidR="008B1C8B" w:rsidRDefault="008A1F52">
      <w:pPr>
        <w:numPr>
          <w:ilvl w:val="1"/>
          <w:numId w:val="8"/>
        </w:numPr>
      </w:pPr>
      <w:r>
        <w:t>Check for multicollinearity among predictor variables\</w:t>
      </w:r>
    </w:p>
    <w:p w14:paraId="12EABC42" w14:textId="77777777" w:rsidR="008B1C8B" w:rsidRDefault="008B1C8B"/>
    <w:p w14:paraId="5244FD14" w14:textId="77777777" w:rsidR="008B1C8B" w:rsidRDefault="008A1F52">
      <w:r>
        <w:t xml:space="preserve">Why are we even transforming </w:t>
      </w:r>
      <w:r>
        <w:rPr>
          <w:i/>
        </w:rPr>
        <w:t>‘probabilities’</w:t>
      </w:r>
      <w:r>
        <w:t xml:space="preserve"> from a logistic regression model to ODDS or log(ODDS)? Firstly, probabilities are </w:t>
      </w:r>
      <w:r>
        <w:rPr>
          <w:b/>
          <w:u w:val="single"/>
        </w:rPr>
        <w:t xml:space="preserve">always </w:t>
      </w:r>
      <w:r>
        <w:t xml:space="preserve">bound in the range of 0-1. Secondly, ODDS range </w:t>
      </w:r>
      <w:r>
        <w:t xml:space="preserve">from 0 to positive infinity. Thirdly, log(ODDS) range </w:t>
      </w:r>
      <w:r>
        <w:rPr>
          <w:b/>
        </w:rPr>
        <w:t>from negative to positive infinity</w:t>
      </w:r>
      <w:r>
        <w:t xml:space="preserve"> (and this makes the usage of log(ODDS); logit) quite cool. The transformation is an attempt to get around the restricted range problem with probabilities. </w:t>
      </w:r>
    </w:p>
    <w:p w14:paraId="3BADBE95" w14:textId="77777777" w:rsidR="008B1C8B" w:rsidRDefault="008B1C8B"/>
    <w:p w14:paraId="13753D90" w14:textId="77777777" w:rsidR="008B1C8B" w:rsidRDefault="008B1C8B"/>
    <w:p w14:paraId="13C77237" w14:textId="77777777" w:rsidR="008B1C8B" w:rsidRDefault="008B1C8B"/>
    <w:p w14:paraId="65756498" w14:textId="77777777" w:rsidR="008B1C8B" w:rsidRDefault="008B1C8B"/>
    <w:p w14:paraId="63A11965" w14:textId="77777777" w:rsidR="008B1C8B" w:rsidRDefault="008B1C8B"/>
    <w:p w14:paraId="36583366" w14:textId="77777777" w:rsidR="008B1C8B" w:rsidRDefault="008B1C8B"/>
    <w:p w14:paraId="70B8A59F" w14:textId="77777777" w:rsidR="008B1C8B" w:rsidRDefault="008B1C8B"/>
    <w:p w14:paraId="76B6AF3B" w14:textId="77777777" w:rsidR="008B1C8B" w:rsidRDefault="008A1F52">
      <w:pPr>
        <w:rPr>
          <w:b/>
        </w:rPr>
      </w:pPr>
      <w:r>
        <w:rPr>
          <w:b/>
        </w:rPr>
        <w:t>Appe</w:t>
      </w:r>
      <w:r>
        <w:rPr>
          <w:b/>
        </w:rPr>
        <w:t>ndix:</w:t>
      </w:r>
    </w:p>
    <w:p w14:paraId="596D6EFB" w14:textId="77777777" w:rsidR="008B1C8B" w:rsidRDefault="008A1F52">
      <w:pPr>
        <w:rPr>
          <w:b/>
        </w:rPr>
      </w:pPr>
      <m:oMath>
        <m:r>
          <m:rPr>
            <m:sty m:val="bi"/>
          </m:rPr>
          <w:rPr>
            <w:rFonts w:ascii="Cambria Math" w:hAnsi="Cambria Math"/>
          </w:rPr>
          <m:t>ODDS</m:t>
        </m:r>
        <m:r>
          <m:rPr>
            <m:sty m:val="bi"/>
          </m:rPr>
          <w:rPr>
            <w:rFonts w:ascii="Cambria Math" w:hAnsi="Cambria Math"/>
          </w:rPr>
          <m:t xml:space="preserve"> = </m:t>
        </m:r>
        <m:f>
          <m:fPr>
            <m:ctrlPr>
              <w:rPr>
                <w:rFonts w:ascii="Cambria Math" w:hAnsi="Cambria Math"/>
                <w:b/>
              </w:rPr>
            </m:ctrlPr>
          </m:fPr>
          <m:num>
            <m:r>
              <m:rPr>
                <m:sty m:val="bi"/>
              </m:rPr>
              <w:rPr>
                <w:rFonts w:ascii="Cambria Math" w:hAnsi="Cambria Math"/>
              </w:rPr>
              <m:t>p</m:t>
            </m:r>
          </m:num>
          <m:den>
            <m:r>
              <m:rPr>
                <m:sty m:val="bi"/>
              </m:rPr>
              <w:rPr>
                <w:rFonts w:ascii="Cambria Math" w:hAnsi="Cambria Math"/>
              </w:rPr>
              <m:t>(1-</m:t>
            </m:r>
            <m:r>
              <m:rPr>
                <m:sty m:val="bi"/>
              </m:rPr>
              <w:rPr>
                <w:rFonts w:ascii="Cambria Math" w:hAnsi="Cambria Math"/>
              </w:rPr>
              <m:t>p</m:t>
            </m:r>
            <m:r>
              <m:rPr>
                <m:sty m:val="bi"/>
              </m:rPr>
              <w:rPr>
                <w:rFonts w:ascii="Cambria Math" w:hAnsi="Cambria Math"/>
              </w:rPr>
              <m:t>)</m:t>
            </m:r>
          </m:den>
        </m:f>
      </m:oMath>
      <w:r>
        <w:rPr>
          <w:b/>
        </w:rPr>
        <w:t>,</w:t>
      </w:r>
    </w:p>
    <w:p w14:paraId="56477976" w14:textId="77777777" w:rsidR="008B1C8B" w:rsidRDefault="008B1C8B">
      <w:pPr>
        <w:rPr>
          <w:b/>
        </w:rPr>
      </w:pPr>
    </w:p>
    <w:p w14:paraId="0F0B7B63" w14:textId="77777777" w:rsidR="008B1C8B" w:rsidRDefault="008A1F52">
      <m:oMath>
        <m:r>
          <w:rPr>
            <w:rFonts w:ascii="Cambria Math" w:hAnsi="Cambria Math"/>
          </w:rPr>
          <m:t>logit</m:t>
        </m:r>
        <m:r>
          <w:rPr>
            <w:rFonts w:ascii="Cambria Math" w:hAnsi="Cambria Math"/>
          </w:rPr>
          <m:t>(</m:t>
        </m:r>
        <m:r>
          <w:rPr>
            <w:rFonts w:ascii="Cambria Math" w:hAnsi="Cambria Math"/>
          </w:rPr>
          <m:t>p</m:t>
        </m:r>
        <m:r>
          <w:rPr>
            <w:rFonts w:ascii="Cambria Math" w:hAnsi="Cambria Math"/>
          </w:rPr>
          <m:t xml:space="preserve">) = </m:t>
        </m:r>
        <m:r>
          <w:rPr>
            <w:rFonts w:ascii="Cambria Math" w:hAnsi="Cambria Math"/>
          </w:rPr>
          <m:t>log</m:t>
        </m:r>
        <m:r>
          <w:rPr>
            <w:rFonts w:ascii="Cambria Math" w:hAnsi="Cambria Math"/>
          </w:rPr>
          <m:t>(</m:t>
        </m:r>
        <m:f>
          <m:fPr>
            <m:ctrlPr>
              <w:rPr>
                <w:rFonts w:ascii="Cambria Math" w:hAnsi="Cambria Math"/>
              </w:rPr>
            </m:ctrlPr>
          </m:fPr>
          <m:num>
            <m:r>
              <w:rPr>
                <w:rFonts w:ascii="Cambria Math" w:hAnsi="Cambria Math"/>
              </w:rPr>
              <m:t>p</m:t>
            </m:r>
          </m:num>
          <m:den>
            <m:r>
              <w:rPr>
                <w:rFonts w:ascii="Cambria Math" w:hAnsi="Cambria Math"/>
              </w:rPr>
              <m:t>1-</m:t>
            </m:r>
            <m:r>
              <w:rPr>
                <w:rFonts w:ascii="Cambria Math" w:hAnsi="Cambria Math"/>
              </w:rPr>
              <m:t>p</m:t>
            </m:r>
          </m:den>
        </m:f>
        <m:r>
          <w:rPr>
            <w:rFonts w:ascii="Cambria Math" w:hAnsi="Cambria Math"/>
          </w:rPr>
          <m:t>)</m:t>
        </m:r>
      </m:oMath>
      <w:r>
        <w:t>,</w:t>
      </w:r>
    </w:p>
    <w:p w14:paraId="46893E6F" w14:textId="77777777" w:rsidR="008B1C8B" w:rsidRDefault="008B1C8B"/>
    <w:p w14:paraId="1A2D0E61" w14:textId="77777777" w:rsidR="008B1C8B" w:rsidRDefault="008A1F52">
      <m:oMathPara>
        <m:oMath>
          <m:r>
            <w:rPr>
              <w:rFonts w:ascii="Cambria Math" w:hAnsi="Cambria Math"/>
            </w:rPr>
            <m:t>p</m:t>
          </m:r>
          <m:r>
            <w:rPr>
              <w:rFonts w:ascii="Cambria Math" w:hAnsi="Cambria Math"/>
            </w:rPr>
            <m:t xml:space="preserve"> =</m:t>
          </m:r>
          <m:f>
            <m:fPr>
              <m:ctrlPr>
                <w:rPr>
                  <w:rFonts w:ascii="Cambria Math" w:hAnsi="Cambria Math"/>
                </w:rPr>
              </m:ctrlPr>
            </m:fPr>
            <m:num>
              <m:r>
                <w:rPr>
                  <w:rFonts w:ascii="Cambria Math" w:hAnsi="Cambria Math"/>
                </w:rPr>
                <m:t>exp</m:t>
              </m:r>
              <m:r>
                <w:rPr>
                  <w:rFonts w:ascii="Cambria Math" w:hAnsi="Cambria Math"/>
                </w:rPr>
                <m:t>(</m:t>
              </m:r>
              <m:r>
                <w:rPr>
                  <w:rFonts w:ascii="Cambria Math" w:hAnsi="Cambria Math"/>
                </w:rPr>
                <m:t>logit</m:t>
              </m:r>
              <m:r>
                <w:rPr>
                  <w:rFonts w:ascii="Cambria Math" w:hAnsi="Cambria Math"/>
                </w:rPr>
                <m:t>)</m:t>
              </m:r>
            </m:num>
            <m:den>
              <m:r>
                <w:rPr>
                  <w:rFonts w:ascii="Cambria Math" w:hAnsi="Cambria Math"/>
                </w:rPr>
                <m:t xml:space="preserve">(1 + </m:t>
              </m:r>
              <m:r>
                <w:rPr>
                  <w:rFonts w:ascii="Cambria Math" w:hAnsi="Cambria Math"/>
                </w:rPr>
                <m:t>exp</m:t>
              </m:r>
              <m:r>
                <w:rPr>
                  <w:rFonts w:ascii="Cambria Math" w:hAnsi="Cambria Math"/>
                </w:rPr>
                <m:t>(</m:t>
              </m:r>
              <m:r>
                <w:rPr>
                  <w:rFonts w:ascii="Cambria Math" w:hAnsi="Cambria Math"/>
                </w:rPr>
                <m:t>logit</m:t>
              </m:r>
              <m:r>
                <w:rPr>
                  <w:rFonts w:ascii="Cambria Math" w:hAnsi="Cambria Math"/>
                </w:rPr>
                <m:t>))</m:t>
              </m:r>
            </m:den>
          </m:f>
          <m:r>
            <w:rPr>
              <w:rFonts w:ascii="Cambria Math" w:hAnsi="Cambria Math"/>
            </w:rPr>
            <m:t xml:space="preserve"> </m:t>
          </m:r>
        </m:oMath>
      </m:oMathPara>
    </w:p>
    <w:p w14:paraId="4D8D61D9" w14:textId="77777777" w:rsidR="008B1C8B" w:rsidRDefault="008B1C8B">
      <w:pPr>
        <w:rPr>
          <w:color w:val="333333"/>
          <w:sz w:val="26"/>
          <w:szCs w:val="26"/>
          <w:highlight w:val="white"/>
        </w:rPr>
      </w:pPr>
    </w:p>
    <w:sectPr w:rsidR="008B1C8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8797B"/>
    <w:multiLevelType w:val="multilevel"/>
    <w:tmpl w:val="863421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8835E14"/>
    <w:multiLevelType w:val="multilevel"/>
    <w:tmpl w:val="02C6AF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C5E5EB0"/>
    <w:multiLevelType w:val="multilevel"/>
    <w:tmpl w:val="7C9A9B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F2438E8"/>
    <w:multiLevelType w:val="multilevel"/>
    <w:tmpl w:val="C214F3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D3D5FF6"/>
    <w:multiLevelType w:val="multilevel"/>
    <w:tmpl w:val="63263A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A3B59C5"/>
    <w:multiLevelType w:val="multilevel"/>
    <w:tmpl w:val="3878A27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15:restartNumberingAfterBreak="0">
    <w:nsid w:val="6B766C4D"/>
    <w:multiLevelType w:val="multilevel"/>
    <w:tmpl w:val="0C8CBE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3387329"/>
    <w:multiLevelType w:val="multilevel"/>
    <w:tmpl w:val="71D678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2"/>
  </w:num>
  <w:num w:numId="3">
    <w:abstractNumId w:val="5"/>
  </w:num>
  <w:num w:numId="4">
    <w:abstractNumId w:val="1"/>
  </w:num>
  <w:num w:numId="5">
    <w:abstractNumId w:val="0"/>
  </w:num>
  <w:num w:numId="6">
    <w:abstractNumId w:val="7"/>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1C8B"/>
    <w:rsid w:val="00033C8B"/>
    <w:rsid w:val="008A1F52"/>
    <w:rsid w:val="008B1C8B"/>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654DD"/>
  <w15:docId w15:val="{DFBBADCF-4CDF-4E41-A894-9101E35BD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10.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image" Target="media/image1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2.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2113</Words>
  <Characters>12048</Characters>
  <Application>Microsoft Office Word</Application>
  <DocSecurity>0</DocSecurity>
  <Lines>100</Lines>
  <Paragraphs>28</Paragraphs>
  <ScaleCrop>false</ScaleCrop>
  <Company/>
  <LinksUpToDate>false</LinksUpToDate>
  <CharactersWithSpaces>14133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S10687</cp:lastModifiedBy>
  <cp:revision>2</cp:revision>
  <dcterms:created xsi:type="dcterms:W3CDTF">2021-12-06T10:43:00Z</dcterms:created>
  <dcterms:modified xsi:type="dcterms:W3CDTF">2021-12-06T10:43:00Z</dcterms:modified>
</cp:coreProperties>
</file>