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94E8" w14:textId="776F4E18" w:rsidR="00262D11" w:rsidRPr="00F828CC" w:rsidRDefault="00262D11" w:rsidP="00F828CC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lang w:val="en-US"/>
        </w:rPr>
      </w:pPr>
      <w:r w:rsidRPr="00F828CC">
        <w:rPr>
          <w:rFonts w:ascii="Times New Roman" w:hAnsi="Times New Roman" w:cs="Times New Roman"/>
          <w:lang w:val="en-US"/>
        </w:rPr>
        <w:t xml:space="preserve">Co-expression of MOX-genes with </w:t>
      </w:r>
      <w:proofErr w:type="spellStart"/>
      <w:r w:rsidRPr="00F828CC">
        <w:rPr>
          <w:rFonts w:ascii="Times New Roman" w:hAnsi="Times New Roman" w:cs="Times New Roman"/>
          <w:i/>
          <w:iCs/>
          <w:lang w:val="en-US"/>
        </w:rPr>
        <w:t>NvTwist</w:t>
      </w:r>
      <w:proofErr w:type="spellEnd"/>
    </w:p>
    <w:p w14:paraId="00E13529" w14:textId="56B004FB" w:rsidR="00262D11" w:rsidRPr="00F828CC" w:rsidRDefault="00262D11" w:rsidP="00F828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828CC">
        <w:rPr>
          <w:rFonts w:ascii="Times New Roman" w:hAnsi="Times New Roman" w:cs="Times New Roman"/>
          <w:lang w:val="en-US"/>
        </w:rPr>
        <w:t>MOX-genes (</w:t>
      </w:r>
      <w:proofErr w:type="spellStart"/>
      <w:r w:rsidRPr="00F828CC">
        <w:rPr>
          <w:rFonts w:ascii="Times New Roman" w:hAnsi="Times New Roman" w:cs="Times New Roman"/>
          <w:i/>
          <w:iCs/>
          <w:lang w:val="en-US"/>
        </w:rPr>
        <w:t>NvMoxA</w:t>
      </w:r>
      <w:proofErr w:type="spellEnd"/>
      <w:r w:rsidRPr="00F828CC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F828CC">
        <w:rPr>
          <w:rFonts w:ascii="Times New Roman" w:hAnsi="Times New Roman" w:cs="Times New Roman"/>
          <w:i/>
          <w:iCs/>
          <w:lang w:val="en-US"/>
        </w:rPr>
        <w:t>NvMoxB</w:t>
      </w:r>
      <w:proofErr w:type="spellEnd"/>
      <w:r w:rsidRPr="00F828CC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F828CC">
        <w:rPr>
          <w:rFonts w:ascii="Times New Roman" w:hAnsi="Times New Roman" w:cs="Times New Roman"/>
          <w:i/>
          <w:iCs/>
          <w:lang w:val="en-US"/>
        </w:rPr>
        <w:t>NvMoxC</w:t>
      </w:r>
      <w:proofErr w:type="spellEnd"/>
      <w:r w:rsidRPr="00F828C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F828CC">
        <w:rPr>
          <w:rFonts w:ascii="Times New Roman" w:hAnsi="Times New Roman" w:cs="Times New Roman"/>
          <w:i/>
          <w:iCs/>
          <w:lang w:val="en-US"/>
        </w:rPr>
        <w:t>NvMoxD</w:t>
      </w:r>
      <w:proofErr w:type="spellEnd"/>
      <w:r w:rsidRPr="00F828CC">
        <w:rPr>
          <w:rFonts w:ascii="Times New Roman" w:hAnsi="Times New Roman" w:cs="Times New Roman"/>
          <w:lang w:val="en-US"/>
        </w:rPr>
        <w:t xml:space="preserve">) are members of the homeobox protein family. Homeobox proteins direct the formation of body structures and hence fulfil import functions during early development. </w:t>
      </w:r>
    </w:p>
    <w:p w14:paraId="39BC04B9" w14:textId="4CD501AA" w:rsidR="00262D11" w:rsidRPr="00F828CC" w:rsidRDefault="00262D11" w:rsidP="00F828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828CC">
        <w:rPr>
          <w:rFonts w:ascii="Times New Roman" w:hAnsi="Times New Roman" w:cs="Times New Roman"/>
          <w:lang w:val="en-US"/>
        </w:rPr>
        <w:t xml:space="preserve">I looked into the co-expression of </w:t>
      </w:r>
      <w:proofErr w:type="spellStart"/>
      <w:r w:rsidRPr="00F828CC">
        <w:rPr>
          <w:rFonts w:ascii="Times New Roman" w:hAnsi="Times New Roman" w:cs="Times New Roman"/>
          <w:lang w:val="en-US"/>
        </w:rPr>
        <w:t>NvMox_genes</w:t>
      </w:r>
      <w:proofErr w:type="spellEnd"/>
      <w:r w:rsidRPr="00F828CC">
        <w:rPr>
          <w:rFonts w:ascii="Times New Roman" w:hAnsi="Times New Roman" w:cs="Times New Roman"/>
          <w:lang w:val="en-US"/>
        </w:rPr>
        <w:t xml:space="preserve"> along with </w:t>
      </w:r>
      <w:proofErr w:type="spellStart"/>
      <w:r w:rsidRPr="00F828CC">
        <w:rPr>
          <w:rFonts w:ascii="Times New Roman" w:hAnsi="Times New Roman" w:cs="Times New Roman"/>
          <w:lang w:val="en-US"/>
        </w:rPr>
        <w:t>NvTwist</w:t>
      </w:r>
      <w:proofErr w:type="spellEnd"/>
      <w:r w:rsidRPr="00F828CC">
        <w:rPr>
          <w:rFonts w:ascii="Times New Roman" w:hAnsi="Times New Roman" w:cs="Times New Roman"/>
          <w:lang w:val="en-US"/>
        </w:rPr>
        <w:t xml:space="preserve"> among different animals.</w:t>
      </w:r>
    </w:p>
    <w:p w14:paraId="22ADB399" w14:textId="77777777" w:rsidR="00262D11" w:rsidRDefault="00262D11" w:rsidP="00262D11">
      <w:pPr>
        <w:rPr>
          <w:lang w:val="en-US"/>
        </w:rPr>
      </w:pPr>
    </w:p>
    <w:p w14:paraId="12F3913E" w14:textId="5190A37B" w:rsidR="00262D11" w:rsidRDefault="002D3CFE" w:rsidP="00262D11">
      <w:pPr>
        <w:keepNext/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C74CF" wp14:editId="7A05D525">
                <wp:simplePos x="0" y="0"/>
                <wp:positionH relativeFrom="column">
                  <wp:posOffset>4323715</wp:posOffset>
                </wp:positionH>
                <wp:positionV relativeFrom="paragraph">
                  <wp:posOffset>1861715</wp:posOffset>
                </wp:positionV>
                <wp:extent cx="992659" cy="42424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659" cy="424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F74B8" w14:textId="79AEECD6" w:rsidR="002D3CFE" w:rsidRPr="002D3CFE" w:rsidRDefault="002D3CF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</w:t>
                            </w:r>
                            <w:r w:rsidRPr="002D3C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og2FC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2D3C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2D3C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2D3C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0.27</w:t>
                            </w:r>
                            <w:r w:rsidRPr="002D3C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D3C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p.adj</w:t>
                            </w:r>
                            <w:proofErr w:type="spellEnd"/>
                            <w:r w:rsidRPr="002D3C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DC74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0.45pt;margin-top:146.6pt;width:78.15pt;height:3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" fillcolor="white [3201]" stroked="f" strokeweight=".5pt">
                <v:textbox>
                  <w:txbxContent>
                    <w:p w14:paraId="4ABF74B8" w14:textId="79AEECD6" w:rsidR="002D3CFE" w:rsidRPr="002D3CFE" w:rsidRDefault="002D3CF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</w:t>
                      </w:r>
                      <w:r w:rsidRPr="002D3CFE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og2FC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2D3CFE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2D3CFE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2D3CFE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  <w:t>0.27</w:t>
                      </w:r>
                      <w:r w:rsidRPr="002D3CFE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; </w:t>
                      </w:r>
                      <w:proofErr w:type="spellStart"/>
                      <w:r w:rsidRPr="002D3CFE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p.adj</w:t>
                      </w:r>
                      <w:proofErr w:type="spellEnd"/>
                      <w:r w:rsidRPr="002D3CFE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16695" wp14:editId="4E2634CD">
                <wp:simplePos x="0" y="0"/>
                <wp:positionH relativeFrom="column">
                  <wp:posOffset>4399004</wp:posOffset>
                </wp:positionH>
                <wp:positionV relativeFrom="paragraph">
                  <wp:posOffset>1843766</wp:posOffset>
                </wp:positionV>
                <wp:extent cx="811427" cy="0"/>
                <wp:effectExtent l="0" t="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66A4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pt,145.2pt" to="410.3pt,14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262D11" w:rsidRPr="00262D11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2405C14" wp14:editId="4FCB7F07">
            <wp:extent cx="5727700" cy="288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4B61" w14:textId="5E5046F8" w:rsidR="00262D11" w:rsidRDefault="00262D11" w:rsidP="00262D11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262D1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: log-normalized counts (y-axis) are plotted for </w:t>
      </w:r>
      <w:proofErr w:type="spellStart"/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NvTwist</w:t>
      </w:r>
      <w:proofErr w:type="spellEnd"/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and MOX-genes respectively. Note that each black dots represents one log-normalized expression quantity observed in either animal (panel header). MOX-genes expression data on the x-axis include all four different proteins (</w:t>
      </w:r>
      <w:proofErr w:type="spellStart"/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NvMoxA</w:t>
      </w:r>
      <w:proofErr w:type="spellEnd"/>
      <w:r w:rsidRPr="00262D1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– D). </w:t>
      </w:r>
    </w:p>
    <w:p w14:paraId="3726CF70" w14:textId="0717F6B6" w:rsidR="008C303C" w:rsidRDefault="00262D11" w:rsidP="008C303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C303C">
        <w:rPr>
          <w:rFonts w:ascii="Times New Roman" w:hAnsi="Times New Roman" w:cs="Times New Roman"/>
          <w:color w:val="000000" w:themeColor="text1"/>
          <w:lang w:val="en-US"/>
        </w:rPr>
        <w:t xml:space="preserve">Although log-normalized counts for </w:t>
      </w:r>
      <w:proofErr w:type="spellStart"/>
      <w:r w:rsidRPr="00F828CC">
        <w:rPr>
          <w:rFonts w:ascii="Times New Roman" w:hAnsi="Times New Roman" w:cs="Times New Roman"/>
          <w:i/>
          <w:iCs/>
          <w:color w:val="000000" w:themeColor="text1"/>
          <w:lang w:val="en-US"/>
        </w:rPr>
        <w:t>NvTwist</w:t>
      </w:r>
      <w:proofErr w:type="spellEnd"/>
      <w:r w:rsidRPr="008C303C">
        <w:rPr>
          <w:rFonts w:ascii="Times New Roman" w:hAnsi="Times New Roman" w:cs="Times New Roman"/>
          <w:color w:val="000000" w:themeColor="text1"/>
          <w:lang w:val="en-US"/>
        </w:rPr>
        <w:t xml:space="preserve"> are persistently higher than those observed for </w:t>
      </w:r>
      <w:proofErr w:type="spellStart"/>
      <w:r w:rsidRPr="008C303C">
        <w:rPr>
          <w:rFonts w:ascii="Times New Roman" w:hAnsi="Times New Roman" w:cs="Times New Roman"/>
          <w:color w:val="000000" w:themeColor="text1"/>
          <w:lang w:val="en-US"/>
        </w:rPr>
        <w:t>Mox</w:t>
      </w:r>
      <w:proofErr w:type="spellEnd"/>
      <w:r w:rsidRPr="008C303C">
        <w:rPr>
          <w:rFonts w:ascii="Times New Roman" w:hAnsi="Times New Roman" w:cs="Times New Roman"/>
          <w:color w:val="000000" w:themeColor="text1"/>
          <w:lang w:val="en-US"/>
        </w:rPr>
        <w:t>-genes, there is no significant difference detected when conducting DGE analysis</w:t>
      </w:r>
      <w:r w:rsidR="002D3CFE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8C303C" w:rsidRPr="008C303C">
        <w:rPr>
          <w:rFonts w:ascii="Times New Roman" w:hAnsi="Times New Roman" w:cs="Times New Roman"/>
          <w:color w:val="000000" w:themeColor="text1"/>
          <w:lang w:val="en-US"/>
        </w:rPr>
        <w:t xml:space="preserve">This result suggests that neither </w:t>
      </w:r>
      <w:proofErr w:type="spellStart"/>
      <w:r w:rsidR="008C303C" w:rsidRPr="008C303C">
        <w:rPr>
          <w:rFonts w:ascii="Times New Roman" w:hAnsi="Times New Roman" w:cs="Times New Roman"/>
          <w:color w:val="000000" w:themeColor="text1"/>
          <w:lang w:val="en-US"/>
        </w:rPr>
        <w:t>Mox</w:t>
      </w:r>
      <w:proofErr w:type="spellEnd"/>
      <w:r w:rsidR="008C303C" w:rsidRPr="008C303C">
        <w:rPr>
          <w:rFonts w:ascii="Times New Roman" w:hAnsi="Times New Roman" w:cs="Times New Roman"/>
          <w:color w:val="000000" w:themeColor="text1"/>
          <w:lang w:val="en-US"/>
        </w:rPr>
        <w:t xml:space="preserve">- nor Twist are up-and downregulated and hence a co-expression pattern can be assumed. </w:t>
      </w:r>
    </w:p>
    <w:p w14:paraId="5CD0776D" w14:textId="2457EEDB" w:rsidR="002D3CFE" w:rsidRPr="002D3CFE" w:rsidRDefault="002D3CFE" w:rsidP="00F828C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Co-expression pattern of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Paraxis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, and tbx4/5</w:t>
      </w:r>
    </w:p>
    <w:p w14:paraId="4486DEBB" w14:textId="019AA103" w:rsidR="003B5D8C" w:rsidRDefault="002D3CFE" w:rsidP="00F828CC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The transcription factor </w:t>
      </w:r>
      <w:proofErr w:type="spellStart"/>
      <w:r w:rsidRPr="002D3CFE">
        <w:rPr>
          <w:rFonts w:ascii="Times New Roman" w:eastAsia="Times New Roman" w:hAnsi="Times New Roman" w:cs="Times New Roman"/>
          <w:i/>
          <w:iCs/>
          <w:lang w:val="en-US" w:eastAsia="en-GB"/>
        </w:rPr>
        <w:t>NvParaxis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Pr="002D3CFE">
        <w:rPr>
          <w:rFonts w:ascii="Times New Roman" w:hAnsi="Times New Roman" w:cs="Times New Roman"/>
          <w:color w:val="000000" w:themeColor="text1"/>
          <w:lang w:val="en-US"/>
        </w:rPr>
        <w:t>NV2.10865</w:t>
      </w:r>
      <w:r>
        <w:rPr>
          <w:rFonts w:ascii="Times New Roman" w:eastAsia="Times New Roman" w:hAnsi="Times New Roman" w:cs="Times New Roman"/>
          <w:lang w:val="en-US" w:eastAsia="en-GB"/>
        </w:rPr>
        <w:t xml:space="preserve">) </w:t>
      </w:r>
      <w:r w:rsidR="003B5D8C">
        <w:rPr>
          <w:rFonts w:ascii="Times New Roman" w:eastAsia="Times New Roman" w:hAnsi="Times New Roman" w:cs="Times New Roman"/>
          <w:lang w:val="en-US" w:eastAsia="en-GB"/>
        </w:rPr>
        <w:t xml:space="preserve">is not significantly up- or downregulated between </w:t>
      </w:r>
      <w:proofErr w:type="spellStart"/>
      <w:r w:rsidR="003B5D8C">
        <w:rPr>
          <w:rFonts w:ascii="Times New Roman" w:eastAsia="Times New Roman" w:hAnsi="Times New Roman" w:cs="Times New Roman"/>
          <w:lang w:val="en-US" w:eastAsia="en-GB"/>
        </w:rPr>
        <w:t>TwiHead</w:t>
      </w:r>
      <w:proofErr w:type="spellEnd"/>
      <w:r w:rsidR="003B5D8C">
        <w:rPr>
          <w:rFonts w:ascii="Times New Roman" w:eastAsia="Times New Roman" w:hAnsi="Times New Roman" w:cs="Times New Roman"/>
          <w:lang w:val="en-US" w:eastAsia="en-GB"/>
        </w:rPr>
        <w:t xml:space="preserve"> and </w:t>
      </w:r>
      <w:proofErr w:type="spellStart"/>
      <w:r w:rsidR="003B5D8C">
        <w:rPr>
          <w:rFonts w:ascii="Times New Roman" w:eastAsia="Times New Roman" w:hAnsi="Times New Roman" w:cs="Times New Roman"/>
          <w:lang w:val="en-US" w:eastAsia="en-GB"/>
        </w:rPr>
        <w:t>WTHead</w:t>
      </w:r>
      <w:proofErr w:type="spellEnd"/>
      <w:r w:rsidR="003B5D8C">
        <w:rPr>
          <w:rFonts w:ascii="Times New Roman" w:eastAsia="Times New Roman" w:hAnsi="Times New Roman" w:cs="Times New Roman"/>
          <w:lang w:val="en-US" w:eastAsia="en-GB"/>
        </w:rPr>
        <w:t xml:space="preserve"> (log2FC = </w:t>
      </w:r>
      <w:r w:rsidR="003B5D8C" w:rsidRPr="003B5D8C">
        <w:rPr>
          <w:rFonts w:ascii="Times New Roman" w:eastAsia="Times New Roman" w:hAnsi="Times New Roman" w:cs="Times New Roman"/>
          <w:b/>
          <w:bCs/>
          <w:lang w:val="en-US" w:eastAsia="en-GB"/>
        </w:rPr>
        <w:t>-0.37</w:t>
      </w:r>
      <w:r w:rsidR="003B5D8C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3B5D8C">
        <w:rPr>
          <w:rFonts w:ascii="Times New Roman" w:eastAsia="Times New Roman" w:hAnsi="Times New Roman" w:cs="Times New Roman"/>
          <w:lang w:val="en-US" w:eastAsia="en-GB"/>
        </w:rPr>
        <w:t>p.adj</w:t>
      </w:r>
      <w:proofErr w:type="spellEnd"/>
      <w:r w:rsidR="003B5D8C">
        <w:rPr>
          <w:rFonts w:ascii="Times New Roman" w:eastAsia="Times New Roman" w:hAnsi="Times New Roman" w:cs="Times New Roman"/>
          <w:lang w:val="en-US" w:eastAsia="en-GB"/>
        </w:rPr>
        <w:t xml:space="preserve"> = 1). The overall </w:t>
      </w:r>
      <w:proofErr w:type="spellStart"/>
      <w:r w:rsidR="003B5D8C">
        <w:rPr>
          <w:rFonts w:ascii="Times New Roman" w:eastAsia="Times New Roman" w:hAnsi="Times New Roman" w:cs="Times New Roman"/>
          <w:lang w:val="en-US" w:eastAsia="en-GB"/>
        </w:rPr>
        <w:t>baseMean</w:t>
      </w:r>
      <w:proofErr w:type="spellEnd"/>
      <w:r w:rsidR="003B5D8C">
        <w:rPr>
          <w:rFonts w:ascii="Times New Roman" w:eastAsia="Times New Roman" w:hAnsi="Times New Roman" w:cs="Times New Roman"/>
          <w:lang w:val="en-US" w:eastAsia="en-GB"/>
        </w:rPr>
        <w:t xml:space="preserve"> (i.e., average expression quantity among all libraries) is low for </w:t>
      </w:r>
      <w:proofErr w:type="spellStart"/>
      <w:r w:rsidR="003B5D8C" w:rsidRPr="003B5D8C">
        <w:rPr>
          <w:rFonts w:ascii="Times New Roman" w:eastAsia="Times New Roman" w:hAnsi="Times New Roman" w:cs="Times New Roman"/>
          <w:i/>
          <w:iCs/>
          <w:lang w:val="en-US" w:eastAsia="en-GB"/>
        </w:rPr>
        <w:t>NvParaxin</w:t>
      </w:r>
      <w:proofErr w:type="spellEnd"/>
      <w:r w:rsidR="003B5D8C">
        <w:rPr>
          <w:rFonts w:ascii="Times New Roman" w:eastAsia="Times New Roman" w:hAnsi="Times New Roman" w:cs="Times New Roman"/>
          <w:lang w:val="en-US" w:eastAsia="en-GB"/>
        </w:rPr>
        <w:t xml:space="preserve"> (~118). Similar observation for </w:t>
      </w:r>
      <w:r w:rsidR="0037016F">
        <w:rPr>
          <w:rFonts w:ascii="Times New Roman" w:eastAsia="Times New Roman" w:hAnsi="Times New Roman" w:cs="Times New Roman"/>
          <w:lang w:val="en-US" w:eastAsia="en-GB"/>
        </w:rPr>
        <w:t xml:space="preserve">T-box transcription factor </w:t>
      </w:r>
      <w:r w:rsidR="0037016F" w:rsidRPr="0037016F">
        <w:rPr>
          <w:rFonts w:ascii="Times New Roman" w:eastAsia="Times New Roman" w:hAnsi="Times New Roman" w:cs="Times New Roman"/>
          <w:i/>
          <w:iCs/>
          <w:lang w:val="en-US" w:eastAsia="en-GB"/>
        </w:rPr>
        <w:t>TBX5-A</w:t>
      </w:r>
      <w:r w:rsidR="0037016F">
        <w:rPr>
          <w:rFonts w:ascii="Times New Roman" w:eastAsia="Times New Roman" w:hAnsi="Times New Roman" w:cs="Times New Roman"/>
          <w:lang w:val="en-US" w:eastAsia="en-GB"/>
        </w:rPr>
        <w:t xml:space="preserve">. Note however, that TBX5-A expression quantities are abundantly enriched in early developmental stage (4 </w:t>
      </w:r>
      <w:proofErr w:type="spellStart"/>
      <w:r w:rsidR="0037016F">
        <w:rPr>
          <w:rFonts w:ascii="Times New Roman" w:eastAsia="Times New Roman" w:hAnsi="Times New Roman" w:cs="Times New Roman"/>
          <w:lang w:val="en-US" w:eastAsia="en-GB"/>
        </w:rPr>
        <w:t>dpf</w:t>
      </w:r>
      <w:proofErr w:type="spellEnd"/>
      <w:r w:rsidR="0037016F">
        <w:rPr>
          <w:rFonts w:ascii="Times New Roman" w:eastAsia="Times New Roman" w:hAnsi="Times New Roman" w:cs="Times New Roman"/>
          <w:lang w:val="en-US" w:eastAsia="en-GB"/>
        </w:rPr>
        <w:t xml:space="preserve">.) in both mutant and </w:t>
      </w:r>
      <w:proofErr w:type="spellStart"/>
      <w:r w:rsidR="0037016F">
        <w:rPr>
          <w:rFonts w:ascii="Times New Roman" w:eastAsia="Times New Roman" w:hAnsi="Times New Roman" w:cs="Times New Roman"/>
          <w:lang w:val="en-US" w:eastAsia="en-GB"/>
        </w:rPr>
        <w:t>wt</w:t>
      </w:r>
      <w:proofErr w:type="spellEnd"/>
      <w:r w:rsidR="0037016F">
        <w:rPr>
          <w:rFonts w:ascii="Times New Roman" w:eastAsia="Times New Roman" w:hAnsi="Times New Roman" w:cs="Times New Roman"/>
          <w:lang w:val="en-US" w:eastAsia="en-GB"/>
        </w:rPr>
        <w:t>-animals.</w:t>
      </w:r>
    </w:p>
    <w:p w14:paraId="0679795B" w14:textId="6AF43D26" w:rsidR="002D3CFE" w:rsidRDefault="0037016F" w:rsidP="00F828CC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‘Bubble-forming’ animals show depletion (log2FC = -1.60) in </w:t>
      </w:r>
      <w:proofErr w:type="spellStart"/>
      <w:r w:rsidRPr="0037016F">
        <w:rPr>
          <w:rFonts w:ascii="Times New Roman" w:eastAsia="Times New Roman" w:hAnsi="Times New Roman" w:cs="Times New Roman"/>
          <w:i/>
          <w:iCs/>
          <w:lang w:val="en-US" w:eastAsia="en-GB"/>
        </w:rPr>
        <w:t>NvParaxin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when comparing to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wt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animals, however, don’t reach statistical significance as specified at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p.adj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&lt; 0.01. </w:t>
      </w:r>
      <w:r>
        <w:rPr>
          <w:rFonts w:ascii="Times New Roman" w:eastAsia="Times New Roman" w:hAnsi="Times New Roman" w:cs="Times New Roman"/>
          <w:lang w:val="en-US" w:eastAsia="en-GB"/>
        </w:rPr>
        <w:lastRenderedPageBreak/>
        <w:t>Interestingly, tbx4 is highly enriched in ‘bubble’ (log2FC = 3.31) although, again, not reaching statistical significance (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p.adj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= 0.06). </w:t>
      </w:r>
    </w:p>
    <w:p w14:paraId="58B06189" w14:textId="47F1174E" w:rsidR="0037016F" w:rsidRPr="0037016F" w:rsidRDefault="0037016F" w:rsidP="00F828CC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When comparing ‘bubble’ with its genotypic analogue without the phenotype, we see that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NvParaxin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is again depleted in ‘bubble-forming’ animals (log2FC = -1.23), however, again, not reaching statistical significance (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p.adj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= 1). Similar for tbx4</w:t>
      </w:r>
      <w:r w:rsidR="00F828CC">
        <w:rPr>
          <w:rFonts w:ascii="Times New Roman" w:eastAsia="Times New Roman" w:hAnsi="Times New Roman" w:cs="Times New Roman"/>
          <w:lang w:val="en-US" w:eastAsia="en-GB"/>
        </w:rPr>
        <w:t xml:space="preserve"> (upregulation in Bubble; not significant). </w:t>
      </w:r>
    </w:p>
    <w:sectPr w:rsidR="0037016F" w:rsidRPr="0037016F" w:rsidSect="00612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21BE0"/>
    <w:multiLevelType w:val="hybridMultilevel"/>
    <w:tmpl w:val="FA042958"/>
    <w:lvl w:ilvl="0" w:tplc="0CD493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B2D83"/>
    <w:multiLevelType w:val="hybridMultilevel"/>
    <w:tmpl w:val="3F168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1"/>
    <w:rsid w:val="00262D11"/>
    <w:rsid w:val="002D3CFE"/>
    <w:rsid w:val="002E394C"/>
    <w:rsid w:val="0037016F"/>
    <w:rsid w:val="003B5D8C"/>
    <w:rsid w:val="00612D70"/>
    <w:rsid w:val="008C303C"/>
    <w:rsid w:val="00971054"/>
    <w:rsid w:val="00DB4F5E"/>
    <w:rsid w:val="00F8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823E7"/>
  <w15:chartTrackingRefBased/>
  <w15:docId w15:val="{71C1C55F-7F3A-084C-945B-84120664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ver"/>
    <w:basedOn w:val="Normal"/>
    <w:next w:val="Normal"/>
    <w:link w:val="Heading1Char"/>
    <w:uiPriority w:val="9"/>
    <w:qFormat/>
    <w:rsid w:val="00971054"/>
    <w:pPr>
      <w:keepNext/>
      <w:keepLines/>
      <w:spacing w:before="240" w:after="12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 Char"/>
    <w:basedOn w:val="DefaultParagraphFont"/>
    <w:link w:val="Heading1"/>
    <w:uiPriority w:val="9"/>
    <w:rsid w:val="009710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2D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2D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S10687</dc:creator>
  <cp:keywords/>
  <dc:description/>
  <cp:lastModifiedBy>S10687</cp:lastModifiedBy>
  <cp:revision>1</cp:revision>
  <dcterms:created xsi:type="dcterms:W3CDTF">2021-07-28T07:09:00Z</dcterms:created>
  <dcterms:modified xsi:type="dcterms:W3CDTF">2021-07-28T09:37:00Z</dcterms:modified>
</cp:coreProperties>
</file>