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4D485" w14:textId="27A8704E" w:rsidR="007953DC" w:rsidRPr="00D03E8D" w:rsidRDefault="007953DC">
      <w:pPr>
        <w:rPr>
          <w:b/>
          <w:bCs/>
          <w:lang w:val="en-US"/>
        </w:rPr>
      </w:pPr>
      <w:r w:rsidRPr="00D03E8D">
        <w:rPr>
          <w:b/>
          <w:bCs/>
          <w:lang w:val="en-US"/>
        </w:rPr>
        <w:t>Study cohort</w:t>
      </w:r>
    </w:p>
    <w:p w14:paraId="1FA1BA9E" w14:textId="3D9916CE" w:rsidR="00C65A2F" w:rsidRDefault="007953DC">
      <w:pPr>
        <w:rPr>
          <w:lang w:val="en-US"/>
        </w:rPr>
      </w:pPr>
      <w:r>
        <w:rPr>
          <w:lang w:val="en-US"/>
        </w:rPr>
        <w:t xml:space="preserve">A total of </w:t>
      </w:r>
      <w:r w:rsidR="00934208" w:rsidRPr="00934208">
        <w:rPr>
          <w:u w:val="single"/>
          <w:lang w:val="en-US"/>
        </w:rPr>
        <w:t>xxx</w:t>
      </w:r>
      <w:r>
        <w:rPr>
          <w:lang w:val="en-US"/>
        </w:rPr>
        <w:t xml:space="preserve"> male patients who underwent prospective matched tumor and normal genomic profiling using either </w:t>
      </w:r>
      <w:r w:rsidR="00D9413A">
        <w:rPr>
          <w:lang w:val="en-US"/>
        </w:rPr>
        <w:t xml:space="preserve">one </w:t>
      </w:r>
      <w:r>
        <w:rPr>
          <w:lang w:val="en-US"/>
        </w:rPr>
        <w:t xml:space="preserve">of the MSK-IMPACT 341, 410, 468 or 505 </w:t>
      </w:r>
      <w:r w:rsidR="00D9413A">
        <w:rPr>
          <w:lang w:val="en-US"/>
        </w:rPr>
        <w:t>gene panel</w:t>
      </w:r>
      <w:r w:rsidR="00D942E0">
        <w:rPr>
          <w:lang w:val="en-US"/>
        </w:rPr>
        <w:t xml:space="preserve"> (citation)</w:t>
      </w:r>
      <w:r>
        <w:rPr>
          <w:lang w:val="en-US"/>
        </w:rPr>
        <w:t xml:space="preserve"> were included in this study (Figure 1</w:t>
      </w:r>
      <w:r w:rsidR="00D03E8D">
        <w:rPr>
          <w:lang w:val="en-US"/>
        </w:rPr>
        <w:t>A</w:t>
      </w:r>
      <w:r>
        <w:rPr>
          <w:lang w:val="en-US"/>
        </w:rPr>
        <w:t xml:space="preserve">). </w:t>
      </w:r>
      <w:r w:rsidR="00D9413A">
        <w:rPr>
          <w:lang w:val="en-US"/>
        </w:rPr>
        <w:t>Myeloid and lymphoid tumors were excluded (</w:t>
      </w:r>
      <w:hyperlink r:id="rId6" w:history="1">
        <w:r w:rsidR="00D9413A" w:rsidRPr="0080691B">
          <w:rPr>
            <w:rStyle w:val="Hyperlink"/>
            <w:lang w:val="en-US"/>
          </w:rPr>
          <w:t>http://www.cbioportal.org/oncotree/</w:t>
        </w:r>
      </w:hyperlink>
      <w:r w:rsidR="00D9413A">
        <w:rPr>
          <w:lang w:val="en-US"/>
        </w:rPr>
        <w:t xml:space="preserve">). We chose one sample per patient, and further </w:t>
      </w:r>
      <w:r w:rsidR="004A2353">
        <w:rPr>
          <w:lang w:val="en-US"/>
        </w:rPr>
        <w:t>excluded samples with chromosome</w:t>
      </w:r>
      <w:r w:rsidR="0091056B">
        <w:rPr>
          <w:lang w:val="en-US"/>
        </w:rPr>
        <w:t xml:space="preserve"> Y aneuploidies in the matched normal samples</w:t>
      </w:r>
      <w:r w:rsidR="004A2353">
        <w:rPr>
          <w:lang w:val="en-US"/>
        </w:rPr>
        <w:t xml:space="preserve">. Mosaic </w:t>
      </w:r>
      <w:r w:rsidR="0091056B">
        <w:rPr>
          <w:lang w:val="en-US"/>
        </w:rPr>
        <w:t>loss of chromosome Y (</w:t>
      </w:r>
      <w:proofErr w:type="spellStart"/>
      <w:r w:rsidR="0091056B">
        <w:rPr>
          <w:lang w:val="en-US"/>
        </w:rPr>
        <w:t>mLOY</w:t>
      </w:r>
      <w:proofErr w:type="spellEnd"/>
      <w:r w:rsidR="0091056B">
        <w:rPr>
          <w:lang w:val="en-US"/>
        </w:rPr>
        <w:t xml:space="preserve">) is the most common somatic genetic aberration and is associated with increased risk for all-cause mortality, Alzheimer’s disease, cancer, and other common human malignancies (citations). </w:t>
      </w:r>
      <w:proofErr w:type="spellStart"/>
      <w:r w:rsidR="0042770D">
        <w:rPr>
          <w:lang w:val="en-US"/>
        </w:rPr>
        <w:t>mLOY</w:t>
      </w:r>
      <w:proofErr w:type="spellEnd"/>
      <w:r w:rsidR="0042770D">
        <w:rPr>
          <w:lang w:val="en-US"/>
        </w:rPr>
        <w:t xml:space="preserve"> </w:t>
      </w:r>
      <w:r w:rsidR="00D9413A">
        <w:rPr>
          <w:lang w:val="en-US"/>
        </w:rPr>
        <w:t>was studied on</w:t>
      </w:r>
      <w:r w:rsidR="0042770D">
        <w:rPr>
          <w:lang w:val="en-US"/>
        </w:rPr>
        <w:t xml:space="preserve"> peripheral blood tissue from xxx male samples (Figure) with no history of hematological malignancies before or at the timepoint of sampling</w:t>
      </w:r>
      <w:r w:rsidR="00D03E8D">
        <w:rPr>
          <w:lang w:val="en-US"/>
        </w:rPr>
        <w:t xml:space="preserve">. The 99% confidence interval around the expected chromosome Y ploidies were calculated and samples with a ploidy &lt; 0.76 were considered as </w:t>
      </w:r>
      <w:proofErr w:type="spellStart"/>
      <w:r w:rsidR="00D03E8D">
        <w:rPr>
          <w:lang w:val="en-US"/>
        </w:rPr>
        <w:t>mLOY</w:t>
      </w:r>
      <w:proofErr w:type="spellEnd"/>
      <w:r w:rsidR="00D03E8D">
        <w:rPr>
          <w:lang w:val="en-US"/>
        </w:rPr>
        <w:t xml:space="preserve"> (Figure 1C). Overall, we observed </w:t>
      </w:r>
      <w:r w:rsidR="0091056B" w:rsidRPr="0091056B">
        <w:rPr>
          <w:u w:val="single"/>
          <w:lang w:val="en-US"/>
        </w:rPr>
        <w:t>xxx</w:t>
      </w:r>
      <w:r w:rsidR="0091056B">
        <w:rPr>
          <w:lang w:val="en-US"/>
        </w:rPr>
        <w:t xml:space="preserve"> normal samples (2%) with </w:t>
      </w:r>
      <w:proofErr w:type="spellStart"/>
      <w:r w:rsidR="0091056B">
        <w:rPr>
          <w:lang w:val="en-US"/>
        </w:rPr>
        <w:t>mLOY</w:t>
      </w:r>
      <w:proofErr w:type="spellEnd"/>
      <w:r w:rsidR="0042770D">
        <w:rPr>
          <w:lang w:val="en-US"/>
        </w:rPr>
        <w:t>.</w:t>
      </w:r>
      <w:r w:rsidR="0091056B">
        <w:rPr>
          <w:lang w:val="en-US"/>
        </w:rPr>
        <w:t xml:space="preserve"> </w:t>
      </w:r>
      <w:r w:rsidR="0042770D">
        <w:rPr>
          <w:lang w:val="en-US"/>
        </w:rPr>
        <w:t>F</w:t>
      </w:r>
      <w:r w:rsidR="0091056B">
        <w:rPr>
          <w:lang w:val="en-US"/>
        </w:rPr>
        <w:t>urther</w:t>
      </w:r>
      <w:r w:rsidR="0042770D">
        <w:rPr>
          <w:lang w:val="en-US"/>
        </w:rPr>
        <w:t xml:space="preserve">more, a significant </w:t>
      </w:r>
      <w:r w:rsidR="00D03E8D">
        <w:rPr>
          <w:lang w:val="en-US"/>
        </w:rPr>
        <w:t xml:space="preserve">negative </w:t>
      </w:r>
      <w:r w:rsidR="0042770D">
        <w:rPr>
          <w:lang w:val="en-US"/>
        </w:rPr>
        <w:t xml:space="preserve">correlation (ANOVA, p &lt; 0.001) was found between age and </w:t>
      </w:r>
      <w:proofErr w:type="spellStart"/>
      <w:r w:rsidR="0042770D">
        <w:rPr>
          <w:lang w:val="en-US"/>
        </w:rPr>
        <w:t>mLOY</w:t>
      </w:r>
      <w:proofErr w:type="spellEnd"/>
      <w:r w:rsidR="0042770D">
        <w:rPr>
          <w:lang w:val="en-US"/>
        </w:rPr>
        <w:t xml:space="preserve">, indicating that </w:t>
      </w:r>
      <w:proofErr w:type="spellStart"/>
      <w:r w:rsidR="00D03E8D">
        <w:rPr>
          <w:lang w:val="en-US"/>
        </w:rPr>
        <w:t>m</w:t>
      </w:r>
      <w:r w:rsidR="0042770D">
        <w:rPr>
          <w:lang w:val="en-US"/>
        </w:rPr>
        <w:t>LOY</w:t>
      </w:r>
      <w:proofErr w:type="spellEnd"/>
      <w:r w:rsidR="0042770D">
        <w:rPr>
          <w:lang w:val="en-US"/>
        </w:rPr>
        <w:t xml:space="preserve"> increases with age</w:t>
      </w:r>
      <w:r w:rsidR="00DD0A85">
        <w:rPr>
          <w:lang w:val="en-US"/>
        </w:rPr>
        <w:t xml:space="preserve"> (Figure 1D, citation)</w:t>
      </w:r>
      <w:r w:rsidR="0042770D">
        <w:rPr>
          <w:lang w:val="en-US"/>
        </w:rPr>
        <w:t>. Conversely, we applied the same hypothesis to the X-chromosome and observed that a chromosome X decay is not associated with age (ANOVA, p = 0.43</w:t>
      </w:r>
      <w:r w:rsidR="00D03E8D">
        <w:rPr>
          <w:lang w:val="en-US"/>
        </w:rPr>
        <w:t>, supplementary figure</w:t>
      </w:r>
      <w:r w:rsidR="0042770D">
        <w:rPr>
          <w:lang w:val="en-US"/>
        </w:rPr>
        <w:t xml:space="preserve">). </w:t>
      </w:r>
      <w:r w:rsidR="00B52961">
        <w:rPr>
          <w:lang w:val="en-US"/>
        </w:rPr>
        <w:t xml:space="preserve">The remaining </w:t>
      </w:r>
      <w:r w:rsidR="00B52961" w:rsidRPr="00B52961">
        <w:rPr>
          <w:u w:val="single"/>
          <w:lang w:val="en-US"/>
        </w:rPr>
        <w:t>xxx</w:t>
      </w:r>
      <w:r w:rsidR="00B52961">
        <w:rPr>
          <w:lang w:val="en-US"/>
        </w:rPr>
        <w:t xml:space="preserve"> samples were subject to </w:t>
      </w:r>
      <w:proofErr w:type="spellStart"/>
      <w:r w:rsidR="00B52961">
        <w:rPr>
          <w:lang w:val="en-US"/>
        </w:rPr>
        <w:t>FacetsY</w:t>
      </w:r>
      <w:proofErr w:type="spellEnd"/>
      <w:r w:rsidR="00B52961">
        <w:rPr>
          <w:lang w:val="en-US"/>
        </w:rPr>
        <w:t xml:space="preserve">, </w:t>
      </w:r>
      <w:r w:rsidR="00D03E8D">
        <w:rPr>
          <w:lang w:val="en-US"/>
        </w:rPr>
        <w:t>a modification of</w:t>
      </w:r>
      <w:r w:rsidR="00B52961">
        <w:rPr>
          <w:lang w:val="en-US"/>
        </w:rPr>
        <w:t xml:space="preserve"> the existing functionality of the Facets</w:t>
      </w:r>
      <w:r w:rsidR="00D03E8D">
        <w:rPr>
          <w:lang w:val="en-US"/>
        </w:rPr>
        <w:t xml:space="preserve"> </w:t>
      </w:r>
      <w:r w:rsidR="00B52961">
        <w:rPr>
          <w:lang w:val="en-US"/>
        </w:rPr>
        <w:t>algorithm (citation)</w:t>
      </w:r>
      <w:r w:rsidR="00D03E8D">
        <w:rPr>
          <w:lang w:val="en-US"/>
        </w:rPr>
        <w:t xml:space="preserve">. </w:t>
      </w:r>
      <w:r w:rsidR="00DD0A85">
        <w:rPr>
          <w:lang w:val="en-US"/>
        </w:rPr>
        <w:t xml:space="preserve">Finally, xxx samples were discarded due to not meeting individual copy-number fit quality metrics (Methods). </w:t>
      </w:r>
      <w:r w:rsidR="003939BD">
        <w:rPr>
          <w:lang w:val="en-US"/>
        </w:rPr>
        <w:t>Among the retained cancer types, COAD (…%), LUAD (…%) and PRAD are among the most prominent cancer</w:t>
      </w:r>
      <w:r w:rsidR="00DD0A85">
        <w:rPr>
          <w:lang w:val="en-US"/>
        </w:rPr>
        <w:t>-</w:t>
      </w:r>
      <w:r w:rsidR="003939BD">
        <w:rPr>
          <w:lang w:val="en-US"/>
        </w:rPr>
        <w:t>types analys</w:t>
      </w:r>
      <w:r w:rsidR="00DD0A85">
        <w:rPr>
          <w:lang w:val="en-US"/>
        </w:rPr>
        <w:t>ed</w:t>
      </w:r>
      <w:r w:rsidR="003939BD">
        <w:rPr>
          <w:lang w:val="en-US"/>
        </w:rPr>
        <w:t xml:space="preserve"> (Figure 1, B). </w:t>
      </w:r>
    </w:p>
    <w:p w14:paraId="5060BAC2" w14:textId="77777777" w:rsidR="00DD0A85" w:rsidRDefault="003939BD" w:rsidP="00DD0A85">
      <w:pPr>
        <w:keepNext/>
      </w:pPr>
      <w:r>
        <w:rPr>
          <w:noProof/>
          <w:lang w:val="en-US"/>
        </w:rPr>
        <w:drawing>
          <wp:inline distT="0" distB="0" distL="0" distR="0" wp14:anchorId="5383DE35" wp14:editId="03243800">
            <wp:extent cx="4162926" cy="3685252"/>
            <wp:effectExtent l="0" t="0" r="3175" b="0"/>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18506" cy="3734454"/>
                    </a:xfrm>
                    <a:prstGeom prst="rect">
                      <a:avLst/>
                    </a:prstGeom>
                  </pic:spPr>
                </pic:pic>
              </a:graphicData>
            </a:graphic>
          </wp:inline>
        </w:drawing>
      </w:r>
    </w:p>
    <w:p w14:paraId="48EC8BC2" w14:textId="0898DE2F" w:rsidR="00B37A50" w:rsidRPr="00687026" w:rsidRDefault="00DD0A85" w:rsidP="00687026">
      <w:pPr>
        <w:pStyle w:val="Caption"/>
        <w:rPr>
          <w:i w:val="0"/>
          <w:iCs w:val="0"/>
          <w:color w:val="000000" w:themeColor="text1"/>
          <w:lang w:val="en-US"/>
        </w:rPr>
      </w:pPr>
      <w:r w:rsidRPr="00687026">
        <w:rPr>
          <w:i w:val="0"/>
          <w:iCs w:val="0"/>
          <w:color w:val="000000" w:themeColor="text1"/>
        </w:rPr>
        <w:t xml:space="preserve">Figure </w:t>
      </w:r>
      <w:r w:rsidRPr="00687026">
        <w:rPr>
          <w:i w:val="0"/>
          <w:iCs w:val="0"/>
          <w:color w:val="000000" w:themeColor="text1"/>
        </w:rPr>
        <w:fldChar w:fldCharType="begin"/>
      </w:r>
      <w:r w:rsidRPr="00687026">
        <w:rPr>
          <w:i w:val="0"/>
          <w:iCs w:val="0"/>
          <w:color w:val="000000" w:themeColor="text1"/>
        </w:rPr>
        <w:instrText xml:space="preserve"> SEQ Figure \* ARABIC </w:instrText>
      </w:r>
      <w:r w:rsidRPr="00687026">
        <w:rPr>
          <w:i w:val="0"/>
          <w:iCs w:val="0"/>
          <w:color w:val="000000" w:themeColor="text1"/>
        </w:rPr>
        <w:fldChar w:fldCharType="separate"/>
      </w:r>
      <w:r w:rsidR="000B10BB">
        <w:rPr>
          <w:i w:val="0"/>
          <w:iCs w:val="0"/>
          <w:noProof/>
          <w:color w:val="000000" w:themeColor="text1"/>
        </w:rPr>
        <w:t>1</w:t>
      </w:r>
      <w:r w:rsidRPr="00687026">
        <w:rPr>
          <w:i w:val="0"/>
          <w:iCs w:val="0"/>
          <w:color w:val="000000" w:themeColor="text1"/>
        </w:rPr>
        <w:fldChar w:fldCharType="end"/>
      </w:r>
      <w:r w:rsidRPr="00687026">
        <w:rPr>
          <w:i w:val="0"/>
          <w:iCs w:val="0"/>
          <w:color w:val="000000" w:themeColor="text1"/>
          <w:lang w:val="en-US"/>
        </w:rPr>
        <w:t>: Cohort overview and assessment of somatic mosaicism of the Y-chromosome (</w:t>
      </w:r>
      <w:proofErr w:type="spellStart"/>
      <w:r w:rsidRPr="00687026">
        <w:rPr>
          <w:i w:val="0"/>
          <w:iCs w:val="0"/>
          <w:color w:val="000000" w:themeColor="text1"/>
          <w:lang w:val="en-US"/>
        </w:rPr>
        <w:t>mLOY</w:t>
      </w:r>
      <w:proofErr w:type="spellEnd"/>
      <w:r w:rsidRPr="00687026">
        <w:rPr>
          <w:i w:val="0"/>
          <w:iCs w:val="0"/>
          <w:color w:val="000000" w:themeColor="text1"/>
          <w:lang w:val="en-US"/>
        </w:rPr>
        <w:t>). A) Flow diagram showing the selection criteria f</w:t>
      </w:r>
      <w:r w:rsidR="00687026">
        <w:rPr>
          <w:i w:val="0"/>
          <w:iCs w:val="0"/>
          <w:color w:val="000000" w:themeColor="text1"/>
          <w:lang w:val="en-US"/>
        </w:rPr>
        <w:t>or</w:t>
      </w:r>
      <w:r w:rsidRPr="00687026">
        <w:rPr>
          <w:i w:val="0"/>
          <w:iCs w:val="0"/>
          <w:color w:val="000000" w:themeColor="text1"/>
          <w:lang w:val="en-US"/>
        </w:rPr>
        <w:t xml:space="preserve"> the final analysis cohort. B) </w:t>
      </w:r>
      <w:proofErr w:type="spellStart"/>
      <w:r w:rsidRPr="00687026">
        <w:rPr>
          <w:i w:val="0"/>
          <w:iCs w:val="0"/>
          <w:color w:val="000000" w:themeColor="text1"/>
          <w:lang w:val="en-US"/>
        </w:rPr>
        <w:t>Treeplot</w:t>
      </w:r>
      <w:proofErr w:type="spellEnd"/>
      <w:r w:rsidRPr="00687026">
        <w:rPr>
          <w:i w:val="0"/>
          <w:iCs w:val="0"/>
          <w:color w:val="000000" w:themeColor="text1"/>
          <w:lang w:val="en-US"/>
        </w:rPr>
        <w:t xml:space="preserve"> showing the relative contribution of individual cancer types considered for subsequent analysis. C) </w:t>
      </w:r>
      <w:r w:rsidRPr="00687026">
        <w:rPr>
          <w:i w:val="0"/>
          <w:iCs w:val="0"/>
          <w:color w:val="000000" w:themeColor="text1"/>
          <w:lang w:val="en-US"/>
        </w:rPr>
        <w:t xml:space="preserve">The upper histogram shows the distribution whereas the lower jitter-plot highlight estimated chromosome Y ploidies (black triangles) in xxx men. The red lines indicate the lower and upper 99% confidence interval. </w:t>
      </w:r>
      <w:r w:rsidRPr="00687026">
        <w:rPr>
          <w:i w:val="0"/>
          <w:iCs w:val="0"/>
          <w:color w:val="000000" w:themeColor="text1"/>
          <w:lang w:val="en-US"/>
        </w:rPr>
        <w:t xml:space="preserve">D) Age (x-axis) was plotted again individual </w:t>
      </w:r>
      <w:r w:rsidR="00687026" w:rsidRPr="00687026">
        <w:rPr>
          <w:i w:val="0"/>
          <w:iCs w:val="0"/>
          <w:color w:val="000000" w:themeColor="text1"/>
          <w:lang w:val="en-US"/>
        </w:rPr>
        <w:t>chromosome Y ploidies. The blue curve with corresponding intercept and slope was determined via linear regression. Abbreviations in B) are found in supplementary table 1</w:t>
      </w:r>
    </w:p>
    <w:p w14:paraId="049530B9" w14:textId="0EE893D6" w:rsidR="00B37A50" w:rsidRDefault="00B37A50">
      <w:pPr>
        <w:rPr>
          <w:lang w:val="en-US"/>
        </w:rPr>
      </w:pPr>
      <w:r>
        <w:rPr>
          <w:lang w:val="en-US"/>
        </w:rPr>
        <w:br w:type="page"/>
      </w:r>
    </w:p>
    <w:p w14:paraId="517C71BD" w14:textId="77777777" w:rsidR="004709DC" w:rsidRPr="00A809A9" w:rsidRDefault="004709DC">
      <w:pPr>
        <w:rPr>
          <w:b/>
          <w:bCs/>
          <w:lang w:val="en-US"/>
        </w:rPr>
      </w:pPr>
      <w:r w:rsidRPr="00A809A9">
        <w:rPr>
          <w:b/>
          <w:bCs/>
          <w:lang w:val="en-US"/>
        </w:rPr>
        <w:lastRenderedPageBreak/>
        <w:t>MSK-IMPACT is suitable for chromosome Y loss determination</w:t>
      </w:r>
    </w:p>
    <w:p w14:paraId="12BD1729" w14:textId="77777777" w:rsidR="00BC4486" w:rsidRDefault="00F079C0" w:rsidP="000B10BB">
      <w:pPr>
        <w:rPr>
          <w:lang w:val="en-US"/>
        </w:rPr>
      </w:pPr>
      <w:r w:rsidRPr="00596407">
        <w:rPr>
          <w:lang w:val="en-US"/>
        </w:rPr>
        <w:t xml:space="preserve">Accurate sequence read-depth </w:t>
      </w:r>
      <w:r w:rsidR="001B79AA">
        <w:rPr>
          <w:lang w:val="en-US"/>
        </w:rPr>
        <w:t xml:space="preserve">distribution </w:t>
      </w:r>
      <w:r w:rsidRPr="00596407">
        <w:rPr>
          <w:lang w:val="en-US"/>
        </w:rPr>
        <w:t xml:space="preserve">is of uttermost importance for copy number estimation </w:t>
      </w:r>
      <w:r w:rsidRPr="00596407">
        <w:rPr>
          <w:lang w:val="en-US"/>
        </w:rPr>
        <w:fldChar w:fldCharType="begin"/>
      </w:r>
      <w:r w:rsidRPr="00596407">
        <w:rPr>
          <w:lang w:val="en-US"/>
        </w:rPr>
        <w:instrText xml:space="preserve"> ADDIN ZOTERO_ITEM CSL_CITATION {"citationID":"IGZ438yE","properties":{"formattedCitation":"(Krumm et al., 2012; Shen &amp; Seshan, 2016)","plainCitation":"(Krumm et al., 2012; Shen &amp; Seshan, 2016)","noteIndex":0},"citationItems":[{"id":12,"uris":["http://zotero.org/users/local/ucxFFsR9/items/BYIHIAUY"],"itemData":{"id":12,"type":"article-journal","abstract":"While exome sequencing is readily amenable to single-nucleotide variant discovery, the sparse and nonuniform nature of the exome capture reaction has hindered exome-based detection and characterization of genic copy number variation. We developed a novel method using singular value decomposition (SVD) normalization to discover rare genic copy number variants (CNVs) as well as genotype copy number polymorphic (CNP) loci with high sensitivity and specificity from exome sequencing data. We estimate the precision of our algorithm using 122 trios (366 exomes) and show that this method can be used to reliably predict (94% overall precision) both de novo and inherited rare CNVs involving three or more consecutive exons. We demonstrate that exome-based genotyping of CNPs strongly correlates with whole-genome data (median r(2) = 0.91), especially for loci with fewer than eight copies, and can estimate the absolute copy number of multi-allelic genes with high accuracy (78% call level). The resulting user-friendly computational pipeline, CoNIFER (copy number inference from exome reads), can reliably be used to discover disruptive genic CNVs missed by standard approaches and should have broad application in human genetic studies of disease.","container-title":"Genome Research","DOI":"10.1101/gr.138115.112","ISSN":"1549-5469","issue":"8","journalAbbreviation":"Genome Res","language":"eng","note":"PMID: 22585873\nPMCID: PMC3409265","page":"1525-1532","source":"PubMed","title":"Copy number variation detection and genotyping from exome sequence data","volume":"22","author":[{"family":"Krumm","given":"Niklas"},{"family":"Sudmant","given":"Peter H."},{"family":"Ko","given":"Arthur"},{"family":"O'Roak","given":"Brian J."},{"family":"Malig","given":"Maika"},{"family":"Coe","given":"Bradley P."},{"literal":"NHLBI Exome Sequencing Project"},{"family":"Quinlan","given":"Aaron R."},{"family":"Nickerson","given":"Deborah A."},{"family":"Eichler","given":"Evan E."}],"issued":{"date-parts":[["2012",8]]}}},{"id":56,"uris":["http://zotero.org/users/local/ucxFFsR9/items/KXKEJD7K"],"itemData":{"id":56,"type":"article-journal","abstract":"Allele-specific copy number analysis (ASCN) from next generation sequencing (NGS) data can greatly extend the utility of NGS beyond the identification of mutations to precisely annotate the genome for the detection of homozygous/heterozygous deletions, copy-neutral loss-of-heterozygosity (LOH), allele-specific gains/amplifications. In addition, as targeted gene panels are increasingly used in clinical sequencing studies for the detection of ‘actionable’ mutations and copy number alterations to guide treatment decisions, accurate, tumor purity-, ploidy- and clonal heterogeneity-adjusted integer copy number calls are greatly needed to more reliably interpret NGS-based cancer gene copy number data in the context of clinical sequencing. We developed FACETS, an ASCN tool and open-source software with a broad application to whole genome, whole-exome, as well as targeted panel sequencing platforms. It is a fully integrated stand-alone pipeline that includes sequencing BAM file post-processing, joint segmentation of total- and allele-specific read counts, and integer copy number calls corrected for tumor purity, ploidy and clonal heterogeneity, with comprehensive output and integrated visualization. We demonstrate the application of FACETS using The Cancer Genome Atlas (TCGA) whole-exome sequencing of lung adenocarcinoma samples. We also demonstrate its application to a clinical sequencing platform based on a targeted gene panel.","container-title":"Nucleic Acids Research","DOI":"10.1093/nar/gkw520","ISSN":"0305-1048","issue":"16","journalAbbreviation":"Nucleic Acids Res","note":"PMID: 27270079\nPMCID: PMC5027494","page":"e131","source":"PubMed Central","title":"FACETS: allele-specific copy number and clonal heterogeneity analysis tool for high-throughput DNA sequencing","title-short":"FACETS","volume":"44","author":[{"family":"Shen","given":"Ronglai"},{"family":"Seshan","given":"Venkatraman E."}],"issued":{"date-parts":[["2016",9,19]]}}}],"schema":"https://github.com/citation-style-language/schema/raw/master/csl-citation.json"} </w:instrText>
      </w:r>
      <w:r w:rsidRPr="00596407">
        <w:rPr>
          <w:lang w:val="en-US"/>
        </w:rPr>
        <w:fldChar w:fldCharType="separate"/>
      </w:r>
      <w:r w:rsidRPr="00596407">
        <w:rPr>
          <w:noProof/>
          <w:lang w:val="en-US"/>
        </w:rPr>
        <w:t>(Krumm et al., 2012; Shen &amp; Seshan, 2016)</w:t>
      </w:r>
      <w:r w:rsidRPr="00596407">
        <w:rPr>
          <w:lang w:val="en-US"/>
        </w:rPr>
        <w:fldChar w:fldCharType="end"/>
      </w:r>
      <w:r w:rsidRPr="00596407">
        <w:rPr>
          <w:lang w:val="en-US"/>
        </w:rPr>
        <w:t>.</w:t>
      </w:r>
      <w:r w:rsidRPr="00596407">
        <w:rPr>
          <w:lang w:val="en-US"/>
        </w:rPr>
        <w:t xml:space="preserve"> </w:t>
      </w:r>
      <w:r w:rsidR="001B79AA">
        <w:rPr>
          <w:lang w:val="en-US"/>
        </w:rPr>
        <w:t>Thus, w</w:t>
      </w:r>
      <w:r w:rsidR="009F027D" w:rsidRPr="00596407">
        <w:rPr>
          <w:lang w:val="en-US"/>
        </w:rPr>
        <w:t>e started to investigate</w:t>
      </w:r>
      <w:r w:rsidR="009F027D" w:rsidRPr="00596407">
        <w:rPr>
          <w:lang w:val="en-US"/>
        </w:rPr>
        <w:t xml:space="preserve"> </w:t>
      </w:r>
      <w:r w:rsidR="001B79AA">
        <w:rPr>
          <w:lang w:val="en-US"/>
        </w:rPr>
        <w:t>tumor/normal</w:t>
      </w:r>
      <w:r w:rsidR="009F027D" w:rsidRPr="00596407">
        <w:rPr>
          <w:lang w:val="en-US"/>
        </w:rPr>
        <w:t xml:space="preserve"> </w:t>
      </w:r>
      <w:r w:rsidR="009F027D" w:rsidRPr="00596407">
        <w:rPr>
          <w:lang w:val="en-US"/>
        </w:rPr>
        <w:t>sequencing files</w:t>
      </w:r>
      <w:r w:rsidR="001B79AA">
        <w:rPr>
          <w:lang w:val="en-US"/>
        </w:rPr>
        <w:t>,</w:t>
      </w:r>
      <w:r w:rsidR="009F027D" w:rsidRPr="00596407">
        <w:rPr>
          <w:lang w:val="en-US"/>
        </w:rPr>
        <w:t xml:space="preserve"> speculating about biased coverage data given the repetitive nature </w:t>
      </w:r>
      <w:r w:rsidR="009F027D" w:rsidRPr="00596407">
        <w:rPr>
          <w:lang w:val="en-US"/>
        </w:rPr>
        <w:t xml:space="preserve">of the </w:t>
      </w:r>
      <w:r w:rsidR="009F027D" w:rsidRPr="00596407">
        <w:rPr>
          <w:lang w:val="en-US"/>
        </w:rPr>
        <w:t xml:space="preserve">Y-chromosome </w:t>
      </w:r>
      <w:r w:rsidR="009F027D" w:rsidRPr="00596407">
        <w:rPr>
          <w:lang w:val="en-US"/>
        </w:rPr>
        <w:fldChar w:fldCharType="begin"/>
      </w:r>
      <w:r w:rsidR="009F027D" w:rsidRPr="00596407">
        <w:rPr>
          <w:lang w:val="en-US"/>
        </w:rPr>
        <w:instrText xml:space="preserve"> ADDIN ZOTERO_ITEM CSL_CITATION {"citationID":"WjKJ1aq9","properties":{"formattedCitation":"(Skaletsky et al., 2003)","plainCitation":"(Skaletsky et al., 2003)","noteIndex":0},"citationItems":[{"id":81,"uris":["http://zotero.org/users/local/ucxFFsR9/items/WD4ILRZ9"],"itemData":{"id":81,"type":"article-journal","abstract":"The male-specific region of the Y chromosome, the MSY, differentiates the sexes and comprises 95% of the chromosome's length. Here, we report that the MSY is a mosaic of heterochromatic sequences and three classes of euchromatic sequences: X-transposed, X-degenerate and ampliconic. These classes contain all 156 known transcription units, which include 78 protein-coding genes that collectively encode 27 distinct proteins. The X-transposed sequences exhibit 99% identity to the X chromosome. The X-degenerate sequences are remnants of ancient autosomes from which the modern X and Y chromosomes evolved. The ampliconic class includes large regions (about 30% of the MSY euchromatin) where sequence pairs show greater than 99.9% identity, which is maintained by frequent gene conversion (non-reciprocal transfer). The most prominent features here are eight massive palindromes, at least six of which contain testis genes.","container-title":"Nature","DOI":"10.1038/nature01722","ISSN":"0028-0836","issue":"6942","journalAbbreviation":"Nature","language":"eng","note":"PMID: 12815422","page":"825-837","source":"PubMed","title":"The male-specific region of the human Y chromosome is a mosaic of discrete sequence classes","volume":"423","author":[{"family":"Skaletsky","given":"Helen"},{"family":"Kuroda-Kawaguchi","given":"Tomoko"},{"family":"Minx","given":"Patrick J."},{"family":"Cordum","given":"Holland S."},{"family":"Hillier","given":"LaDeana"},{"family":"Brown","given":"Laura G."},{"family":"Repping","given":"Sjoerd"},{"family":"Pyntikova","given":"Tatyana"},{"family":"Ali","given":"Johar"},{"family":"Bieri","given":"Tamberlyn"},{"family":"Chinwalla","given":"Asif"},{"family":"Delehaunty","given":"Andrew"},{"family":"Delehaunty","given":"Kim"},{"family":"Du","given":"Hui"},{"family":"Fewell","given":"Ginger"},{"family":"Fulton","given":"Lucinda"},{"family":"Fulton","given":"Robert"},{"family":"Graves","given":"Tina"},{"family":"Hou","given":"Shun-Fang"},{"family":"Latrielle","given":"Philip"},{"family":"Leonard","given":"Shawn"},{"family":"Mardis","given":"Elaine"},{"family":"Maupin","given":"Rachel"},{"family":"McPherson","given":"John"},{"family":"Miner","given":"Tracie"},{"family":"Nash","given":"William"},{"family":"Nguyen","given":"Christine"},{"family":"Ozersky","given":"Philip"},{"family":"Pepin","given":"Kymberlie"},{"family":"Rock","given":"Susan"},{"family":"Rohlfing","given":"Tracy"},{"family":"Scott","given":"Kelsi"},{"family":"Schultz","given":"Brian"},{"family":"Strong","given":"Cindy"},{"family":"Tin-Wollam","given":"Aye"},{"family":"Yang","given":"Shiaw-Pyng"},{"family":"Waterston","given":"Robert H."},{"family":"Wilson","given":"Richard K."},{"family":"Rozen","given":"Steve"},{"family":"Page","given":"David C."}],"issued":{"date-parts":[["2003",6,19]]}}}],"schema":"https://github.com/citation-style-language/schema/raw/master/csl-citation.json"} </w:instrText>
      </w:r>
      <w:r w:rsidR="009F027D" w:rsidRPr="00596407">
        <w:rPr>
          <w:lang w:val="en-US"/>
        </w:rPr>
        <w:fldChar w:fldCharType="separate"/>
      </w:r>
      <w:r w:rsidR="009F027D" w:rsidRPr="00596407">
        <w:rPr>
          <w:noProof/>
          <w:lang w:val="en-US"/>
        </w:rPr>
        <w:t>(Skaletsky et al., 2003)</w:t>
      </w:r>
      <w:r w:rsidR="009F027D" w:rsidRPr="00596407">
        <w:rPr>
          <w:lang w:val="en-US"/>
        </w:rPr>
        <w:fldChar w:fldCharType="end"/>
      </w:r>
      <w:r w:rsidR="009F027D" w:rsidRPr="00596407">
        <w:rPr>
          <w:lang w:val="en-US"/>
        </w:rPr>
        <w:t>.</w:t>
      </w:r>
      <w:r w:rsidR="009F027D" w:rsidRPr="00596407">
        <w:rPr>
          <w:lang w:val="en-US"/>
        </w:rPr>
        <w:t xml:space="preserve"> </w:t>
      </w:r>
      <w:r w:rsidR="0053100B" w:rsidRPr="00596407">
        <w:rPr>
          <w:lang w:val="en-US"/>
        </w:rPr>
        <w:t xml:space="preserve">Although </w:t>
      </w:r>
      <w:r w:rsidR="009F027D" w:rsidRPr="00596407">
        <w:rPr>
          <w:lang w:val="en-US"/>
        </w:rPr>
        <w:t>MSK-IMPACT sequencing assays</w:t>
      </w:r>
      <w:r w:rsidR="0053100B" w:rsidRPr="00596407">
        <w:rPr>
          <w:lang w:val="en-US"/>
        </w:rPr>
        <w:t xml:space="preserve"> </w:t>
      </w:r>
      <w:r w:rsidR="009F027D" w:rsidRPr="00596407">
        <w:rPr>
          <w:lang w:val="en-US"/>
        </w:rPr>
        <w:t xml:space="preserve">include </w:t>
      </w:r>
      <w:r w:rsidR="001B79AA">
        <w:rPr>
          <w:lang w:val="en-US"/>
        </w:rPr>
        <w:t xml:space="preserve">only </w:t>
      </w:r>
      <w:r w:rsidR="009F027D" w:rsidRPr="00596407">
        <w:rPr>
          <w:lang w:val="en-US"/>
        </w:rPr>
        <w:t xml:space="preserve">13 baits on the Y-chromosome (supplementary table), we found </w:t>
      </w:r>
      <w:r w:rsidR="0053100B" w:rsidRPr="00596407">
        <w:rPr>
          <w:lang w:val="en-US"/>
        </w:rPr>
        <w:t>that 63 transcriptional and non-transcriptional active elements (</w:t>
      </w:r>
      <w:r w:rsidR="001B79AA">
        <w:rPr>
          <w:lang w:val="en-US"/>
        </w:rPr>
        <w:t xml:space="preserve">63/429, </w:t>
      </w:r>
      <w:r w:rsidR="0053100B" w:rsidRPr="00596407">
        <w:rPr>
          <w:lang w:val="en-US"/>
        </w:rPr>
        <w:t>14.</w:t>
      </w:r>
      <w:r w:rsidR="001B79AA">
        <w:rPr>
          <w:lang w:val="en-US"/>
        </w:rPr>
        <w:t>7</w:t>
      </w:r>
      <w:r w:rsidR="0053100B" w:rsidRPr="00596407">
        <w:rPr>
          <w:lang w:val="en-US"/>
        </w:rPr>
        <w:t xml:space="preserve">%) were covered with </w:t>
      </w:r>
      <w:r w:rsidR="0053100B" w:rsidRPr="00596407">
        <w:rPr>
          <w:lang w:val="en-US"/>
        </w:rPr>
        <w:t>&gt;</w:t>
      </w:r>
      <w:r w:rsidR="0053100B" w:rsidRPr="00596407">
        <w:rPr>
          <w:lang w:val="en-US"/>
        </w:rPr>
        <w:t>20 sequence reads.</w:t>
      </w:r>
      <w:r w:rsidR="0053100B" w:rsidRPr="00596407">
        <w:rPr>
          <w:lang w:val="en-US"/>
        </w:rPr>
        <w:t xml:space="preserve"> </w:t>
      </w:r>
      <w:r w:rsidR="0053100B" w:rsidRPr="00596407">
        <w:rPr>
          <w:lang w:val="en-US"/>
        </w:rPr>
        <w:t>Out of these</w:t>
      </w:r>
      <w:r w:rsidR="001B79AA">
        <w:rPr>
          <w:lang w:val="en-US"/>
        </w:rPr>
        <w:t>,</w:t>
      </w:r>
      <w:r w:rsidR="0053100B" w:rsidRPr="00596407">
        <w:rPr>
          <w:lang w:val="en-US"/>
        </w:rPr>
        <w:t xml:space="preserve"> only 17 elements (</w:t>
      </w:r>
      <w:r w:rsidR="0053100B" w:rsidRPr="00596407">
        <w:rPr>
          <w:lang w:val="en-US"/>
        </w:rPr>
        <w:t>of which 13 are protein coding genes, Figure 2A</w:t>
      </w:r>
      <w:r w:rsidR="0053100B" w:rsidRPr="00596407">
        <w:rPr>
          <w:lang w:val="en-US"/>
        </w:rPr>
        <w:t>) were covered in more than 75% of tumor samples analyzed</w:t>
      </w:r>
      <w:r w:rsidR="001B79AA">
        <w:rPr>
          <w:lang w:val="en-US"/>
        </w:rPr>
        <w:t>,</w:t>
      </w:r>
      <w:r w:rsidR="0053100B" w:rsidRPr="00596407">
        <w:rPr>
          <w:lang w:val="en-US"/>
        </w:rPr>
        <w:t xml:space="preserve"> indicating that most genetic elements</w:t>
      </w:r>
      <w:r w:rsidR="0053100B" w:rsidRPr="00596407">
        <w:rPr>
          <w:lang w:val="en-US"/>
        </w:rPr>
        <w:t xml:space="preserve"> are covered by off-target reads.</w:t>
      </w:r>
      <w:r w:rsidR="001B79AA">
        <w:rPr>
          <w:lang w:val="en-US"/>
        </w:rPr>
        <w:t xml:space="preserve"> Of note, while persistent sequence coverage was seen for 15 genes, CCNQP2 and PARP4P1 were not captured using eithe</w:t>
      </w:r>
      <w:r w:rsidR="00BC4486">
        <w:rPr>
          <w:lang w:val="en-US"/>
        </w:rPr>
        <w:t xml:space="preserve">r on of gene </w:t>
      </w:r>
      <w:r w:rsidR="001B79AA">
        <w:rPr>
          <w:lang w:val="en-US"/>
        </w:rPr>
        <w:t xml:space="preserve">panel IM3 or IM5 (supplementary figure). </w:t>
      </w:r>
      <w:r w:rsidR="00BC4486">
        <w:rPr>
          <w:lang w:val="en-US"/>
        </w:rPr>
        <w:t xml:space="preserve">Next, we assessed the average mapping qualities of aligned sequencing reads at retained genetic loci to ensure proper read-depth distributions. </w:t>
      </w:r>
      <w:r w:rsidR="00A809A9" w:rsidRPr="00596407">
        <w:rPr>
          <w:lang w:val="en-US"/>
        </w:rPr>
        <w:t xml:space="preserve">Three genes, namely FAM197Y1, CHEK2P1 and PCDH11Y showed an </w:t>
      </w:r>
      <w:r w:rsidR="00852458" w:rsidRPr="00596407">
        <w:rPr>
          <w:lang w:val="en-US"/>
        </w:rPr>
        <w:t>average mapping quality (BWA-MAPQ)</w:t>
      </w:r>
      <w:r w:rsidR="00A809A9" w:rsidRPr="00596407">
        <w:rPr>
          <w:lang w:val="en-US"/>
        </w:rPr>
        <w:t xml:space="preserve"> &lt; 22</w:t>
      </w:r>
      <w:r w:rsidR="004B2E55" w:rsidRPr="00596407">
        <w:rPr>
          <w:lang w:val="en-US"/>
        </w:rPr>
        <w:t xml:space="preserve"> indicating ambiguous alignments and hence </w:t>
      </w:r>
      <w:r w:rsidR="004B2E55" w:rsidRPr="00596407">
        <w:rPr>
          <w:lang w:val="en-US"/>
        </w:rPr>
        <w:t>biased</w:t>
      </w:r>
      <w:r w:rsidR="004B2E55" w:rsidRPr="00596407">
        <w:rPr>
          <w:lang w:val="en-US"/>
        </w:rPr>
        <w:t xml:space="preserve"> read-depth distribution.</w:t>
      </w:r>
      <w:r w:rsidR="004B2E55" w:rsidRPr="00596407">
        <w:rPr>
          <w:lang w:val="en-US"/>
        </w:rPr>
        <w:t xml:space="preserve"> </w:t>
      </w:r>
      <w:r w:rsidR="00A809A9" w:rsidRPr="00596407">
        <w:rPr>
          <w:lang w:val="en-US"/>
        </w:rPr>
        <w:t xml:space="preserve">(Figure 2B). </w:t>
      </w:r>
      <w:r w:rsidR="004B2E55" w:rsidRPr="00596407">
        <w:rPr>
          <w:lang w:val="en-US"/>
        </w:rPr>
        <w:t xml:space="preserve">For PCDH11Y it makes sense, </w:t>
      </w:r>
      <w:r w:rsidR="00852458" w:rsidRPr="00596407">
        <w:rPr>
          <w:lang w:val="en-US"/>
        </w:rPr>
        <w:t>considering the</w:t>
      </w:r>
      <w:r w:rsidR="004B2E55" w:rsidRPr="00596407">
        <w:rPr>
          <w:lang w:val="en-US"/>
        </w:rPr>
        <w:t xml:space="preserve"> close nucleotide similarity with its X</w:t>
      </w:r>
      <w:r w:rsidR="004B2E55" w:rsidRPr="00596407">
        <w:rPr>
          <w:lang w:val="en-US"/>
        </w:rPr>
        <w:t>-</w:t>
      </w:r>
      <w:r w:rsidR="004B2E55" w:rsidRPr="00596407">
        <w:rPr>
          <w:lang w:val="en-US"/>
        </w:rPr>
        <w:t>homolog</w:t>
      </w:r>
      <w:r w:rsidR="004B2E55" w:rsidRPr="00596407">
        <w:rPr>
          <w:lang w:val="en-US"/>
        </w:rPr>
        <w:t>, PCDH11X</w:t>
      </w:r>
      <w:r w:rsidR="00852458" w:rsidRPr="00596407">
        <w:rPr>
          <w:lang w:val="en-US"/>
        </w:rPr>
        <w:t xml:space="preserve"> (citation)</w:t>
      </w:r>
      <w:r w:rsidR="004B2E55" w:rsidRPr="00596407">
        <w:rPr>
          <w:lang w:val="en-US"/>
        </w:rPr>
        <w:t>. Equally, CHEK2P1 is part of the centromere which is known to contain a lot of tandem repeats</w:t>
      </w:r>
      <w:r w:rsidR="00852458" w:rsidRPr="00596407">
        <w:rPr>
          <w:lang w:val="en-US"/>
        </w:rPr>
        <w:t xml:space="preserve"> (citation)</w:t>
      </w:r>
      <w:r w:rsidR="004B2E55" w:rsidRPr="00596407">
        <w:rPr>
          <w:lang w:val="en-US"/>
        </w:rPr>
        <w:t>.</w:t>
      </w:r>
      <w:r w:rsidRPr="00596407">
        <w:rPr>
          <w:lang w:val="en-US"/>
        </w:rPr>
        <w:t xml:space="preserve"> </w:t>
      </w:r>
      <w:r w:rsidR="00BC4486">
        <w:rPr>
          <w:lang w:val="en-US"/>
        </w:rPr>
        <w:t xml:space="preserve">With the exclusion of </w:t>
      </w:r>
      <w:r w:rsidRPr="00596407">
        <w:rPr>
          <w:lang w:val="en-US"/>
        </w:rPr>
        <w:t xml:space="preserve">those regions, </w:t>
      </w:r>
      <w:r w:rsidRPr="00596407">
        <w:rPr>
          <w:lang w:val="en-US"/>
        </w:rPr>
        <w:t xml:space="preserve">an aggregate length of 20.4 Mb [total range: 2,654 – 27,800 </w:t>
      </w:r>
      <w:proofErr w:type="spellStart"/>
      <w:r w:rsidRPr="00596407">
        <w:rPr>
          <w:lang w:val="en-US"/>
        </w:rPr>
        <w:t>kbp</w:t>
      </w:r>
      <w:proofErr w:type="spellEnd"/>
      <w:r w:rsidRPr="00596407">
        <w:rPr>
          <w:lang w:val="en-US"/>
        </w:rPr>
        <w:t>] which corresponds to roughly 34% of the Y-chromosome</w:t>
      </w:r>
      <w:r w:rsidRPr="00596407">
        <w:rPr>
          <w:lang w:val="en-US"/>
        </w:rPr>
        <w:t xml:space="preserve"> was accessible for </w:t>
      </w:r>
      <w:r w:rsidR="00BC4486">
        <w:rPr>
          <w:lang w:val="en-US"/>
        </w:rPr>
        <w:t xml:space="preserve">copy-number determination. </w:t>
      </w:r>
    </w:p>
    <w:p w14:paraId="48261327" w14:textId="4028FA88" w:rsidR="004709DC" w:rsidRDefault="00BC4486" w:rsidP="000B10BB">
      <w:pPr>
        <w:rPr>
          <w:lang w:val="en-US"/>
        </w:rPr>
      </w:pPr>
      <w:r>
        <w:rPr>
          <w:lang w:val="en-US"/>
        </w:rPr>
        <w:t xml:space="preserve">We further </w:t>
      </w:r>
      <w:r w:rsidR="00F079C0" w:rsidRPr="00596407">
        <w:rPr>
          <w:lang w:val="en-US"/>
        </w:rPr>
        <w:t xml:space="preserve">assessed the breadth and depth of sequence coverage of retained elements (Figure 2C). 10 genes </w:t>
      </w:r>
      <w:r>
        <w:rPr>
          <w:lang w:val="en-US"/>
        </w:rPr>
        <w:t>showed coverage at</w:t>
      </w:r>
      <w:r w:rsidR="00F079C0" w:rsidRPr="00596407">
        <w:rPr>
          <w:lang w:val="en-US"/>
        </w:rPr>
        <w:t xml:space="preserve"> only </w:t>
      </w:r>
      <w:r>
        <w:rPr>
          <w:lang w:val="en-US"/>
        </w:rPr>
        <w:t xml:space="preserve">&lt; </w:t>
      </w:r>
      <w:r w:rsidR="00F079C0" w:rsidRPr="00596407">
        <w:rPr>
          <w:lang w:val="en-US"/>
        </w:rPr>
        <w:t xml:space="preserve">20% of its coding sequence with sequencing depth </w:t>
      </w:r>
      <w:r w:rsidR="00596407" w:rsidRPr="00596407">
        <w:rPr>
          <w:lang w:val="en-US"/>
        </w:rPr>
        <w:t>ranging</w:t>
      </w:r>
      <w:r w:rsidR="00F079C0" w:rsidRPr="00596407">
        <w:rPr>
          <w:lang w:val="en-US"/>
        </w:rPr>
        <w:t xml:space="preserve"> from 45- 187X</w:t>
      </w:r>
      <w:r>
        <w:rPr>
          <w:lang w:val="en-US"/>
        </w:rPr>
        <w:t xml:space="preserve"> indicating that subsequent gene copy number calls are impeded</w:t>
      </w:r>
      <w:r w:rsidR="00F079C0" w:rsidRPr="00596407">
        <w:rPr>
          <w:lang w:val="en-US"/>
        </w:rPr>
        <w:t xml:space="preserve">. </w:t>
      </w:r>
      <w:r w:rsidR="00F079C0" w:rsidRPr="00596407">
        <w:rPr>
          <w:lang w:val="en-US"/>
        </w:rPr>
        <w:t xml:space="preserve">For example, the protein coding gene ubiquitin specific peptidase 9 Y-Linked, </w:t>
      </w:r>
      <w:r w:rsidR="00F079C0" w:rsidRPr="00596407">
        <w:rPr>
          <w:i/>
          <w:iCs/>
          <w:lang w:val="en-US"/>
        </w:rPr>
        <w:t>USP9Y</w:t>
      </w:r>
      <w:r w:rsidR="00F079C0" w:rsidRPr="00596407">
        <w:rPr>
          <w:lang w:val="en-US"/>
        </w:rPr>
        <w:t xml:space="preserve"> </w:t>
      </w:r>
      <w:r w:rsidR="00F079C0" w:rsidRPr="00596407">
        <w:rPr>
          <w:lang w:val="en-US"/>
        </w:rPr>
        <w:t>consist of</w:t>
      </w:r>
      <w:r w:rsidR="00F079C0" w:rsidRPr="00596407">
        <w:rPr>
          <w:lang w:val="en-US"/>
        </w:rPr>
        <w:t xml:space="preserve"> 44 coding exons and an aggregate length of 10,036 bps, however </w:t>
      </w:r>
      <w:r w:rsidR="00F079C0" w:rsidRPr="00596407">
        <w:rPr>
          <w:lang w:val="en-US"/>
        </w:rPr>
        <w:t xml:space="preserve">we only saw </w:t>
      </w:r>
      <w:r w:rsidR="00F079C0" w:rsidRPr="00596407">
        <w:rPr>
          <w:lang w:val="en-US"/>
        </w:rPr>
        <w:t>coverage at exon 22</w:t>
      </w:r>
      <w:r w:rsidR="00F079C0" w:rsidRPr="00596407">
        <w:rPr>
          <w:lang w:val="en-US"/>
        </w:rPr>
        <w:t xml:space="preserve"> (0.14% of coding sequence covered) indicating a rather specific snapshot of this given gene. </w:t>
      </w:r>
      <w:r w:rsidR="00F079C0" w:rsidRPr="00596407">
        <w:rPr>
          <w:lang w:val="en-US"/>
        </w:rPr>
        <w:t xml:space="preserve">On the contrary, 88.5% of </w:t>
      </w:r>
      <w:r w:rsidR="00F079C0" w:rsidRPr="00596407">
        <w:rPr>
          <w:i/>
          <w:iCs/>
          <w:lang w:val="en-US"/>
        </w:rPr>
        <w:t xml:space="preserve">KDM5D </w:t>
      </w:r>
      <w:r w:rsidR="00F079C0" w:rsidRPr="00596407">
        <w:rPr>
          <w:lang w:val="en-US"/>
        </w:rPr>
        <w:t xml:space="preserve">coding sequence is covered by sequencing reads with an average of 81.2 reads meaning that </w:t>
      </w:r>
      <w:r w:rsidR="00F079C0" w:rsidRPr="00596407">
        <w:rPr>
          <w:lang w:val="en-US"/>
        </w:rPr>
        <w:t xml:space="preserve">this gene is represented by almost its entirety (Figure 2C). </w:t>
      </w:r>
    </w:p>
    <w:p w14:paraId="640796DD" w14:textId="13AB58B5" w:rsidR="004709DC" w:rsidRDefault="00BC4486">
      <w:pPr>
        <w:rPr>
          <w:lang w:val="en-US"/>
        </w:rPr>
      </w:pPr>
      <w:proofErr w:type="spellStart"/>
      <w:r>
        <w:rPr>
          <w:lang w:val="en-US"/>
        </w:rPr>
        <w:t>FacetsY</w:t>
      </w:r>
      <w:proofErr w:type="spellEnd"/>
      <w:r>
        <w:rPr>
          <w:lang w:val="en-US"/>
        </w:rPr>
        <w:t xml:space="preserve">, a modified version of an existing state-of-the-art algorithm (citation) was deployed for copy-number and chromosome Y loss determination. </w:t>
      </w:r>
      <w:r w:rsidR="00A336BE">
        <w:rPr>
          <w:lang w:val="en-US"/>
        </w:rPr>
        <w:t xml:space="preserve">Before applying this method to our </w:t>
      </w:r>
      <w:proofErr w:type="spellStart"/>
      <w:r w:rsidR="00A336BE">
        <w:rPr>
          <w:lang w:val="en-US"/>
        </w:rPr>
        <w:t>pancancer</w:t>
      </w:r>
      <w:proofErr w:type="spellEnd"/>
      <w:r w:rsidR="00A336BE">
        <w:rPr>
          <w:lang w:val="en-US"/>
        </w:rPr>
        <w:t xml:space="preserve"> cohort (Figure 1A), we gathered intuition about the validity of our approach using a whole exome sequencing (WES) validation cohort. Specifically, a cohort of n=950 WES samples where we have corresponding MSK-IMPACT samples were analyzed, knowing that WES samples showed significantly more </w:t>
      </w:r>
      <w:r w:rsidR="0010189E">
        <w:rPr>
          <w:lang w:val="en-US"/>
        </w:rPr>
        <w:t xml:space="preserve">per-base </w:t>
      </w:r>
      <w:r w:rsidR="00A336BE">
        <w:rPr>
          <w:lang w:val="en-US"/>
        </w:rPr>
        <w:t>coverage at the Y-chromosome (</w:t>
      </w:r>
      <w:proofErr w:type="spellStart"/>
      <w:r w:rsidR="00A336BE" w:rsidRPr="000B10BB">
        <w:rPr>
          <w:lang w:val="en-US"/>
        </w:rPr>
        <w:t>wilcoxon</w:t>
      </w:r>
      <w:proofErr w:type="spellEnd"/>
      <w:r w:rsidR="00A336BE" w:rsidRPr="000B10BB">
        <w:rPr>
          <w:lang w:val="en-US"/>
        </w:rPr>
        <w:t>-test, p-value &lt; 2.2e-16;</w:t>
      </w:r>
      <w:r w:rsidR="00A336BE">
        <w:rPr>
          <w:lang w:val="en-US"/>
        </w:rPr>
        <w:t xml:space="preserve"> supplementary figure). </w:t>
      </w:r>
      <w:proofErr w:type="spellStart"/>
      <w:r w:rsidR="000B10BB" w:rsidRPr="000B10BB">
        <w:rPr>
          <w:lang w:val="en-US"/>
        </w:rPr>
        <w:t>FacetsY</w:t>
      </w:r>
      <w:proofErr w:type="spellEnd"/>
      <w:r w:rsidR="000B10BB" w:rsidRPr="000B10BB">
        <w:rPr>
          <w:lang w:val="en-US"/>
        </w:rPr>
        <w:t xml:space="preserve"> </w:t>
      </w:r>
      <w:r w:rsidR="0032041F">
        <w:rPr>
          <w:lang w:val="en-US"/>
        </w:rPr>
        <w:t xml:space="preserve">was run </w:t>
      </w:r>
      <w:r w:rsidR="000B10BB" w:rsidRPr="000B10BB">
        <w:rPr>
          <w:lang w:val="en-US"/>
        </w:rPr>
        <w:t xml:space="preserve">on both the matched MSK-IMPACT and WES-recaptured samples respectively, and </w:t>
      </w:r>
      <w:r w:rsidR="0032041F">
        <w:rPr>
          <w:lang w:val="en-US"/>
        </w:rPr>
        <w:t xml:space="preserve">we </w:t>
      </w:r>
      <w:r w:rsidR="000B10BB" w:rsidRPr="000B10BB">
        <w:rPr>
          <w:lang w:val="en-US"/>
        </w:rPr>
        <w:t xml:space="preserve">used </w:t>
      </w:r>
      <w:r w:rsidR="0032041F">
        <w:rPr>
          <w:lang w:val="en-US"/>
        </w:rPr>
        <w:t>the median copy-number log ratio (</w:t>
      </w:r>
      <w:proofErr w:type="spellStart"/>
      <w:r w:rsidR="0032041F">
        <w:rPr>
          <w:lang w:val="en-US"/>
        </w:rPr>
        <w:t>CnLR</w:t>
      </w:r>
      <w:proofErr w:type="spellEnd"/>
      <w:r w:rsidR="0032041F">
        <w:rPr>
          <w:lang w:val="en-US"/>
        </w:rPr>
        <w:t xml:space="preserve"> [median]) of the Y-chromosome to compare the calls across the two datasets. </w:t>
      </w:r>
      <w:r w:rsidR="0010189E">
        <w:rPr>
          <w:lang w:val="en-US"/>
        </w:rPr>
        <w:t>We found a good correlation (</w:t>
      </w:r>
      <w:proofErr w:type="spellStart"/>
      <w:r w:rsidR="0010189E">
        <w:rPr>
          <w:lang w:val="en-US"/>
        </w:rPr>
        <w:t>pearson’s</w:t>
      </w:r>
      <w:proofErr w:type="spellEnd"/>
      <w:r w:rsidR="0010189E">
        <w:rPr>
          <w:lang w:val="en-US"/>
        </w:rPr>
        <w:t xml:space="preserve"> r: 97.5; </w:t>
      </w:r>
      <w:r w:rsidR="0010189E" w:rsidRPr="000B10BB">
        <w:rPr>
          <w:lang w:val="en-US"/>
        </w:rPr>
        <w:t>p-value &lt; 2.2-e16</w:t>
      </w:r>
      <w:r w:rsidR="0010189E">
        <w:rPr>
          <w:lang w:val="en-US"/>
        </w:rPr>
        <w:t xml:space="preserve">) between the two datasets, suggesting that MSK-IMPACT, even with reduced genomic representation provide enough information to estimate the same chromosome Y calls (Figure 2C). A small number of samples deviates from the expectations (i.e., y = x) and those are discussed in the supplementary figure (). Finally, we used purity estimates to assess the overall agreement between the copy-number </w:t>
      </w:r>
      <w:proofErr w:type="spellStart"/>
      <w:r w:rsidR="0010189E">
        <w:rPr>
          <w:lang w:val="en-US"/>
        </w:rPr>
        <w:t>fits an</w:t>
      </w:r>
      <w:proofErr w:type="spellEnd"/>
      <w:r w:rsidR="0010189E">
        <w:rPr>
          <w:lang w:val="en-US"/>
        </w:rPr>
        <w:t>d found a reasonable correlation (</w:t>
      </w:r>
      <w:proofErr w:type="spellStart"/>
      <w:r w:rsidR="0010189E">
        <w:rPr>
          <w:lang w:val="en-US"/>
        </w:rPr>
        <w:t>pearson’s</w:t>
      </w:r>
      <w:proofErr w:type="spellEnd"/>
      <w:r w:rsidR="0010189E">
        <w:rPr>
          <w:lang w:val="en-US"/>
        </w:rPr>
        <w:t xml:space="preserve"> r: 90.0; </w:t>
      </w:r>
      <w:r w:rsidR="0010189E" w:rsidRPr="000B10BB">
        <w:rPr>
          <w:lang w:val="en-US"/>
        </w:rPr>
        <w:t>p-value &lt; 2.2-e16</w:t>
      </w:r>
      <w:r w:rsidR="0010189E">
        <w:rPr>
          <w:lang w:val="en-US"/>
        </w:rPr>
        <w:t xml:space="preserve">) suggesting that the overall fits are okay as well. Taken together, MSK-IMPACT panel sequencing provides enough information to assess chromosome Y loss. </w:t>
      </w:r>
    </w:p>
    <w:p w14:paraId="2C87EA1C" w14:textId="77777777" w:rsidR="000B10BB" w:rsidRDefault="004709DC" w:rsidP="000B10BB">
      <w:pPr>
        <w:keepNext/>
      </w:pPr>
      <w:r>
        <w:rPr>
          <w:noProof/>
          <w:lang w:val="en-US"/>
        </w:rPr>
        <w:lastRenderedPageBreak/>
        <w:drawing>
          <wp:inline distT="0" distB="0" distL="0" distR="0" wp14:anchorId="05E472C8" wp14:editId="1E1B2A80">
            <wp:extent cx="5727700" cy="3096895"/>
            <wp:effectExtent l="0" t="0" r="0" b="190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96895"/>
                    </a:xfrm>
                    <a:prstGeom prst="rect">
                      <a:avLst/>
                    </a:prstGeom>
                  </pic:spPr>
                </pic:pic>
              </a:graphicData>
            </a:graphic>
          </wp:inline>
        </w:drawing>
      </w:r>
    </w:p>
    <w:p w14:paraId="6DC2F03E" w14:textId="3FC72955" w:rsidR="004709DC" w:rsidRPr="0010189E" w:rsidRDefault="000B10BB" w:rsidP="0010189E">
      <w:pPr>
        <w:pStyle w:val="Caption"/>
        <w:rPr>
          <w:i w:val="0"/>
          <w:iCs w:val="0"/>
          <w:color w:val="000000" w:themeColor="text1"/>
          <w:lang w:val="en-US"/>
        </w:rPr>
      </w:pPr>
      <w:r w:rsidRPr="000B10BB">
        <w:rPr>
          <w:i w:val="0"/>
          <w:iCs w:val="0"/>
          <w:color w:val="000000" w:themeColor="text1"/>
        </w:rPr>
        <w:t xml:space="preserve">Figure </w:t>
      </w:r>
      <w:r w:rsidRPr="000B10BB">
        <w:rPr>
          <w:i w:val="0"/>
          <w:iCs w:val="0"/>
          <w:color w:val="000000" w:themeColor="text1"/>
        </w:rPr>
        <w:fldChar w:fldCharType="begin"/>
      </w:r>
      <w:r w:rsidRPr="000B10BB">
        <w:rPr>
          <w:i w:val="0"/>
          <w:iCs w:val="0"/>
          <w:color w:val="000000" w:themeColor="text1"/>
        </w:rPr>
        <w:instrText xml:space="preserve"> SEQ Figure \* ARABIC </w:instrText>
      </w:r>
      <w:r w:rsidRPr="000B10BB">
        <w:rPr>
          <w:i w:val="0"/>
          <w:iCs w:val="0"/>
          <w:color w:val="000000" w:themeColor="text1"/>
        </w:rPr>
        <w:fldChar w:fldCharType="separate"/>
      </w:r>
      <w:r w:rsidRPr="000B10BB">
        <w:rPr>
          <w:i w:val="0"/>
          <w:iCs w:val="0"/>
          <w:noProof/>
          <w:color w:val="000000" w:themeColor="text1"/>
        </w:rPr>
        <w:t>2</w:t>
      </w:r>
      <w:r w:rsidRPr="000B10BB">
        <w:rPr>
          <w:i w:val="0"/>
          <w:iCs w:val="0"/>
          <w:color w:val="000000" w:themeColor="text1"/>
        </w:rPr>
        <w:fldChar w:fldCharType="end"/>
      </w:r>
      <w:r w:rsidRPr="000B10BB">
        <w:rPr>
          <w:i w:val="0"/>
          <w:iCs w:val="0"/>
          <w:color w:val="000000" w:themeColor="text1"/>
          <w:lang w:val="en-US"/>
        </w:rPr>
        <w:t>: MSK-IMPACT depicts a reliable tool to assess chromosome Y loss in tumor samples. A) 17 (x-axis) loci where sequencing read coverage was observed in &gt;75% of tumor samples analyzed. B) Average mapping qualities (BWA-MAPQ) of selected loci. C) Breadth (x-axis) expressed as percentage of coding sequence covered by sequencing reads is plotted again the average depth (y-axis) of retained elements. D) Cartoon showing</w:t>
      </w:r>
      <w:r w:rsidRPr="000B10BB">
        <w:rPr>
          <w:b/>
          <w:bCs/>
          <w:i w:val="0"/>
          <w:iCs w:val="0"/>
          <w:color w:val="000000" w:themeColor="text1"/>
          <w:lang w:val="en-US"/>
        </w:rPr>
        <w:t xml:space="preserve"> </w:t>
      </w:r>
      <w:proofErr w:type="spellStart"/>
      <w:r w:rsidRPr="000B10BB">
        <w:rPr>
          <w:b/>
          <w:bCs/>
          <w:i w:val="0"/>
          <w:iCs w:val="0"/>
          <w:color w:val="000000" w:themeColor="text1"/>
          <w:lang w:val="en-US"/>
        </w:rPr>
        <w:t>i</w:t>
      </w:r>
      <w:proofErr w:type="spellEnd"/>
      <w:r w:rsidRPr="000B10BB">
        <w:rPr>
          <w:b/>
          <w:bCs/>
          <w:i w:val="0"/>
          <w:iCs w:val="0"/>
          <w:color w:val="000000" w:themeColor="text1"/>
          <w:lang w:val="en-US"/>
        </w:rPr>
        <w:t>)</w:t>
      </w:r>
      <w:r w:rsidRPr="000B10BB">
        <w:rPr>
          <w:i w:val="0"/>
          <w:iCs w:val="0"/>
          <w:color w:val="000000" w:themeColor="text1"/>
          <w:lang w:val="en-US"/>
        </w:rPr>
        <w:t xml:space="preserve"> the accessible genomic region for copy-number calling (light grey in the top plot), </w:t>
      </w:r>
      <w:r w:rsidRPr="000B10BB">
        <w:rPr>
          <w:b/>
          <w:bCs/>
          <w:i w:val="0"/>
          <w:iCs w:val="0"/>
          <w:color w:val="000000" w:themeColor="text1"/>
          <w:lang w:val="en-US"/>
        </w:rPr>
        <w:t>ii)</w:t>
      </w:r>
      <w:r w:rsidRPr="000B10BB">
        <w:rPr>
          <w:i w:val="0"/>
          <w:iCs w:val="0"/>
          <w:color w:val="000000" w:themeColor="text1"/>
          <w:lang w:val="en-US"/>
        </w:rPr>
        <w:t xml:space="preserve"> the logic of the binary classification approach which was chosen for all samples analyzed and </w:t>
      </w:r>
      <w:r w:rsidRPr="000B10BB">
        <w:rPr>
          <w:b/>
          <w:bCs/>
          <w:i w:val="0"/>
          <w:iCs w:val="0"/>
          <w:color w:val="000000" w:themeColor="text1"/>
          <w:lang w:val="en-US"/>
        </w:rPr>
        <w:t>iii)</w:t>
      </w:r>
      <w:r w:rsidRPr="000B10BB">
        <w:rPr>
          <w:i w:val="0"/>
          <w:iCs w:val="0"/>
          <w:color w:val="000000" w:themeColor="text1"/>
          <w:lang w:val="en-US"/>
        </w:rPr>
        <w:t xml:space="preserve"> the continuous approximation which was used to compare copy-number estimates from the Y-chromosome between MSK-IMPACT and WES-recaptured cancer samples. Note that, all individual tumor/normal ratios (black dots) are randomly placed and not scaled with the outline of the Y-chromosome on the top.</w:t>
      </w:r>
      <w:r>
        <w:rPr>
          <w:i w:val="0"/>
          <w:iCs w:val="0"/>
          <w:color w:val="000000" w:themeColor="text1"/>
          <w:lang w:val="en-US"/>
        </w:rPr>
        <w:t xml:space="preserve"> E) </w:t>
      </w:r>
      <w:r w:rsidRPr="000B10BB">
        <w:rPr>
          <w:i w:val="0"/>
          <w:iCs w:val="0"/>
          <w:color w:val="000000" w:themeColor="text1"/>
          <w:lang w:val="en-US"/>
        </w:rPr>
        <w:t>The median log-ratio (tumor/normal) between whole exome sequenced (x-axis) and MSK-IMPACT sequenced (y-axis) are plotted. The grey dashed line indicates the expectation of y = x</w:t>
      </w:r>
      <w:r>
        <w:rPr>
          <w:i w:val="0"/>
          <w:iCs w:val="0"/>
          <w:color w:val="000000" w:themeColor="text1"/>
          <w:lang w:val="en-US"/>
        </w:rPr>
        <w:t>.</w:t>
      </w:r>
      <w:r w:rsidRPr="000B10BB">
        <w:rPr>
          <w:b/>
          <w:bCs/>
          <w:i w:val="0"/>
          <w:iCs w:val="0"/>
          <w:color w:val="000000" w:themeColor="text1"/>
          <w:lang w:val="en-US"/>
        </w:rPr>
        <w:t xml:space="preserve"> </w:t>
      </w:r>
      <w:r w:rsidRPr="000B10BB">
        <w:rPr>
          <w:i w:val="0"/>
          <w:iCs w:val="0"/>
          <w:color w:val="000000" w:themeColor="text1"/>
          <w:lang w:val="en-US"/>
        </w:rPr>
        <w:t>Plots</w:t>
      </w:r>
      <w:r>
        <w:rPr>
          <w:b/>
          <w:bCs/>
          <w:i w:val="0"/>
          <w:iCs w:val="0"/>
          <w:color w:val="000000" w:themeColor="text1"/>
          <w:lang w:val="en-US"/>
        </w:rPr>
        <w:t xml:space="preserve"> F, G, </w:t>
      </w:r>
      <w:r w:rsidRPr="000B10BB">
        <w:rPr>
          <w:i w:val="0"/>
          <w:iCs w:val="0"/>
          <w:color w:val="000000" w:themeColor="text1"/>
          <w:lang w:val="en-US"/>
        </w:rPr>
        <w:t>show the estimates for purity and ploidy respectively.</w:t>
      </w:r>
    </w:p>
    <w:p w14:paraId="0B7C446C" w14:textId="1B9993AC" w:rsidR="004709DC" w:rsidRDefault="004709DC">
      <w:pPr>
        <w:rPr>
          <w:lang w:val="en-US"/>
        </w:rPr>
      </w:pPr>
      <w:r>
        <w:rPr>
          <w:lang w:val="en-US"/>
        </w:rPr>
        <w:br w:type="page"/>
      </w:r>
    </w:p>
    <w:p w14:paraId="6E43B66A" w14:textId="3021DC35" w:rsidR="006662D9" w:rsidRDefault="006662D9">
      <w:pPr>
        <w:rPr>
          <w:b/>
          <w:bCs/>
          <w:lang w:val="en-US"/>
        </w:rPr>
      </w:pPr>
      <w:proofErr w:type="spellStart"/>
      <w:r w:rsidRPr="006662D9">
        <w:rPr>
          <w:b/>
          <w:bCs/>
          <w:lang w:val="en-US"/>
        </w:rPr>
        <w:lastRenderedPageBreak/>
        <w:t>mLOY</w:t>
      </w:r>
      <w:proofErr w:type="spellEnd"/>
    </w:p>
    <w:p w14:paraId="1E09B393" w14:textId="667494C6" w:rsidR="004D62EB" w:rsidRDefault="004D62EB">
      <w:pPr>
        <w:rPr>
          <w:lang w:val="en-US"/>
        </w:rPr>
      </w:pPr>
      <w:r w:rsidRPr="004D62EB">
        <w:rPr>
          <w:lang w:val="en-US"/>
        </w:rPr>
        <w:t>A</w:t>
      </w:r>
      <w:r w:rsidRPr="004D62EB">
        <w:rPr>
          <w:lang w:val="en-US"/>
        </w:rPr>
        <w:t xml:space="preserve">ge-related </w:t>
      </w:r>
      <w:r>
        <w:rPr>
          <w:lang w:val="en-US"/>
        </w:rPr>
        <w:t xml:space="preserve">somatic </w:t>
      </w:r>
      <w:r w:rsidRPr="004D62EB">
        <w:rPr>
          <w:lang w:val="en-US"/>
        </w:rPr>
        <w:t>loss of chromosome Y (</w:t>
      </w:r>
      <w:proofErr w:type="spellStart"/>
      <w:r>
        <w:rPr>
          <w:lang w:val="en-US"/>
        </w:rPr>
        <w:t>mLOY</w:t>
      </w:r>
      <w:proofErr w:type="spellEnd"/>
      <w:r w:rsidRPr="004D62EB">
        <w:rPr>
          <w:lang w:val="en-US"/>
        </w:rPr>
        <w:t>) is frequent in normal hematopoietic cell</w:t>
      </w:r>
      <w:r w:rsidRPr="004D62EB">
        <w:rPr>
          <w:lang w:val="en-US"/>
        </w:rPr>
        <w:t xml:space="preserve"> (citation), and a</w:t>
      </w:r>
      <w:r w:rsidRPr="004D62EB">
        <w:rPr>
          <w:lang w:val="en-US"/>
        </w:rPr>
        <w:t>ssociation with risk of all-cause mortality was validated in an independent cohort</w:t>
      </w:r>
      <w:r w:rsidRPr="004D62EB">
        <w:rPr>
          <w:lang w:val="en-US"/>
        </w:rPr>
        <w:t xml:space="preserve"> (citation; Forsberg). </w:t>
      </w:r>
      <w:r>
        <w:rPr>
          <w:lang w:val="en-US"/>
        </w:rPr>
        <w:t xml:space="preserve">We determined the </w:t>
      </w:r>
      <w:proofErr w:type="spellStart"/>
      <w:r>
        <w:rPr>
          <w:lang w:val="en-US"/>
        </w:rPr>
        <w:t>mLOY</w:t>
      </w:r>
      <w:proofErr w:type="spellEnd"/>
      <w:r>
        <w:rPr>
          <w:lang w:val="en-US"/>
        </w:rPr>
        <w:t xml:space="preserve"> status of individual samples due to the necessity </w:t>
      </w:r>
      <w:r w:rsidR="00BA755C">
        <w:rPr>
          <w:lang w:val="en-US"/>
        </w:rPr>
        <w:t xml:space="preserve">for subsequent analysis. Specifically, since tumor copy-number analysis with Facets depend on matched normal samples, we wanted to rule out the possibility of false positives. MSK-IMPACT has proven as solid basis to estimate </w:t>
      </w:r>
      <w:proofErr w:type="spellStart"/>
      <w:r w:rsidR="00BA755C">
        <w:rPr>
          <w:lang w:val="en-US"/>
        </w:rPr>
        <w:t>mLOY</w:t>
      </w:r>
      <w:proofErr w:type="spellEnd"/>
      <w:r w:rsidR="00BA755C">
        <w:rPr>
          <w:lang w:val="en-US"/>
        </w:rPr>
        <w:t xml:space="preserve"> from targeted gene panel sequencing experiments. Our method was confirmed by applying the same logic to chromosome 22 (supplementary figure). We chose a binary approach, meaning that we didn’t quantify the fraction of cells suffering from </w:t>
      </w:r>
      <w:proofErr w:type="spellStart"/>
      <w:r w:rsidR="00BA755C">
        <w:rPr>
          <w:lang w:val="en-US"/>
        </w:rPr>
        <w:t>mLOY</w:t>
      </w:r>
      <w:proofErr w:type="spellEnd"/>
      <w:r w:rsidR="00BA755C">
        <w:rPr>
          <w:lang w:val="en-US"/>
        </w:rPr>
        <w:t xml:space="preserve">, however, we assume that true </w:t>
      </w:r>
      <w:proofErr w:type="spellStart"/>
      <w:r w:rsidR="00BA755C">
        <w:rPr>
          <w:lang w:val="en-US"/>
        </w:rPr>
        <w:t>mLOY</w:t>
      </w:r>
      <w:proofErr w:type="spellEnd"/>
      <w:r w:rsidR="00BA755C">
        <w:rPr>
          <w:lang w:val="en-US"/>
        </w:rPr>
        <w:t xml:space="preserve"> samples are excluded. We found a clear link with age and further confirmed that this trend was not seen for chromosome X (supplementary figure). Lastly, our conservative estimation of xxx% </w:t>
      </w:r>
      <w:proofErr w:type="spellStart"/>
      <w:r w:rsidR="00BA755C">
        <w:rPr>
          <w:lang w:val="en-US"/>
        </w:rPr>
        <w:t>mLOY</w:t>
      </w:r>
      <w:proofErr w:type="spellEnd"/>
      <w:r w:rsidR="00BA755C">
        <w:rPr>
          <w:lang w:val="en-US"/>
        </w:rPr>
        <w:t xml:space="preserve"> is in great accordance with previous literature </w:t>
      </w:r>
      <w:r w:rsidR="00B94CA1">
        <w:rPr>
          <w:lang w:val="en-US"/>
        </w:rPr>
        <w:t xml:space="preserve">(8.2% in Forsberg 2014, 1.34% 76-80 years </w:t>
      </w:r>
      <w:proofErr w:type="spellStart"/>
      <w:r w:rsidR="00B94CA1">
        <w:rPr>
          <w:lang w:val="en-US"/>
        </w:rPr>
        <w:t>Guttenbach</w:t>
      </w:r>
      <w:proofErr w:type="spellEnd"/>
      <w:r w:rsidR="00B94CA1">
        <w:rPr>
          <w:lang w:val="en-US"/>
        </w:rPr>
        <w:t xml:space="preserve"> et al 1995; </w:t>
      </w:r>
      <w:r w:rsidR="00B94CA1">
        <w:rPr>
          <w:rFonts w:ascii="Courier New" w:hAnsi="Courier New" w:cs="Courier New"/>
          <w:color w:val="000000"/>
          <w:sz w:val="25"/>
          <w:szCs w:val="25"/>
          <w:shd w:val="clear" w:color="auto" w:fill="FFFFFF"/>
        </w:rPr>
        <w:t>doi:10.1007/s00439-020-02114-w</w:t>
      </w:r>
      <w:r w:rsidR="00B94CA1">
        <w:rPr>
          <w:lang w:val="en-US"/>
        </w:rPr>
        <w:t xml:space="preserve">). </w:t>
      </w:r>
    </w:p>
    <w:p w14:paraId="3AA10A5D" w14:textId="568971D4" w:rsidR="00BA755C" w:rsidRDefault="00BA755C">
      <w:pPr>
        <w:rPr>
          <w:lang w:val="en-US"/>
        </w:rPr>
      </w:pPr>
    </w:p>
    <w:p w14:paraId="71E0A495" w14:textId="402FD4E5" w:rsidR="0010189E" w:rsidRPr="0010189E" w:rsidRDefault="0010189E">
      <w:pPr>
        <w:rPr>
          <w:b/>
          <w:bCs/>
          <w:lang w:val="en-US"/>
        </w:rPr>
      </w:pPr>
      <w:r w:rsidRPr="0010189E">
        <w:rPr>
          <w:b/>
          <w:bCs/>
          <w:lang w:val="en-US"/>
        </w:rPr>
        <w:t>MSK-IMPACT is suitable for chromosome Y loss determination</w:t>
      </w:r>
    </w:p>
    <w:p w14:paraId="06072751" w14:textId="37A2BF96" w:rsidR="0010189E" w:rsidRDefault="0010189E">
      <w:pPr>
        <w:rPr>
          <w:lang w:val="en-US"/>
        </w:rPr>
      </w:pPr>
      <w:r>
        <w:rPr>
          <w:lang w:val="en-US"/>
        </w:rPr>
        <w:t xml:space="preserve">MSK-IMPACT gene panels were not designed to include any </w:t>
      </w:r>
      <w:r w:rsidR="00604452">
        <w:rPr>
          <w:lang w:val="en-US"/>
        </w:rPr>
        <w:t xml:space="preserve">specific </w:t>
      </w:r>
      <w:r>
        <w:rPr>
          <w:lang w:val="en-US"/>
        </w:rPr>
        <w:t xml:space="preserve">targets from the Y-chromosome. However, apart from 13 baits that are included we saw a variable number of </w:t>
      </w:r>
      <w:r w:rsidR="00604452">
        <w:rPr>
          <w:lang w:val="en-US"/>
        </w:rPr>
        <w:t>off-targets reads covering 13 genetic elements at reasonable qualities. The reduced representation of the Y-chromosome leads us to compare Y chromosome calls in a validation cohort of n=950 WES sequenced samples with a significantly higher per-base coverage. We found a significant correlation between two methods, reinsuring that even with reduced sequence representation that the chromosome Y calls are the same. We admit that the average coverage on the Y-chromosome is much lower than the average coverage of the autosomes (600</w:t>
      </w:r>
      <w:proofErr w:type="gramStart"/>
      <w:r w:rsidR="00604452">
        <w:rPr>
          <w:lang w:val="en-US"/>
        </w:rPr>
        <w:t>X :</w:t>
      </w:r>
      <w:proofErr w:type="gramEnd"/>
      <w:r w:rsidR="00604452">
        <w:rPr>
          <w:lang w:val="en-US"/>
        </w:rPr>
        <w:t xml:space="preserve"> 100 X), however, since copy-number analysis tools rely on T/N ratios, we see that both Normal / Tumor are within the same range. </w:t>
      </w:r>
    </w:p>
    <w:p w14:paraId="146A4987" w14:textId="1E082C87" w:rsidR="006662D9" w:rsidRDefault="006662D9">
      <w:pPr>
        <w:rPr>
          <w:lang w:val="en-US"/>
        </w:rPr>
      </w:pPr>
      <w:r>
        <w:rPr>
          <w:lang w:val="en-US"/>
        </w:rPr>
        <w:br w:type="page"/>
      </w:r>
    </w:p>
    <w:p w14:paraId="45F85F2B" w14:textId="190708BA" w:rsidR="00B37A50" w:rsidRPr="00985F88" w:rsidRDefault="00B37A50">
      <w:pPr>
        <w:rPr>
          <w:b/>
          <w:bCs/>
          <w:lang w:val="en-US"/>
        </w:rPr>
      </w:pPr>
      <w:r w:rsidRPr="00985F88">
        <w:rPr>
          <w:b/>
          <w:bCs/>
          <w:lang w:val="en-US"/>
        </w:rPr>
        <w:lastRenderedPageBreak/>
        <w:t>Detection of chromosome Y mosaicism (</w:t>
      </w:r>
      <w:proofErr w:type="spellStart"/>
      <w:r w:rsidRPr="00985F88">
        <w:rPr>
          <w:b/>
          <w:bCs/>
          <w:lang w:val="en-US"/>
        </w:rPr>
        <w:t>mLOY</w:t>
      </w:r>
      <w:proofErr w:type="spellEnd"/>
      <w:r w:rsidRPr="00985F88">
        <w:rPr>
          <w:b/>
          <w:bCs/>
          <w:lang w:val="en-US"/>
        </w:rPr>
        <w:t>)</w:t>
      </w:r>
    </w:p>
    <w:p w14:paraId="32792231" w14:textId="6031521D" w:rsidR="00553D54" w:rsidRDefault="00B37A50" w:rsidP="00FC345B">
      <w:pPr>
        <w:rPr>
          <w:lang w:val="en-US"/>
        </w:rPr>
      </w:pPr>
      <w:r>
        <w:rPr>
          <w:lang w:val="en-US"/>
        </w:rPr>
        <w:t xml:space="preserve">We used peripheral blood tissue to detect chromosome Y aneuploidies (i.e., </w:t>
      </w:r>
      <w:proofErr w:type="spellStart"/>
      <w:proofErr w:type="gramStart"/>
      <w:r>
        <w:rPr>
          <w:lang w:val="en-US"/>
        </w:rPr>
        <w:t>mLOY</w:t>
      </w:r>
      <w:proofErr w:type="spellEnd"/>
      <w:r>
        <w:rPr>
          <w:lang w:val="en-US"/>
        </w:rPr>
        <w:t>)(</w:t>
      </w:r>
      <w:proofErr w:type="gramEnd"/>
      <w:r>
        <w:rPr>
          <w:lang w:val="en-US"/>
        </w:rPr>
        <w:t xml:space="preserve">citation). Matched blood samples are collected at the timepoint of tumor sample acquisition and sequenced </w:t>
      </w:r>
      <w:r w:rsidR="00553D54">
        <w:rPr>
          <w:lang w:val="en-US"/>
        </w:rPr>
        <w:t xml:space="preserve">using MSK-IMPACT panel testing if consent was given to protocol IRB #12-245 (citation). </w:t>
      </w:r>
      <w:r w:rsidR="00FC345B">
        <w:rPr>
          <w:lang w:val="en-US"/>
        </w:rPr>
        <w:t>We deployed the</w:t>
      </w:r>
      <w:r w:rsidR="00553D54">
        <w:rPr>
          <w:lang w:val="en-US"/>
        </w:rPr>
        <w:t xml:space="preserve"> MADSEQ R-package to determine the sequencing read-depth </w:t>
      </w:r>
      <w:r w:rsidR="00FC345B">
        <w:rPr>
          <w:lang w:val="en-US"/>
        </w:rPr>
        <w:t>and GC information for each targeted region (</w:t>
      </w:r>
      <w:hyperlink r:id="rId9" w:history="1">
        <w:r w:rsidR="00FC345B">
          <w:rPr>
            <w:rStyle w:val="Hyperlink"/>
            <w:rFonts w:ascii="Segoe UI" w:hAnsi="Segoe UI" w:cs="Segoe UI"/>
            <w:shd w:val="clear" w:color="auto" w:fill="FFFFFF"/>
          </w:rPr>
          <w:t>http://ykong2.github.io/MADSEQ/</w:t>
        </w:r>
      </w:hyperlink>
      <w:r w:rsidR="00FC345B">
        <w:rPr>
          <w:lang w:val="en-US"/>
        </w:rPr>
        <w:t>).</w:t>
      </w:r>
      <w:r w:rsidR="00553D54">
        <w:rPr>
          <w:lang w:val="en-US"/>
        </w:rPr>
        <w:t xml:space="preserve"> </w:t>
      </w:r>
      <w:r w:rsidR="00FC345B">
        <w:rPr>
          <w:lang w:val="en-US"/>
        </w:rPr>
        <w:t xml:space="preserve">Targeted regions were dependent on the gene panel deployed, ranging from 6623 </w:t>
      </w:r>
      <w:r w:rsidR="000416B9">
        <w:rPr>
          <w:lang w:val="en-US"/>
        </w:rPr>
        <w:t xml:space="preserve">tiling intervals </w:t>
      </w:r>
      <w:r w:rsidR="00FC345B">
        <w:rPr>
          <w:lang w:val="en-US"/>
        </w:rPr>
        <w:t xml:space="preserve">for MSK-IMPACT 341, to 9488 for MSK-IMPACT 505. Of these, 13 </w:t>
      </w:r>
      <w:r w:rsidR="000416B9">
        <w:rPr>
          <w:lang w:val="en-US"/>
        </w:rPr>
        <w:t>baits were designed</w:t>
      </w:r>
      <w:r w:rsidR="00FC345B">
        <w:rPr>
          <w:lang w:val="en-US"/>
        </w:rPr>
        <w:t xml:space="preserve"> </w:t>
      </w:r>
      <w:r w:rsidR="000416B9">
        <w:rPr>
          <w:lang w:val="en-US"/>
        </w:rPr>
        <w:t>to enrich genomic DNA from chromosome Y</w:t>
      </w:r>
      <w:r w:rsidR="00FC345B">
        <w:rPr>
          <w:lang w:val="en-US"/>
        </w:rPr>
        <w:t xml:space="preserve"> (</w:t>
      </w:r>
      <w:r w:rsidR="00CD39EA">
        <w:rPr>
          <w:lang w:val="en-US"/>
        </w:rPr>
        <w:fldChar w:fldCharType="begin"/>
      </w:r>
      <w:r w:rsidR="00CD39EA">
        <w:rPr>
          <w:lang w:val="en-US"/>
        </w:rPr>
        <w:instrText xml:space="preserve"> REF _Ref121309251 \h </w:instrText>
      </w:r>
      <w:r w:rsidR="00CD39EA">
        <w:rPr>
          <w:lang w:val="en-US"/>
        </w:rPr>
      </w:r>
      <w:r w:rsidR="00CD39EA">
        <w:rPr>
          <w:lang w:val="en-US"/>
        </w:rPr>
        <w:fldChar w:fldCharType="separate"/>
      </w:r>
      <w:r w:rsidR="00CD39EA" w:rsidRPr="00CD39EA">
        <w:rPr>
          <w:i/>
          <w:iCs/>
          <w:color w:val="000000" w:themeColor="text1"/>
        </w:rPr>
        <w:t xml:space="preserve">Supplementary table </w:t>
      </w:r>
      <w:r w:rsidR="00CD39EA" w:rsidRPr="00CD39EA">
        <w:rPr>
          <w:i/>
          <w:iCs/>
          <w:noProof/>
          <w:color w:val="000000" w:themeColor="text1"/>
        </w:rPr>
        <w:t>1</w:t>
      </w:r>
      <w:r w:rsidR="00CD39EA">
        <w:rPr>
          <w:lang w:val="en-US"/>
        </w:rPr>
        <w:fldChar w:fldCharType="end"/>
      </w:r>
      <w:r w:rsidR="00FC345B">
        <w:rPr>
          <w:lang w:val="en-US"/>
        </w:rPr>
        <w:t xml:space="preserve">). </w:t>
      </w:r>
      <w:r w:rsidR="000416B9">
        <w:rPr>
          <w:lang w:val="en-US"/>
        </w:rPr>
        <w:t xml:space="preserve">Sequence coverage was corrected by GC content using a loess regression. </w:t>
      </w:r>
    </w:p>
    <w:p w14:paraId="4D1A088C" w14:textId="299AF020" w:rsidR="00BD568C" w:rsidRDefault="000416B9" w:rsidP="006A4AF1">
      <w:pPr>
        <w:rPr>
          <w:lang w:val="en-US"/>
        </w:rPr>
      </w:pPr>
      <w:r>
        <w:rPr>
          <w:lang w:val="en-US"/>
        </w:rPr>
        <w:t xml:space="preserve">The estimation of </w:t>
      </w:r>
      <w:proofErr w:type="spellStart"/>
      <w:r>
        <w:rPr>
          <w:lang w:val="en-US"/>
        </w:rPr>
        <w:t>mLOY</w:t>
      </w:r>
      <w:proofErr w:type="spellEnd"/>
      <w:r>
        <w:rPr>
          <w:lang w:val="en-US"/>
        </w:rPr>
        <w:t xml:space="preserve"> was performed by comparing the </w:t>
      </w:r>
      <w:r w:rsidR="00BD568C">
        <w:rPr>
          <w:lang w:val="en-US"/>
        </w:rPr>
        <w:t xml:space="preserve">median </w:t>
      </w:r>
      <w:r>
        <w:rPr>
          <w:lang w:val="en-US"/>
        </w:rPr>
        <w:t xml:space="preserve">read depth </w:t>
      </w:r>
      <w:r w:rsidR="00B72525">
        <w:rPr>
          <w:lang w:val="en-US"/>
        </w:rPr>
        <w:t>on</w:t>
      </w:r>
      <w:r>
        <w:rPr>
          <w:lang w:val="en-US"/>
        </w:rPr>
        <w:t xml:space="preserve"> chromosome Y in relation to the </w:t>
      </w:r>
      <w:r w:rsidR="003E0168">
        <w:rPr>
          <w:lang w:val="en-US"/>
        </w:rPr>
        <w:t>full genome (</w:t>
      </w:r>
      <w:r w:rsidR="00B72525">
        <w:rPr>
          <w:lang w:val="en-US"/>
        </w:rPr>
        <w:t xml:space="preserve">i.e., </w:t>
      </w:r>
      <w:proofErr w:type="spellStart"/>
      <w:r w:rsidR="00B72525">
        <w:rPr>
          <w:lang w:val="en-US"/>
        </w:rPr>
        <w:t>mLRR</w:t>
      </w:r>
      <w:proofErr w:type="spellEnd"/>
      <w:r w:rsidR="00B72525">
        <w:rPr>
          <w:lang w:val="en-US"/>
        </w:rPr>
        <w:t xml:space="preserve">-Y; </w:t>
      </w:r>
      <w:r w:rsidR="003E0168">
        <w:rPr>
          <w:lang w:val="en-US"/>
        </w:rPr>
        <w:t>citation)</w:t>
      </w:r>
      <w:r w:rsidR="00B72525">
        <w:rPr>
          <w:lang w:val="en-US"/>
        </w:rPr>
        <w:t>.</w:t>
      </w:r>
      <w:r w:rsidR="00BD568C">
        <w:rPr>
          <w:lang w:val="en-US"/>
        </w:rPr>
        <w:t xml:space="preserve"> </w:t>
      </w:r>
      <w:r w:rsidR="00B72525">
        <w:rPr>
          <w:lang w:val="en-US"/>
        </w:rPr>
        <w:t xml:space="preserve">Expected ploidies were </w:t>
      </w:r>
      <w:r w:rsidR="002B686B">
        <w:rPr>
          <w:lang w:val="en-US"/>
        </w:rPr>
        <w:t xml:space="preserve">obtained by multiplying individual </w:t>
      </w:r>
      <w:proofErr w:type="spellStart"/>
      <w:r w:rsidR="002B686B">
        <w:rPr>
          <w:lang w:val="en-US"/>
        </w:rPr>
        <w:t>mLRR</w:t>
      </w:r>
      <w:proofErr w:type="spellEnd"/>
      <w:r w:rsidR="002B686B">
        <w:rPr>
          <w:lang w:val="en-US"/>
        </w:rPr>
        <w:t xml:space="preserve">-Y estimates by two with the subsequent correction for batch effects using </w:t>
      </w:r>
      <w:r w:rsidR="00BD568C" w:rsidRPr="00BD568C">
        <w:rPr>
          <w:lang w:val="en-US"/>
        </w:rPr>
        <w:t xml:space="preserve">the local regression median from a kernel density estimation </w:t>
      </w:r>
      <w:r w:rsidR="00BD568C">
        <w:rPr>
          <w:lang w:val="en-US"/>
        </w:rPr>
        <w:t xml:space="preserve">(Danielsson et al., 2020, Forsberg et al., 2014, citation). </w:t>
      </w:r>
      <w:r w:rsidR="002B686B">
        <w:rPr>
          <w:lang w:val="en-US"/>
        </w:rPr>
        <w:t xml:space="preserve">Next, we determined the 99% confidence interval (CI) of expected chromosome Y ploidies and defined that samples that show chromosome Y ploidies </w:t>
      </w:r>
      <w:r w:rsidR="002B686B" w:rsidRPr="002B686B">
        <w:rPr>
          <w:u w:val="single"/>
          <w:lang w:val="en-US"/>
        </w:rPr>
        <w:t xml:space="preserve">&lt; </w:t>
      </w:r>
      <w:r w:rsidR="009E2CE6" w:rsidRPr="009E2CE6">
        <w:rPr>
          <w:b/>
          <w:bCs/>
          <w:u w:val="single"/>
          <w:lang w:val="en-US"/>
        </w:rPr>
        <w:t>0.7</w:t>
      </w:r>
      <w:r w:rsidR="00C05E34">
        <w:rPr>
          <w:b/>
          <w:bCs/>
          <w:u w:val="single"/>
          <w:lang w:val="en-US"/>
        </w:rPr>
        <w:t>6</w:t>
      </w:r>
      <w:r w:rsidR="002B686B">
        <w:rPr>
          <w:u w:val="single"/>
          <w:lang w:val="en-US"/>
        </w:rPr>
        <w:t xml:space="preserve"> </w:t>
      </w:r>
      <w:r w:rsidR="006A4AF1">
        <w:rPr>
          <w:u w:val="single"/>
          <w:lang w:val="en-US"/>
        </w:rPr>
        <w:t>(supplementary figure)</w:t>
      </w:r>
      <w:r w:rsidR="006A4AF1" w:rsidRPr="006A4AF1">
        <w:rPr>
          <w:lang w:val="en-US"/>
        </w:rPr>
        <w:t xml:space="preserve"> </w:t>
      </w:r>
      <w:r w:rsidR="002B686B">
        <w:rPr>
          <w:lang w:val="en-US"/>
        </w:rPr>
        <w:t xml:space="preserve">are deemed as </w:t>
      </w:r>
      <w:proofErr w:type="spellStart"/>
      <w:r w:rsidR="002B686B">
        <w:rPr>
          <w:lang w:val="en-US"/>
        </w:rPr>
        <w:t>mLOY</w:t>
      </w:r>
      <w:proofErr w:type="spellEnd"/>
      <w:r w:rsidR="006A4AF1">
        <w:rPr>
          <w:lang w:val="en-US"/>
        </w:rPr>
        <w:t xml:space="preserve">. Samples designates as </w:t>
      </w:r>
      <w:proofErr w:type="spellStart"/>
      <w:r w:rsidR="006A4AF1">
        <w:rPr>
          <w:lang w:val="en-US"/>
        </w:rPr>
        <w:t>mLOY</w:t>
      </w:r>
      <w:proofErr w:type="spellEnd"/>
      <w:r w:rsidR="006A4AF1">
        <w:rPr>
          <w:lang w:val="en-US"/>
        </w:rPr>
        <w:t xml:space="preserve"> were discarded and not included in chromosome Y loss studies. </w:t>
      </w:r>
    </w:p>
    <w:p w14:paraId="2996FD2C" w14:textId="77777777" w:rsidR="006A4AF1" w:rsidRDefault="006A4AF1" w:rsidP="006A4AF1">
      <w:pPr>
        <w:rPr>
          <w:lang w:val="en-US"/>
        </w:rPr>
      </w:pPr>
    </w:p>
    <w:p w14:paraId="239513BA" w14:textId="546A30CE" w:rsidR="002B686B" w:rsidRPr="00D93EE9" w:rsidRDefault="00985F88" w:rsidP="002B686B">
      <w:pPr>
        <w:rPr>
          <w:b/>
          <w:bCs/>
          <w:lang w:val="en-US"/>
        </w:rPr>
      </w:pPr>
      <w:r w:rsidRPr="00D93EE9">
        <w:rPr>
          <w:b/>
          <w:bCs/>
          <w:lang w:val="en-US"/>
        </w:rPr>
        <w:t>Determination of sequence coverage</w:t>
      </w:r>
    </w:p>
    <w:p w14:paraId="6C9694C4" w14:textId="5C3CAA45" w:rsidR="00D93EE9" w:rsidRDefault="00D93EE9" w:rsidP="00D93EE9">
      <w:pPr>
        <w:tabs>
          <w:tab w:val="left" w:pos="2554"/>
        </w:tabs>
        <w:jc w:val="both"/>
        <w:rPr>
          <w:lang w:val="en-US"/>
        </w:rPr>
      </w:pPr>
      <w:r>
        <w:rPr>
          <w:lang w:val="en-US"/>
        </w:rPr>
        <w:t>Gene annotations (</w:t>
      </w:r>
      <w:proofErr w:type="spellStart"/>
      <w:r>
        <w:rPr>
          <w:lang w:val="en-US"/>
        </w:rPr>
        <w:t>Ensembl</w:t>
      </w:r>
      <w:proofErr w:type="spellEnd"/>
      <w:r>
        <w:rPr>
          <w:lang w:val="en-US"/>
        </w:rPr>
        <w:t xml:space="preserve">, GRCh38.p3) of chromosome Y were obtained via </w:t>
      </w:r>
      <w:r w:rsidR="0016311D" w:rsidRPr="00604452">
        <w:rPr>
          <w:lang w:val="en-US"/>
        </w:rPr>
        <w:t xml:space="preserve">the R/Bioconductor package </w:t>
      </w:r>
      <w:proofErr w:type="spellStart"/>
      <w:r w:rsidR="0016311D" w:rsidRPr="00604452">
        <w:rPr>
          <w:lang w:val="en-US"/>
        </w:rPr>
        <w:t>biomaRt</w:t>
      </w:r>
      <w:proofErr w:type="spellEnd"/>
      <w:r w:rsidR="0016311D" w:rsidRPr="00604452">
        <w:rPr>
          <w:lang w:val="en-US"/>
        </w:rPr>
        <w:t xml:space="preserve"> </w:t>
      </w:r>
      <w:r w:rsidR="0016311D" w:rsidRPr="00604452">
        <w:rPr>
          <w:lang w:val="en-US"/>
        </w:rPr>
        <w:fldChar w:fldCharType="begin"/>
      </w:r>
      <w:r w:rsidR="0016311D" w:rsidRPr="00604452">
        <w:rPr>
          <w:lang w:val="en-US"/>
        </w:rPr>
        <w:instrText xml:space="preserve"> ADDIN ZOTERO_ITEM CSL_CITATION {"citationID":"Oj72vOXJ","properties":{"formattedCitation":"(Durinck et al., 2009)","plainCitation":"(Durinck et al., 2009)","noteIndex":0},"citationItems":[{"id":114,"uris":["http://zotero.org/users/local/ucxFFsR9/items/WDVK46NM"],"itemData":{"id":114,"type":"article-journal","abstract":"Genomic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integration.","container-title":"Nature Protocols","DOI":"10.1038/nprot.2009.97","ISSN":"1750-2799","issue":"8","journalAbbreviation":"Nat Protoc","language":"eng","note":"PMID: 19617889\nPMCID: PMC3159387","page":"1184-1191","source":"PubMed","title":"Mapping identifiers for the integration of genomic datasets with the R/Bioconductor package biomaRt","volume":"4","author":[{"family":"Durinck","given":"Steffen"},{"family":"Spellman","given":"Paul T."},{"family":"Birney","given":"Ewan"},{"family":"Huber","given":"Wolfgang"}],"issued":{"date-parts":[["2009"]]}}}],"schema":"https://github.com/citation-style-language/schema/raw/master/csl-citation.json"} </w:instrText>
      </w:r>
      <w:r w:rsidR="0016311D" w:rsidRPr="00604452">
        <w:rPr>
          <w:lang w:val="en-US"/>
        </w:rPr>
        <w:fldChar w:fldCharType="separate"/>
      </w:r>
      <w:r w:rsidR="0016311D" w:rsidRPr="00604452">
        <w:rPr>
          <w:lang w:val="en-US"/>
        </w:rPr>
        <w:t>(</w:t>
      </w:r>
      <w:proofErr w:type="spellStart"/>
      <w:r w:rsidR="0016311D" w:rsidRPr="00604452">
        <w:rPr>
          <w:lang w:val="en-US"/>
        </w:rPr>
        <w:t>Durinck</w:t>
      </w:r>
      <w:proofErr w:type="spellEnd"/>
      <w:r w:rsidR="0016311D" w:rsidRPr="00604452">
        <w:rPr>
          <w:lang w:val="en-US"/>
        </w:rPr>
        <w:t xml:space="preserve"> et al., 2009</w:t>
      </w:r>
      <w:r>
        <w:rPr>
          <w:lang w:val="en-US"/>
        </w:rPr>
        <w:t>, accession data 07/01/2022</w:t>
      </w:r>
      <w:r w:rsidR="0016311D" w:rsidRPr="00604452">
        <w:rPr>
          <w:lang w:val="en-US"/>
        </w:rPr>
        <w:t>)</w:t>
      </w:r>
      <w:r w:rsidR="0016311D" w:rsidRPr="00604452">
        <w:rPr>
          <w:lang w:val="en-US"/>
        </w:rPr>
        <w:fldChar w:fldCharType="end"/>
      </w:r>
      <w:r w:rsidR="0016311D" w:rsidRPr="00604452">
        <w:rPr>
          <w:lang w:val="en-US"/>
        </w:rPr>
        <w:t xml:space="preserve">. </w:t>
      </w:r>
      <w:r>
        <w:rPr>
          <w:lang w:val="en-US"/>
        </w:rPr>
        <w:t xml:space="preserve">We used the </w:t>
      </w:r>
      <w:proofErr w:type="spellStart"/>
      <w:r>
        <w:rPr>
          <w:lang w:val="en-US"/>
        </w:rPr>
        <w:t>liftover</w:t>
      </w:r>
      <w:proofErr w:type="spellEnd"/>
      <w:r>
        <w:rPr>
          <w:lang w:val="en-US"/>
        </w:rPr>
        <w:t>-tool (</w:t>
      </w:r>
      <w:hyperlink r:id="rId10" w:history="1">
        <w:r w:rsidRPr="00604452">
          <w:rPr>
            <w:lang w:val="en-US"/>
          </w:rPr>
          <w:t>https://genome.ucsc.edu/cgi-bin/hgLiftOver</w:t>
        </w:r>
      </w:hyperlink>
      <w:r w:rsidRPr="00604452">
        <w:rPr>
          <w:lang w:val="en-US"/>
        </w:rPr>
        <w:t>)</w:t>
      </w:r>
      <w:r>
        <w:rPr>
          <w:lang w:val="en-US"/>
        </w:rPr>
        <w:t xml:space="preserve"> to transfer given annotations to the GRCh37/hg19 coordinates. DNA elements with no distinct descriptions (HGNC) were excluded. </w:t>
      </w:r>
      <w:r w:rsidR="0016311D" w:rsidRPr="00604452">
        <w:rPr>
          <w:lang w:val="en-US"/>
        </w:rPr>
        <w:t xml:space="preserve">This approach yielded </w:t>
      </w:r>
      <w:r>
        <w:rPr>
          <w:lang w:val="en-US"/>
        </w:rPr>
        <w:t xml:space="preserve">annotations for </w:t>
      </w:r>
      <w:r w:rsidR="0016311D" w:rsidRPr="00604452">
        <w:rPr>
          <w:lang w:val="en-US"/>
        </w:rPr>
        <w:t>4</w:t>
      </w:r>
      <w:r w:rsidR="00604452">
        <w:rPr>
          <w:lang w:val="en-US"/>
        </w:rPr>
        <w:t>29</w:t>
      </w:r>
      <w:r w:rsidR="0016311D" w:rsidRPr="00604452">
        <w:rPr>
          <w:lang w:val="en-US"/>
        </w:rPr>
        <w:t xml:space="preserve"> transcriptional and non-transcriptional active elements. </w:t>
      </w:r>
      <w:r>
        <w:rPr>
          <w:lang w:val="en-US"/>
        </w:rPr>
        <w:t xml:space="preserve">We used </w:t>
      </w:r>
      <w:proofErr w:type="spellStart"/>
      <w:r>
        <w:rPr>
          <w:lang w:val="en-US"/>
        </w:rPr>
        <w:t>Rsamtools</w:t>
      </w:r>
      <w:proofErr w:type="spellEnd"/>
      <w:r>
        <w:rPr>
          <w:lang w:val="en-US"/>
        </w:rPr>
        <w:t xml:space="preserve"> </w:t>
      </w:r>
      <w:r w:rsidRPr="00604452">
        <w:rPr>
          <w:lang w:val="en-US"/>
        </w:rPr>
        <w:fldChar w:fldCharType="begin"/>
      </w:r>
      <w:r w:rsidRPr="00604452">
        <w:rPr>
          <w:lang w:val="en-US"/>
        </w:rPr>
        <w:instrText xml:space="preserve"> ADDIN ZOTERO_ITEM CSL_CITATION {"citationID":"shjlAlX5","properties":{"formattedCitation":"(Morgan et al., 2022)","plainCitation":"(Morgan et al., 2022)","noteIndex":0},"citationItems":[{"id":120,"uris":["http://zotero.org/users/local/ucxFFsR9/items/Z3S5RB8A"],"itemData":{"id":120,"type":"software","abstract":"This package provides an interface to the 'samtools', 'bcftools', and 'tabix' utilities for manipulating SAM (Sequence Alignment / Map), FASTA, binary variant call (BCF) and compressed indexed tab-delimited (tabix) files.","license":"Artistic-2.0 | file LICENSE","note":"DOI: 10.18129/B9.bioc.Rsamtools","publisher":"Bioconductor version: Release (3.15)","source":"Bioconductor","title":"Rsamtools: Binary alignment (BAM), FASTA, variant call (BCF), and tabix file import","title-short":"Rsamtools","URL":"https://bioconductor.org/packages/Rsamtools/","version":"2.12.0","author":[{"family":"Morgan","given":"Martin"},{"family":"Pagès","given":"Hervé"},{"family":"Obenchain","given":"Valerie"},{"family":"Hayden","given":"Nathaniel"}],"accessed":{"date-parts":[["2022",8,20]]},"issued":{"date-parts":[["2022"]]}}}],"schema":"https://github.com/citation-style-language/schema/raw/master/csl-citation.json"} </w:instrText>
      </w:r>
      <w:r w:rsidRPr="00604452">
        <w:rPr>
          <w:lang w:val="en-US"/>
        </w:rPr>
        <w:fldChar w:fldCharType="separate"/>
      </w:r>
      <w:r w:rsidRPr="00604452">
        <w:rPr>
          <w:lang w:val="en-US"/>
        </w:rPr>
        <w:t>(Morgan et al., 2022)</w:t>
      </w:r>
      <w:r w:rsidRPr="00604452">
        <w:rPr>
          <w:lang w:val="en-US"/>
        </w:rPr>
        <w:fldChar w:fldCharType="end"/>
      </w:r>
      <w:r>
        <w:rPr>
          <w:lang w:val="en-US"/>
        </w:rPr>
        <w:t xml:space="preserve"> to assess sequence coverage and mapping qualities at given genetic loci (n=429). For this purpose, we deployed the </w:t>
      </w:r>
      <w:proofErr w:type="spellStart"/>
      <w:r w:rsidRPr="00D93EE9">
        <w:rPr>
          <w:rFonts w:ascii="Courier New" w:hAnsi="Courier New" w:cs="Courier New"/>
          <w:lang w:val="en-US"/>
        </w:rPr>
        <w:t>scanBam</w:t>
      </w:r>
      <w:proofErr w:type="spellEnd"/>
      <w:r>
        <w:rPr>
          <w:lang w:val="en-US"/>
        </w:rPr>
        <w:t xml:space="preserve"> and </w:t>
      </w:r>
      <w:proofErr w:type="spellStart"/>
      <w:r w:rsidRPr="00D93EE9">
        <w:rPr>
          <w:rFonts w:ascii="Courier New" w:hAnsi="Courier New" w:cs="Courier New"/>
          <w:lang w:val="en-US"/>
        </w:rPr>
        <w:t>countBam</w:t>
      </w:r>
      <w:proofErr w:type="spellEnd"/>
      <w:r>
        <w:rPr>
          <w:lang w:val="en-US"/>
        </w:rPr>
        <w:t xml:space="preserve"> modules with flags</w:t>
      </w:r>
      <w:r w:rsidR="00140597">
        <w:rPr>
          <w:lang w:val="en-US"/>
        </w:rPr>
        <w:t xml:space="preserve">: </w:t>
      </w:r>
      <w:proofErr w:type="spellStart"/>
      <w:r w:rsidRPr="00140597">
        <w:rPr>
          <w:rFonts w:ascii="Courier New" w:hAnsi="Courier New" w:cs="Courier New"/>
          <w:lang w:val="en-US"/>
        </w:rPr>
        <w:t>isUnmappedQuery</w:t>
      </w:r>
      <w:proofErr w:type="spellEnd"/>
      <w:r w:rsidRPr="00140597">
        <w:rPr>
          <w:rFonts w:ascii="Courier New" w:hAnsi="Courier New" w:cs="Courier New"/>
          <w:lang w:val="en-US"/>
        </w:rPr>
        <w:t xml:space="preserve"> = FALSE,</w:t>
      </w:r>
      <w:r w:rsidRPr="00140597">
        <w:rPr>
          <w:rFonts w:ascii="Courier New" w:hAnsi="Courier New" w:cs="Courier New"/>
          <w:lang w:val="en-US"/>
        </w:rPr>
        <w:t xml:space="preserve"> </w:t>
      </w:r>
      <w:proofErr w:type="spellStart"/>
      <w:r w:rsidRPr="00140597">
        <w:rPr>
          <w:rFonts w:ascii="Courier New" w:hAnsi="Courier New" w:cs="Courier New"/>
          <w:lang w:val="en-US"/>
        </w:rPr>
        <w:t>isNotPassingQualityControls</w:t>
      </w:r>
      <w:proofErr w:type="spellEnd"/>
      <w:r w:rsidR="00140597" w:rsidRPr="00140597">
        <w:rPr>
          <w:rFonts w:ascii="Courier New" w:hAnsi="Courier New" w:cs="Courier New"/>
          <w:lang w:val="en-US"/>
        </w:rPr>
        <w:t xml:space="preserve"> </w:t>
      </w:r>
      <w:r w:rsidRPr="00140597">
        <w:rPr>
          <w:rFonts w:ascii="Courier New" w:hAnsi="Courier New" w:cs="Courier New"/>
          <w:lang w:val="en-US"/>
        </w:rPr>
        <w:t>= FALSE,</w:t>
      </w:r>
      <w:r w:rsidR="00140597" w:rsidRPr="00140597">
        <w:rPr>
          <w:rFonts w:ascii="Courier New" w:hAnsi="Courier New" w:cs="Courier New"/>
          <w:lang w:val="en-US"/>
        </w:rPr>
        <w:t xml:space="preserve"> </w:t>
      </w:r>
      <w:proofErr w:type="spellStart"/>
      <w:r w:rsidRPr="00140597">
        <w:rPr>
          <w:rFonts w:ascii="Courier New" w:hAnsi="Courier New" w:cs="Courier New"/>
          <w:lang w:val="en-US"/>
        </w:rPr>
        <w:t>isSecondaryAlignment</w:t>
      </w:r>
      <w:proofErr w:type="spellEnd"/>
      <w:r w:rsidRPr="00140597">
        <w:rPr>
          <w:rFonts w:ascii="Courier New" w:hAnsi="Courier New" w:cs="Courier New"/>
          <w:lang w:val="en-US"/>
        </w:rPr>
        <w:t xml:space="preserve"> = FALSE,</w:t>
      </w:r>
      <w:r w:rsidR="00140597" w:rsidRPr="00140597">
        <w:rPr>
          <w:rFonts w:ascii="Courier New" w:hAnsi="Courier New" w:cs="Courier New"/>
          <w:lang w:val="en-US"/>
        </w:rPr>
        <w:t xml:space="preserve"> </w:t>
      </w:r>
      <w:proofErr w:type="spellStart"/>
      <w:r w:rsidRPr="00140597">
        <w:rPr>
          <w:rFonts w:ascii="Courier New" w:hAnsi="Courier New" w:cs="Courier New"/>
          <w:lang w:val="en-US"/>
        </w:rPr>
        <w:t>isDuplicate</w:t>
      </w:r>
      <w:proofErr w:type="spellEnd"/>
      <w:r w:rsidRPr="00140597">
        <w:rPr>
          <w:rFonts w:ascii="Courier New" w:hAnsi="Courier New" w:cs="Courier New"/>
          <w:lang w:val="en-US"/>
        </w:rPr>
        <w:t xml:space="preserve"> = FALSE</w:t>
      </w:r>
      <w:r w:rsidR="00140597">
        <w:rPr>
          <w:lang w:val="en-US"/>
        </w:rPr>
        <w:t xml:space="preserve">. Subsequent read-depth data (i.e., count-matrices) from tumor/normal pairs were obtained using the </w:t>
      </w:r>
      <w:proofErr w:type="spellStart"/>
      <w:r w:rsidR="00140597">
        <w:rPr>
          <w:lang w:val="en-US"/>
        </w:rPr>
        <w:t>snp</w:t>
      </w:r>
      <w:proofErr w:type="spellEnd"/>
      <w:r w:rsidR="00140597">
        <w:rPr>
          <w:lang w:val="en-US"/>
        </w:rPr>
        <w:t xml:space="preserve">-pileup function using default parameters </w:t>
      </w:r>
      <w:r w:rsidR="00140597" w:rsidRPr="00140597">
        <w:rPr>
          <w:lang w:val="en-US"/>
        </w:rPr>
        <w:t>(</w:t>
      </w:r>
      <w:hyperlink r:id="rId11" w:history="1">
        <w:r w:rsidR="00140597" w:rsidRPr="00140597">
          <w:t>https://github.com/mskcc/htstools</w:t>
        </w:r>
      </w:hyperlink>
      <w:r w:rsidR="00140597" w:rsidRPr="00140597">
        <w:rPr>
          <w:lang w:val="en-US"/>
        </w:rPr>
        <w:t>).</w:t>
      </w:r>
      <w:r w:rsidR="00140597">
        <w:rPr>
          <w:lang w:val="en-US"/>
        </w:rPr>
        <w:t xml:space="preserve"> SNP locations were retrieved from the single nucleotide polymorphism database (</w:t>
      </w:r>
      <w:proofErr w:type="spellStart"/>
      <w:r w:rsidR="00140597">
        <w:rPr>
          <w:lang w:val="en-US"/>
        </w:rPr>
        <w:t>dbSNP</w:t>
      </w:r>
      <w:proofErr w:type="spellEnd"/>
      <w:r w:rsidR="00140597">
        <w:rPr>
          <w:lang w:val="en-US"/>
        </w:rPr>
        <w:t xml:space="preserve">) build 137 for humans. </w:t>
      </w:r>
    </w:p>
    <w:p w14:paraId="014E83F3" w14:textId="1E5CF023" w:rsidR="00BD568C" w:rsidRDefault="00BD568C">
      <w:pPr>
        <w:rPr>
          <w:lang w:val="en-US"/>
        </w:rPr>
      </w:pPr>
    </w:p>
    <w:p w14:paraId="6E7524BC" w14:textId="77777777" w:rsidR="00140597" w:rsidRDefault="00140597">
      <w:pPr>
        <w:rPr>
          <w:lang w:val="en-US"/>
        </w:rPr>
      </w:pPr>
    </w:p>
    <w:p w14:paraId="3DE681F1" w14:textId="064ADEB5" w:rsidR="00CD39EA" w:rsidRDefault="00CD39EA">
      <w:pPr>
        <w:rPr>
          <w:lang w:val="en-US"/>
        </w:rPr>
      </w:pPr>
      <w:r>
        <w:rPr>
          <w:lang w:val="en-US"/>
        </w:rPr>
        <w:br w:type="page"/>
      </w:r>
    </w:p>
    <w:p w14:paraId="0531140B" w14:textId="292559CC" w:rsidR="00CD39EA" w:rsidRPr="00CD39EA" w:rsidRDefault="00CD39EA" w:rsidP="00CD39EA">
      <w:pPr>
        <w:pStyle w:val="Caption"/>
        <w:keepNext/>
        <w:rPr>
          <w:i w:val="0"/>
          <w:iCs w:val="0"/>
          <w:color w:val="000000" w:themeColor="text1"/>
        </w:rPr>
      </w:pPr>
      <w:bookmarkStart w:id="0" w:name="_Ref121309251"/>
      <w:r w:rsidRPr="00CD39EA">
        <w:rPr>
          <w:i w:val="0"/>
          <w:iCs w:val="0"/>
          <w:color w:val="000000" w:themeColor="text1"/>
        </w:rPr>
        <w:lastRenderedPageBreak/>
        <w:t xml:space="preserve">Supplementary table </w:t>
      </w:r>
      <w:r w:rsidRPr="00CD39EA">
        <w:rPr>
          <w:i w:val="0"/>
          <w:iCs w:val="0"/>
          <w:color w:val="000000" w:themeColor="text1"/>
        </w:rPr>
        <w:fldChar w:fldCharType="begin"/>
      </w:r>
      <w:r w:rsidRPr="00CD39EA">
        <w:rPr>
          <w:i w:val="0"/>
          <w:iCs w:val="0"/>
          <w:color w:val="000000" w:themeColor="text1"/>
        </w:rPr>
        <w:instrText xml:space="preserve"> SEQ Supplementary_table \* ARABIC </w:instrText>
      </w:r>
      <w:r w:rsidRPr="00CD39EA">
        <w:rPr>
          <w:i w:val="0"/>
          <w:iCs w:val="0"/>
          <w:color w:val="000000" w:themeColor="text1"/>
        </w:rPr>
        <w:fldChar w:fldCharType="separate"/>
      </w:r>
      <w:r w:rsidRPr="00CD39EA">
        <w:rPr>
          <w:i w:val="0"/>
          <w:iCs w:val="0"/>
          <w:noProof/>
          <w:color w:val="000000" w:themeColor="text1"/>
        </w:rPr>
        <w:t>1</w:t>
      </w:r>
      <w:r w:rsidRPr="00CD39EA">
        <w:rPr>
          <w:i w:val="0"/>
          <w:iCs w:val="0"/>
          <w:color w:val="000000" w:themeColor="text1"/>
        </w:rPr>
        <w:fldChar w:fldCharType="end"/>
      </w:r>
      <w:bookmarkEnd w:id="0"/>
      <w:r w:rsidRPr="00CD39EA">
        <w:rPr>
          <w:i w:val="0"/>
          <w:iCs w:val="0"/>
          <w:color w:val="000000" w:themeColor="text1"/>
          <w:lang w:val="en-US"/>
        </w:rPr>
        <w:t xml:space="preserve">: Baits (tiling intervals) </w:t>
      </w:r>
      <w:r>
        <w:rPr>
          <w:i w:val="0"/>
          <w:iCs w:val="0"/>
          <w:color w:val="000000" w:themeColor="text1"/>
          <w:lang w:val="en-US"/>
        </w:rPr>
        <w:t xml:space="preserve">deployed for </w:t>
      </w:r>
      <w:r w:rsidRPr="00CD39EA">
        <w:rPr>
          <w:i w:val="0"/>
          <w:iCs w:val="0"/>
          <w:color w:val="000000" w:themeColor="text1"/>
          <w:lang w:val="en-US"/>
        </w:rPr>
        <w:t xml:space="preserve">chromosome Y </w:t>
      </w:r>
      <w:r>
        <w:rPr>
          <w:i w:val="0"/>
          <w:iCs w:val="0"/>
          <w:color w:val="000000" w:themeColor="text1"/>
          <w:lang w:val="en-US"/>
        </w:rPr>
        <w:t xml:space="preserve">DNA enrichment </w:t>
      </w:r>
      <w:r w:rsidRPr="00CD39EA">
        <w:rPr>
          <w:i w:val="0"/>
          <w:iCs w:val="0"/>
          <w:color w:val="000000" w:themeColor="text1"/>
          <w:lang w:val="en-US"/>
        </w:rPr>
        <w:t>for MSK-IMPACT gene panels 341, 410, 468 and 505</w:t>
      </w:r>
      <w:r>
        <w:rPr>
          <w:i w:val="0"/>
          <w:iCs w:val="0"/>
          <w:color w:val="000000" w:themeColor="text1"/>
          <w:lang w:val="en-US"/>
        </w:rPr>
        <w:t>.</w:t>
      </w:r>
    </w:p>
    <w:p w14:paraId="2316C87F" w14:textId="6495DAAF" w:rsidR="00B37A50" w:rsidRDefault="00CD39EA">
      <w:pPr>
        <w:rPr>
          <w:lang w:val="en-US"/>
        </w:rPr>
      </w:pPr>
      <w:r>
        <w:rPr>
          <w:noProof/>
          <w:lang w:val="en-US"/>
        </w:rPr>
        <w:drawing>
          <wp:inline distT="0" distB="0" distL="0" distR="0" wp14:anchorId="14B7AE53" wp14:editId="65A7526F">
            <wp:extent cx="2327114" cy="1502229"/>
            <wp:effectExtent l="0" t="0" r="0" b="0"/>
            <wp:docPr id="11" name="Picture 11"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 Exce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7556" cy="1528336"/>
                    </a:xfrm>
                    <a:prstGeom prst="rect">
                      <a:avLst/>
                    </a:prstGeom>
                  </pic:spPr>
                </pic:pic>
              </a:graphicData>
            </a:graphic>
          </wp:inline>
        </w:drawing>
      </w:r>
    </w:p>
    <w:p w14:paraId="63F35C1E" w14:textId="77777777" w:rsidR="009E2CE6" w:rsidRDefault="009E2CE6">
      <w:pPr>
        <w:rPr>
          <w:lang w:val="en-US"/>
        </w:rPr>
      </w:pPr>
    </w:p>
    <w:p w14:paraId="18EFC88D" w14:textId="77777777" w:rsidR="00687026" w:rsidRDefault="00A64CA9" w:rsidP="00687026">
      <w:pPr>
        <w:keepNext/>
      </w:pPr>
      <w:r>
        <w:rPr>
          <w:noProof/>
          <w:lang w:val="en-US"/>
        </w:rPr>
        <w:drawing>
          <wp:inline distT="0" distB="0" distL="0" distR="0" wp14:anchorId="23358359" wp14:editId="688869D1">
            <wp:extent cx="4222153" cy="2501462"/>
            <wp:effectExtent l="0" t="0" r="0" b="635"/>
            <wp:docPr id="1" name="Picture 1" descr="Graphical user interface, 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shape, polyg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3007" cy="2513817"/>
                    </a:xfrm>
                    <a:prstGeom prst="rect">
                      <a:avLst/>
                    </a:prstGeom>
                  </pic:spPr>
                </pic:pic>
              </a:graphicData>
            </a:graphic>
          </wp:inline>
        </w:drawing>
      </w:r>
    </w:p>
    <w:p w14:paraId="54A1E6BF" w14:textId="6AECBADF" w:rsidR="00687026" w:rsidRDefault="00687026" w:rsidP="00687026">
      <w:pPr>
        <w:pStyle w:val="Caption"/>
        <w:rPr>
          <w:i w:val="0"/>
          <w:iCs w:val="0"/>
          <w:color w:val="000000" w:themeColor="text1"/>
          <w:lang w:val="en-US"/>
        </w:rPr>
      </w:pPr>
      <w:r w:rsidRPr="006F7E92">
        <w:rPr>
          <w:i w:val="0"/>
          <w:iCs w:val="0"/>
          <w:color w:val="000000" w:themeColor="text1"/>
        </w:rPr>
        <w:t xml:space="preserve">Supplementary figure </w:t>
      </w:r>
      <w:r w:rsidRPr="006F7E92">
        <w:rPr>
          <w:i w:val="0"/>
          <w:iCs w:val="0"/>
          <w:color w:val="000000" w:themeColor="text1"/>
        </w:rPr>
        <w:fldChar w:fldCharType="begin"/>
      </w:r>
      <w:r w:rsidRPr="006F7E92">
        <w:rPr>
          <w:i w:val="0"/>
          <w:iCs w:val="0"/>
          <w:color w:val="000000" w:themeColor="text1"/>
        </w:rPr>
        <w:instrText xml:space="preserve"> SEQ Supplementary_figure \* ARABIC </w:instrText>
      </w:r>
      <w:r w:rsidRPr="006F7E92">
        <w:rPr>
          <w:i w:val="0"/>
          <w:iCs w:val="0"/>
          <w:color w:val="000000" w:themeColor="text1"/>
        </w:rPr>
        <w:fldChar w:fldCharType="separate"/>
      </w:r>
      <w:r w:rsidR="004E7E8D">
        <w:rPr>
          <w:i w:val="0"/>
          <w:iCs w:val="0"/>
          <w:noProof/>
          <w:color w:val="000000" w:themeColor="text1"/>
        </w:rPr>
        <w:t>1</w:t>
      </w:r>
      <w:r w:rsidRPr="006F7E92">
        <w:rPr>
          <w:i w:val="0"/>
          <w:iCs w:val="0"/>
          <w:color w:val="000000" w:themeColor="text1"/>
        </w:rPr>
        <w:fldChar w:fldCharType="end"/>
      </w:r>
      <w:r w:rsidRPr="006F7E92">
        <w:rPr>
          <w:i w:val="0"/>
          <w:iCs w:val="0"/>
          <w:color w:val="000000" w:themeColor="text1"/>
          <w:lang w:val="en-US"/>
        </w:rPr>
        <w:t xml:space="preserve">: </w:t>
      </w:r>
      <w:proofErr w:type="spellStart"/>
      <w:r w:rsidRPr="006F7E92">
        <w:rPr>
          <w:i w:val="0"/>
          <w:iCs w:val="0"/>
          <w:color w:val="000000" w:themeColor="text1"/>
          <w:lang w:val="en-US"/>
        </w:rPr>
        <w:t>mLOY</w:t>
      </w:r>
      <w:proofErr w:type="spellEnd"/>
      <w:r w:rsidRPr="006F7E92">
        <w:rPr>
          <w:i w:val="0"/>
          <w:iCs w:val="0"/>
          <w:color w:val="000000" w:themeColor="text1"/>
          <w:lang w:val="en-US"/>
        </w:rPr>
        <w:t xml:space="preserve"> estimation after accounting for experimental variation. </w:t>
      </w:r>
      <w:r w:rsidRPr="006F7E92">
        <w:rPr>
          <w:i w:val="0"/>
          <w:iCs w:val="0"/>
          <w:color w:val="000000" w:themeColor="text1"/>
          <w:lang w:val="en-US"/>
        </w:rPr>
        <w:t xml:space="preserve">Validation that chosen approach is correct. As an approximation chromosome 22 </w:t>
      </w:r>
      <w:r>
        <w:rPr>
          <w:i w:val="0"/>
          <w:iCs w:val="0"/>
          <w:color w:val="000000" w:themeColor="text1"/>
          <w:lang w:val="en-US"/>
        </w:rPr>
        <w:t xml:space="preserve">was chosen. </w:t>
      </w:r>
    </w:p>
    <w:p w14:paraId="0D00ACC9" w14:textId="77777777" w:rsidR="006F7E92" w:rsidRPr="006F7E92" w:rsidRDefault="006F7E92" w:rsidP="006F7E92">
      <w:pPr>
        <w:rPr>
          <w:lang w:val="en-US"/>
        </w:rPr>
      </w:pPr>
    </w:p>
    <w:p w14:paraId="3E96F730" w14:textId="77777777" w:rsidR="00687026" w:rsidRDefault="00687026" w:rsidP="00687026">
      <w:pPr>
        <w:keepNext/>
      </w:pPr>
      <w:r>
        <w:rPr>
          <w:noProof/>
          <w:lang w:val="en-US"/>
        </w:rPr>
        <w:drawing>
          <wp:inline distT="0" distB="0" distL="0" distR="0" wp14:anchorId="321BA3A1" wp14:editId="1BA73AD7">
            <wp:extent cx="3240276" cy="21001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241407" cy="2100912"/>
                    </a:xfrm>
                    <a:prstGeom prst="rect">
                      <a:avLst/>
                    </a:prstGeom>
                  </pic:spPr>
                </pic:pic>
              </a:graphicData>
            </a:graphic>
          </wp:inline>
        </w:drawing>
      </w:r>
    </w:p>
    <w:p w14:paraId="586526DC" w14:textId="00689453" w:rsidR="00687026" w:rsidRPr="006F7E92" w:rsidRDefault="00687026" w:rsidP="00687026">
      <w:pPr>
        <w:pStyle w:val="Caption"/>
        <w:rPr>
          <w:i w:val="0"/>
          <w:iCs w:val="0"/>
          <w:color w:val="000000" w:themeColor="text1"/>
          <w:lang w:val="en-US"/>
        </w:rPr>
      </w:pPr>
      <w:r w:rsidRPr="006F7E92">
        <w:rPr>
          <w:i w:val="0"/>
          <w:iCs w:val="0"/>
          <w:color w:val="000000" w:themeColor="text1"/>
        </w:rPr>
        <w:t xml:space="preserve">Supplementary figure </w:t>
      </w:r>
      <w:r w:rsidRPr="006F7E92">
        <w:rPr>
          <w:i w:val="0"/>
          <w:iCs w:val="0"/>
          <w:color w:val="000000" w:themeColor="text1"/>
        </w:rPr>
        <w:fldChar w:fldCharType="begin"/>
      </w:r>
      <w:r w:rsidRPr="006F7E92">
        <w:rPr>
          <w:i w:val="0"/>
          <w:iCs w:val="0"/>
          <w:color w:val="000000" w:themeColor="text1"/>
        </w:rPr>
        <w:instrText xml:space="preserve"> SEQ Supplementary_figure \* ARABIC </w:instrText>
      </w:r>
      <w:r w:rsidRPr="006F7E92">
        <w:rPr>
          <w:i w:val="0"/>
          <w:iCs w:val="0"/>
          <w:color w:val="000000" w:themeColor="text1"/>
        </w:rPr>
        <w:fldChar w:fldCharType="separate"/>
      </w:r>
      <w:r w:rsidR="004E7E8D">
        <w:rPr>
          <w:i w:val="0"/>
          <w:iCs w:val="0"/>
          <w:noProof/>
          <w:color w:val="000000" w:themeColor="text1"/>
        </w:rPr>
        <w:t>2</w:t>
      </w:r>
      <w:r w:rsidRPr="006F7E92">
        <w:rPr>
          <w:i w:val="0"/>
          <w:iCs w:val="0"/>
          <w:color w:val="000000" w:themeColor="text1"/>
        </w:rPr>
        <w:fldChar w:fldCharType="end"/>
      </w:r>
      <w:r w:rsidRPr="006F7E92">
        <w:rPr>
          <w:i w:val="0"/>
          <w:iCs w:val="0"/>
          <w:color w:val="000000" w:themeColor="text1"/>
          <w:lang w:val="en-US"/>
        </w:rPr>
        <w:t xml:space="preserve">: Somatic chromosome X decay is not associated with age. Plotted are age against individual </w:t>
      </w:r>
      <w:proofErr w:type="spellStart"/>
      <w:r w:rsidRPr="006F7E92">
        <w:rPr>
          <w:i w:val="0"/>
          <w:iCs w:val="0"/>
          <w:color w:val="000000" w:themeColor="text1"/>
          <w:lang w:val="en-US"/>
        </w:rPr>
        <w:t>mLRR</w:t>
      </w:r>
      <w:proofErr w:type="spellEnd"/>
      <w:r w:rsidRPr="006F7E92">
        <w:rPr>
          <w:i w:val="0"/>
          <w:iCs w:val="0"/>
          <w:color w:val="000000" w:themeColor="text1"/>
          <w:lang w:val="en-US"/>
        </w:rPr>
        <w:t xml:space="preserve">-X values. The blue curve was determined with a linear regression model showing no evidence of </w:t>
      </w:r>
      <w:r w:rsidR="006F7E92" w:rsidRPr="006F7E92">
        <w:rPr>
          <w:i w:val="0"/>
          <w:iCs w:val="0"/>
          <w:color w:val="000000" w:themeColor="text1"/>
          <w:lang w:val="en-US"/>
        </w:rPr>
        <w:t xml:space="preserve">a negative trend. </w:t>
      </w:r>
    </w:p>
    <w:p w14:paraId="6AAF21E6" w14:textId="77777777" w:rsidR="00852458" w:rsidRDefault="00852458" w:rsidP="00852458">
      <w:pPr>
        <w:keepNext/>
      </w:pPr>
      <w:r>
        <w:rPr>
          <w:noProof/>
          <w:sz w:val="22"/>
          <w:szCs w:val="22"/>
        </w:rPr>
        <w:lastRenderedPageBreak/>
        <w:drawing>
          <wp:inline distT="0" distB="0" distL="0" distR="0" wp14:anchorId="6214A525" wp14:editId="2C34E86F">
            <wp:extent cx="2484255" cy="1502946"/>
            <wp:effectExtent l="0" t="0" r="508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6397" cy="1576840"/>
                    </a:xfrm>
                    <a:prstGeom prst="rect">
                      <a:avLst/>
                    </a:prstGeom>
                  </pic:spPr>
                </pic:pic>
              </a:graphicData>
            </a:graphic>
          </wp:inline>
        </w:drawing>
      </w:r>
    </w:p>
    <w:p w14:paraId="140E46B0" w14:textId="04C5B003" w:rsidR="00907636" w:rsidRPr="004E7E8D" w:rsidRDefault="00852458" w:rsidP="004E7E8D">
      <w:pPr>
        <w:pStyle w:val="Caption"/>
        <w:rPr>
          <w:i w:val="0"/>
          <w:iCs w:val="0"/>
          <w:color w:val="000000" w:themeColor="text1"/>
          <w:lang w:val="en-US"/>
        </w:rPr>
      </w:pPr>
      <w:r w:rsidRPr="00852458">
        <w:rPr>
          <w:i w:val="0"/>
          <w:iCs w:val="0"/>
          <w:color w:val="000000" w:themeColor="text1"/>
        </w:rPr>
        <w:t xml:space="preserve">Supplementary figure </w:t>
      </w:r>
      <w:r w:rsidRPr="00852458">
        <w:rPr>
          <w:i w:val="0"/>
          <w:iCs w:val="0"/>
          <w:color w:val="000000" w:themeColor="text1"/>
        </w:rPr>
        <w:fldChar w:fldCharType="begin"/>
      </w:r>
      <w:r w:rsidRPr="00852458">
        <w:rPr>
          <w:i w:val="0"/>
          <w:iCs w:val="0"/>
          <w:color w:val="000000" w:themeColor="text1"/>
        </w:rPr>
        <w:instrText xml:space="preserve"> SEQ Supplementary_figure \* ARABIC </w:instrText>
      </w:r>
      <w:r w:rsidRPr="00852458">
        <w:rPr>
          <w:i w:val="0"/>
          <w:iCs w:val="0"/>
          <w:color w:val="000000" w:themeColor="text1"/>
        </w:rPr>
        <w:fldChar w:fldCharType="separate"/>
      </w:r>
      <w:r w:rsidR="004E7E8D">
        <w:rPr>
          <w:i w:val="0"/>
          <w:iCs w:val="0"/>
          <w:noProof/>
          <w:color w:val="000000" w:themeColor="text1"/>
        </w:rPr>
        <w:t>3</w:t>
      </w:r>
      <w:r w:rsidRPr="00852458">
        <w:rPr>
          <w:i w:val="0"/>
          <w:iCs w:val="0"/>
          <w:color w:val="000000" w:themeColor="text1"/>
        </w:rPr>
        <w:fldChar w:fldCharType="end"/>
      </w:r>
      <w:r w:rsidRPr="00852458">
        <w:rPr>
          <w:i w:val="0"/>
          <w:iCs w:val="0"/>
          <w:color w:val="000000" w:themeColor="text1"/>
          <w:lang w:val="en-US"/>
        </w:rPr>
        <w:t>: Sequence coverage of chromosome Y elements depending on sequencing gene-panel deployed. Gene panel IM3 depicts the initial release targeting 341 genes, whereas IM7 targets 505 genes.</w:t>
      </w:r>
    </w:p>
    <w:p w14:paraId="149E0F8F" w14:textId="77777777" w:rsidR="00907636" w:rsidRDefault="00907636" w:rsidP="00907636">
      <w:pPr>
        <w:keepNext/>
      </w:pPr>
      <w:r>
        <w:rPr>
          <w:noProof/>
        </w:rPr>
        <w:drawing>
          <wp:inline distT="0" distB="0" distL="0" distR="0" wp14:anchorId="546CBB7B" wp14:editId="2CDC5901">
            <wp:extent cx="4062202" cy="1647874"/>
            <wp:effectExtent l="0" t="0" r="1905" b="317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5937" cy="1657502"/>
                    </a:xfrm>
                    <a:prstGeom prst="rect">
                      <a:avLst/>
                    </a:prstGeom>
                  </pic:spPr>
                </pic:pic>
              </a:graphicData>
            </a:graphic>
          </wp:inline>
        </w:drawing>
      </w:r>
    </w:p>
    <w:p w14:paraId="473A5A3B" w14:textId="217765A6" w:rsidR="00907636" w:rsidRDefault="00907636" w:rsidP="00907636">
      <w:pPr>
        <w:pStyle w:val="Caption"/>
        <w:rPr>
          <w:i w:val="0"/>
          <w:iCs w:val="0"/>
          <w:color w:val="000000" w:themeColor="text1"/>
          <w:lang w:val="en-US"/>
        </w:rPr>
      </w:pPr>
      <w:r w:rsidRPr="00907636">
        <w:rPr>
          <w:i w:val="0"/>
          <w:iCs w:val="0"/>
          <w:color w:val="000000" w:themeColor="text1"/>
        </w:rPr>
        <w:t xml:space="preserve">Supplementary figure </w:t>
      </w:r>
      <w:r w:rsidRPr="00907636">
        <w:rPr>
          <w:i w:val="0"/>
          <w:iCs w:val="0"/>
          <w:color w:val="000000" w:themeColor="text1"/>
        </w:rPr>
        <w:fldChar w:fldCharType="begin"/>
      </w:r>
      <w:r w:rsidRPr="00907636">
        <w:rPr>
          <w:i w:val="0"/>
          <w:iCs w:val="0"/>
          <w:color w:val="000000" w:themeColor="text1"/>
        </w:rPr>
        <w:instrText xml:space="preserve"> SEQ Supplementary_figure \* ARABIC </w:instrText>
      </w:r>
      <w:r w:rsidRPr="00907636">
        <w:rPr>
          <w:i w:val="0"/>
          <w:iCs w:val="0"/>
          <w:color w:val="000000" w:themeColor="text1"/>
        </w:rPr>
        <w:fldChar w:fldCharType="separate"/>
      </w:r>
      <w:r w:rsidR="004E7E8D">
        <w:rPr>
          <w:i w:val="0"/>
          <w:iCs w:val="0"/>
          <w:noProof/>
          <w:color w:val="000000" w:themeColor="text1"/>
        </w:rPr>
        <w:t>4</w:t>
      </w:r>
      <w:r w:rsidRPr="00907636">
        <w:rPr>
          <w:i w:val="0"/>
          <w:iCs w:val="0"/>
          <w:color w:val="000000" w:themeColor="text1"/>
        </w:rPr>
        <w:fldChar w:fldCharType="end"/>
      </w:r>
      <w:r w:rsidRPr="00907636">
        <w:rPr>
          <w:i w:val="0"/>
          <w:iCs w:val="0"/>
          <w:color w:val="000000" w:themeColor="text1"/>
          <w:lang w:val="en-US"/>
        </w:rPr>
        <w:t xml:space="preserve">: </w:t>
      </w:r>
      <w:r w:rsidRPr="00907636">
        <w:rPr>
          <w:i w:val="0"/>
          <w:iCs w:val="0"/>
          <w:color w:val="000000" w:themeColor="text1"/>
          <w:lang w:val="en-US"/>
        </w:rPr>
        <w:t xml:space="preserve">WES-recapture </w:t>
      </w:r>
      <w:r w:rsidR="0010189E">
        <w:rPr>
          <w:i w:val="0"/>
          <w:iCs w:val="0"/>
          <w:color w:val="000000" w:themeColor="text1"/>
          <w:lang w:val="en-US"/>
        </w:rPr>
        <w:t>samples show</w:t>
      </w:r>
      <w:r w:rsidRPr="00907636">
        <w:rPr>
          <w:i w:val="0"/>
          <w:iCs w:val="0"/>
          <w:color w:val="000000" w:themeColor="text1"/>
          <w:lang w:val="en-US"/>
        </w:rPr>
        <w:t xml:space="preserve"> higher </w:t>
      </w:r>
      <w:r w:rsidR="0010189E">
        <w:rPr>
          <w:i w:val="0"/>
          <w:iCs w:val="0"/>
          <w:color w:val="000000" w:themeColor="text1"/>
          <w:lang w:val="en-US"/>
        </w:rPr>
        <w:t>per-base coverage</w:t>
      </w:r>
      <w:r w:rsidRPr="00907636">
        <w:rPr>
          <w:i w:val="0"/>
          <w:iCs w:val="0"/>
          <w:color w:val="000000" w:themeColor="text1"/>
          <w:lang w:val="en-US"/>
        </w:rPr>
        <w:t xml:space="preserve"> MSK-IMPACT samples. </w:t>
      </w:r>
      <w:r w:rsidRPr="00907636">
        <w:rPr>
          <w:b/>
          <w:bCs/>
          <w:i w:val="0"/>
          <w:iCs w:val="0"/>
          <w:color w:val="000000" w:themeColor="text1"/>
          <w:lang w:val="en-US"/>
        </w:rPr>
        <w:t xml:space="preserve">A) </w:t>
      </w:r>
      <w:r w:rsidRPr="00907636">
        <w:rPr>
          <w:i w:val="0"/>
          <w:iCs w:val="0"/>
          <w:color w:val="000000" w:themeColor="text1"/>
          <w:lang w:val="en-US"/>
        </w:rPr>
        <w:t xml:space="preserve">Grouped bar- and density charts showing the distribution of genomic loci on the Y-chromosome that are accessible for copy-number estimation stratified by sequencing strategy. </w:t>
      </w:r>
      <w:r w:rsidRPr="00907636">
        <w:rPr>
          <w:b/>
          <w:bCs/>
          <w:i w:val="0"/>
          <w:iCs w:val="0"/>
          <w:color w:val="000000" w:themeColor="text1"/>
          <w:lang w:val="en-US"/>
        </w:rPr>
        <w:t xml:space="preserve">B) </w:t>
      </w:r>
      <w:r w:rsidRPr="00907636">
        <w:rPr>
          <w:i w:val="0"/>
          <w:iCs w:val="0"/>
          <w:color w:val="000000" w:themeColor="text1"/>
          <w:lang w:val="en-US"/>
        </w:rPr>
        <w:t xml:space="preserve">Bar-chart showing the percentage of protein coding genes (total of 78 protein coding genes) that are covered by either of the sequencing strategies deployed for the validation approach. The black line indicates the 95% CI. Note that, although theoretically 100% of protein coding genes should be covered within WES-recaptured samples, this was never realized to due difficulties in short-read sequence alignments to the Y-chromosome (see section 1 and </w:t>
      </w:r>
      <w:r>
        <w:rPr>
          <w:i w:val="0"/>
          <w:iCs w:val="0"/>
          <w:color w:val="000000" w:themeColor="text1"/>
          <w:lang w:val="en-US"/>
        </w:rPr>
        <w:fldChar w:fldCharType="begin"/>
      </w:r>
      <w:r>
        <w:rPr>
          <w:i w:val="0"/>
          <w:iCs w:val="0"/>
          <w:color w:val="000000" w:themeColor="text1"/>
          <w:lang w:val="en-US"/>
        </w:rPr>
        <w:instrText xml:space="preserve"> REF _Ref112056191 \h </w:instrText>
      </w:r>
      <w:r>
        <w:rPr>
          <w:i w:val="0"/>
          <w:iCs w:val="0"/>
          <w:color w:val="000000" w:themeColor="text1"/>
          <w:lang w:val="en-US"/>
        </w:rPr>
      </w:r>
      <w:r>
        <w:rPr>
          <w:i w:val="0"/>
          <w:iCs w:val="0"/>
          <w:color w:val="000000" w:themeColor="text1"/>
          <w:lang w:val="en-US"/>
        </w:rPr>
        <w:fldChar w:fldCharType="separate"/>
      </w:r>
      <w:r w:rsidRPr="00FC4905">
        <w:rPr>
          <w:i w:val="0"/>
          <w:iCs w:val="0"/>
          <w:color w:val="000000" w:themeColor="text1"/>
        </w:rPr>
        <w:t xml:space="preserve">Figure </w:t>
      </w:r>
      <w:r w:rsidRPr="00FC4905">
        <w:rPr>
          <w:i w:val="0"/>
          <w:iCs w:val="0"/>
          <w:noProof/>
          <w:color w:val="000000" w:themeColor="text1"/>
        </w:rPr>
        <w:t>1</w:t>
      </w:r>
      <w:r>
        <w:rPr>
          <w:i w:val="0"/>
          <w:iCs w:val="0"/>
          <w:color w:val="000000" w:themeColor="text1"/>
          <w:lang w:val="en-US"/>
        </w:rPr>
        <w:fldChar w:fldCharType="end"/>
      </w:r>
      <w:r>
        <w:rPr>
          <w:i w:val="0"/>
          <w:iCs w:val="0"/>
          <w:color w:val="000000" w:themeColor="text1"/>
          <w:lang w:val="en-US"/>
        </w:rPr>
        <w:t xml:space="preserve"> for details). </w:t>
      </w:r>
    </w:p>
    <w:p w14:paraId="19C8927C" w14:textId="77777777" w:rsidR="004E7E8D" w:rsidRDefault="004E7E8D" w:rsidP="004E7E8D">
      <w:pPr>
        <w:keepNext/>
      </w:pPr>
      <w:r>
        <w:rPr>
          <w:noProof/>
          <w:lang w:val="en-US"/>
        </w:rPr>
        <w:drawing>
          <wp:inline distT="0" distB="0" distL="0" distR="0" wp14:anchorId="165F4FA9" wp14:editId="5F0F29A2">
            <wp:extent cx="3673784" cy="2125662"/>
            <wp:effectExtent l="0" t="0" r="0" b="0"/>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3208" cy="2142687"/>
                    </a:xfrm>
                    <a:prstGeom prst="rect">
                      <a:avLst/>
                    </a:prstGeom>
                  </pic:spPr>
                </pic:pic>
              </a:graphicData>
            </a:graphic>
          </wp:inline>
        </w:drawing>
      </w:r>
    </w:p>
    <w:p w14:paraId="14297E44" w14:textId="77777777" w:rsidR="004E7E8D" w:rsidRPr="004E7E8D" w:rsidRDefault="004E7E8D" w:rsidP="004E7E8D">
      <w:pPr>
        <w:pStyle w:val="Caption"/>
        <w:rPr>
          <w:i w:val="0"/>
          <w:iCs w:val="0"/>
          <w:color w:val="000000" w:themeColor="text1"/>
          <w:lang w:val="en-US"/>
        </w:rPr>
      </w:pPr>
      <w:r w:rsidRPr="004E7E8D">
        <w:rPr>
          <w:i w:val="0"/>
          <w:iCs w:val="0"/>
          <w:color w:val="000000" w:themeColor="text1"/>
        </w:rPr>
        <w:t xml:space="preserve">Supplementary figure </w:t>
      </w:r>
      <w:r w:rsidRPr="004E7E8D">
        <w:rPr>
          <w:i w:val="0"/>
          <w:iCs w:val="0"/>
          <w:color w:val="000000" w:themeColor="text1"/>
        </w:rPr>
        <w:fldChar w:fldCharType="begin"/>
      </w:r>
      <w:r w:rsidRPr="004E7E8D">
        <w:rPr>
          <w:i w:val="0"/>
          <w:iCs w:val="0"/>
          <w:color w:val="000000" w:themeColor="text1"/>
        </w:rPr>
        <w:instrText xml:space="preserve"> SEQ Supplementary_figure \* ARABIC </w:instrText>
      </w:r>
      <w:r w:rsidRPr="004E7E8D">
        <w:rPr>
          <w:i w:val="0"/>
          <w:iCs w:val="0"/>
          <w:color w:val="000000" w:themeColor="text1"/>
        </w:rPr>
        <w:fldChar w:fldCharType="separate"/>
      </w:r>
      <w:r w:rsidRPr="004E7E8D">
        <w:rPr>
          <w:i w:val="0"/>
          <w:iCs w:val="0"/>
          <w:noProof/>
          <w:color w:val="000000" w:themeColor="text1"/>
        </w:rPr>
        <w:t>5</w:t>
      </w:r>
      <w:r w:rsidRPr="004E7E8D">
        <w:rPr>
          <w:i w:val="0"/>
          <w:iCs w:val="0"/>
          <w:color w:val="000000" w:themeColor="text1"/>
        </w:rPr>
        <w:fldChar w:fldCharType="end"/>
      </w:r>
      <w:r w:rsidRPr="004E7E8D">
        <w:rPr>
          <w:i w:val="0"/>
          <w:iCs w:val="0"/>
          <w:color w:val="000000" w:themeColor="text1"/>
          <w:lang w:val="en-US"/>
        </w:rPr>
        <w:t xml:space="preserve">: </w:t>
      </w:r>
      <w:r w:rsidRPr="004E7E8D">
        <w:rPr>
          <w:i w:val="0"/>
          <w:iCs w:val="0"/>
          <w:color w:val="000000" w:themeColor="text1"/>
          <w:lang w:val="en-US"/>
        </w:rPr>
        <w:t xml:space="preserve">Exemplary tumor sample (P-0019114-T01-IM6) showing the reason for the disagreement between the </w:t>
      </w:r>
      <w:proofErr w:type="spellStart"/>
      <w:r w:rsidRPr="004E7E8D">
        <w:rPr>
          <w:i w:val="0"/>
          <w:iCs w:val="0"/>
          <w:color w:val="000000" w:themeColor="text1"/>
          <w:lang w:val="en-US"/>
        </w:rPr>
        <w:t>CnLR</w:t>
      </w:r>
      <w:proofErr w:type="spellEnd"/>
      <w:r w:rsidRPr="004E7E8D">
        <w:rPr>
          <w:i w:val="0"/>
          <w:iCs w:val="0"/>
          <w:color w:val="000000" w:themeColor="text1"/>
          <w:lang w:val="en-US"/>
        </w:rPr>
        <w:t xml:space="preserve"> estimates form either MSK-IMPACT or WES-recapture sequencing experiments. </w:t>
      </w:r>
      <w:r w:rsidRPr="004E7E8D">
        <w:rPr>
          <w:b/>
          <w:bCs/>
          <w:i w:val="0"/>
          <w:iCs w:val="0"/>
          <w:color w:val="000000" w:themeColor="text1"/>
          <w:lang w:val="en-US"/>
        </w:rPr>
        <w:t>A)</w:t>
      </w:r>
      <w:r w:rsidRPr="004E7E8D">
        <w:rPr>
          <w:i w:val="0"/>
          <w:iCs w:val="0"/>
          <w:color w:val="000000" w:themeColor="text1"/>
          <w:lang w:val="en-US"/>
        </w:rPr>
        <w:t xml:space="preserve"> Individual </w:t>
      </w:r>
      <w:proofErr w:type="spellStart"/>
      <w:r w:rsidRPr="004E7E8D">
        <w:rPr>
          <w:i w:val="0"/>
          <w:iCs w:val="0"/>
          <w:color w:val="000000" w:themeColor="text1"/>
          <w:lang w:val="en-US"/>
        </w:rPr>
        <w:t>CnLR</w:t>
      </w:r>
      <w:proofErr w:type="spellEnd"/>
      <w:r w:rsidRPr="004E7E8D">
        <w:rPr>
          <w:i w:val="0"/>
          <w:iCs w:val="0"/>
          <w:color w:val="000000" w:themeColor="text1"/>
          <w:lang w:val="en-US"/>
        </w:rPr>
        <w:t xml:space="preserve"> estimates (y-axis) across the Y-chromosome (x-axis). </w:t>
      </w:r>
      <w:r w:rsidRPr="004E7E8D">
        <w:rPr>
          <w:b/>
          <w:bCs/>
          <w:i w:val="0"/>
          <w:iCs w:val="0"/>
          <w:color w:val="000000" w:themeColor="text1"/>
          <w:lang w:val="en-US"/>
        </w:rPr>
        <w:t xml:space="preserve">B) </w:t>
      </w:r>
      <w:r w:rsidRPr="004E7E8D">
        <w:rPr>
          <w:i w:val="0"/>
          <w:iCs w:val="0"/>
          <w:color w:val="000000" w:themeColor="text1"/>
          <w:lang w:val="en-US"/>
        </w:rPr>
        <w:t xml:space="preserve">Matched WES-recaptured sample showing likewise the </w:t>
      </w:r>
      <w:proofErr w:type="spellStart"/>
      <w:r w:rsidRPr="004E7E8D">
        <w:rPr>
          <w:i w:val="0"/>
          <w:iCs w:val="0"/>
          <w:color w:val="000000" w:themeColor="text1"/>
          <w:lang w:val="en-US"/>
        </w:rPr>
        <w:t>CnLR</w:t>
      </w:r>
      <w:proofErr w:type="spellEnd"/>
      <w:r w:rsidRPr="004E7E8D">
        <w:rPr>
          <w:i w:val="0"/>
          <w:iCs w:val="0"/>
          <w:color w:val="000000" w:themeColor="text1"/>
          <w:lang w:val="en-US"/>
        </w:rPr>
        <w:t xml:space="preserve"> estimates on the y-axis whereas respective Y-chromosome coordinates are depicted on the x-axis. Grey as well as turquoise lines in both plots depicts local averages. Importantly, since we used the median across the whole Y-chromosome to approximate the copy-number, this metric is highly dependent on number of individual observations. As this example clearly shows, we see two regions with two different copy-number states. The grey line indicates a region of length 12.65 Mb [range: 2.655 – 15.372 Mb] with a median </w:t>
      </w:r>
      <w:proofErr w:type="spellStart"/>
      <w:r w:rsidRPr="004E7E8D">
        <w:rPr>
          <w:i w:val="0"/>
          <w:iCs w:val="0"/>
          <w:color w:val="000000" w:themeColor="text1"/>
          <w:lang w:val="en-US"/>
        </w:rPr>
        <w:t>CnLR</w:t>
      </w:r>
      <w:proofErr w:type="spellEnd"/>
      <w:r w:rsidRPr="004E7E8D">
        <w:rPr>
          <w:i w:val="0"/>
          <w:iCs w:val="0"/>
          <w:color w:val="000000" w:themeColor="text1"/>
          <w:lang w:val="en-US"/>
        </w:rPr>
        <w:t xml:space="preserve"> of -0.238 for the MSK-IMPACT sequenced sample. Likewise, for the WES-recaptured sample a region of 12.76 [range: 2.655-15.41 Mb] with a median </w:t>
      </w:r>
      <w:proofErr w:type="spellStart"/>
      <w:r w:rsidRPr="004E7E8D">
        <w:rPr>
          <w:i w:val="0"/>
          <w:iCs w:val="0"/>
          <w:color w:val="000000" w:themeColor="text1"/>
          <w:lang w:val="en-US"/>
        </w:rPr>
        <w:t>CnLR</w:t>
      </w:r>
      <w:proofErr w:type="spellEnd"/>
      <w:r w:rsidRPr="004E7E8D">
        <w:rPr>
          <w:i w:val="0"/>
          <w:iCs w:val="0"/>
          <w:color w:val="000000" w:themeColor="text1"/>
          <w:lang w:val="en-US"/>
        </w:rPr>
        <w:t xml:space="preserve"> of -0.36 was obtained. The second segment clearly indicates a loss in both sequencing strategies. However, since the genomic loci content for WES-recaptured samples is much higher and the central tendency was assessed with the median, we see why we observed different central estimates although we made the same observations. This mitigates the problem with outliers in Figure 2B. </w:t>
      </w:r>
    </w:p>
    <w:p w14:paraId="7368626D" w14:textId="16DDBD4A" w:rsidR="004E7E8D" w:rsidRPr="004E7E8D" w:rsidRDefault="004E7E8D" w:rsidP="004E7E8D">
      <w:pPr>
        <w:pStyle w:val="Caption"/>
        <w:rPr>
          <w:lang w:val="en-US"/>
        </w:rPr>
      </w:pPr>
    </w:p>
    <w:sectPr w:rsidR="004E7E8D" w:rsidRPr="004E7E8D" w:rsidSect="00612D7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32E33"/>
    <w:multiLevelType w:val="hybridMultilevel"/>
    <w:tmpl w:val="4978E938"/>
    <w:lvl w:ilvl="0" w:tplc="2248A65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4502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3DC"/>
    <w:rsid w:val="000416B9"/>
    <w:rsid w:val="000A5D0F"/>
    <w:rsid w:val="000B10BB"/>
    <w:rsid w:val="000F75DB"/>
    <w:rsid w:val="0010189E"/>
    <w:rsid w:val="00140597"/>
    <w:rsid w:val="00142650"/>
    <w:rsid w:val="0016311D"/>
    <w:rsid w:val="001B79AA"/>
    <w:rsid w:val="002B686B"/>
    <w:rsid w:val="0032041F"/>
    <w:rsid w:val="003939BD"/>
    <w:rsid w:val="003E0168"/>
    <w:rsid w:val="0042770D"/>
    <w:rsid w:val="004709DC"/>
    <w:rsid w:val="004A2353"/>
    <w:rsid w:val="004B2E55"/>
    <w:rsid w:val="004D62EB"/>
    <w:rsid w:val="004E7E8D"/>
    <w:rsid w:val="0053100B"/>
    <w:rsid w:val="00553D54"/>
    <w:rsid w:val="00567335"/>
    <w:rsid w:val="00596407"/>
    <w:rsid w:val="00604452"/>
    <w:rsid w:val="00612D70"/>
    <w:rsid w:val="006662D9"/>
    <w:rsid w:val="00687026"/>
    <w:rsid w:val="006A4AF1"/>
    <w:rsid w:val="006B0D3D"/>
    <w:rsid w:val="006F7B40"/>
    <w:rsid w:val="006F7E92"/>
    <w:rsid w:val="00724EC1"/>
    <w:rsid w:val="007953DC"/>
    <w:rsid w:val="00852458"/>
    <w:rsid w:val="00907636"/>
    <w:rsid w:val="0091056B"/>
    <w:rsid w:val="009237A6"/>
    <w:rsid w:val="00934208"/>
    <w:rsid w:val="00971054"/>
    <w:rsid w:val="00985F88"/>
    <w:rsid w:val="009E2CE6"/>
    <w:rsid w:val="009F027D"/>
    <w:rsid w:val="00A336BE"/>
    <w:rsid w:val="00A4083B"/>
    <w:rsid w:val="00A64CA9"/>
    <w:rsid w:val="00A809A9"/>
    <w:rsid w:val="00B37A50"/>
    <w:rsid w:val="00B52961"/>
    <w:rsid w:val="00B72525"/>
    <w:rsid w:val="00B94CA1"/>
    <w:rsid w:val="00BA755C"/>
    <w:rsid w:val="00BC4486"/>
    <w:rsid w:val="00BD568C"/>
    <w:rsid w:val="00C05E34"/>
    <w:rsid w:val="00C23836"/>
    <w:rsid w:val="00C65A2F"/>
    <w:rsid w:val="00CD061E"/>
    <w:rsid w:val="00CD39EA"/>
    <w:rsid w:val="00D03E8D"/>
    <w:rsid w:val="00D93EE9"/>
    <w:rsid w:val="00D9413A"/>
    <w:rsid w:val="00D942E0"/>
    <w:rsid w:val="00DB4F5E"/>
    <w:rsid w:val="00DD0A85"/>
    <w:rsid w:val="00E16C66"/>
    <w:rsid w:val="00E32139"/>
    <w:rsid w:val="00F079C0"/>
    <w:rsid w:val="00F46303"/>
    <w:rsid w:val="00FC345B"/>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9A08E"/>
  <w15:chartTrackingRefBased/>
  <w15:docId w15:val="{049885D0-5DBA-1D4A-95DF-51519B92F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Cover"/>
    <w:basedOn w:val="Normal"/>
    <w:next w:val="Normal"/>
    <w:link w:val="Heading1Char"/>
    <w:uiPriority w:val="9"/>
    <w:qFormat/>
    <w:rsid w:val="00971054"/>
    <w:pPr>
      <w:keepNext/>
      <w:keepLines/>
      <w:spacing w:before="240" w:after="120" w:line="360" w:lineRule="auto"/>
      <w:jc w:val="both"/>
      <w:outlineLvl w:val="0"/>
    </w:pPr>
    <w:rPr>
      <w:rFonts w:ascii="Times New Roman" w:eastAsiaTheme="majorEastAsia" w:hAnsi="Times New Roman"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over Char"/>
    <w:basedOn w:val="DefaultParagraphFont"/>
    <w:link w:val="Heading1"/>
    <w:uiPriority w:val="9"/>
    <w:rsid w:val="00971054"/>
    <w:rPr>
      <w:rFonts w:ascii="Times New Roman" w:eastAsiaTheme="majorEastAsia" w:hAnsi="Times New Roman" w:cstheme="majorBidi"/>
      <w:b/>
      <w:color w:val="000000" w:themeColor="text1"/>
      <w:sz w:val="28"/>
      <w:szCs w:val="32"/>
    </w:rPr>
  </w:style>
  <w:style w:type="character" w:styleId="Hyperlink">
    <w:name w:val="Hyperlink"/>
    <w:basedOn w:val="DefaultParagraphFont"/>
    <w:uiPriority w:val="99"/>
    <w:unhideWhenUsed/>
    <w:rsid w:val="00553D54"/>
    <w:rPr>
      <w:color w:val="0000FF"/>
      <w:u w:val="single"/>
    </w:rPr>
  </w:style>
  <w:style w:type="paragraph" w:styleId="Caption">
    <w:name w:val="caption"/>
    <w:basedOn w:val="Normal"/>
    <w:next w:val="Normal"/>
    <w:uiPriority w:val="35"/>
    <w:unhideWhenUsed/>
    <w:qFormat/>
    <w:rsid w:val="00CD39EA"/>
    <w:pPr>
      <w:spacing w:after="200"/>
    </w:pPr>
    <w:rPr>
      <w:i/>
      <w:iCs/>
      <w:color w:val="44546A" w:themeColor="text2"/>
      <w:sz w:val="18"/>
      <w:szCs w:val="18"/>
    </w:rPr>
  </w:style>
  <w:style w:type="paragraph" w:styleId="ListParagraph">
    <w:name w:val="List Paragraph"/>
    <w:basedOn w:val="Normal"/>
    <w:uiPriority w:val="34"/>
    <w:qFormat/>
    <w:rsid w:val="006662D9"/>
    <w:pPr>
      <w:ind w:left="720"/>
      <w:contextualSpacing/>
    </w:pPr>
  </w:style>
  <w:style w:type="character" w:styleId="UnresolvedMention">
    <w:name w:val="Unresolved Mention"/>
    <w:basedOn w:val="DefaultParagraphFont"/>
    <w:uiPriority w:val="99"/>
    <w:semiHidden/>
    <w:unhideWhenUsed/>
    <w:rsid w:val="00D941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www.cbioportal.org/oncotree/" TargetMode="External"/><Relationship Id="rId11" Type="http://schemas.openxmlformats.org/officeDocument/2006/relationships/hyperlink" Target="https://github.com/mskcc/htstools"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enome.ucsc.edu/cgi-bin/hgLiftOver"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ykong2.github.io/MADSEQ/"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EC241-0A13-6B4F-B843-74EB14908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7</Pages>
  <Words>3945</Words>
  <Characters>22491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S10687</dc:creator>
  <cp:keywords/>
  <dc:description/>
  <cp:lastModifiedBy>S10687</cp:lastModifiedBy>
  <cp:revision>16</cp:revision>
  <dcterms:created xsi:type="dcterms:W3CDTF">2022-12-02T15:06:00Z</dcterms:created>
  <dcterms:modified xsi:type="dcterms:W3CDTF">2022-12-15T10:55:00Z</dcterms:modified>
</cp:coreProperties>
</file>