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E0FB" w14:textId="1C634292" w:rsidR="00625159" w:rsidRDefault="00000000" w:rsidP="00C933D5">
      <w:pPr>
        <w:pStyle w:val="Title"/>
      </w:pPr>
      <w:r>
        <w:t>Jahres</w:t>
      </w:r>
      <w:r w:rsidR="00C933D5">
        <w:t>abschluss</w:t>
      </w:r>
      <w:r>
        <w:t xml:space="preserve">bericht </w:t>
      </w:r>
      <w:r w:rsidR="00BE15B5">
        <w:t xml:space="preserve">für </w:t>
      </w:r>
      <w:r w:rsidR="00FA3810">
        <w:t>Mama &amp; Papa</w:t>
      </w:r>
    </w:p>
    <w:p w14:paraId="1FEF17FD" w14:textId="1342899F" w:rsidR="00625159" w:rsidRDefault="00000000" w:rsidP="00C933D5">
      <w:pPr>
        <w:pStyle w:val="Heading2"/>
      </w:pPr>
      <w:r>
        <w:t>Alle Kurse per 21.12.25</w:t>
      </w:r>
    </w:p>
    <w:p w14:paraId="32780101" w14:textId="77777777" w:rsidR="00625159" w:rsidRDefault="00625159"/>
    <w:p w14:paraId="52E63B08" w14:textId="3EFE68DF" w:rsidR="00625159" w:rsidRDefault="00000000" w:rsidP="00C933D5">
      <w:pPr>
        <w:pStyle w:val="Heading1"/>
      </w:pPr>
      <w:r>
        <w:t>Jahresrückblick 2025 und Performance-Update</w:t>
      </w:r>
    </w:p>
    <w:p w14:paraId="657374DA" w14:textId="12048282" w:rsidR="00625159" w:rsidRDefault="00000000">
      <w:r>
        <w:rPr>
          <w:rFonts w:ascii="Helvetica Light" w:hAnsi="Helvetica Light" w:cs="Helvetica Light"/>
        </w:rPr>
        <w:t xml:space="preserve">Zum Abschluss des Jahres 2025 habe ich einen Überblick über die </w:t>
      </w:r>
      <w:r w:rsidR="00C933D5">
        <w:rPr>
          <w:rFonts w:ascii="Helvetica Light" w:hAnsi="Helvetica Light" w:cs="Helvetica Light"/>
        </w:rPr>
        <w:t xml:space="preserve">diesjährigen </w:t>
      </w:r>
      <w:r>
        <w:rPr>
          <w:rFonts w:ascii="Helvetica Light" w:hAnsi="Helvetica Light" w:cs="Helvetica Light"/>
        </w:rPr>
        <w:t>Aktienrenditen zusammengestellt. Insgesamt war die Portfolioperformance 2025 sehr stark mit einer Gesamtrendite von 37,93 %. Zum Vergleich: Der S&amp;P 500 erzielte 16,46 % und der MSCI World, ein diversifizierter Index großer Aktienunternehmen weltweit, 19,41 %.</w:t>
      </w:r>
    </w:p>
    <w:p w14:paraId="1956ABF6" w14:textId="7FA3CB12" w:rsidR="00625159" w:rsidRDefault="00C933D5">
      <w:r w:rsidRPr="003F4A85">
        <w:drawing>
          <wp:inline distT="0" distB="0" distL="0" distR="0" wp14:anchorId="49B25C29" wp14:editId="5A867D04">
            <wp:extent cx="5731510" cy="3439160"/>
            <wp:effectExtent l="0" t="0" r="0" b="2540"/>
            <wp:docPr id="1478841551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41551" name="Picture 1" descr="A graph of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4959" w14:textId="77777777" w:rsidR="00C933D5" w:rsidRDefault="00C933D5"/>
    <w:p w14:paraId="2D0FAAE6" w14:textId="77777777" w:rsidR="00625159" w:rsidRDefault="00000000" w:rsidP="00C933D5">
      <w:pPr>
        <w:pStyle w:val="Heading1"/>
      </w:pPr>
      <w:r>
        <w:t>Marktumfeld</w:t>
      </w:r>
    </w:p>
    <w:p w14:paraId="4D1C0BAD" w14:textId="6FA701B4" w:rsidR="00625159" w:rsidRDefault="00000000">
      <w:r>
        <w:rPr>
          <w:rFonts w:ascii="Helvetica Light" w:hAnsi="Helvetica Light" w:cs="Helvetica Light"/>
        </w:rPr>
        <w:t xml:space="preserve">Das Jahr war von erhöhter Volatilität geprägt, ausgelöst durch erratische US-Wirtschaftspolitik. Diese Unsicherheit konnte genutzt werden, um nach dem „Tarif Day“ </w:t>
      </w:r>
      <w:r w:rsidR="00C933D5">
        <w:rPr>
          <w:rFonts w:ascii="Helvetica Light" w:hAnsi="Helvetica Light" w:cs="Helvetica Light"/>
        </w:rPr>
        <w:t>Anleihen</w:t>
      </w:r>
      <w:r>
        <w:rPr>
          <w:rFonts w:ascii="Helvetica Light" w:hAnsi="Helvetica Light" w:cs="Helvetica Light"/>
        </w:rPr>
        <w:t xml:space="preserve"> zu gedrückten Preisen zu kaufen. Dies war die größte Kauf-/Verkaufs</w:t>
      </w:r>
      <w:r w:rsidR="00C933D5">
        <w:rPr>
          <w:rFonts w:ascii="Helvetica Light" w:hAnsi="Helvetica Light" w:cs="Helvetica Light"/>
        </w:rPr>
        <w:t xml:space="preserve">bewegung </w:t>
      </w:r>
      <w:r>
        <w:rPr>
          <w:rFonts w:ascii="Helvetica Light" w:hAnsi="Helvetica Light" w:cs="Helvetica Light"/>
        </w:rPr>
        <w:t>des Jahres: Aus Cash-Reserven wurde die Position in 3BAL.L (ein gehebelter Banken-Indexfonds) verdoppelt und neue Positionen in United Airlines und Southwest Airlines eröffnet. Diese Positionen legten seither um 291,42 %, 80,14 % bzw. 52,01 % zu.</w:t>
      </w:r>
    </w:p>
    <w:p w14:paraId="47F8C8AF" w14:textId="77777777" w:rsidR="00625159" w:rsidRDefault="00625159"/>
    <w:p w14:paraId="2E37BD70" w14:textId="77777777" w:rsidR="00625159" w:rsidRDefault="00000000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lastRenderedPageBreak/>
        <w:t>Die folgende Grafik zeigt den S&amp;P 500 in Grau, auf den Kauftag (7. April) normiert, sowie die neuen Positionen in Blau, Orange und Grün.</w:t>
      </w:r>
    </w:p>
    <w:p w14:paraId="30620507" w14:textId="3B679BE2" w:rsidR="00C933D5" w:rsidRDefault="00C933D5">
      <w:r>
        <w:rPr>
          <w:noProof/>
        </w:rPr>
        <w:drawing>
          <wp:inline distT="0" distB="0" distL="0" distR="0" wp14:anchorId="10D40BBD" wp14:editId="31D314F2">
            <wp:extent cx="5731510" cy="3439160"/>
            <wp:effectExtent l="0" t="0" r="0" b="2540"/>
            <wp:docPr id="903152585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52585" name="Picture 1" descr="A graph of a line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3FB0" w14:textId="77777777" w:rsidR="00625159" w:rsidRDefault="00625159"/>
    <w:p w14:paraId="4C772026" w14:textId="77777777" w:rsidR="00625159" w:rsidRDefault="00000000" w:rsidP="00C933D5">
      <w:pPr>
        <w:pStyle w:val="Heading1"/>
      </w:pPr>
      <w:r>
        <w:t>3. Wichtigste Gewinner und Verlierer</w:t>
      </w:r>
    </w:p>
    <w:p w14:paraId="5AE3833F" w14:textId="77777777" w:rsidR="00C933D5" w:rsidRPr="00C933D5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Style w:val="Heading3Char"/>
        </w:rPr>
        <w:t>Gewinner:</w:t>
      </w:r>
      <w:r w:rsidRPr="00C933D5">
        <w:rPr>
          <w:rFonts w:ascii="Helvetica Light" w:hAnsi="Helvetica Light" w:cs="Helvetica Light"/>
        </w:rPr>
        <w:t xml:space="preserve"> Neben der starken allgemeinen Marktperformance trugen vor allem die übergewichtete Position in Heidelberg Materials (4.-bester Performer im DAX 40) und Palantir (8.-bester Performer im S&amp;P 500) zum Erfolg bei. </w:t>
      </w:r>
    </w:p>
    <w:p w14:paraId="0D72AD34" w14:textId="0795B68E" w:rsidR="00625159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Fonts w:ascii="Helvetica Light" w:hAnsi="Helvetica Light" w:cs="Helvetica Light"/>
        </w:rPr>
        <w:t>Außerdem übertrafen die großen Positionen in US-Banken (Wells Fargo, Citigroup, Goldman Sachs) den Gesamtmarkt (durchschnittliche Rendite: 30,64 %).</w:t>
      </w:r>
    </w:p>
    <w:p w14:paraId="39560F1D" w14:textId="77777777" w:rsidR="00C933D5" w:rsidRPr="00C933D5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Style w:val="Heading3Char"/>
        </w:rPr>
        <w:t>Verlierer:</w:t>
      </w:r>
      <w:r w:rsidRPr="00C933D5">
        <w:rPr>
          <w:rFonts w:ascii="Helvetica Light" w:hAnsi="Helvetica Light" w:cs="Helvetica Light"/>
        </w:rPr>
        <w:t xml:space="preserve"> Das schwächste </w:t>
      </w:r>
      <w:r w:rsidR="00C933D5">
        <w:rPr>
          <w:rFonts w:ascii="Helvetica Light" w:hAnsi="Helvetica Light" w:cs="Helvetica Light"/>
        </w:rPr>
        <w:t>Position</w:t>
      </w:r>
      <w:r w:rsidRPr="00C933D5">
        <w:rPr>
          <w:rFonts w:ascii="Helvetica Light" w:hAnsi="Helvetica Light" w:cs="Helvetica Light"/>
        </w:rPr>
        <w:t xml:space="preserve"> war der Cash-Bestand, der nur marginal zulegte. Weitere Underperformer waren der deutsche Chemieproduzent Covestro (+3,36 %), der derzeit von den Emirat</w:t>
      </w:r>
      <w:r w:rsidR="00C933D5">
        <w:rPr>
          <w:rFonts w:ascii="Helvetica Light" w:hAnsi="Helvetica Light" w:cs="Helvetica Light"/>
        </w:rPr>
        <w:t>ies</w:t>
      </w:r>
      <w:r w:rsidRPr="00C933D5">
        <w:rPr>
          <w:rFonts w:ascii="Helvetica Light" w:hAnsi="Helvetica Light" w:cs="Helvetica Light"/>
        </w:rPr>
        <w:t xml:space="preserve"> übernommen wird (die Position diente als liquide Cash-ähnliche Anlage, da die Kaufvereinbarung rechtsverbindlich ist)</w:t>
      </w:r>
      <w:r w:rsidR="00C933D5">
        <w:rPr>
          <w:rFonts w:ascii="Helvetica Light" w:hAnsi="Helvetica Light" w:cs="Helvetica Light"/>
        </w:rPr>
        <w:t xml:space="preserve">. </w:t>
      </w:r>
    </w:p>
    <w:p w14:paraId="358EAD2B" w14:textId="77777777" w:rsidR="00C933D5" w:rsidRPr="00C933D5" w:rsidRDefault="00C933D5" w:rsidP="00C933D5">
      <w:pPr>
        <w:pStyle w:val="ListParagraph"/>
        <w:rPr>
          <w:rFonts w:ascii="Helvetica Light" w:hAnsi="Helvetica Light" w:cs="Helvetica Light"/>
        </w:rPr>
      </w:pPr>
    </w:p>
    <w:p w14:paraId="48CCB9C4" w14:textId="7D60968D" w:rsidR="00625159" w:rsidRPr="00C933D5" w:rsidRDefault="00000000" w:rsidP="00C933D5">
      <w:pPr>
        <w:pStyle w:val="ListParagraph"/>
        <w:numPr>
          <w:ilvl w:val="0"/>
          <w:numId w:val="1"/>
        </w:numPr>
        <w:rPr>
          <w:rFonts w:ascii="Helvetica Light" w:hAnsi="Helvetica Light" w:cs="Helvetica Light"/>
        </w:rPr>
      </w:pPr>
      <w:r w:rsidRPr="00C933D5">
        <w:rPr>
          <w:rFonts w:ascii="Helvetica Light" w:hAnsi="Helvetica Light" w:cs="Helvetica Light"/>
        </w:rPr>
        <w:t xml:space="preserve">Shell und BP (+1,2 % und +5,56 %) wären bei steigenden Ölpreisen gut positioniert gewesen, was wiederum anderen Portfoliounternehmen wie Heidelberg Materials geschadet hätte. Aufgrund der relativen Stabilität im Nahen Osten und rekordhoher </w:t>
      </w:r>
      <w:r w:rsidR="00C933D5">
        <w:rPr>
          <w:rFonts w:ascii="Helvetica Light" w:hAnsi="Helvetica Light" w:cs="Helvetica Light"/>
        </w:rPr>
        <w:t>Ö</w:t>
      </w:r>
      <w:r w:rsidRPr="00C933D5">
        <w:rPr>
          <w:rFonts w:ascii="Helvetica Light" w:hAnsi="Helvetica Light" w:cs="Helvetica Light"/>
        </w:rPr>
        <w:t>l-Funde in sicheren und technisch versierten Regionen (vor allem USA) trat dies nicht ein.</w:t>
      </w:r>
      <w:r w:rsidR="00C933D5">
        <w:rPr>
          <w:rFonts w:ascii="Helvetica Light" w:hAnsi="Helvetica Light" w:cs="Helvetica Light"/>
        </w:rPr>
        <w:t xml:space="preserve"> Dies ist aus gesmat-</w:t>
      </w:r>
      <w:r w:rsidR="00C933D5" w:rsidRPr="00C933D5">
        <w:rPr>
          <w:rFonts w:ascii="Helvetica Light" w:hAnsi="Helvetica Light" w:cs="Helvetica Light"/>
        </w:rPr>
        <w:t xml:space="preserve">Portfolio sicht sehr positiv. </w:t>
      </w:r>
    </w:p>
    <w:p w14:paraId="05F79443" w14:textId="05FF74C8" w:rsidR="00C933D5" w:rsidRPr="00C933D5" w:rsidRDefault="00000000" w:rsidP="00C933D5">
      <w:pPr>
        <w:pStyle w:val="Heading1"/>
      </w:pPr>
      <w:r>
        <w:lastRenderedPageBreak/>
        <w:t>4. Risikomanagement und Anpassungen der Strategie</w:t>
      </w:r>
    </w:p>
    <w:p w14:paraId="14DF4EA2" w14:textId="14C73D2F" w:rsidR="00625159" w:rsidRDefault="00000000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>Das Portfolio besteht aus rund 2</w:t>
      </w:r>
      <w:r w:rsidR="00C933D5">
        <w:rPr>
          <w:rFonts w:ascii="Helvetica Light" w:hAnsi="Helvetica Light" w:cs="Helvetica Light"/>
        </w:rPr>
        <w:t>0</w:t>
      </w:r>
      <w:r>
        <w:rPr>
          <w:rFonts w:ascii="Helvetica Light" w:hAnsi="Helvetica Light" w:cs="Helvetica Light"/>
        </w:rPr>
        <w:t xml:space="preserve"> % Cash und Cash-Äquivalenten (sehr geringes Risiko), 3</w:t>
      </w:r>
      <w:r w:rsidR="00C933D5">
        <w:rPr>
          <w:rFonts w:ascii="Helvetica Light" w:hAnsi="Helvetica Light" w:cs="Helvetica Light"/>
        </w:rPr>
        <w:t>0</w:t>
      </w:r>
      <w:r>
        <w:rPr>
          <w:rFonts w:ascii="Helvetica Light" w:hAnsi="Helvetica Light" w:cs="Helvetica Light"/>
        </w:rPr>
        <w:t xml:space="preserve"> % diversifizierten Indexfonds (geringes Risiko), </w:t>
      </w:r>
      <w:r w:rsidR="00C933D5">
        <w:rPr>
          <w:rFonts w:ascii="Helvetica Light" w:hAnsi="Helvetica Light" w:cs="Helvetica Light"/>
        </w:rPr>
        <w:t>40</w:t>
      </w:r>
      <w:r>
        <w:rPr>
          <w:rFonts w:ascii="Helvetica Light" w:hAnsi="Helvetica Light" w:cs="Helvetica Light"/>
        </w:rPr>
        <w:t xml:space="preserve"> % Einzelaktien (mittleres </w:t>
      </w:r>
      <w:r w:rsidR="00C933D5">
        <w:rPr>
          <w:rFonts w:ascii="Helvetica Light" w:hAnsi="Helvetica Light" w:cs="Helvetica Light"/>
        </w:rPr>
        <w:t>Risiko</w:t>
      </w:r>
      <w:r>
        <w:rPr>
          <w:rFonts w:ascii="Helvetica Light" w:hAnsi="Helvetica Light" w:cs="Helvetica Light"/>
        </w:rPr>
        <w:t>) und 5 % gehebelten Positionen (hohes Risiko). Insgesamt erlaubt diese Mischung hohe risikoadjustierte Renditen bei solider Abwärtsabsicherung.</w:t>
      </w:r>
    </w:p>
    <w:p w14:paraId="119A0E45" w14:textId="7788324B" w:rsidR="00C933D5" w:rsidRDefault="00C933D5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In der Folgenden Grpahik seht ihr links die Zusammensetzung des Depots nach Riskioklasse und rechts die Zusammensetzung der diesjährigen Gewinne nach Risikoklasse. </w:t>
      </w:r>
    </w:p>
    <w:p w14:paraId="5BEB5A80" w14:textId="6EFBD636" w:rsidR="00C933D5" w:rsidRDefault="00C933D5">
      <w:r w:rsidRPr="003F4A85">
        <w:drawing>
          <wp:inline distT="0" distB="0" distL="0" distR="0" wp14:anchorId="4E55BD2B" wp14:editId="4A46F5A9">
            <wp:extent cx="5731510" cy="2865755"/>
            <wp:effectExtent l="0" t="0" r="0" b="4445"/>
            <wp:docPr id="1274185065" name="Picture 1" descr="A close-up of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5065" name="Picture 1" descr="A close-up of a pie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586B" w14:textId="77777777" w:rsidR="00625159" w:rsidRDefault="00625159"/>
    <w:p w14:paraId="67C4EA38" w14:textId="77777777" w:rsidR="00625159" w:rsidRDefault="00000000" w:rsidP="00C933D5">
      <w:pPr>
        <w:pStyle w:val="Heading1"/>
      </w:pPr>
      <w:r>
        <w:t>5. Gebühren &amp; Steuern</w:t>
      </w:r>
    </w:p>
    <w:p w14:paraId="0B964325" w14:textId="3A82FFC1" w:rsidR="00625159" w:rsidRDefault="00000000">
      <w:r>
        <w:rPr>
          <w:rFonts w:ascii="Helvetica Light" w:hAnsi="Helvetica Light" w:cs="Helvetica Light"/>
        </w:rPr>
        <w:t xml:space="preserve">Auf das investierte Kapital fallen 0 % Gebühren an, ebenso 0 % Gebühren auf Kapitalgewinne. Das ist günstiger als der Branchenstandard von 2 % und 20 %. Alle Gewinne werden in Deutschland zum Verkaufszeitpunkt besteuert. Die angegebenen Kurse sind </w:t>
      </w:r>
      <w:r w:rsidR="00C933D5">
        <w:rPr>
          <w:rFonts w:ascii="Helvetica Light" w:hAnsi="Helvetica Light" w:cs="Helvetica Light"/>
        </w:rPr>
        <w:t>brutto Preise</w:t>
      </w:r>
      <w:r>
        <w:rPr>
          <w:rFonts w:ascii="Helvetica Light" w:hAnsi="Helvetica Light" w:cs="Helvetica Light"/>
        </w:rPr>
        <w:t>.</w:t>
      </w:r>
    </w:p>
    <w:p w14:paraId="1E9A8B21" w14:textId="77777777" w:rsidR="00625159" w:rsidRDefault="00000000" w:rsidP="00C933D5">
      <w:pPr>
        <w:pStyle w:val="Heading1"/>
      </w:pPr>
      <w:r>
        <w:t>6. Gesamtwert/Gewinne</w:t>
      </w:r>
    </w:p>
    <w:p w14:paraId="29D83CAB" w14:textId="47BD75DB" w:rsidR="00625159" w:rsidRDefault="00C933D5">
      <w:r>
        <w:rPr>
          <w:rFonts w:ascii="Helvetica Light" w:hAnsi="Helvetica Light" w:cs="Helvetica Light"/>
        </w:rPr>
        <w:t>Euer</w:t>
      </w:r>
      <w:r w:rsidR="00000000">
        <w:rPr>
          <w:rFonts w:ascii="Helvetica Light" w:hAnsi="Helvetica Light" w:cs="Helvetica Light"/>
        </w:rPr>
        <w:t xml:space="preserve"> aktueller Portfoliowert beträgt </w:t>
      </w:r>
      <w:r w:rsidR="00000000" w:rsidRPr="00FA3810">
        <w:rPr>
          <w:rFonts w:ascii="Helvetica Light" w:hAnsi="Helvetica Light" w:cs="Helvetica Light"/>
          <w:b/>
          <w:bCs/>
        </w:rPr>
        <w:t>238.508,30</w:t>
      </w:r>
      <w:r w:rsidR="00000000">
        <w:rPr>
          <w:rFonts w:ascii="Helvetica Light" w:hAnsi="Helvetica Light" w:cs="Helvetica Light"/>
        </w:rPr>
        <w:t xml:space="preserve"> </w:t>
      </w:r>
      <w:r w:rsidR="00000000" w:rsidRPr="00FA3810">
        <w:rPr>
          <w:rFonts w:ascii="Helvetica Light" w:hAnsi="Helvetica Light" w:cs="Helvetica Light"/>
          <w:b/>
          <w:bCs/>
        </w:rPr>
        <w:t>EUR</w:t>
      </w:r>
      <w:r w:rsidR="00000000">
        <w:rPr>
          <w:rFonts w:ascii="Helvetica Light" w:hAnsi="Helvetica Light" w:cs="Helvetica Light"/>
        </w:rPr>
        <w:t>. Davon entfallen 130.000 EUR auf investiertes Kapital und 108.508,30 EUR auf Kapitalgewinne.</w:t>
      </w:r>
      <w:r w:rsidR="00FA3810">
        <w:rPr>
          <w:rFonts w:ascii="Helvetica Light" w:hAnsi="Helvetica Light" w:cs="Helvetica Light"/>
        </w:rPr>
        <w:t xml:space="preserve"> Das entspricht einer Gesamtrendite von </w:t>
      </w:r>
      <w:r w:rsidR="00FA3810" w:rsidRPr="00FA3810">
        <w:rPr>
          <w:rFonts w:ascii="Helvetica Light" w:hAnsi="Helvetica Light" w:cs="Helvetica Light"/>
          <w:b/>
          <w:bCs/>
        </w:rPr>
        <w:t>83,4%</w:t>
      </w:r>
      <w:r w:rsidR="00FA3810">
        <w:rPr>
          <w:rFonts w:ascii="Helvetica Light" w:hAnsi="Helvetica Light" w:cs="Helvetica Light"/>
        </w:rPr>
        <w:t>.</w:t>
      </w:r>
    </w:p>
    <w:p w14:paraId="679C3121" w14:textId="77777777" w:rsidR="00625159" w:rsidRDefault="00625159"/>
    <w:p w14:paraId="6E15A3FD" w14:textId="77777777" w:rsidR="00625159" w:rsidRDefault="00000000">
      <w:r>
        <w:rPr>
          <w:rFonts w:ascii="Helvetica Light" w:hAnsi="Helvetica Light" w:cs="Helvetica Light"/>
        </w:rPr>
        <w:t>Ich wünsche frohe Weihnachten, einen guten Rutsch und viel Investmenterfolg in 2026!</w:t>
      </w:r>
    </w:p>
    <w:p w14:paraId="4F411B6B" w14:textId="77777777" w:rsidR="00625159" w:rsidRDefault="00000000">
      <w:r>
        <w:rPr>
          <w:rFonts w:ascii="Helvetica Light" w:hAnsi="Helvetica Light" w:cs="Helvetica Light"/>
        </w:rPr>
        <w:t>Christian</w:t>
      </w:r>
    </w:p>
    <w:sectPr w:rsidR="006251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41DCE"/>
    <w:multiLevelType w:val="hybridMultilevel"/>
    <w:tmpl w:val="0D8CF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28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5159"/>
    <w:rsid w:val="00625159"/>
    <w:rsid w:val="00802F24"/>
    <w:rsid w:val="0096285C"/>
    <w:rsid w:val="009960A9"/>
    <w:rsid w:val="00BE15B5"/>
    <w:rsid w:val="00C933D5"/>
    <w:rsid w:val="00FA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7F6287"/>
  <w15:docId w15:val="{3694B790-34C2-7C4F-B23A-07D30F3F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3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33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33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933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33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33D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C933D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C93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CocoaOOXMLWriter/2487.7</generator>
</meta>
</file>

<file path=customXml/itemProps1.xml><?xml version="1.0" encoding="utf-8"?>
<ds:datastoreItem xmlns:ds="http://schemas.openxmlformats.org/officeDocument/2006/customXml" ds:itemID="{3C5E0822-2209-B749-B483-CF7871E2CE8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Kremer</cp:lastModifiedBy>
  <cp:revision>4</cp:revision>
  <cp:lastPrinted>2025-12-22T18:25:00Z</cp:lastPrinted>
  <dcterms:created xsi:type="dcterms:W3CDTF">2025-12-22T17:40:00Z</dcterms:created>
  <dcterms:modified xsi:type="dcterms:W3CDTF">2025-12-22T18:29:00Z</dcterms:modified>
</cp:coreProperties>
</file>