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46E9E" w14:textId="4E266B5F" w:rsidR="00D64463" w:rsidRDefault="00D64463" w:rsidP="00D64463">
      <w:pPr>
        <w:pStyle w:val="Title"/>
      </w:pPr>
      <w:r>
        <w:t xml:space="preserve">Annual Performance Report </w:t>
      </w:r>
    </w:p>
    <w:p w14:paraId="0A97FFA9" w14:textId="7C3F954E" w:rsidR="00D64463" w:rsidRDefault="00D64463" w:rsidP="00D64463">
      <w:pPr>
        <w:pStyle w:val="Subtitle"/>
      </w:pPr>
      <w:r>
        <w:t>Investment Review</w:t>
      </w:r>
    </w:p>
    <w:p w14:paraId="63BD6582" w14:textId="662FE110" w:rsidR="00D64463" w:rsidRDefault="00D64463" w:rsidP="00D64463">
      <w:pPr>
        <w:pStyle w:val="Heading1"/>
      </w:pPr>
      <w:r>
        <w:t>Annual Report</w:t>
      </w:r>
    </w:p>
    <w:p w14:paraId="00BA490E" w14:textId="05913FBC" w:rsidR="003F4A85" w:rsidRDefault="003F4A85" w:rsidP="00D64463">
      <w:r>
        <w:t>All prices are as of 21.12.25</w:t>
      </w:r>
    </w:p>
    <w:p w14:paraId="079B155F" w14:textId="30166510" w:rsidR="00D64463" w:rsidRDefault="00D64463" w:rsidP="00D64463">
      <w:pPr>
        <w:pStyle w:val="Heading2"/>
      </w:pPr>
      <w:r>
        <w:t>2025 Year-End Review and Performance Update</w:t>
      </w:r>
    </w:p>
    <w:p w14:paraId="076230A1" w14:textId="10E7361E" w:rsidR="00D64463" w:rsidRDefault="00D64463" w:rsidP="00D64463">
      <w:r w:rsidRPr="00D64463">
        <w:t xml:space="preserve">As we conclude 2025, </w:t>
      </w:r>
      <w:r w:rsidR="003F4A85">
        <w:t>I compiled an overview of this years stock returns</w:t>
      </w:r>
      <w:r w:rsidRPr="00D64463">
        <w:t xml:space="preserve">. </w:t>
      </w:r>
      <w:r w:rsidR="00E777BC">
        <w:t xml:space="preserve">Overall, portfolio performance was very strong in 2025 with a total return of </w:t>
      </w:r>
      <w:r w:rsidR="003F4A85">
        <w:t>37.93</w:t>
      </w:r>
      <w:r w:rsidR="00E777BC">
        <w:t>%</w:t>
      </w:r>
      <w:r w:rsidR="003F4A85">
        <w:t>.</w:t>
      </w:r>
      <w:r w:rsidR="00E777BC">
        <w:t xml:space="preserve"> This compares with a</w:t>
      </w:r>
      <w:r w:rsidR="003F4A85">
        <w:t xml:space="preserve"> 16.46</w:t>
      </w:r>
      <w:r w:rsidR="00E777BC">
        <w:t>% return of the S&amp;P 500 index</w:t>
      </w:r>
      <w:r w:rsidR="00346E84">
        <w:t xml:space="preserve">, and a </w:t>
      </w:r>
      <w:r w:rsidR="003F4A85">
        <w:t xml:space="preserve">19.41% </w:t>
      </w:r>
      <w:r w:rsidR="00346E84">
        <w:t xml:space="preserve">in the MSCI World, which is a diversified index of all major stock companies across the world. </w:t>
      </w:r>
    </w:p>
    <w:p w14:paraId="6D7B8623" w14:textId="06DD34C5" w:rsidR="003F4A85" w:rsidRDefault="003F4A85" w:rsidP="00D64463">
      <w:r w:rsidRPr="003F4A85">
        <w:drawing>
          <wp:inline distT="0" distB="0" distL="0" distR="0" wp14:anchorId="430FD3D9" wp14:editId="67998055">
            <wp:extent cx="5731510" cy="3439160"/>
            <wp:effectExtent l="0" t="0" r="0" b="2540"/>
            <wp:docPr id="1478841551" name="Picture 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841551" name="Picture 1" descr="A graph of different colored lines&#10;&#10;AI-generated content may be incorrect."/>
                    <pic:cNvPicPr/>
                  </pic:nvPicPr>
                  <pic:blipFill>
                    <a:blip r:embed="rId5"/>
                    <a:stretch>
                      <a:fillRect/>
                    </a:stretch>
                  </pic:blipFill>
                  <pic:spPr>
                    <a:xfrm>
                      <a:off x="0" y="0"/>
                      <a:ext cx="5731510" cy="3439160"/>
                    </a:xfrm>
                    <a:prstGeom prst="rect">
                      <a:avLst/>
                    </a:prstGeom>
                  </pic:spPr>
                </pic:pic>
              </a:graphicData>
            </a:graphic>
          </wp:inline>
        </w:drawing>
      </w:r>
    </w:p>
    <w:p w14:paraId="2C9F49FA" w14:textId="03EA412C" w:rsidR="00D64463" w:rsidRDefault="00D64463" w:rsidP="00D64463">
      <w:pPr>
        <w:pStyle w:val="Heading2"/>
      </w:pPr>
      <w:r>
        <w:t>Market Environment</w:t>
      </w:r>
    </w:p>
    <w:p w14:paraId="5941E8A3" w14:textId="1CA060E7" w:rsidR="00D64463" w:rsidRDefault="00D64463" w:rsidP="00D64463">
      <w:r w:rsidRPr="00D64463">
        <w:t xml:space="preserve">This year was characterized by heightened market volatility, with macroeconomic uncertainty driven by </w:t>
      </w:r>
      <w:r w:rsidR="00346E84">
        <w:t xml:space="preserve">eratic US economic policy. </w:t>
      </w:r>
      <w:r w:rsidR="00F15FBB">
        <w:t xml:space="preserve">This uncertainty could be </w:t>
      </w:r>
      <w:r w:rsidR="003F4A85">
        <w:t xml:space="preserve">exploited by buy assets for </w:t>
      </w:r>
      <w:r w:rsidR="00F15FBB">
        <w:t>depressed prices in the wake of “</w:t>
      </w:r>
      <w:r w:rsidR="003F4A85">
        <w:t>t</w:t>
      </w:r>
      <w:r w:rsidR="00F15FBB">
        <w:t>arif day”</w:t>
      </w:r>
      <w:r w:rsidR="003F4A85">
        <w:t xml:space="preserve">. This constituted this years largest buying/selling in the portfolio, using cash reserves to double the position in 3Bal.L (a leveraged index fund of bank stocks) and open new positions in United Airlines and Southwest Airlines. These positions have since increased by 291.42%, 80.14%, and 52.01% respetively. </w:t>
      </w:r>
    </w:p>
    <w:p w14:paraId="1B157A55" w14:textId="77777777" w:rsidR="003F4A85" w:rsidRDefault="003F4A85" w:rsidP="00D64463"/>
    <w:p w14:paraId="6242680F" w14:textId="0792B435" w:rsidR="003F4A85" w:rsidRDefault="003F4A85" w:rsidP="00D64463">
      <w:r>
        <w:t xml:space="preserve">The following graph shows the S&amp;P 500 in grey, normalized to the buying day (April 7th marked with the dotted line) and the new positions in blue, orange and green respectively. </w:t>
      </w:r>
    </w:p>
    <w:p w14:paraId="30EC5341" w14:textId="322DAB3E" w:rsidR="003F4A85" w:rsidRDefault="003F4A85" w:rsidP="00D64463">
      <w:r>
        <w:rPr>
          <w:noProof/>
        </w:rPr>
        <w:lastRenderedPageBreak/>
        <w:drawing>
          <wp:inline distT="0" distB="0" distL="0" distR="0" wp14:anchorId="05A324C9" wp14:editId="72CA4D01">
            <wp:extent cx="5731510" cy="3439160"/>
            <wp:effectExtent l="0" t="0" r="0" b="2540"/>
            <wp:docPr id="903152585" name="Picture 1" descr="A graph of a lin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152585" name="Picture 1" descr="A graph of a line graph&#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439160"/>
                    </a:xfrm>
                    <a:prstGeom prst="rect">
                      <a:avLst/>
                    </a:prstGeom>
                  </pic:spPr>
                </pic:pic>
              </a:graphicData>
            </a:graphic>
          </wp:inline>
        </w:drawing>
      </w:r>
    </w:p>
    <w:p w14:paraId="5A671FA7" w14:textId="77777777" w:rsidR="003F4A85" w:rsidRDefault="003F4A85" w:rsidP="00D64463"/>
    <w:p w14:paraId="7CF290A2" w14:textId="77777777" w:rsidR="00D64463" w:rsidRDefault="00D64463" w:rsidP="00D64463">
      <w:pPr>
        <w:pStyle w:val="Heading2"/>
      </w:pPr>
      <w:r>
        <w:t>3. Key Contributors and Detractors</w:t>
      </w:r>
    </w:p>
    <w:p w14:paraId="01D2266B" w14:textId="7B2E17DE" w:rsidR="00D64463" w:rsidRDefault="00D64463" w:rsidP="00D64463">
      <w:pPr>
        <w:pStyle w:val="ListParagraph"/>
        <w:numPr>
          <w:ilvl w:val="0"/>
          <w:numId w:val="4"/>
        </w:numPr>
      </w:pPr>
      <w:r w:rsidRPr="00D64463">
        <w:t xml:space="preserve">Contributors: </w:t>
      </w:r>
      <w:r w:rsidR="003F4A85">
        <w:t xml:space="preserve">Beyond strong general market performance the main contributors to this years success were strong performance by the outsized position in Heidelberg Materials (4th best performer in the DAX 40), Palantir (8th best performer in the S&amp;P 500): Furthermore, large positions in US banks (Wells Fargo, Citigroup, Goldman Sachs) outperformed the general stock market (average </w:t>
      </w:r>
      <w:r w:rsidR="003F4A85">
        <w:t>return</w:t>
      </w:r>
      <w:r w:rsidR="003F4A85">
        <w:t xml:space="preserve"> of 30.64%). </w:t>
      </w:r>
    </w:p>
    <w:p w14:paraId="47A79642" w14:textId="31EB24F2" w:rsidR="00D64463" w:rsidRDefault="00D64463" w:rsidP="00D64463">
      <w:pPr>
        <w:pStyle w:val="ListParagraph"/>
        <w:numPr>
          <w:ilvl w:val="0"/>
          <w:numId w:val="4"/>
        </w:numPr>
      </w:pPr>
      <w:r w:rsidRPr="00D64463">
        <w:t xml:space="preserve">Detractors: </w:t>
      </w:r>
      <w:r w:rsidR="003F4A85">
        <w:t xml:space="preserve">The worst performing asset this year was the cash reserve which only increased marginally in value. The three other underperformers were the German chemical producer Covestro (+ 3.36%) which is currently being aquired by the Emiratis. The Covestro position served as a liquid cash-like asset, because the Emiratis purchase agreement is legally binding. The other underperfomers this year were the hedging positions against high oil prices. Shell and BP (+1.2% and +5.56%) would both be well positioned to exploit an increase in oil prices (which inturn would hurt other portfolio companies like Heidelberg Materials). Due to relative stability in the Middle East and record breaking oil discoveries in highy secure and technically capable locations (mostly US), this did not happen. </w:t>
      </w:r>
    </w:p>
    <w:p w14:paraId="008338E1" w14:textId="77777777" w:rsidR="00D64463" w:rsidRDefault="00D64463" w:rsidP="00D64463">
      <w:pPr>
        <w:pStyle w:val="Heading2"/>
      </w:pPr>
      <w:r>
        <w:t>4. Risk Management and Strategy Adjustments</w:t>
      </w:r>
    </w:p>
    <w:p w14:paraId="760555C8" w14:textId="234A324A" w:rsidR="00D64463" w:rsidRDefault="00D64463" w:rsidP="00D64463">
      <w:r w:rsidRPr="00D64463">
        <w:t xml:space="preserve">We </w:t>
      </w:r>
      <w:r w:rsidR="003F4A85">
        <w:t xml:space="preserve">The portfolio consists of roughly 25% cash and cash-equivalents which are very low risk, 35% diversified index funds which are considered light to medium risk, 35% single stocks, which are medium to high risk and 5% leveraged positions which are very high risk. Overall, this risk mixture allows for high risk-adjusted returns which decent downside protection. </w:t>
      </w:r>
    </w:p>
    <w:p w14:paraId="0D86474A" w14:textId="4C46F4A5" w:rsidR="003F4A85" w:rsidRDefault="003F4A85" w:rsidP="00D64463">
      <w:r w:rsidRPr="003F4A85">
        <w:lastRenderedPageBreak/>
        <w:drawing>
          <wp:inline distT="0" distB="0" distL="0" distR="0" wp14:anchorId="59243ADA" wp14:editId="5EE9C11C">
            <wp:extent cx="5731510" cy="2865755"/>
            <wp:effectExtent l="0" t="0" r="0" b="4445"/>
            <wp:docPr id="1274185065" name="Picture 1" descr="A close-up of a pie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185065" name="Picture 1" descr="A close-up of a pie chart&#10;&#10;AI-generated content may be incorrect."/>
                    <pic:cNvPicPr/>
                  </pic:nvPicPr>
                  <pic:blipFill>
                    <a:blip r:embed="rId7"/>
                    <a:stretch>
                      <a:fillRect/>
                    </a:stretch>
                  </pic:blipFill>
                  <pic:spPr>
                    <a:xfrm>
                      <a:off x="0" y="0"/>
                      <a:ext cx="5731510" cy="2865755"/>
                    </a:xfrm>
                    <a:prstGeom prst="rect">
                      <a:avLst/>
                    </a:prstGeom>
                  </pic:spPr>
                </pic:pic>
              </a:graphicData>
            </a:graphic>
          </wp:inline>
        </w:drawing>
      </w:r>
    </w:p>
    <w:p w14:paraId="104B66EB" w14:textId="77777777" w:rsidR="003F4A85" w:rsidRDefault="003F4A85" w:rsidP="00D64463"/>
    <w:p w14:paraId="2B6A451F" w14:textId="77777777" w:rsidR="003F4A85" w:rsidRDefault="003F4A85" w:rsidP="00D64463"/>
    <w:p w14:paraId="271555B4" w14:textId="16AAD79D" w:rsidR="00D64463" w:rsidRDefault="00D64463" w:rsidP="00D64463">
      <w:pPr>
        <w:pStyle w:val="Heading2"/>
      </w:pPr>
      <w:r>
        <w:t xml:space="preserve">5. </w:t>
      </w:r>
      <w:r w:rsidR="003F4A85">
        <w:t xml:space="preserve">Fees &amp; Taxes </w:t>
      </w:r>
    </w:p>
    <w:p w14:paraId="2453DBBA" w14:textId="7050D2D5" w:rsidR="00D64463" w:rsidRDefault="003F4A85" w:rsidP="00D64463">
      <w:r>
        <w:t xml:space="preserve">The portfolio chares 0% fees on invested capital and 0% fees on capital gains. This compares favourably to the industry standard 2% and 20%. All gains are taxed in Germany at point of sale. Listed prices are pre-tax prices. </w:t>
      </w:r>
    </w:p>
    <w:p w14:paraId="32F266E2" w14:textId="5271A503" w:rsidR="00D64463" w:rsidRDefault="003F4A85" w:rsidP="00D64463">
      <w:pPr>
        <w:pStyle w:val="Heading2"/>
      </w:pPr>
      <w:r>
        <w:t>6</w:t>
      </w:r>
      <w:r w:rsidR="00D64463">
        <w:t xml:space="preserve">. </w:t>
      </w:r>
      <w:r>
        <w:t>Total Worth/Gains</w:t>
      </w:r>
    </w:p>
    <w:p w14:paraId="6FC81037" w14:textId="73DF5F77" w:rsidR="003B46C0" w:rsidRDefault="003F4A85" w:rsidP="00D64463">
      <w:r>
        <w:t xml:space="preserve">Your current portflio value is 238.508,30 EUR. This is split in invested capital worth 130.000 EUR and capial gains worth 108.508,30 EUR. </w:t>
      </w:r>
    </w:p>
    <w:p w14:paraId="29077AB7" w14:textId="77777777" w:rsidR="003F4A85" w:rsidRDefault="003F4A85" w:rsidP="00D64463"/>
    <w:p w14:paraId="33AAE380" w14:textId="77FD37AA" w:rsidR="003F4A85" w:rsidRDefault="003F4A85" w:rsidP="00D64463"/>
    <w:p w14:paraId="5DF759D6" w14:textId="58A5FC3B" w:rsidR="003F4A85" w:rsidRDefault="003F4A85" w:rsidP="00D64463">
      <w:r>
        <w:t>With that I wish a Merry Christmas, a happy New Year, and lots of investment success in 2026!</w:t>
      </w:r>
    </w:p>
    <w:p w14:paraId="303E62DA" w14:textId="77777777" w:rsidR="003F4A85" w:rsidRDefault="003F4A85" w:rsidP="00D64463"/>
    <w:p w14:paraId="48E6F6BC" w14:textId="1F6234D9" w:rsidR="003F4A85" w:rsidRPr="00D64463" w:rsidRDefault="003F4A85" w:rsidP="00D64463">
      <w:r>
        <w:t>Christian</w:t>
      </w:r>
    </w:p>
    <w:sectPr w:rsidR="003F4A85" w:rsidRPr="00D6446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025639"/>
    <w:multiLevelType w:val="hybridMultilevel"/>
    <w:tmpl w:val="10A049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CA84A40"/>
    <w:multiLevelType w:val="hybridMultilevel"/>
    <w:tmpl w:val="6ABE90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632B2544"/>
    <w:multiLevelType w:val="hybridMultilevel"/>
    <w:tmpl w:val="D26623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669D602C"/>
    <w:multiLevelType w:val="hybridMultilevel"/>
    <w:tmpl w:val="60E460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016104769">
    <w:abstractNumId w:val="2"/>
  </w:num>
  <w:num w:numId="2" w16cid:durableId="678389780">
    <w:abstractNumId w:val="0"/>
  </w:num>
  <w:num w:numId="3" w16cid:durableId="1202940619">
    <w:abstractNumId w:val="1"/>
  </w:num>
  <w:num w:numId="4" w16cid:durableId="121169674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4463"/>
    <w:rsid w:val="00007C8F"/>
    <w:rsid w:val="00010BD6"/>
    <w:rsid w:val="000419E9"/>
    <w:rsid w:val="00044FA5"/>
    <w:rsid w:val="00093BEC"/>
    <w:rsid w:val="000A0FB3"/>
    <w:rsid w:val="000C2185"/>
    <w:rsid w:val="000C5274"/>
    <w:rsid w:val="000D75C3"/>
    <w:rsid w:val="00140F41"/>
    <w:rsid w:val="00142C02"/>
    <w:rsid w:val="0014352F"/>
    <w:rsid w:val="001477FD"/>
    <w:rsid w:val="00154862"/>
    <w:rsid w:val="00190EE7"/>
    <w:rsid w:val="001936CE"/>
    <w:rsid w:val="001939E9"/>
    <w:rsid w:val="00197773"/>
    <w:rsid w:val="001D7275"/>
    <w:rsid w:val="001E2FA9"/>
    <w:rsid w:val="00201945"/>
    <w:rsid w:val="00237862"/>
    <w:rsid w:val="002410AD"/>
    <w:rsid w:val="00275A11"/>
    <w:rsid w:val="002771B3"/>
    <w:rsid w:val="00286D89"/>
    <w:rsid w:val="002954B4"/>
    <w:rsid w:val="002A66D1"/>
    <w:rsid w:val="002B007E"/>
    <w:rsid w:val="002C0827"/>
    <w:rsid w:val="002C437C"/>
    <w:rsid w:val="002D69FD"/>
    <w:rsid w:val="002E7672"/>
    <w:rsid w:val="00307F0A"/>
    <w:rsid w:val="00316641"/>
    <w:rsid w:val="00325026"/>
    <w:rsid w:val="00346E84"/>
    <w:rsid w:val="00352DBE"/>
    <w:rsid w:val="003544E4"/>
    <w:rsid w:val="00371C45"/>
    <w:rsid w:val="003759A3"/>
    <w:rsid w:val="00382D24"/>
    <w:rsid w:val="00382F4A"/>
    <w:rsid w:val="003912E9"/>
    <w:rsid w:val="00392D5D"/>
    <w:rsid w:val="003A16CB"/>
    <w:rsid w:val="003A3ED6"/>
    <w:rsid w:val="003B46C0"/>
    <w:rsid w:val="003C7DFE"/>
    <w:rsid w:val="003D3D73"/>
    <w:rsid w:val="003D7E17"/>
    <w:rsid w:val="003F30CD"/>
    <w:rsid w:val="003F4A85"/>
    <w:rsid w:val="003F5865"/>
    <w:rsid w:val="00406D8D"/>
    <w:rsid w:val="00407D1F"/>
    <w:rsid w:val="00410AA6"/>
    <w:rsid w:val="0042495F"/>
    <w:rsid w:val="004351F0"/>
    <w:rsid w:val="00436F1D"/>
    <w:rsid w:val="00447B02"/>
    <w:rsid w:val="00453CD6"/>
    <w:rsid w:val="00482A2F"/>
    <w:rsid w:val="004B7E4F"/>
    <w:rsid w:val="004F2E33"/>
    <w:rsid w:val="004F3026"/>
    <w:rsid w:val="00502621"/>
    <w:rsid w:val="00516CE8"/>
    <w:rsid w:val="0052182D"/>
    <w:rsid w:val="005413C2"/>
    <w:rsid w:val="0055611A"/>
    <w:rsid w:val="00563C39"/>
    <w:rsid w:val="00565A0B"/>
    <w:rsid w:val="005A2469"/>
    <w:rsid w:val="005D752E"/>
    <w:rsid w:val="005E2617"/>
    <w:rsid w:val="005E78E7"/>
    <w:rsid w:val="006218A9"/>
    <w:rsid w:val="00625DC3"/>
    <w:rsid w:val="00686C8D"/>
    <w:rsid w:val="00690DAB"/>
    <w:rsid w:val="00690E8F"/>
    <w:rsid w:val="00692F04"/>
    <w:rsid w:val="006944D2"/>
    <w:rsid w:val="00696F56"/>
    <w:rsid w:val="006A063D"/>
    <w:rsid w:val="006B6DBF"/>
    <w:rsid w:val="006E4F81"/>
    <w:rsid w:val="006F0829"/>
    <w:rsid w:val="006F5C73"/>
    <w:rsid w:val="007219AC"/>
    <w:rsid w:val="007426C6"/>
    <w:rsid w:val="00750562"/>
    <w:rsid w:val="00763D8D"/>
    <w:rsid w:val="007657F7"/>
    <w:rsid w:val="00774530"/>
    <w:rsid w:val="00777ABC"/>
    <w:rsid w:val="00783A96"/>
    <w:rsid w:val="00794438"/>
    <w:rsid w:val="007A4270"/>
    <w:rsid w:val="007A4D40"/>
    <w:rsid w:val="007A66D1"/>
    <w:rsid w:val="007E376E"/>
    <w:rsid w:val="007F1030"/>
    <w:rsid w:val="007F547C"/>
    <w:rsid w:val="00803897"/>
    <w:rsid w:val="00805DC6"/>
    <w:rsid w:val="008214D0"/>
    <w:rsid w:val="00853C66"/>
    <w:rsid w:val="00855E27"/>
    <w:rsid w:val="008708AD"/>
    <w:rsid w:val="00874815"/>
    <w:rsid w:val="00890280"/>
    <w:rsid w:val="008C14A3"/>
    <w:rsid w:val="008F0090"/>
    <w:rsid w:val="00922B8B"/>
    <w:rsid w:val="00931039"/>
    <w:rsid w:val="00952FD8"/>
    <w:rsid w:val="00971641"/>
    <w:rsid w:val="00984028"/>
    <w:rsid w:val="009A0190"/>
    <w:rsid w:val="009E5BB3"/>
    <w:rsid w:val="009E5E2A"/>
    <w:rsid w:val="009F05ED"/>
    <w:rsid w:val="00A03243"/>
    <w:rsid w:val="00A07587"/>
    <w:rsid w:val="00A33244"/>
    <w:rsid w:val="00A446ED"/>
    <w:rsid w:val="00A53E24"/>
    <w:rsid w:val="00AB1EA6"/>
    <w:rsid w:val="00AB32EE"/>
    <w:rsid w:val="00AC2F02"/>
    <w:rsid w:val="00AD388C"/>
    <w:rsid w:val="00B02B8A"/>
    <w:rsid w:val="00B15A31"/>
    <w:rsid w:val="00B17CC0"/>
    <w:rsid w:val="00B2523B"/>
    <w:rsid w:val="00B303B7"/>
    <w:rsid w:val="00B377EA"/>
    <w:rsid w:val="00B43EA8"/>
    <w:rsid w:val="00B47242"/>
    <w:rsid w:val="00B57E18"/>
    <w:rsid w:val="00B607DA"/>
    <w:rsid w:val="00BB3FAA"/>
    <w:rsid w:val="00BD0777"/>
    <w:rsid w:val="00C0153C"/>
    <w:rsid w:val="00C21F59"/>
    <w:rsid w:val="00C24634"/>
    <w:rsid w:val="00C41700"/>
    <w:rsid w:val="00C47C6E"/>
    <w:rsid w:val="00C56AB4"/>
    <w:rsid w:val="00C57DBC"/>
    <w:rsid w:val="00C57F58"/>
    <w:rsid w:val="00C61A1F"/>
    <w:rsid w:val="00CC59E2"/>
    <w:rsid w:val="00CC7859"/>
    <w:rsid w:val="00CE7116"/>
    <w:rsid w:val="00D022D6"/>
    <w:rsid w:val="00D47291"/>
    <w:rsid w:val="00D64463"/>
    <w:rsid w:val="00D92DA3"/>
    <w:rsid w:val="00D95DF3"/>
    <w:rsid w:val="00D97D59"/>
    <w:rsid w:val="00DA58BA"/>
    <w:rsid w:val="00DD347A"/>
    <w:rsid w:val="00DE14D5"/>
    <w:rsid w:val="00DE29C9"/>
    <w:rsid w:val="00E275D2"/>
    <w:rsid w:val="00E32E4E"/>
    <w:rsid w:val="00E62B91"/>
    <w:rsid w:val="00E71533"/>
    <w:rsid w:val="00E777BC"/>
    <w:rsid w:val="00E95F29"/>
    <w:rsid w:val="00EB15C9"/>
    <w:rsid w:val="00EB2B45"/>
    <w:rsid w:val="00EC3582"/>
    <w:rsid w:val="00ED367F"/>
    <w:rsid w:val="00ED7D55"/>
    <w:rsid w:val="00EE6E35"/>
    <w:rsid w:val="00F15FBB"/>
    <w:rsid w:val="00F46DAE"/>
    <w:rsid w:val="00F66DA5"/>
    <w:rsid w:val="00F8416A"/>
    <w:rsid w:val="00FB636E"/>
    <w:rsid w:val="00FD2A86"/>
    <w:rsid w:val="00FE75D2"/>
    <w:rsid w:val="00FF6FF4"/>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decimalSymbol w:val=","/>
  <w:listSeparator w:val=","/>
  <w14:docId w14:val="03D51C61"/>
  <w15:chartTrackingRefBased/>
  <w15:docId w15:val="{1FC5902F-A08E-1345-A0F2-95F126542B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446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6446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6446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6446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6446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6446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446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446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446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446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6446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6446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6446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6446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644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44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44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4463"/>
    <w:rPr>
      <w:rFonts w:eastAsiaTheme="majorEastAsia" w:cstheme="majorBidi"/>
      <w:color w:val="272727" w:themeColor="text1" w:themeTint="D8"/>
    </w:rPr>
  </w:style>
  <w:style w:type="paragraph" w:styleId="Title">
    <w:name w:val="Title"/>
    <w:basedOn w:val="Normal"/>
    <w:next w:val="Normal"/>
    <w:link w:val="TitleChar"/>
    <w:uiPriority w:val="10"/>
    <w:qFormat/>
    <w:rsid w:val="00D6446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44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446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44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446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64463"/>
    <w:rPr>
      <w:i/>
      <w:iCs/>
      <w:color w:val="404040" w:themeColor="text1" w:themeTint="BF"/>
    </w:rPr>
  </w:style>
  <w:style w:type="paragraph" w:styleId="ListParagraph">
    <w:name w:val="List Paragraph"/>
    <w:basedOn w:val="Normal"/>
    <w:uiPriority w:val="34"/>
    <w:qFormat/>
    <w:rsid w:val="00D64463"/>
    <w:pPr>
      <w:ind w:left="720"/>
      <w:contextualSpacing/>
    </w:pPr>
  </w:style>
  <w:style w:type="character" w:styleId="IntenseEmphasis">
    <w:name w:val="Intense Emphasis"/>
    <w:basedOn w:val="DefaultParagraphFont"/>
    <w:uiPriority w:val="21"/>
    <w:qFormat/>
    <w:rsid w:val="00D64463"/>
    <w:rPr>
      <w:i/>
      <w:iCs/>
      <w:color w:val="2F5496" w:themeColor="accent1" w:themeShade="BF"/>
    </w:rPr>
  </w:style>
  <w:style w:type="paragraph" w:styleId="IntenseQuote">
    <w:name w:val="Intense Quote"/>
    <w:basedOn w:val="Normal"/>
    <w:next w:val="Normal"/>
    <w:link w:val="IntenseQuoteChar"/>
    <w:uiPriority w:val="30"/>
    <w:qFormat/>
    <w:rsid w:val="00D6446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64463"/>
    <w:rPr>
      <w:i/>
      <w:iCs/>
      <w:color w:val="2F5496" w:themeColor="accent1" w:themeShade="BF"/>
    </w:rPr>
  </w:style>
  <w:style w:type="character" w:styleId="IntenseReference">
    <w:name w:val="Intense Reference"/>
    <w:basedOn w:val="DefaultParagraphFont"/>
    <w:uiPriority w:val="32"/>
    <w:qFormat/>
    <w:rsid w:val="00D6446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91</TotalTime>
  <Pages>3</Pages>
  <Words>500</Words>
  <Characters>2855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Kremer</dc:creator>
  <cp:keywords/>
  <dc:description/>
  <cp:lastModifiedBy>Christian Kremer</cp:lastModifiedBy>
  <cp:revision>1</cp:revision>
  <dcterms:created xsi:type="dcterms:W3CDTF">2025-12-15T20:02:00Z</dcterms:created>
  <dcterms:modified xsi:type="dcterms:W3CDTF">2025-12-22T17:32:00Z</dcterms:modified>
</cp:coreProperties>
</file>