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00" w:after="360"/>
        <w:ind w:hanging="0" w:left="0" w:right="0"/>
        <w:jc w:val="left"/>
        <w:rPr>
          <w:b/>
          <w:caps/>
          <w:color w:val="810FFB"/>
          <w:spacing w:val="30"/>
          <w:sz w:val="18"/>
        </w:rPr>
      </w:pPr>
      <w:r>
        <w:rPr>
          <w:b/>
          <w:caps/>
          <w:color w:val="810FFB"/>
          <w:spacing w:val="30"/>
          <w:sz w:val="18"/>
        </w:rPr>
        <w:t>Synozur • policy-owner review copy</w:t>
      </w:r>
    </w:p>
    <w:p>
      <w:pPr>
        <w:pStyle w:val="Heading1"/>
        <w:bidi w:val="0"/>
        <w:spacing w:before="100" w:after="360"/>
        <w:jc w:val="left"/>
        <w:rPr/>
      </w:pPr>
      <w:r>
        <w:rPr/>
        <w:t>Standards of</w:t>
        <w:br/>
        <w:t>Business Conduct</w:t>
      </w:r>
    </w:p>
    <w:p>
      <w:pPr>
        <w:pStyle w:val="BodyTextsubtitle"/>
        <w:bidi w:val="0"/>
        <w:spacing w:before="100" w:after="360"/>
        <w:jc w:val="left"/>
        <w:rPr/>
      </w:pPr>
      <w:r>
        <w:rPr/>
        <w:t>Proposed standards explained for review</w:t>
      </w:r>
    </w:p>
    <w:p>
      <w:pPr>
        <w:pStyle w:val="BodyText"/>
        <w:bidi w:val="0"/>
        <w:spacing w:before="100" w:after="360"/>
        <w:jc w:val="left"/>
        <w:rPr/>
      </w:pPr>
      <w:r>
        <w:rPr>
          <w:rStyle w:val="Strong"/>
        </w:rPr>
        <w:t>Document status:</w:t>
      </w:r>
      <w:r>
        <w:rPr/>
        <w:t xml:space="preserve"> Draft for policy-owner and legal review</w:t>
        <w:br/>
      </w:r>
      <w:r>
        <w:rPr>
          <w:rStyle w:val="Strong"/>
        </w:rPr>
        <w:t>Source:</w:t>
      </w:r>
      <w:r>
        <w:rPr/>
        <w:t xml:space="preserve"> Synozur Standards of Business Conduct — Annual Attestation draft, slides 3–10 and 17–20, including speaker notes</w:t>
        <w:br/>
      </w:r>
      <w:r>
        <w:rPr>
          <w:rStyle w:val="Strong"/>
        </w:rPr>
        <w:t>Prepared:</w:t>
      </w:r>
      <w:r>
        <w:rPr/>
        <w:t xml:space="preserve"> September 2026</w:t>
      </w:r>
    </w:p>
    <w:p>
      <w:pPr>
        <w:pStyle w:val="BodyText"/>
        <w:bidi w:val="0"/>
        <w:spacing w:before="100" w:after="360"/>
        <w:jc w:val="left"/>
        <w:rPr/>
      </w:pPr>
      <w:r>
        <w:rPr>
          <w:rStyle w:val="Strong"/>
        </w:rPr>
        <w:t>Not an adopted company code.</w:t>
      </w:r>
      <w:r>
        <w:rPr/>
        <w:t xml:space="preserve"> The deck proposes conduct guidance beyond the retrieved IT and Security Policies. This document explains that proposal; it does not establish a new policy, authorize a legal claim, or replace approved contracts or policies. Do not distribute it as binding employee guidance or use it for attestation until its wording, owners, routes, and effective status are approved. </w:t>
      </w:r>
    </w:p>
    <w:p>
      <w:pPr>
        <w:pStyle w:val="Heading2"/>
        <w:bidi w:val="0"/>
        <w:jc w:val="left"/>
        <w:rPr/>
      </w:pPr>
      <w:r>
        <w:rPr/>
        <w:t>1. What is being proposed</w:t>
      </w:r>
    </w:p>
    <w:p>
      <w:pPr>
        <w:pStyle w:val="BodyText"/>
        <w:bidi w:val="0"/>
        <w:jc w:val="left"/>
        <w:rPr/>
      </w:pPr>
      <w:r>
        <w:rPr/>
        <w:t xml:space="preserve">The draft asks people representing Synozur to use sound judgment in ordinary decisions: hiring, purchasing, client delivery, sales, partnerships, records, AI-assisted work, and interactions with colleagues. It combines principles already reflected in IT/security governance with additional </w:t>
      </w:r>
      <w:r>
        <w:rPr>
          <w:rStyle w:val="Emphasis"/>
        </w:rPr>
        <w:t>proposed</w:t>
      </w:r>
      <w:r>
        <w:rPr/>
        <w:t xml:space="preserve"> business-conduct rules. The latter need explicit approval rather than being described as existing company policy.</w:t>
      </w:r>
    </w:p>
    <w:p>
      <w:pPr>
        <w:pStyle w:val="BodyText"/>
        <w:bidi w:val="0"/>
        <w:jc w:val="left"/>
        <w:rPr/>
      </w:pPr>
      <w:r>
        <w:rPr/>
        <w:t>The intended audience is Synozur staff and, if the policy owner approves that scope, others acting on Synozur’s behalf. The policy owner must settle who is covered, where the standards apply, and which contractual or jurisdiction-specific rules control. There is no Synozur HR function; this draft does not assign duties to one.</w:t>
      </w:r>
    </w:p>
    <w:p>
      <w:pPr>
        <w:pStyle w:val="BodyText"/>
        <w:bidi w:val="0"/>
        <w:spacing w:before="240" w:after="240"/>
        <w:ind w:hanging="0" w:left="240" w:right="240"/>
        <w:jc w:val="left"/>
        <w:rPr/>
      </w:pPr>
      <w:r>
        <w:rPr>
          <w:rStyle w:val="Strong"/>
          <w:shd w:fill="F7EFFF" w:val="clear"/>
        </w:rPr>
        <w:t>Practical decision test:</w:t>
      </w:r>
      <w:r>
        <w:rPr>
          <w:shd w:fill="F7EFFF" w:val="clear"/>
        </w:rPr>
        <w:t xml:space="preserve"> Before acting, ask five questions. </w:t>
      </w:r>
      <w:r>
        <w:rPr>
          <w:rStyle w:val="Strong"/>
          <w:shd w:fill="F7EFFF" w:val="clear"/>
        </w:rPr>
        <w:t>Permission:</w:t>
      </w:r>
      <w:r>
        <w:rPr>
          <w:shd w:fill="F7EFFF" w:val="clear"/>
        </w:rPr>
        <w:t xml:space="preserve"> Is this allowed by law, contract, client terms, and policy? </w:t>
      </w:r>
      <w:r>
        <w:rPr>
          <w:rStyle w:val="Strong"/>
          <w:shd w:fill="F7EFFF" w:val="clear"/>
        </w:rPr>
        <w:t>Honesty:</w:t>
      </w:r>
      <w:r>
        <w:rPr>
          <w:shd w:fill="F7EFFF" w:val="clear"/>
        </w:rPr>
        <w:t xml:space="preserve"> Is the record or claim accurate? </w:t>
      </w:r>
      <w:r>
        <w:rPr>
          <w:rStyle w:val="Strong"/>
          <w:shd w:fill="F7EFFF" w:val="clear"/>
        </w:rPr>
        <w:t>Fairness:</w:t>
      </w:r>
      <w:r>
        <w:rPr>
          <w:shd w:fill="F7EFFF" w:val="clear"/>
        </w:rPr>
        <w:t xml:space="preserve"> Could a relationship or benefit affect the decision? </w:t>
      </w:r>
      <w:r>
        <w:rPr>
          <w:rStyle w:val="Strong"/>
          <w:shd w:fill="F7EFFF" w:val="clear"/>
        </w:rPr>
        <w:t>Authority:</w:t>
      </w:r>
      <w:r>
        <w:rPr>
          <w:shd w:fill="F7EFFF" w:val="clear"/>
        </w:rPr>
        <w:t xml:space="preserve"> Am I authorized to approve, sign, spend, use, or share? </w:t>
      </w:r>
      <w:r>
        <w:rPr>
          <w:rStyle w:val="Strong"/>
          <w:shd w:fill="F7EFFF" w:val="clear"/>
        </w:rPr>
        <w:t>Explainability:</w:t>
      </w:r>
      <w:r>
        <w:rPr>
          <w:shd w:fill="F7EFFF" w:val="clear"/>
        </w:rPr>
        <w:t xml:space="preserve"> Could I describe the decision accurately and openly? If an answer is uncertain, pause and ask the responsible owner. </w:t>
      </w:r>
      <w:r>
        <w:rPr>
          <w:color w:val="665D70"/>
          <w:sz w:val="18"/>
          <w:shd w:fill="F7EFFF" w:val="clear"/>
        </w:rPr>
        <w:t>Source: slide 3; the five-part presentation follows the draft course.</w:t>
      </w:r>
      <w:r>
        <w:rPr>
          <w:shd w:fill="F7EFFF" w:val="clear"/>
        </w:rPr>
        <w:t xml:space="preserve"> </w:t>
      </w:r>
    </w:p>
    <w:p>
      <w:pPr>
        <w:pStyle w:val="Heading2"/>
        <w:bidi w:val="0"/>
        <w:jc w:val="left"/>
        <w:rPr/>
      </w:pPr>
      <w:r>
        <w:rPr/>
        <w:t>2. Conflicts and impartial decisions</w:t>
      </w:r>
    </w:p>
    <w:p>
      <w:pPr>
        <w:pStyle w:val="BodyText"/>
        <w:bidi w:val="0"/>
        <w:jc w:val="left"/>
        <w:rPr/>
      </w:pPr>
      <w:r>
        <w:rPr>
          <w:rStyle w:val="Strong"/>
        </w:rPr>
        <w:t>Proposed standard.</w:t>
      </w:r>
      <w:r>
        <w:rPr/>
        <w:t xml:space="preserve"> Disclose a personal relationship, financial interest, outside work, gift, or other interest that could affect—or reasonably appear to affect—a hiring, purchasing, referral, or client decision. Disclosure is not an admission of wrongdoing. The concern is an undisclosed or improperly managed decision.</w:t>
      </w:r>
    </w:p>
    <w:p>
      <w:pPr>
        <w:pStyle w:val="BodyText"/>
        <w:bidi w:val="0"/>
        <w:jc w:val="left"/>
        <w:rPr/>
      </w:pPr>
      <w:r>
        <w:rPr/>
        <w:t>Tell the designated decision owner early, preferably in a record that can be reviewed. Step back from influencing the decision while the owner decides whether recusal or safeguards are needed. The authorized owner, not the person with the conflict, should document the disposition. Do not route the decision through a colleague as a proxy.</w:t>
      </w:r>
    </w:p>
    <w:p>
      <w:pPr>
        <w:pStyle w:val="BodyText"/>
        <w:bidi w:val="0"/>
        <w:spacing w:before="180" w:after="180"/>
        <w:ind w:hanging="0" w:left="180" w:right="180"/>
        <w:jc w:val="left"/>
        <w:rPr/>
      </w:pPr>
      <w:r>
        <w:rPr>
          <w:rStyle w:val="Strong"/>
          <w:shd w:fill="F7F5FA" w:val="clear"/>
        </w:rPr>
        <w:t>Illustration:</w:t>
      </w:r>
      <w:r>
        <w:rPr>
          <w:shd w:fill="F7F5FA" w:val="clear"/>
        </w:rPr>
        <w:t xml:space="preserve"> Your relative owns a bidder. Disclose the relationship before evaluating bids; do not decide for yourself that the price makes your participation impartial. The owner decides and records how the evaluation proceeds.</w:t>
      </w:r>
    </w:p>
    <w:p>
      <w:pPr>
        <w:pStyle w:val="BodyTextsmall"/>
        <w:bidi w:val="0"/>
        <w:jc w:val="left"/>
        <w:rPr/>
      </w:pPr>
      <w:r>
        <w:rPr>
          <w:rStyle w:val="Strong"/>
        </w:rPr>
        <w:t>Decision still needed:</w:t>
      </w:r>
      <w:r>
        <w:rPr/>
        <w:t xml:space="preserve"> Designate who receives disclosures, who approves a mitigation or recusal, what record is kept, and whether outside work needs prior approval. Source: slide 4 and notes.</w:t>
      </w:r>
    </w:p>
    <w:p>
      <w:pPr>
        <w:pStyle w:val="Heading2"/>
        <w:bidi w:val="0"/>
        <w:jc w:val="left"/>
        <w:rPr/>
      </w:pPr>
      <w:r>
        <w:rPr/>
        <w:t>3. Gifts, hospitality, and improper influence</w:t>
      </w:r>
    </w:p>
    <w:p>
      <w:pPr>
        <w:pStyle w:val="BodyText"/>
        <w:bidi w:val="0"/>
        <w:jc w:val="left"/>
        <w:rPr/>
      </w:pPr>
      <w:r>
        <w:rPr>
          <w:rStyle w:val="Strong"/>
        </w:rPr>
        <w:t>Proposed standard.</w:t>
      </w:r>
      <w:r>
        <w:rPr/>
        <w:t xml:space="preserve"> Do not offer, request, or accept a bribe, kickback, or benefit intended to buy a decision. A benefit can be travel, entertainment, a discount, donation, job, or favor—not just cash. Timing, secrecy, public-sector obligations, procurement rules, and client restrictions matter. Record legitimate expenses and approvals accurately; do not split or relabel charges to evade review.</w:t>
      </w:r>
    </w:p>
    <w:p>
      <w:pPr>
        <w:pStyle w:val="BodyText"/>
        <w:bidi w:val="0"/>
        <w:spacing w:before="180" w:after="180"/>
        <w:ind w:hanging="0" w:left="180" w:right="180"/>
        <w:jc w:val="left"/>
        <w:rPr/>
      </w:pPr>
      <w:r>
        <w:rPr>
          <w:rStyle w:val="Strong"/>
          <w:shd w:fill="F7F5FA" w:val="clear"/>
        </w:rPr>
        <w:t>Illustration:</w:t>
      </w:r>
      <w:r>
        <w:rPr>
          <w:shd w:fill="F7F5FA" w:val="clear"/>
        </w:rPr>
        <w:t xml:space="preserve"> During supplier selection, a friend at a bidder offers a weekend trip and asks you to keep it secret. Preserve the facts about the relationship, offer, timing, and request for secrecy. Pause participation and seek review through the approved disclosure process; do not conceal or self-approve the arrangement.</w:t>
      </w:r>
    </w:p>
    <w:p>
      <w:pPr>
        <w:pStyle w:val="BodyText"/>
        <w:bidi w:val="0"/>
        <w:jc w:val="left"/>
        <w:rPr/>
      </w:pPr>
      <w:r>
        <w:rPr>
          <w:rStyle w:val="Strong"/>
        </w:rPr>
        <w:t>No gift-value limit is supplied here.</w:t>
      </w:r>
      <w:r>
        <w:rPr/>
        <w:t xml:space="preserve"> A small benefit is not automatically permitted, and this draft does not invent a monetary threshold. If an immediate physical safety risk arises, prioritize safety and report the facts afterward.</w:t>
      </w:r>
    </w:p>
    <w:p>
      <w:pPr>
        <w:pStyle w:val="BodyTextsmall"/>
        <w:bidi w:val="0"/>
        <w:jc w:val="left"/>
        <w:rPr/>
      </w:pPr>
      <w:r>
        <w:rPr>
          <w:rStyle w:val="Strong"/>
        </w:rPr>
        <w:t>Decision still needed:</w:t>
      </w:r>
      <w:r>
        <w:rPr/>
        <w:t xml:space="preserve"> Approve gift/hospitality prohibitions, any thresholds, recording and approval rules, and client/public-sector exceptions. Source: slides 5 and 11 and notes.</w:t>
      </w:r>
    </w:p>
    <w:p>
      <w:pPr>
        <w:pStyle w:val="Heading2"/>
        <w:bidi w:val="0"/>
        <w:jc w:val="left"/>
        <w:rPr/>
      </w:pPr>
      <w:r>
        <w:rPr/>
        <w:t>4. Honest records, approvals, and public claims</w:t>
      </w:r>
    </w:p>
    <w:p>
      <w:pPr>
        <w:pStyle w:val="BodyText"/>
        <w:bidi w:val="0"/>
        <w:jc w:val="left"/>
        <w:rPr/>
      </w:pPr>
      <w:r>
        <w:rPr>
          <w:rStyle w:val="Strong"/>
        </w:rPr>
        <w:t>Proposed standard.</w:t>
      </w:r>
      <w:r>
        <w:rPr/>
        <w:t xml:space="preserve"> Enter actual time, expenses, approvals, delivery status, and client-facing facts. Do not backdate an approval, invent a receipt or testimonial, move hours to an unrelated project, or describe an untested control as implemented. Use the approved correction process: preserve the original, add the correction with the actual date and reason, identify the person making it, and retain the relevant approver and audit trail. Preserve records subject to a hold.</w:t>
      </w:r>
    </w:p>
    <w:p>
      <w:pPr>
        <w:pStyle w:val="BodyText"/>
        <w:bidi w:val="0"/>
        <w:jc w:val="left"/>
        <w:rPr/>
      </w:pPr>
      <w:r>
        <w:rPr/>
        <w:t xml:space="preserve">Check signing and spending authority before committing Synozur or a client. Verify proposal numbers, citations, scope, and assurance statements. An AI-generated draft is not evidence; a human owner remains accountable for reviewing it. Completing training does </w:t>
      </w:r>
      <w:r>
        <w:rPr>
          <w:rStyle w:val="Strong"/>
        </w:rPr>
        <w:t>not</w:t>
      </w:r>
      <w:r>
        <w:rPr/>
        <w:t xml:space="preserve"> make Synozur “NIST-certified.” Any formal assurance or certification claim needs an accountable owner, supporting evidence, the correct scope, and approval before use.</w:t>
      </w:r>
    </w:p>
    <w:p>
      <w:pPr>
        <w:pStyle w:val="BodyText"/>
        <w:bidi w:val="0"/>
        <w:spacing w:before="180" w:after="180"/>
        <w:ind w:hanging="0" w:left="180" w:right="180"/>
        <w:jc w:val="left"/>
        <w:rPr/>
      </w:pPr>
      <w:r>
        <w:rPr>
          <w:rStyle w:val="Strong"/>
          <w:shd w:fill="F7F5FA" w:val="clear"/>
        </w:rPr>
        <w:t>Illustration:</w:t>
      </w:r>
      <w:r>
        <w:rPr>
          <w:shd w:fill="F7F5FA" w:val="clear"/>
        </w:rPr>
        <w:t xml:space="preserve"> A manager asks you to date an approval as though it happened before an audit. Keep the original record and its true timeline. If a legitimate correction is authorized, add a dated correcting entry; do not make the past appear different.</w:t>
      </w:r>
    </w:p>
    <w:p>
      <w:pPr>
        <w:pStyle w:val="BodyTextsmall"/>
        <w:bidi w:val="0"/>
        <w:jc w:val="left"/>
        <w:rPr/>
      </w:pPr>
      <w:r>
        <w:rPr>
          <w:rStyle w:val="Strong"/>
        </w:rPr>
        <w:t>Decision still needed:</w:t>
      </w:r>
      <w:r>
        <w:rPr/>
        <w:t xml:space="preserve"> Confirm record-correction procedure, record owners, signing authority, assurance-claim reviewers, and retention/hold rules. Source: slides 6 and 9 and notes; IT Policy sections 4 and 6 are cited in the deck.</w:t>
      </w:r>
    </w:p>
    <w:p>
      <w:pPr>
        <w:pStyle w:val="Heading2"/>
        <w:bidi w:val="0"/>
        <w:jc w:val="left"/>
        <w:rPr/>
      </w:pPr>
      <w:r>
        <w:rPr/>
        <w:t>5. Respectful conduct</w:t>
      </w:r>
    </w:p>
    <w:p>
      <w:pPr>
        <w:pStyle w:val="BodyText"/>
        <w:bidi w:val="0"/>
        <w:jc w:val="left"/>
        <w:rPr/>
      </w:pPr>
      <w:r>
        <w:rPr>
          <w:rStyle w:val="Strong"/>
        </w:rPr>
        <w:t>Proposed standard.</w:t>
      </w:r>
      <w:r>
        <w:rPr/>
        <w:t xml:space="preserve"> Treat colleagues, contractors, partners, vendors, and clients with dignity in meetings, messages, remote work, travel, and business events. Do not harass, discriminate, bully, threaten, or retaliate. Respect boundaries. Support someone raising a concern without taking over an investigation or sharing their account unnecessarily; use emergency services for immediate danger.</w:t>
      </w:r>
    </w:p>
    <w:p>
      <w:pPr>
        <w:pStyle w:val="BodyText"/>
        <w:bidi w:val="0"/>
        <w:jc w:val="left"/>
        <w:rPr/>
      </w:pPr>
      <w:r>
        <w:rPr/>
        <w:t>This is awareness guidance, not a substitute for jurisdiction-specific workplace training or legal review. It does not promise that a report can be completely anonymous or that details will never need to be shared during a fair review.</w:t>
      </w:r>
    </w:p>
    <w:p>
      <w:pPr>
        <w:pStyle w:val="BodyTextsmall"/>
        <w:bidi w:val="0"/>
        <w:jc w:val="left"/>
        <w:rPr/>
      </w:pPr>
      <w:r>
        <w:rPr>
          <w:rStyle w:val="Strong"/>
        </w:rPr>
        <w:t>Decision still needed:</w:t>
      </w:r>
      <w:r>
        <w:rPr/>
        <w:t xml:space="preserve"> Approve definitions, scope, safeguarding, review ownership, and non-retaliation wording with the conduct policy owner and legal adviser. Source: slide 7 and notes; the deck also cites Security Policy section 2.</w:t>
      </w:r>
    </w:p>
    <w:p>
      <w:pPr>
        <w:pStyle w:val="Heading2"/>
        <w:bidi w:val="0"/>
        <w:jc w:val="left"/>
        <w:rPr/>
      </w:pPr>
      <w:r>
        <w:rPr/>
        <w:t>6. Client trust, intellectual property, and competition</w:t>
      </w:r>
    </w:p>
    <w:p>
      <w:pPr>
        <w:pStyle w:val="BodyText"/>
        <w:bidi w:val="0"/>
        <w:jc w:val="left"/>
        <w:rPr/>
      </w:pPr>
      <w:r>
        <w:rPr>
          <w:rStyle w:val="Strong"/>
        </w:rPr>
        <w:t>Proposed standard.</w:t>
      </w:r>
      <w:r>
        <w:rPr/>
        <w:t xml:space="preserve"> Respect confidentiality agreements, engagement boundaries, client instructions, and restrictions that continue after a project ends. An NDA or prior access does not authorize a new use. Check contractual permission, ownership, third-party licenses, and attribution requirements before reusing client work, code, images, or workshop materials in another engagement or a sales example. Attribution alone is not a license.</w:t>
      </w:r>
    </w:p>
    <w:p>
      <w:pPr>
        <w:pStyle w:val="BodyText"/>
        <w:bidi w:val="0"/>
        <w:jc w:val="left"/>
        <w:rPr/>
      </w:pPr>
      <w:r>
        <w:rPr/>
        <w:t>Do not request, review further, circulate, or use a competitor’s confidential bid, pricing, or other restricted material received unexpectedly. Preserve the relevant facts and seek guidance without conducting your own investigation. Do not coordinate improper prices, bids, customers, or markets with competitors; contracts and law determine the precise obligations.</w:t>
      </w:r>
    </w:p>
    <w:p>
      <w:pPr>
        <w:pStyle w:val="BodyTextsmall"/>
        <w:bidi w:val="0"/>
        <w:jc w:val="left"/>
        <w:rPr/>
      </w:pPr>
      <w:r>
        <w:rPr>
          <w:rStyle w:val="Strong"/>
        </w:rPr>
        <w:t>Decision still needed:</w:t>
      </w:r>
      <w:r>
        <w:rPr/>
        <w:t xml:space="preserve"> Confirm who assesses reuse rights, licensing, client-specific restrictions, and competition questions. Source: slide 8 and notes; the deck also cites IT Policy sections 2 and 4.</w:t>
      </w:r>
    </w:p>
    <w:p>
      <w:pPr>
        <w:pStyle w:val="Heading2"/>
        <w:bidi w:val="0"/>
        <w:jc w:val="left"/>
        <w:rPr/>
      </w:pPr>
      <w:r>
        <w:rPr/>
        <w:t>7. Accountability for tools, AI, and partners</w:t>
      </w:r>
    </w:p>
    <w:p>
      <w:pPr>
        <w:pStyle w:val="BodyText"/>
        <w:bidi w:val="0"/>
        <w:jc w:val="left"/>
        <w:rPr/>
      </w:pPr>
      <w:r>
        <w:rPr>
          <w:rStyle w:val="Strong"/>
        </w:rPr>
        <w:t>Proposed standard.</w:t>
      </w:r>
      <w:r>
        <w:rPr/>
        <w:t xml:space="preserve"> Use approved procurement, accounts, security review, and spending authority for vendors and partners. An external provider or automated system does not remove Synozur’s responsibility for its work. Review AI-assisted content for accuracy, sources, rights, fairness, confidentiality, client restrictions, and any required disclosure before it reaches a client. Do not hide subcontracting, invent evidence, or promise unverified security capabilities or subprocessor terms.</w:t>
      </w:r>
    </w:p>
    <w:p>
      <w:pPr>
        <w:pStyle w:val="BodyTextsmall"/>
        <w:bidi w:val="0"/>
        <w:jc w:val="left"/>
        <w:rPr/>
      </w:pPr>
      <w:r>
        <w:rPr>
          <w:rStyle w:val="Strong"/>
        </w:rPr>
        <w:t>Decision still needed:</w:t>
      </w:r>
      <w:r>
        <w:rPr/>
        <w:t xml:space="preserve"> Confirm the responsible procurement, vendor, security, and engagement approvers and the client AI disclosure process. Source: slide 9 and notes; the deck cites IT Policy sections 5–6 and Security Policy section 15.</w:t>
      </w:r>
    </w:p>
    <w:p>
      <w:pPr>
        <w:pStyle w:val="Heading2"/>
        <w:bidi w:val="0"/>
        <w:jc w:val="left"/>
        <w:rPr/>
      </w:pPr>
      <w:r>
        <w:rPr/>
        <w:t>8. Raising a concern and protecting reporters</w:t>
      </w:r>
    </w:p>
    <w:p>
      <w:pPr>
        <w:pStyle w:val="BodyText"/>
        <w:bidi w:val="0"/>
        <w:jc w:val="left"/>
        <w:rPr/>
      </w:pPr>
      <w:r>
        <w:rPr>
          <w:rStyle w:val="Strong"/>
        </w:rPr>
        <w:t>Confirmed reporting contacts supplied for the course:</w:t>
      </w:r>
      <w:r>
        <w:rPr/>
        <w:t xml:space="preserve"> For a business-conduct concern or breach, the primary contact is </w:t>
      </w:r>
      <w:r>
        <w:rPr>
          <w:rStyle w:val="Strong"/>
        </w:rPr>
        <w:t>Michelle Caldwell, Michelle.caldwell@synozur.com</w:t>
      </w:r>
      <w:r>
        <w:rPr/>
        <w:t xml:space="preserve">. If Michelle is involved or someone is uncomfortable contacting her, </w:t>
      </w:r>
      <w:r>
        <w:rPr>
          <w:rStyle w:val="Strong"/>
        </w:rPr>
        <w:t>ReportIt@synozur.com</w:t>
      </w:r>
      <w:r>
        <w:rPr/>
        <w:t xml:space="preserve"> is the out-of-band alternate. “Out of band” does not itself establish independent handling or absolute anonymity. For other security issues, use </w:t>
      </w:r>
      <w:r>
        <w:rPr>
          <w:rStyle w:val="Strong"/>
        </w:rPr>
        <w:t>security@synozur.com</w:t>
      </w:r>
      <w:r>
        <w:rPr/>
        <w:t xml:space="preserve">; for urgent or after-hours security incidents the 24-hour route is </w:t>
      </w:r>
      <w:r>
        <w:rPr>
          <w:rStyle w:val="Strong"/>
        </w:rPr>
        <w:t>ITHelp@synozur.com</w:t>
      </w:r>
      <w:r>
        <w:rPr/>
        <w:t xml:space="preserve">. Privacy concerns or questions go to </w:t>
      </w:r>
      <w:r>
        <w:rPr>
          <w:rStyle w:val="Strong"/>
        </w:rPr>
        <w:t>privacy@synozur.com</w:t>
      </w:r>
      <w:r>
        <w:rPr/>
        <w:t>. These addresses do not replace a formal legal or client-specific intake process.</w:t>
      </w:r>
    </w:p>
    <w:p>
      <w:pPr>
        <w:pStyle w:val="BodyText"/>
        <w:bidi w:val="0"/>
        <w:jc w:val="left"/>
        <w:rPr/>
      </w:pPr>
      <w:r>
        <w:rPr>
          <w:rStyle w:val="Strong"/>
        </w:rPr>
        <w:t>Proposed standard.</w:t>
      </w:r>
      <w:r>
        <w:rPr/>
        <w:t xml:space="preserve"> Raise a concern in good faith with the facts you know; you need not prove a violation or investigate first. Describe what you observed, preserve relevant information, and avoid confronting subjects, accessing private accounts, obstructing a review, destroying evidence, or retaliating. A good-faith report can later prove mistaken. The wording of investigation steps, confidentiality limits, fair process, protection against retaliation, and knowing false reports requires policy-owner/legal approval. Internal routes must not be described as preventing lawful reporting to government or regulatory authorities.</w:t>
      </w:r>
    </w:p>
    <w:p>
      <w:pPr>
        <w:pStyle w:val="BodyTextsmall"/>
        <w:bidi w:val="0"/>
        <w:jc w:val="left"/>
        <w:rPr/>
      </w:pPr>
      <w:r>
        <w:rPr>
          <w:rStyle w:val="Strong"/>
        </w:rPr>
        <w:t>Decision still needed:</w:t>
      </w:r>
      <w:r>
        <w:rPr/>
        <w:t xml:space="preserve"> Approve how Michelle and ReportIt receive and route reports, who reviews concerns involving leadership, safeguards and access limits, escalation, fair process, non-retaliation language, and any legal requirements. Do not assume there is an HR department. Source: slide 10 and notes, plus the user-confirmed contact routes.</w:t>
      </w:r>
    </w:p>
    <w:p>
      <w:pPr>
        <w:pStyle w:val="Heading2"/>
        <w:bidi w:val="0"/>
        <w:ind w:hanging="0" w:left="0" w:right="0"/>
        <w:jc w:val="left"/>
        <w:rPr/>
      </w:pPr>
      <w:r>
        <w:rPr/>
        <w:t>9. Proposed annual acknowledgement — exact deck wording</w:t>
      </w:r>
    </w:p>
    <w:p>
      <w:pPr>
        <w:pStyle w:val="BodyText"/>
        <w:bidi w:val="0"/>
        <w:jc w:val="left"/>
        <w:rPr/>
      </w:pPr>
      <w:r>
        <w:rPr/>
        <w:t xml:space="preserve">Slide 17 proposes the following statement. It is reproduced for wording review, </w:t>
      </w:r>
      <w:r>
        <w:rPr>
          <w:rStyle w:val="Strong"/>
        </w:rPr>
        <w:t>not</w:t>
      </w:r>
      <w:r>
        <w:rPr/>
        <w:t xml:space="preserve"> presented here as approved or signed:</w:t>
      </w:r>
    </w:p>
    <w:p>
      <w:pPr>
        <w:pStyle w:val="BodyText"/>
        <w:bidi w:val="0"/>
        <w:spacing w:before="200" w:after="200"/>
        <w:ind w:hanging="0" w:left="200" w:right="200"/>
        <w:jc w:val="left"/>
        <w:rPr>
          <w:sz w:val="22"/>
          <w:shd w:fill="F8F5FB" w:val="clear"/>
        </w:rPr>
      </w:pPr>
      <w:r>
        <w:rPr>
          <w:sz w:val="22"/>
          <w:shd w:fill="F8F5FB" w:val="clear"/>
        </w:rPr>
        <w:t>I completed this course and reviewed the applicable standards of business conduct. I will act honestly, disclose conflicts, protect client information, maintain accurate records, treat people respectfully, and raise concerns in good faith. I understand the obligation not to retaliate.</w:t>
      </w:r>
    </w:p>
    <w:p>
      <w:pPr>
        <w:pStyle w:val="BodyText"/>
        <w:bidi w:val="0"/>
        <w:jc w:val="left"/>
        <w:rPr/>
      </w:pPr>
      <w:r>
        <w:rPr/>
        <w:t>Every learner is expected to sign personally; the course does not auto-sign or accept a proxy. Until an individual signs, the acknowledgement is incomplete. The text does not require a claim of a spotless history. A contact for questions before signing must still be named. The policy owner and legal adviser should approve the exact statement only after the underlying standards and policy versions are approved.</w:t>
      </w:r>
    </w:p>
    <w:p>
      <w:pPr>
        <w:pStyle w:val="Heading2"/>
        <w:bidi w:val="0"/>
        <w:jc w:val="left"/>
        <w:rPr/>
      </w:pPr>
      <w:r>
        <w:rPr/>
        <w:t>10. Decisions requested from reviewers</w:t>
      </w:r>
    </w:p>
    <w:tbl>
      <w:tblPr>
        <w:tblW w:w="9994" w:type="dxa"/>
        <w:jc w:val="left"/>
        <w:tblInd w:w="0" w:type="dxa"/>
        <w:tblLayout w:type="fixed"/>
        <w:tblCellMar>
          <w:top w:w="28" w:type="dxa"/>
          <w:left w:w="28" w:type="dxa"/>
          <w:bottom w:w="28" w:type="dxa"/>
          <w:right w:w="28" w:type="dxa"/>
        </w:tblCellMar>
      </w:tblPr>
      <w:tblGrid>
        <w:gridCol w:w="1664"/>
        <w:gridCol w:w="6460"/>
        <w:gridCol w:w="1870"/>
      </w:tblGrid>
      <w:tr>
        <w:trPr>
          <w:tblHeader w:val="true"/>
        </w:trPr>
        <w:tc>
          <w:tcPr>
            <w:tcW w:w="1664" w:type="dxa"/>
            <w:tcBorders/>
            <w:vAlign w:val="center"/>
          </w:tcPr>
          <w:p>
            <w:pPr>
              <w:pStyle w:val="TableHeading"/>
              <w:bidi w:val="0"/>
              <w:ind w:hanging="0" w:left="0" w:right="0"/>
              <w:jc w:val="left"/>
              <w:rPr/>
            </w:pPr>
            <w:r>
              <w:rPr/>
              <w:t>Topic</w:t>
            </w:r>
          </w:p>
        </w:tc>
        <w:tc>
          <w:tcPr>
            <w:tcW w:w="6460" w:type="dxa"/>
            <w:tcBorders/>
            <w:vAlign w:val="center"/>
          </w:tcPr>
          <w:p>
            <w:pPr>
              <w:pStyle w:val="TableHeading"/>
              <w:bidi w:val="0"/>
              <w:ind w:hanging="0" w:left="0" w:right="0"/>
              <w:jc w:val="left"/>
              <w:rPr/>
            </w:pPr>
            <w:r>
              <w:rPr/>
              <w:t>Approval question or required input</w:t>
            </w:r>
          </w:p>
        </w:tc>
        <w:tc>
          <w:tcPr>
            <w:tcW w:w="1870" w:type="dxa"/>
            <w:tcBorders/>
            <w:vAlign w:val="center"/>
          </w:tcPr>
          <w:p>
            <w:pPr>
              <w:pStyle w:val="TableHeading"/>
              <w:suppressLineNumbers/>
              <w:shd w:fill="321056" w:val="clear"/>
              <w:bidi w:val="0"/>
              <w:jc w:val="left"/>
              <w:rPr/>
            </w:pPr>
            <w:r>
              <w:rPr/>
              <w:t>Suggested reviewer</w:t>
            </w:r>
          </w:p>
        </w:tc>
      </w:tr>
      <w:tr>
        <w:trPr/>
        <w:tc>
          <w:tcPr>
            <w:tcW w:w="1664" w:type="dxa"/>
            <w:tcBorders/>
            <w:vAlign w:val="center"/>
          </w:tcPr>
          <w:p>
            <w:pPr>
              <w:pStyle w:val="TableContents"/>
              <w:widowControl w:val="false"/>
              <w:suppressLineNumbers/>
              <w:bidi w:val="0"/>
              <w:jc w:val="left"/>
              <w:rPr/>
            </w:pPr>
            <w:r>
              <w:rPr/>
              <w:t>Adoption and scope</w:t>
            </w:r>
          </w:p>
        </w:tc>
        <w:tc>
          <w:tcPr>
            <w:tcW w:w="6460" w:type="dxa"/>
            <w:tcBorders/>
            <w:vAlign w:val="center"/>
          </w:tcPr>
          <w:p>
            <w:pPr>
              <w:pStyle w:val="TableContents"/>
              <w:widowControl w:val="false"/>
              <w:suppressLineNumbers/>
              <w:bidi w:val="0"/>
              <w:jc w:val="left"/>
              <w:rPr/>
            </w:pPr>
            <w:r>
              <w:rPr/>
              <w:t>Adopt or revise each proposed standard; name the policy owner, covered people, effective date, and relationship to contracts and existing policies.</w:t>
            </w:r>
          </w:p>
        </w:tc>
        <w:tc>
          <w:tcPr>
            <w:tcW w:w="1870" w:type="dxa"/>
            <w:tcBorders/>
            <w:vAlign w:val="center"/>
          </w:tcPr>
          <w:p>
            <w:pPr>
              <w:pStyle w:val="TableContents"/>
              <w:widowControl w:val="false"/>
              <w:suppressLineNumbers/>
              <w:bidi w:val="0"/>
              <w:jc w:val="left"/>
              <w:rPr/>
            </w:pPr>
            <w:r>
              <w:rPr/>
              <w:t>Leadership / policy owner / legal</w:t>
            </w:r>
          </w:p>
        </w:tc>
      </w:tr>
      <w:tr>
        <w:trPr/>
        <w:tc>
          <w:tcPr>
            <w:tcW w:w="1664" w:type="dxa"/>
            <w:tcBorders/>
            <w:vAlign w:val="center"/>
          </w:tcPr>
          <w:p>
            <w:pPr>
              <w:pStyle w:val="TableContents"/>
              <w:widowControl w:val="false"/>
              <w:suppressLineNumbers/>
              <w:bidi w:val="0"/>
              <w:jc w:val="left"/>
              <w:rPr/>
            </w:pPr>
            <w:r>
              <w:rPr/>
              <w:t>Conflicts and outside interests</w:t>
            </w:r>
          </w:p>
        </w:tc>
        <w:tc>
          <w:tcPr>
            <w:tcW w:w="6460" w:type="dxa"/>
            <w:tcBorders/>
            <w:vAlign w:val="center"/>
          </w:tcPr>
          <w:p>
            <w:pPr>
              <w:pStyle w:val="TableContents"/>
              <w:widowControl w:val="false"/>
              <w:suppressLineNumbers/>
              <w:bidi w:val="0"/>
              <w:jc w:val="left"/>
              <w:rPr/>
            </w:pPr>
            <w:r>
              <w:rPr/>
              <w:t>Identify disclosure recipient, decision maker, mitigation/recusal record, and outside-work approval process.</w:t>
            </w:r>
          </w:p>
        </w:tc>
        <w:tc>
          <w:tcPr>
            <w:tcW w:w="1870" w:type="dxa"/>
            <w:tcBorders/>
            <w:vAlign w:val="center"/>
          </w:tcPr>
          <w:p>
            <w:pPr>
              <w:pStyle w:val="TableContents"/>
              <w:widowControl w:val="false"/>
              <w:suppressLineNumbers/>
              <w:bidi w:val="0"/>
              <w:jc w:val="left"/>
              <w:rPr/>
            </w:pPr>
            <w:r>
              <w:rPr/>
              <w:t>Policy owner / legal</w:t>
            </w:r>
          </w:p>
        </w:tc>
      </w:tr>
      <w:tr>
        <w:trPr/>
        <w:tc>
          <w:tcPr>
            <w:tcW w:w="1664" w:type="dxa"/>
            <w:tcBorders/>
            <w:vAlign w:val="center"/>
          </w:tcPr>
          <w:p>
            <w:pPr>
              <w:pStyle w:val="TableContents"/>
              <w:widowControl w:val="false"/>
              <w:suppressLineNumbers/>
              <w:bidi w:val="0"/>
              <w:jc w:val="left"/>
              <w:rPr/>
            </w:pPr>
            <w:r>
              <w:rPr/>
              <w:t>Gifts and hospitality</w:t>
            </w:r>
          </w:p>
        </w:tc>
        <w:tc>
          <w:tcPr>
            <w:tcW w:w="6460" w:type="dxa"/>
            <w:tcBorders/>
            <w:vAlign w:val="center"/>
          </w:tcPr>
          <w:p>
            <w:pPr>
              <w:pStyle w:val="TableContents"/>
              <w:widowControl w:val="false"/>
              <w:suppressLineNumbers/>
              <w:bidi w:val="0"/>
              <w:jc w:val="left"/>
              <w:rPr/>
            </w:pPr>
            <w:r>
              <w:rPr/>
              <w:t>Set prohibitions, limits (if any), approval and recording rules, and client or public-sector exceptions. No amount is implied by this draft.</w:t>
            </w:r>
          </w:p>
        </w:tc>
        <w:tc>
          <w:tcPr>
            <w:tcW w:w="1870" w:type="dxa"/>
            <w:tcBorders/>
            <w:vAlign w:val="center"/>
          </w:tcPr>
          <w:p>
            <w:pPr>
              <w:pStyle w:val="TableContents"/>
              <w:widowControl w:val="false"/>
              <w:suppressLineNumbers/>
              <w:bidi w:val="0"/>
              <w:jc w:val="left"/>
              <w:rPr/>
            </w:pPr>
            <w:r>
              <w:rPr/>
              <w:t>Policy owner / legal</w:t>
            </w:r>
          </w:p>
        </w:tc>
      </w:tr>
      <w:tr>
        <w:trPr/>
        <w:tc>
          <w:tcPr>
            <w:tcW w:w="1664" w:type="dxa"/>
            <w:tcBorders/>
            <w:vAlign w:val="center"/>
          </w:tcPr>
          <w:p>
            <w:pPr>
              <w:pStyle w:val="TableContents"/>
              <w:widowControl w:val="false"/>
              <w:suppressLineNumbers/>
              <w:bidi w:val="0"/>
              <w:jc w:val="left"/>
              <w:rPr/>
            </w:pPr>
            <w:r>
              <w:rPr/>
              <w:t>Records and authority</w:t>
            </w:r>
          </w:p>
        </w:tc>
        <w:tc>
          <w:tcPr>
            <w:tcW w:w="6460" w:type="dxa"/>
            <w:tcBorders/>
            <w:vAlign w:val="center"/>
          </w:tcPr>
          <w:p>
            <w:pPr>
              <w:pStyle w:val="TableContents"/>
              <w:widowControl w:val="false"/>
              <w:suppressLineNumbers/>
              <w:bidi w:val="0"/>
              <w:jc w:val="left"/>
              <w:rPr/>
            </w:pPr>
            <w:r>
              <w:rPr/>
              <w:t>Approve the correction/audit-trail process, signing/spending authorities, claim-review owner, and applicable holds.</w:t>
            </w:r>
          </w:p>
        </w:tc>
        <w:tc>
          <w:tcPr>
            <w:tcW w:w="1870" w:type="dxa"/>
            <w:tcBorders/>
            <w:vAlign w:val="center"/>
          </w:tcPr>
          <w:p>
            <w:pPr>
              <w:pStyle w:val="TableContents"/>
              <w:widowControl w:val="false"/>
              <w:suppressLineNumbers/>
              <w:bidi w:val="0"/>
              <w:jc w:val="left"/>
              <w:rPr/>
            </w:pPr>
            <w:r>
              <w:rPr/>
              <w:t>Operations / security / legal</w:t>
            </w:r>
          </w:p>
        </w:tc>
      </w:tr>
      <w:tr>
        <w:trPr/>
        <w:tc>
          <w:tcPr>
            <w:tcW w:w="1664" w:type="dxa"/>
            <w:tcBorders/>
            <w:vAlign w:val="center"/>
          </w:tcPr>
          <w:p>
            <w:pPr>
              <w:pStyle w:val="TableContents"/>
              <w:widowControl w:val="false"/>
              <w:suppressLineNumbers/>
              <w:bidi w:val="0"/>
              <w:jc w:val="left"/>
              <w:rPr/>
            </w:pPr>
            <w:r>
              <w:rPr/>
              <w:t>Clients, IP, competition, AI</w:t>
            </w:r>
          </w:p>
        </w:tc>
        <w:tc>
          <w:tcPr>
            <w:tcW w:w="6460" w:type="dxa"/>
            <w:tcBorders/>
            <w:vAlign w:val="center"/>
          </w:tcPr>
          <w:p>
            <w:pPr>
              <w:pStyle w:val="TableContents"/>
              <w:widowControl w:val="false"/>
              <w:suppressLineNumbers/>
              <w:bidi w:val="0"/>
              <w:jc w:val="left"/>
              <w:rPr/>
            </w:pPr>
            <w:r>
              <w:rPr/>
              <w:t>Specify reuse/licensing approval, client AI and vendor restrictions, and who resolves competition or assurance questions.</w:t>
            </w:r>
          </w:p>
        </w:tc>
        <w:tc>
          <w:tcPr>
            <w:tcW w:w="1870" w:type="dxa"/>
            <w:tcBorders/>
            <w:vAlign w:val="center"/>
          </w:tcPr>
          <w:p>
            <w:pPr>
              <w:pStyle w:val="TableContents"/>
              <w:widowControl w:val="false"/>
              <w:suppressLineNumbers/>
              <w:bidi w:val="0"/>
              <w:jc w:val="left"/>
              <w:rPr/>
            </w:pPr>
            <w:r>
              <w:rPr/>
              <w:t>Engagement / contracts / legal</w:t>
            </w:r>
          </w:p>
        </w:tc>
      </w:tr>
      <w:tr>
        <w:trPr/>
        <w:tc>
          <w:tcPr>
            <w:tcW w:w="1664" w:type="dxa"/>
            <w:tcBorders/>
            <w:vAlign w:val="center"/>
          </w:tcPr>
          <w:p>
            <w:pPr>
              <w:pStyle w:val="TableContents"/>
              <w:widowControl w:val="false"/>
              <w:suppressLineNumbers/>
              <w:bidi w:val="0"/>
              <w:jc w:val="left"/>
              <w:rPr/>
            </w:pPr>
            <w:r>
              <w:rPr/>
              <w:t>Speaking up</w:t>
            </w:r>
          </w:p>
        </w:tc>
        <w:tc>
          <w:tcPr>
            <w:tcW w:w="6460" w:type="dxa"/>
            <w:tcBorders/>
            <w:vAlign w:val="center"/>
          </w:tcPr>
          <w:p>
            <w:pPr>
              <w:pStyle w:val="TableContents"/>
              <w:widowControl w:val="false"/>
              <w:suppressLineNumbers/>
              <w:bidi w:val="0"/>
              <w:jc w:val="left"/>
              <w:rPr/>
            </w:pPr>
            <w:r>
              <w:rPr/>
              <w:t>Confirm routing and ownership for Michelle and ReportIt, handling of concerns involving leadership, fair investigation, access safeguards, non-retaliation, and lawful external reporting language.</w:t>
            </w:r>
          </w:p>
        </w:tc>
        <w:tc>
          <w:tcPr>
            <w:tcW w:w="1870" w:type="dxa"/>
            <w:tcBorders/>
            <w:vAlign w:val="center"/>
          </w:tcPr>
          <w:p>
            <w:pPr>
              <w:pStyle w:val="TableContents"/>
              <w:widowControl w:val="false"/>
              <w:suppressLineNumbers/>
              <w:bidi w:val="0"/>
              <w:jc w:val="left"/>
              <w:rPr/>
            </w:pPr>
            <w:r>
              <w:rPr/>
              <w:t>Policy owner / legal / leadership</w:t>
            </w:r>
          </w:p>
        </w:tc>
      </w:tr>
      <w:tr>
        <w:trPr/>
        <w:tc>
          <w:tcPr>
            <w:tcW w:w="1664" w:type="dxa"/>
            <w:tcBorders/>
            <w:vAlign w:val="center"/>
          </w:tcPr>
          <w:p>
            <w:pPr>
              <w:pStyle w:val="TableContents"/>
              <w:widowControl w:val="false"/>
              <w:suppressLineNumbers/>
              <w:bidi w:val="0"/>
              <w:jc w:val="left"/>
              <w:rPr/>
            </w:pPr>
            <w:r>
              <w:rPr/>
              <w:t>Attestation</w:t>
            </w:r>
          </w:p>
        </w:tc>
        <w:tc>
          <w:tcPr>
            <w:tcW w:w="6460" w:type="dxa"/>
            <w:tcBorders/>
            <w:vAlign w:val="center"/>
          </w:tcPr>
          <w:p>
            <w:pPr>
              <w:pStyle w:val="TableContents"/>
              <w:widowControl w:val="false"/>
              <w:suppressLineNumbers/>
              <w:bidi w:val="0"/>
              <w:jc w:val="left"/>
              <w:rPr/>
            </w:pPr>
            <w:r>
              <w:rPr/>
              <w:t>Approve the exact statement, identify a contact for questions, and set access/retention rules for signed records.</w:t>
            </w:r>
          </w:p>
        </w:tc>
        <w:tc>
          <w:tcPr>
            <w:tcW w:w="1870" w:type="dxa"/>
            <w:tcBorders/>
            <w:vAlign w:val="center"/>
          </w:tcPr>
          <w:p>
            <w:pPr>
              <w:pStyle w:val="TableContents"/>
              <w:widowControl w:val="false"/>
              <w:suppressLineNumbers/>
              <w:bidi w:val="0"/>
              <w:jc w:val="left"/>
              <w:rPr/>
            </w:pPr>
            <w:r>
              <w:rPr/>
              <w:t>Policy owner / legal / security</w:t>
            </w:r>
          </w:p>
        </w:tc>
      </w:tr>
      <w:tr>
        <w:trPr/>
        <w:tc>
          <w:tcPr>
            <w:tcW w:w="1664" w:type="dxa"/>
            <w:tcBorders/>
            <w:vAlign w:val="center"/>
          </w:tcPr>
          <w:p>
            <w:pPr>
              <w:pStyle w:val="TableContents"/>
              <w:widowControl w:val="false"/>
              <w:suppressLineNumbers/>
              <w:bidi w:val="0"/>
              <w:jc w:val="left"/>
              <w:rPr/>
            </w:pPr>
            <w:r>
              <w:rPr/>
              <w:t>Policy references</w:t>
            </w:r>
          </w:p>
        </w:tc>
        <w:tc>
          <w:tcPr>
            <w:tcW w:w="6460" w:type="dxa"/>
            <w:tcBorders/>
            <w:vAlign w:val="center"/>
          </w:tcPr>
          <w:p>
            <w:pPr>
              <w:pStyle w:val="TableContents"/>
              <w:widowControl w:val="false"/>
              <w:suppressLineNumbers/>
              <w:bidi w:val="0"/>
              <w:jc w:val="left"/>
              <w:rPr/>
            </w:pPr>
            <w:r>
              <w:rPr/>
              <w:t>Verify IT Policy revision/link and Security Policy approval/effective status/link. Confirm any NIST revision, contract, assessment boundary, and CUI scope before external claims.</w:t>
            </w:r>
          </w:p>
        </w:tc>
        <w:tc>
          <w:tcPr>
            <w:tcW w:w="1870" w:type="dxa"/>
            <w:tcBorders/>
            <w:vAlign w:val="center"/>
          </w:tcPr>
          <w:p>
            <w:pPr>
              <w:pStyle w:val="TableContents"/>
              <w:widowControl w:val="false"/>
              <w:suppressLineNumbers/>
              <w:bidi w:val="0"/>
              <w:jc w:val="left"/>
              <w:rPr/>
            </w:pPr>
            <w:r>
              <w:rPr/>
              <w:t>IT / security / contracts</w:t>
            </w:r>
          </w:p>
        </w:tc>
      </w:tr>
    </w:tbl>
    <w:p>
      <w:pPr>
        <w:pStyle w:val="BodyText"/>
        <w:bidi w:val="0"/>
        <w:jc w:val="left"/>
        <w:rPr/>
      </w:pPr>
      <w:r>
        <w:rPr>
          <w:rStyle w:val="Strong"/>
        </w:rPr>
        <w:t>Review disposition:</w:t>
      </w:r>
      <w:r>
        <w:rPr/>
        <w:t xml:space="preserve"> ☐ Approve as revised   ☐ Return for edits   ☐ Do not adopt</w:t>
        <w:br/>
      </w:r>
      <w:r>
        <w:rPr>
          <w:rStyle w:val="Strong"/>
        </w:rPr>
        <w:t>Policy owner / date:</w:t>
      </w:r>
      <w:r>
        <w:rPr/>
        <w:t xml:space="preserve"> ______________________________    </w:t>
      </w:r>
      <w:r>
        <w:rPr>
          <w:rStyle w:val="Strong"/>
        </w:rPr>
        <w:t>Legal reviewer / date:</w:t>
      </w:r>
      <w:r>
        <w:rPr/>
        <w:t xml:space="preserve"> ______________________________</w:t>
      </w:r>
    </w:p>
    <w:p>
      <w:pPr>
        <w:pStyle w:val="BodyTextsmall"/>
        <w:bidi w:val="0"/>
        <w:jc w:val="left"/>
        <w:rPr/>
      </w:pPr>
      <w:r>
        <w:rPr/>
        <w:t>Blank review fields are for discussion only. This document itself does not record an approval or change the status of the draft Orion course.</w:t>
      </w:r>
    </w:p>
    <w:p>
      <w:pPr>
        <w:pStyle w:val="Heading2"/>
        <w:bidi w:val="0"/>
        <w:jc w:val="left"/>
        <w:rPr/>
      </w:pPr>
      <w:r>
        <w:rPr/>
        <w:t>11. Source and status notes</w:t>
      </w:r>
    </w:p>
    <w:p>
      <w:pPr>
        <w:pStyle w:val="BodyText"/>
        <w:numPr>
          <w:ilvl w:val="0"/>
          <w:numId w:val="1"/>
        </w:numPr>
        <w:tabs>
          <w:tab w:val="clear" w:pos="709"/>
          <w:tab w:val="left" w:pos="809" w:leader="none"/>
        </w:tabs>
        <w:bidi w:val="0"/>
        <w:spacing w:before="100" w:after="0"/>
        <w:ind w:hanging="283" w:left="809"/>
        <w:jc w:val="left"/>
        <w:rPr/>
      </w:pPr>
      <w:r>
        <w:rPr>
          <w:rStyle w:val="Strong"/>
        </w:rPr>
        <w:t>Primary source:</w:t>
      </w:r>
      <w:r>
        <w:rPr/>
        <w:t xml:space="preserve"> </w:t>
      </w:r>
      <w:r>
        <w:rPr>
          <w:rStyle w:val="Emphasis"/>
        </w:rPr>
        <w:t>Synozur Standards of Business Conduct — Annual Attestation DRAFT</w:t>
      </w:r>
      <w:r>
        <w:rPr/>
        <w:t xml:space="preserve">, slides 3–10 and speaker notes; slide 17 proposed acknowledgement; slides 18–20 release guidance, indicative mapping, and sources. The original deck remains unchanged. </w:t>
      </w:r>
    </w:p>
    <w:p>
      <w:pPr>
        <w:pStyle w:val="BodyText"/>
        <w:numPr>
          <w:ilvl w:val="0"/>
          <w:numId w:val="1"/>
        </w:numPr>
        <w:tabs>
          <w:tab w:val="clear" w:pos="709"/>
          <w:tab w:val="left" w:pos="809" w:leader="none"/>
        </w:tabs>
        <w:bidi w:val="0"/>
        <w:spacing w:before="100" w:after="0"/>
        <w:ind w:hanging="283" w:left="809"/>
        <w:jc w:val="left"/>
        <w:rPr/>
      </w:pPr>
      <w:r>
        <w:rPr>
          <w:rStyle w:val="Strong"/>
        </w:rPr>
        <w:t>Existing documents cited by the deck:</w:t>
      </w:r>
      <w:r>
        <w:rPr/>
        <w:t xml:space="preserve"> IT Policy, revision dated 17 February 2026, and the Security Policy collection. Their final links, approval, and effective status should be checked by the responsible owner; a citation in the deck does not adopt a proposed conduct rule. </w:t>
      </w:r>
    </w:p>
    <w:p>
      <w:pPr>
        <w:pStyle w:val="BodyText"/>
        <w:numPr>
          <w:ilvl w:val="0"/>
          <w:numId w:val="1"/>
        </w:numPr>
        <w:tabs>
          <w:tab w:val="clear" w:pos="709"/>
          <w:tab w:val="left" w:pos="809" w:leader="none"/>
        </w:tabs>
        <w:bidi w:val="0"/>
        <w:spacing w:before="100" w:after="0"/>
        <w:ind w:hanging="283" w:left="809"/>
        <w:jc w:val="left"/>
        <w:rPr/>
      </w:pPr>
      <w:r>
        <w:rPr>
          <w:rStyle w:val="Strong"/>
        </w:rPr>
        <w:t>Framework boundary:</w:t>
      </w:r>
      <w:r>
        <w:rPr/>
        <w:t xml:space="preserve"> NIST CSF 2.0 references in the deck concern security-related governance and policy communication only. The Privacy Framework addresses privacy risk, and SP 800-171 applies only where the governing contract and CUI scope warrant it. None covers the whole business-conduct curriculum or establishes Synozur certification. </w:t>
      </w:r>
    </w:p>
    <w:p>
      <w:pPr>
        <w:pStyle w:val="BodyText"/>
        <w:numPr>
          <w:ilvl w:val="0"/>
          <w:numId w:val="1"/>
        </w:numPr>
        <w:tabs>
          <w:tab w:val="clear" w:pos="709"/>
          <w:tab w:val="left" w:pos="809" w:leader="none"/>
        </w:tabs>
        <w:bidi w:val="0"/>
        <w:spacing w:before="100" w:after="180"/>
        <w:ind w:hanging="283" w:left="809"/>
        <w:jc w:val="left"/>
        <w:rPr/>
      </w:pPr>
      <w:r>
        <w:rPr>
          <w:rStyle w:val="Strong"/>
        </w:rPr>
        <w:t>Training status:</w:t>
      </w:r>
      <w:r>
        <w:rPr/>
        <w:t xml:space="preserve"> The related Orion course is a private development draft in Synozur Test. Its intended production destination is Synozur.com after approval, as a new private draft. It has not been published or assigned; creating this review document does not change either course. </w:t>
      </w:r>
    </w:p>
    <w:sectPr>
      <w:type w:val="nextPage"/>
      <w:pgSz w:w="12240" w:h="15840"/>
      <w:pgMar w:left="1123" w:right="1123" w:gutter="0" w:header="0" w:top="1037" w:footer="0" w:bottom="103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Avenir Next LT Pro">
    <w:altName w:val="Aptos"/>
    <w:charset w:val="01"/>
    <w:family w:val="auto"/>
    <w:pitch w:val="default"/>
  </w:font>
  <w:font w:name="OpenSymbol">
    <w:altName w:val="Arial Unicode MS"/>
    <w:charset w:val="02"/>
    <w:family w:val="auto"/>
    <w:pitch w:val="default"/>
  </w:font>
  <w:font w:name="DejaVu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0"/>
    </w:pPr>
    <w:rPr>
      <w:rFonts w:ascii="Avenir Next LT Pro;Aptos;Liberation Sans;Arial;sans-serif" w:hAnsi="Avenir Next LT Pro;Aptos;Liberation Sans;Arial;sans-serif" w:eastAsia="Avenir Next LT Pro;Aptos;Liberation Sans;Arial;sans-serif" w:cs="Avenir Next LT Pro;Aptos;Liberation Sans;Arial;sans-serif"/>
      <w:color w:val="201A2C"/>
      <w:sz w:val="21"/>
      <w:szCs w:val="21"/>
      <w:lang w:val="en-US" w:eastAsia="zh-CN" w:bidi="hi-IN"/>
    </w:rPr>
  </w:style>
  <w:style w:type="paragraph" w:styleId="Heading1">
    <w:name w:val="Heading 1"/>
    <w:basedOn w:val="Heading"/>
    <w:next w:val="BodyText"/>
    <w:qFormat/>
    <w:pPr>
      <w:spacing w:lineRule="auto" w:line="268" w:before="180" w:after="300"/>
      <w:ind w:left="180" w:right="180"/>
      <w:outlineLvl w:val="0"/>
    </w:pPr>
    <w:rPr>
      <w:rFonts w:ascii="DejaVu Serif" w:hAnsi="DejaVu Serif" w:eastAsia="DejaVu Sans" w:cs="DejaVu Sans"/>
      <w:b/>
      <w:bCs/>
      <w:color w:val="321056"/>
      <w:sz w:val="54"/>
      <w:szCs w:val="54"/>
    </w:rPr>
  </w:style>
  <w:style w:type="paragraph" w:styleId="Heading2">
    <w:name w:val="Heading 2"/>
    <w:basedOn w:val="Heading"/>
    <w:next w:val="BodyText"/>
    <w:qFormat/>
    <w:pPr>
      <w:pBdr>
        <w:bottom w:val="single" w:sz="2" w:space="5" w:color="DFD3EA"/>
      </w:pBdr>
      <w:spacing w:before="440" w:after="160"/>
      <w:ind w:left="440" w:right="440"/>
      <w:outlineLvl w:val="1"/>
    </w:pPr>
    <w:rPr>
      <w:rFonts w:ascii="DejaVu Serif" w:hAnsi="DejaVu Serif" w:eastAsia="DejaVu Sans" w:cs="DejaVu Sans"/>
      <w:b/>
      <w:bCs/>
      <w:color w:val="6813BB"/>
      <w:sz w:val="32"/>
      <w:szCs w:val="32"/>
    </w:rPr>
  </w:style>
  <w:style w:type="paragraph" w:styleId="Heading3">
    <w:name w:val="Heading 3"/>
    <w:basedOn w:val="Heading"/>
    <w:next w:val="BodyText"/>
    <w:qFormat/>
    <w:pPr>
      <w:spacing w:before="280" w:after="80"/>
      <w:ind w:left="280" w:right="280"/>
      <w:outlineLvl w:val="2"/>
    </w:pPr>
    <w:rPr>
      <w:rFonts w:ascii="DejaVu Serif" w:hAnsi="DejaVu Serif" w:eastAsia="DejaVu Sans" w:cs="DejaVu Sans"/>
      <w:b/>
      <w:bCs/>
      <w:color w:val="321056"/>
      <w:sz w:val="23"/>
      <w:szCs w:val="23"/>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Hyperlink">
    <w:name w:val="Hyperlink"/>
    <w:rPr>
      <w:color w:val="5F13AE"/>
      <w:u w:val="single"/>
    </w:rPr>
  </w:style>
  <w:style w:type="character" w:styleId="FollowedHyperlink">
    <w:name w:val="FollowedHyperlink"/>
    <w:rPr>
      <w:color w:val="5F13AE"/>
      <w:u w:val="single"/>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100" w:after="180"/>
      <w:ind w:left="100" w:right="10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subtitle">
    <w:name w:val="Body Text.subtitle"/>
    <w:basedOn w:val="BodyText"/>
    <w:qFormat/>
    <w:pPr>
      <w:spacing w:before="100" w:after="480"/>
    </w:pPr>
    <w:rPr>
      <w:color w:val="5C4D6E"/>
      <w:sz w:val="28"/>
      <w:szCs w:val="28"/>
    </w:rPr>
  </w:style>
  <w:style w:type="paragraph" w:styleId="BodyTextsmall">
    <w:name w:val="Body Text.small"/>
    <w:basedOn w:val="BodyText"/>
    <w:qFormat/>
    <w:pPr/>
    <w:rPr>
      <w:color w:val="665D70"/>
      <w:sz w:val="18"/>
      <w:szCs w:val="18"/>
    </w:rPr>
  </w:style>
  <w:style w:type="paragraph" w:styleId="TableContents">
    <w:name w:val="Table Contents"/>
    <w:basedOn w:val="Normal"/>
    <w:qFormat/>
    <w:pPr>
      <w:widowControl w:val="false"/>
      <w:suppressLineNumbers/>
    </w:pPr>
    <w:rPr>
      <w:sz w:val="19"/>
      <w:szCs w:val="19"/>
    </w:rPr>
  </w:style>
  <w:style w:type="paragraph" w:styleId="TableHeading">
    <w:name w:val="Table Heading"/>
    <w:basedOn w:val="TableContents"/>
    <w:qFormat/>
    <w:pPr>
      <w:suppressLineNumbers/>
      <w:shd w:fill="321056" w:val="clear"/>
      <w:jc w:val="left"/>
    </w:pPr>
    <w:rPr>
      <w:b/>
      <w:bCs/>
      <w:color w:val="FFFFFF"/>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LibreOffice/7.6.7.2$Linux_X86_64 LibreOffice_project/60$Build-2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Synozur Standards of Business Conduct — proposed standards for review</dc:title>
</cp:coreProperties>
</file>

<file path=docProps/custom.xml><?xml version="1.0" encoding="utf-8"?>
<Properties xmlns="http://schemas.openxmlformats.org/officeDocument/2006/custom-properties" xmlns:vt="http://schemas.openxmlformats.org/officeDocument/2006/docPropsVTypes"/>
</file>