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9A44" w14:textId="77777777" w:rsidR="00CF7DE5" w:rsidRDefault="00CF7DE5">
      <w:r>
        <w:rPr>
          <w:noProof/>
        </w:rPr>
        <w:drawing>
          <wp:inline distT="0" distB="0" distL="0" distR="0" wp14:anchorId="683B6D98" wp14:editId="4AE860F2">
            <wp:extent cx="3105150" cy="844296"/>
            <wp:effectExtent l="0" t="0" r="0" b="0"/>
            <wp:docPr id="2051224441" name="Picture 1" descr="A purpl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pPr>
        <w:pStyle w:val="Title"/>
      </w:pPr>
      <w:r>
        <w:t xml:space="preserve">Why 95% of AI pilots never scale, and what the 5% do differently</w:t>
      </w:r>
    </w:p>
    <w:p>
      <w:r>
        <w:t xml:space="preserve">MIT reports that 95% of generative AI pilots never scale. The number has not improved in 2026. The failure is almost never the model. It is operating discipline. The companies in the 5% do three unglamorous things: they rank a use-case backlog from real work, they govern before they scale, and they put a human owner on every AI output. With that discipline, AI moves from demo to P&amp;L in four to six weeks.</w:t>
      </w:r>
    </w:p>
    <w:p>
      <w:pPr>
        <w:pStyle w:val="Heading2"/>
      </w:pPr>
      <w:r>
        <w:t xml:space="preserve">Why do most AI pilots fail to scale?</w:t>
      </w:r>
    </w:p>
    <w:p>
      <w:r>
        <w:t xml:space="preserve">Most pilots die in the gap between the demo and the desk. RAND found that 80% of AI projects deliver no measurable business value, and industry analysis attributes 84% of failures to leadership and operating issues, not technology. The pilot looks great in the room. Then it sits there, because no one owns it, governance was an afterthought, and the company is running a dozen experiments at once. The bottleneck is focus and accountability, not a better model.</w:t>
      </w:r>
    </w:p>
    <w:p>
      <w:pPr>
        <w:pStyle w:val="Heading2"/>
      </w:pPr>
      <w:r>
        <w:t xml:space="preserve">What does the 5% that scale do differently?</w:t>
      </w:r>
    </w:p>
    <w:p>
      <w:r>
        <w:rPr>
          <w:b/>
        </w:rPr>
        <w:t xml:space="preserve">Rank a use-case backlog from real work. </w:t>
      </w:r>
      <w:r>
        <w:t xml:space="preserve">Not the demo. The actual documents and workflows your teams touch, scored by the business value they move.</w:t>
      </w:r>
    </w:p>
    <w:p>
      <w:r>
        <w:rPr>
          <w:b/>
        </w:rPr>
        <w:t xml:space="preserve">Govern before they scale. </w:t>
      </w:r>
      <w:r>
        <w:t xml:space="preserve">Decide who owns the output, what data it touches, and how you would defend it under audit — first, not after the incident.</w:t>
      </w:r>
    </w:p>
    <w:p>
      <w:r>
        <w:rPr>
          <w:b/>
        </w:rPr>
        <w:t xml:space="preserve">Put a human owner on every AI output. </w:t>
      </w:r>
      <w:r>
        <w:t xml:space="preserve">No exceptions. AI accelerates the work; it does not replace the judgment.</w:t>
      </w:r>
    </w:p>
    <w:p>
      <w:pPr>
        <w:pStyle w:val="Heading2"/>
      </w:pPr>
      <w:r>
        <w:t xml:space="preserve">How do you build an AI use-case backlog from real work?</w:t>
      </w:r>
    </w:p>
    <w:p>
      <w:r>
        <w:t xml:space="preserve">Start with the work, not the tool. Pull the real documents and workflows your teams handle every day and score each candidate by the money it moves and the effort to ship it. Commit your best people to the one or two at the top. The discipline here is subtraction: a backlog that ranks twelve use cases as equal is not a backlog, it is a wish list. Gartner projects that 60% of AI projects without AI-ready data will be abandoned by 2026, which is another way of saying the backlog work is the project.</w:t>
      </w:r>
    </w:p>
    <w:p>
      <w:pPr>
        <w:pStyle w:val="Heading2"/>
      </w:pPr>
      <w:r>
        <w:t xml:space="preserve">Why does AI governance have to come before scaling, not after?</w:t>
      </w:r>
    </w:p>
    <w:p>
      <w:r>
        <w:t xml:space="preserve">Because the alternative is a headline you did not write. Only 9% of private equity leaders say they could pass an AI governance audit in 90 days. The fix is not a six-month compliance program. It is three answers, written down before you scale: who owns the output, what data it touches, and how you would defend it if someone asked tomorrow. Decide that up front and you remove the rework and risk reviews that actually slow deployment. Speed and control are not opposites.</w:t>
      </w:r>
    </w:p>
    <w:p>
      <w:pPr>
        <w:pStyle w:val="Heading2"/>
      </w:pPr>
      <w:r>
        <w:t xml:space="preserve">Who should own AI output in a mid-market company?</w:t>
      </w:r>
    </w:p>
    <w:p>
      <w:r>
        <w:t xml:space="preserve">A person, not a team. Every AI deliverable needs a named human accountable for what ships under the company’s name. Our operating standard is simple: ask, review, edit, repeat, with a human accountable in all cases. The moment you let AI ship unread, you start producing work that is confident, polished, and wrong, faster than you can catch it.</w:t>
      </w:r>
    </w:p>
    <w:p>
      <w:pPr>
        <w:pStyle w:val="Heading2"/>
      </w:pPr>
      <w:r>
        <w:t xml:space="preserve">How fast should an AI pilot reach a working prototype?</w:t>
      </w:r>
    </w:p>
    <w:p>
      <w:r>
        <w:t xml:space="preserve">Four to six weeks. BCG found that companies building AI across their functions run roughly twice the return on invested capital of those that do not, and that time-to-value accelerates by about 40% on mature infrastructure. A short clock is not recklessness. It is what forces you to pick the use case that matters and cut the eleven that do not. A strategy you can ship in six weeks beats a perfect one that arrives in six months.</w:t>
      </w:r>
    </w:p>
    <w:p>
      <w:pPr>
        <w:pStyle w:val="Heading2"/>
      </w:pPr>
      <w:r>
        <w:t xml:space="preserve">Frequently asked questions</w:t>
      </w:r>
    </w:p>
    <w:p>
      <w:pPr>
        <w:pStyle w:val="Heading3"/>
      </w:pPr>
      <w:r>
        <w:t xml:space="preserve">What percentage of AI pilots fail?</w:t>
      </w:r>
    </w:p>
    <w:p>
      <w:r>
        <w:t xml:space="preserve">MIT data shows roughly 95% of generative AI pilots never scale, and RAND reports 80% deliver no measurable business value. Those numbers have not improved in 2026.</w:t>
      </w:r>
    </w:p>
    <w:p>
      <w:pPr>
        <w:pStyle w:val="Heading3"/>
      </w:pPr>
      <w:r>
        <w:t xml:space="preserve">Why do AI pilots stall after the demo?</w:t>
      </w:r>
    </w:p>
    <w:p>
      <w:r>
        <w:t xml:space="preserve">Pilots stall because no one owns the output, governance is an afterthought, and the company runs too many experiments at once. The bottleneck is operating discipline, not technology.</w:t>
      </w:r>
    </w:p>
    <w:p>
      <w:pPr>
        <w:pStyle w:val="Heading3"/>
      </w:pPr>
      <w:r>
        <w:t xml:space="preserve">How do you scale an AI pilot to production?</w:t>
      </w:r>
    </w:p>
    <w:p>
      <w:r>
        <w:t xml:space="preserve">Rank use cases by business value, set governance before scaling, assign a human owner to every output, and put a four-to-six-week deadline on a working prototype.</w:t>
      </w:r>
    </w:p>
    <w:p>
      <w:pPr>
        <w:pStyle w:val="Heading3"/>
      </w:pPr>
      <w:r>
        <w:t xml:space="preserve">How long should an AI pilot take?</w:t>
      </w:r>
    </w:p>
    <w:p>
      <w:r>
        <w:t xml:space="preserve">A focused AI sprint should reach a working prototype in four to six weeks, not a six-month strategy engagement.</w:t>
      </w:r>
    </w:p>
    <w:p>
      <w:pPr>
        <w:pStyle w:val="Heading2"/>
      </w:pPr>
      <w:r>
        <w:t xml:space="preserve">About Synozur</w:t>
      </w:r>
    </w:p>
    <w:p>
      <w:r>
        <w:t xml:space="preserve">Synozur is the transformation company. We help mid-market leaders turn scattered AI experiments into governed, measurable outcomes through the AI and North Star Sprint: four to six weeks, CEO and board in the room, a working prototype at the end. Microsoft-deep and genuinely cross-platform, with every deliverable reviewed by a human expert before it ships.</w:t>
      </w:r>
    </w:p>
    <w:p w14:paraId="45A50EF4" w14:textId="77777777" w:rsidR="00193A41" w:rsidRPr="00153CDA" w:rsidRDefault="00193A41" w:rsidP="00AC4335"/>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7156" w14:textId="77777777" w:rsidR="00C84DCA" w:rsidRDefault="00C84DCA" w:rsidP="003A3465">
      <w:pPr>
        <w:spacing w:after="0" w:line="240" w:lineRule="auto"/>
      </w:pPr>
      <w:r>
        <w:separator/>
      </w:r>
    </w:p>
  </w:endnote>
  <w:endnote w:type="continuationSeparator" w:id="0">
    <w:p w14:paraId="40CD4FFD" w14:textId="77777777" w:rsidR="00C84DCA" w:rsidRDefault="00C84DCA" w:rsidP="003A3465">
      <w:pPr>
        <w:spacing w:after="0" w:line="240" w:lineRule="auto"/>
      </w:pPr>
      <w:r>
        <w:continuationSeparator/>
      </w:r>
    </w:p>
  </w:endnote>
  <w:endnote w:type="continuationNotice" w:id="1">
    <w:p w14:paraId="6C88249B" w14:textId="77777777" w:rsidR="00C84DCA" w:rsidRDefault="00C84D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6D8047C8"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6D4EBF49"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E2E8" w14:textId="77777777" w:rsidR="00C84DCA" w:rsidRDefault="00C84DCA" w:rsidP="003A3465">
      <w:pPr>
        <w:spacing w:after="0" w:line="240" w:lineRule="auto"/>
      </w:pPr>
      <w:r>
        <w:separator/>
      </w:r>
    </w:p>
  </w:footnote>
  <w:footnote w:type="continuationSeparator" w:id="0">
    <w:p w14:paraId="58BC5E74" w14:textId="77777777" w:rsidR="00C84DCA" w:rsidRDefault="00C84DCA" w:rsidP="003A3465">
      <w:pPr>
        <w:spacing w:after="0" w:line="240" w:lineRule="auto"/>
      </w:pPr>
      <w:r>
        <w:continuationSeparator/>
      </w:r>
    </w:p>
  </w:footnote>
  <w:footnote w:type="continuationNotice" w:id="1">
    <w:p w14:paraId="508F339D" w14:textId="77777777" w:rsidR="00C84DCA" w:rsidRDefault="00C84DC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6"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1"/>
  </w:num>
  <w:num w:numId="4" w16cid:durableId="1338077341">
    <w:abstractNumId w:val="0"/>
  </w:num>
  <w:num w:numId="5" w16cid:durableId="411780523">
    <w:abstractNumId w:val="22"/>
  </w:num>
  <w:num w:numId="6" w16cid:durableId="611666835">
    <w:abstractNumId w:val="6"/>
  </w:num>
  <w:num w:numId="7" w16cid:durableId="194468743">
    <w:abstractNumId w:val="5"/>
  </w:num>
  <w:num w:numId="8" w16cid:durableId="1870069846">
    <w:abstractNumId w:val="1"/>
  </w:num>
  <w:num w:numId="9" w16cid:durableId="219750364">
    <w:abstractNumId w:val="23"/>
  </w:num>
  <w:num w:numId="10" w16cid:durableId="257518810">
    <w:abstractNumId w:val="14"/>
  </w:num>
  <w:num w:numId="11" w16cid:durableId="2145924648">
    <w:abstractNumId w:val="20"/>
  </w:num>
  <w:num w:numId="12" w16cid:durableId="700663380">
    <w:abstractNumId w:val="17"/>
  </w:num>
  <w:num w:numId="13" w16cid:durableId="874849991">
    <w:abstractNumId w:val="16"/>
  </w:num>
  <w:num w:numId="14" w16cid:durableId="1234896741">
    <w:abstractNumId w:val="15"/>
  </w:num>
  <w:num w:numId="15" w16cid:durableId="106852934">
    <w:abstractNumId w:val="13"/>
  </w:num>
  <w:num w:numId="16" w16cid:durableId="191502478">
    <w:abstractNumId w:val="7"/>
  </w:num>
  <w:num w:numId="17" w16cid:durableId="298540894">
    <w:abstractNumId w:val="19"/>
  </w:num>
  <w:num w:numId="18" w16cid:durableId="2077166449">
    <w:abstractNumId w:val="9"/>
  </w:num>
  <w:num w:numId="19" w16cid:durableId="815874151">
    <w:abstractNumId w:val="24"/>
  </w:num>
  <w:num w:numId="20" w16cid:durableId="1283077989">
    <w:abstractNumId w:val="18"/>
  </w:num>
  <w:num w:numId="21" w16cid:durableId="1240479174">
    <w:abstractNumId w:val="10"/>
  </w:num>
  <w:num w:numId="22" w16cid:durableId="1608926707">
    <w:abstractNumId w:val="12"/>
  </w:num>
  <w:num w:numId="23" w16cid:durableId="73624490">
    <w:abstractNumId w:val="25"/>
  </w:num>
  <w:num w:numId="24" w16cid:durableId="1088768631">
    <w:abstractNumId w:val="11"/>
  </w:num>
  <w:num w:numId="25" w16cid:durableId="1990816622">
    <w:abstractNumId w:val="4"/>
  </w:num>
  <w:num w:numId="26" w16cid:durableId="1113093270">
    <w:abstractNumId w:val="26"/>
  </w:num>
  <w:num w:numId="27" w16cid:durableId="19661558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DCA"/>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4F715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4DCA"/>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B7DA1"/>
  <w15:chartTrackingRefBased/>
  <w15:docId w15:val="{5CC89AA2-B6E7-4E54-A11B-5EA40E2F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57327CA8F504E867ADF018AD8A60B" ma:contentTypeVersion="11" ma:contentTypeDescription="Create a new document." ma:contentTypeScope="" ma:versionID="d38aa8e25ea704aaa422538037f81c58">
  <xsd:schema xmlns:xsd="http://www.w3.org/2001/XMLSchema" xmlns:xs="http://www.w3.org/2001/XMLSchema" xmlns:p="http://schemas.microsoft.com/office/2006/metadata/properties" xmlns:ns2="a4bb2fc2-15df-46dd-8768-77ef297b4dba" xmlns:ns3="661c3b99-59f9-4a1b-8e0e-4bc646a34690" targetNamespace="http://schemas.microsoft.com/office/2006/metadata/properties" ma:root="true" ma:fieldsID="c6e01010610beee1a72db502fe2a836a" ns2:_="" ns3:_="">
    <xsd:import namespace="a4bb2fc2-15df-46dd-8768-77ef297b4dba"/>
    <xsd:import namespace="661c3b99-59f9-4a1b-8e0e-4bc646a34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2fc2-15df-46dd-8768-77ef297b4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1c3b99-59f9-4a1b-8e0e-4bc646a346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c50c81-e0bd-491c-903c-0cb477e4eca3}" ma:internalName="TaxCatchAll" ma:showField="CatchAllData" ma:web="661c3b99-59f9-4a1b-8e0e-4bc646a34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1c3b99-59f9-4a1b-8e0e-4bc646a34690" xsi:nil="true"/>
    <lcf76f155ced4ddcb4097134ff3c332f xmlns="a4bb2fc2-15df-46dd-8768-77ef297b4d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A984DC-3AF6-43B6-96C9-6C67E14E1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2fc2-15df-46dd-8768-77ef297b4dba"/>
    <ds:schemaRef ds:uri="661c3b99-59f9-4a1b-8e0e-4bc646a34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Metadata/LabelInfo.xml><?xml version="1.0" encoding="utf-8"?>
<clbl:labelList xmlns:clbl="http://schemas.microsoft.com/office/2020/mipLabelMetadata">
  <clbl:label id="{57569cdf-fecd-4310-a8b1-bb9f9667aa75}" enabled="1" method="Standard" siteId="{b4fbeaf7-1c91-43bb-8031-49eb8d4175ee}" contentBits="0" removed="0"/>
</clbl:labelList>
</file>

<file path=docProps/app.xml><?xml version="1.0" encoding="utf-8"?>
<Properties xmlns="http://schemas.openxmlformats.org/officeDocument/2006/extended-properties" xmlns:vt="http://schemas.openxmlformats.org/officeDocument/2006/docPropsVTypes">
  <Template>Synozur Document</Template>
  <TotalTime>1</TotalTime>
  <Pages>1</Pages>
  <Words>61</Words>
  <Characters>351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1</cp:revision>
  <dcterms:created xsi:type="dcterms:W3CDTF">2025-09-11T21:43:00Z</dcterms:created>
  <dcterms:modified xsi:type="dcterms:W3CDTF">2025-09-11T21:44:00Z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0x010100CB057327CA8F504E867ADF018AD8A60B</vt:lpwstr>
  </property>
  <property fmtid="{D5CDD505-2E9C-101B-9397-08002B2CF9AE}" pid="3" name="MediaServiceImageTags">
    <vt:lpwstr/>
  </property>
</Properties>
</file>