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val="0"/>
        </w:rPr>
        <w:t>RVT Portal React Port - Developer Onboarding</w:t>
      </w:r>
    </w:p>
    <w:p>
      <w:pPr>
        <w:spacing w:after="200"/>
      </w:pPr>
      <w:r>
        <w:rPr>
          <w:color w:val="667085"/>
          <w:sz w:val="21"/>
        </w:rPr>
        <w:t>Developer onboarding guide for the RVT Portal SPA alpha repository</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3120"/>
        <w:gridCol w:w="3120"/>
        <w:gridCol w:w="3120"/>
      </w:tblGrid>
      <w:tr>
        <w:tc>
          <w:tcPr>
            <w:tcW w:type="dxa" w:w="3120"/>
            <w:tcMar>
              <w:top w:w="80" w:type="dxa"/>
              <w:bottom w:w="80" w:type="dxa"/>
              <w:start w:w="120" w:type="dxa"/>
              <w:end w:w="120" w:type="dxa"/>
            </w:tcMar>
            <w:vAlign w:val="center"/>
            <w:shd w:fill="F2F4F7"/>
          </w:tcPr>
          <w:p>
            <w:pPr>
              <w:spacing w:after="20"/>
            </w:pPr>
            <w:r>
              <w:rPr>
                <w:b/>
                <w:color w:val="1F4D78"/>
              </w:rPr>
              <w:t>Audience</w:t>
            </w:r>
          </w:p>
          <w:p>
            <w:pPr>
              <w:spacing w:after="0"/>
            </w:pPr>
            <w:r>
              <w:rPr>
                <w:b w:val="0"/>
              </w:rPr>
              <w:t>New RVT portal developers</w:t>
            </w:r>
          </w:p>
        </w:tc>
        <w:tc>
          <w:tcPr>
            <w:tcW w:type="dxa" w:w="3120"/>
            <w:tcMar>
              <w:top w:w="80" w:type="dxa"/>
              <w:bottom w:w="80" w:type="dxa"/>
              <w:start w:w="120" w:type="dxa"/>
              <w:end w:w="120" w:type="dxa"/>
            </w:tcMar>
            <w:vAlign w:val="center"/>
            <w:shd w:fill="F2F4F7"/>
          </w:tcPr>
          <w:p>
            <w:pPr>
              <w:spacing w:after="20"/>
            </w:pPr>
            <w:r>
              <w:rPr>
                <w:b/>
                <w:color w:val="1F4D78"/>
              </w:rPr>
              <w:t>Codebase</w:t>
            </w:r>
          </w:p>
          <w:p>
            <w:pPr>
              <w:spacing w:after="0"/>
            </w:pPr>
            <w:r>
              <w:rPr>
                <w:b w:val="0"/>
              </w:rPr>
              <w:t>React/Vite + ASP.NET Core</w:t>
            </w:r>
          </w:p>
        </w:tc>
        <w:tc>
          <w:tcPr>
            <w:tcW w:type="dxa" w:w="3120"/>
            <w:tcMar>
              <w:top w:w="80" w:type="dxa"/>
              <w:bottom w:w="80" w:type="dxa"/>
              <w:start w:w="120" w:type="dxa"/>
              <w:end w:w="120" w:type="dxa"/>
            </w:tcMar>
            <w:vAlign w:val="center"/>
            <w:shd w:fill="F2F4F7"/>
          </w:tcPr>
          <w:p>
            <w:pPr>
              <w:spacing w:after="20"/>
            </w:pPr>
            <w:r>
              <w:rPr>
                <w:b/>
                <w:color w:val="1F4D78"/>
              </w:rPr>
              <w:t>Source</w:t>
            </w:r>
          </w:p>
          <w:p>
            <w:pPr>
              <w:spacing w:after="0"/>
            </w:pPr>
            <w:r>
              <w:rPr>
                <w:b w:val="0"/>
              </w:rPr>
              <w:t>Markdown guide</w:t>
            </w:r>
          </w:p>
        </w:tc>
      </w:tr>
    </w:tbl>
    <w:p>
      <w:pPr>
        <w:spacing w:after="80"/>
      </w:pPr>
    </w:p>
    <w:p>
      <w:pPr/>
      <w:r>
        <w:rPr>
          <w:b w:val="0"/>
        </w:rPr>
        <w:t xml:space="preserve">This guide is for developers joining the RVT Portal SPA work. Read it with the repository </w:t>
      </w:r>
      <w:r>
        <w:rPr>
          <w:rFonts w:ascii="Consolas" w:hAnsi="Consolas"/>
          <w:color w:val="0B2545"/>
          <w:sz w:val="19"/>
        </w:rPr>
        <w:t>README.md</w:t>
      </w:r>
      <w:r>
        <w:rPr>
          <w:b w:val="0"/>
        </w:rPr>
        <w:t>, then use the release docs when you need detailed parity evidence.</w:t>
      </w:r>
    </w:p>
    <w:p>
      <w:pPr>
        <w:pStyle w:val="Heading1"/>
      </w:pPr>
      <w:r>
        <w:t>1. Project Purpose</w:t>
      </w:r>
    </w:p>
    <w:p>
      <w:pPr/>
      <w:r>
        <w:rPr>
          <w:b w:val="0"/>
        </w:rPr>
        <w:t>RVT Portal SPA is the React/Vite port of the RVT Monitoring portal. The goal is to preserve the existing RVT business workflows while replacing the legacy ASP.NET MVC page experience with a modern single-page application. The port is not a complete backend rewrite. It keeps the existing RVT domain model, many service/repository concepts, ASP.NET Identity, and SQL Server data access while moving the user experience into React and exposing workflows through API controllers. Future architecture documents may describe AKS, PostgreSQL, and TimescaleDB plans. This alpha repository still uses the current SQL Server-oriented application code.</w:t>
      </w:r>
    </w:p>
    <w:p>
      <w:pPr>
        <w:pStyle w:val="Heading1"/>
      </w:pPr>
      <w:r>
        <w:t>2. What Changed From MVC</w:t>
      </w:r>
    </w:p>
    <w:p>
      <w:pPr>
        <w:pStyle w:val="ListBullet"/>
        <w:spacing w:after="80" w:line="300" w:lineRule="auto"/>
        <w:ind w:left="540" w:hanging="271"/>
      </w:pPr>
      <w:r>
        <w:rPr>
          <w:b w:val="0"/>
        </w:rPr>
        <w:t>Legacy MVC views and retired demo/debug projects are not part of this repository.</w:t>
      </w:r>
    </w:p>
    <w:p>
      <w:pPr>
        <w:pStyle w:val="ListBullet"/>
        <w:spacing w:after="80" w:line="300" w:lineRule="auto"/>
        <w:ind w:left="540" w:hanging="271"/>
      </w:pPr>
      <w:r>
        <w:rPr>
          <w:b w:val="0"/>
        </w:rPr>
        <w:t>React owns the browser shell, navigation, forms, panels, route rendering, and client-side API calls.</w:t>
      </w:r>
    </w:p>
    <w:p>
      <w:pPr>
        <w:pStyle w:val="ListBullet"/>
        <w:spacing w:after="80" w:line="300" w:lineRule="auto"/>
        <w:ind w:left="540" w:hanging="271"/>
      </w:pPr>
      <w:r>
        <w:rPr>
          <w:rFonts w:ascii="Consolas" w:hAnsi="Consolas"/>
          <w:color w:val="0B2545"/>
          <w:sz w:val="19"/>
        </w:rPr>
        <w:t>RvtPortal.Spa</w:t>
      </w:r>
      <w:r>
        <w:rPr>
          <w:b w:val="0"/>
        </w:rPr>
        <w:t xml:space="preserve"> owns authentication, authorization, API endpoints, Swagger, security middleware, static file serving, and the publish boundary.</w:t>
      </w:r>
    </w:p>
    <w:p>
      <w:pPr>
        <w:pStyle w:val="ListBullet"/>
        <w:spacing w:after="80" w:line="300" w:lineRule="auto"/>
        <w:ind w:left="540" w:hanging="271"/>
      </w:pPr>
      <w:r>
        <w:rPr>
          <w:b w:val="0"/>
        </w:rPr>
        <w:t>Shared libraries retain the migrated domain services, data access, entities, DTOs, email/blob helpers, and utilities.</w:t>
      </w:r>
    </w:p>
    <w:p>
      <w:pPr>
        <w:pStyle w:val="ListBullet"/>
        <w:spacing w:after="80" w:line="300" w:lineRule="auto"/>
        <w:ind w:left="540" w:hanging="271"/>
      </w:pPr>
      <w:r>
        <w:rPr>
          <w:b w:val="0"/>
        </w:rPr>
        <w:t xml:space="preserve">The release artifact is the ASP.NET Core host plus the built React client copied into </w:t>
      </w:r>
      <w:r>
        <w:rPr>
          <w:rFonts w:ascii="Consolas" w:hAnsi="Consolas"/>
          <w:color w:val="0B2545"/>
          <w:sz w:val="19"/>
        </w:rPr>
        <w:t>wwwroot</w:t>
      </w:r>
      <w:r>
        <w:rPr>
          <w:b w:val="0"/>
        </w:rPr>
        <w:t>.</w:t>
      </w:r>
    </w:p>
    <w:p>
      <w:pPr>
        <w:pStyle w:val="Heading1"/>
      </w:pPr>
      <w:r>
        <w:t>3. Architecture At A Glance</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c>
          <w:tcPr>
            <w:tcW w:type="dxa" w:w="9360"/>
            <w:tcMar>
              <w:top w:w="80" w:type="dxa"/>
              <w:bottom w:w="80" w:type="dxa"/>
              <w:start w:w="120" w:type="dxa"/>
              <w:end w:w="120" w:type="dxa"/>
            </w:tcMar>
            <w:vAlign w:val="center"/>
            <w:shd w:fill="F2F4F7"/>
          </w:tcPr>
          <w:p>
            <w:pPr>
              <w:spacing w:after="80"/>
            </w:pPr>
            <w:r>
              <w:rPr>
                <w:b/>
              </w:rPr>
              <w:t>User browser -&gt; RvtPortal.Client -&gt; src/api/client.ts -&gt; RvtPortal.Spa -&gt; API controllers -&gt; RVT.BusinessLogic -&gt; RVT.Dataaccess -&gt; SQL Server</w:t>
            </w:r>
          </w:p>
          <w:p>
            <w:pPr>
              <w:pStyle w:val="ListBullet"/>
              <w:spacing w:after="40"/>
              <w:ind w:left="360" w:hanging="180"/>
            </w:pPr>
            <w:r>
              <w:rPr>
                <w:rFonts w:ascii="Consolas" w:hAnsi="Consolas"/>
                <w:color w:val="0B2545"/>
                <w:sz w:val="19"/>
              </w:rPr>
              <w:t>RvtPortal.Spa</w:t>
            </w:r>
            <w:r>
              <w:rPr>
                <w:b w:val="0"/>
              </w:rPr>
              <w:t xml:space="preserve"> also owns ASP.NET Identity, middleware, Swagger, and static SPA serving.</w:t>
            </w:r>
          </w:p>
        </w:tc>
      </w:tr>
    </w:tbl>
    <w:p>
      <w:pPr>
        <w:spacing w:after="40"/>
      </w:pPr>
    </w:p>
    <w:p>
      <w:pPr>
        <w:pStyle w:val="Heading1"/>
      </w:pPr>
      <w:r>
        <w:t>4. Repository Map</w:t>
      </w:r>
    </w:p>
    <w:tbl>
      <w:tblPr>
        <w:tblW w:type="dxa" w:w="9360"/>
        <w:jc w:val="left"/>
        <w:tblLayout w:type="fixed"/>
        <w:tblLook w:firstColumn="1" w:firstRow="1" w:lastColumn="0" w:lastRow="0" w:noHBand="0" w:noVBand="1" w:val="04A0"/>
        <w:tblInd w:w="120" w:type="dxa"/>
        <w:tblBorders>
          <w:top w:val="single" w:sz="4" w:color="AEB8C5"/>
          <w:left w:val="single" w:sz="4" w:color="AEB8C5"/>
          <w:bottom w:val="single" w:sz="4" w:color="AEB8C5"/>
          <w:right w:val="single" w:sz="4" w:color="AEB8C5"/>
          <w:insideH w:val="single" w:sz="4" w:color="AEB8C5"/>
          <w:insideV w:val="single" w:sz="4" w:color="AEB8C5"/>
        </w:tblBorders>
      </w:tblPr>
      <w:tblGrid>
        <w:gridCol w:w="2700"/>
        <w:gridCol w:w="6660"/>
      </w:tblGrid>
      <w:tr>
        <w:tc>
          <w:tcPr>
            <w:tcW w:type="dxa" w:w="2700"/>
            <w:tcMar>
              <w:top w:w="80" w:type="dxa"/>
              <w:bottom w:w="80" w:type="dxa"/>
              <w:start w:w="120" w:type="dxa"/>
              <w:end w:w="120" w:type="dxa"/>
            </w:tcMar>
            <w:vAlign w:val="center"/>
            <w:shd w:fill="E8EEF5"/>
          </w:tcPr>
          <w:p>
            <w:pPr>
              <w:spacing w:after="0"/>
            </w:pPr>
            <w:r>
              <w:rPr>
                <w:b/>
              </w:rPr>
              <w:t>Path</w:t>
            </w:r>
          </w:p>
        </w:tc>
        <w:tc>
          <w:tcPr>
            <w:tcW w:type="dxa" w:w="6660"/>
            <w:tcMar>
              <w:top w:w="80" w:type="dxa"/>
              <w:bottom w:w="80" w:type="dxa"/>
              <w:start w:w="120" w:type="dxa"/>
              <w:end w:w="120" w:type="dxa"/>
            </w:tcMar>
            <w:vAlign w:val="center"/>
            <w:shd w:fill="E8EEF5"/>
          </w:tcPr>
          <w:p>
            <w:pPr>
              <w:spacing w:after="0"/>
            </w:pPr>
            <w:r>
              <w:rPr>
                <w:b/>
              </w:rPr>
              <w:t>Purpose</w:t>
            </w:r>
          </w:p>
        </w:tc>
      </w:tr>
      <w:tr>
        <w:tc>
          <w:tcPr>
            <w:tcW w:type="dxa" w:w="2700"/>
          </w:tcPr>
          <w:p>
            <w:pPr>
              <w:spacing w:after="0"/>
            </w:pPr>
            <w:r>
              <w:rPr>
                <w:rFonts w:ascii="Consolas" w:hAnsi="Consolas"/>
                <w:color w:val="0B2545"/>
                <w:sz w:val="19"/>
              </w:rPr>
              <w:t>RvtPortal.Spa.sln</w:t>
            </w:r>
          </w:p>
        </w:tc>
        <w:tc>
          <w:tcPr>
            <w:tcW w:type="dxa" w:w="6660"/>
          </w:tcPr>
          <w:p>
            <w:pPr>
              <w:spacing w:after="0"/>
            </w:pPr>
            <w:r>
              <w:rPr>
                <w:b w:val="0"/>
              </w:rPr>
              <w:t>Main solution for the SPA port.</w:t>
            </w:r>
          </w:p>
        </w:tc>
      </w:tr>
      <w:tr>
        <w:tc>
          <w:tcPr>
            <w:tcW w:type="dxa" w:w="2700"/>
          </w:tcPr>
          <w:p>
            <w:pPr>
              <w:spacing w:after="0"/>
            </w:pPr>
            <w:r>
              <w:rPr>
                <w:rFonts w:ascii="Consolas" w:hAnsi="Consolas"/>
                <w:color w:val="0B2545"/>
                <w:sz w:val="19"/>
              </w:rPr>
              <w:t>RvtPortal.Spa</w:t>
            </w:r>
          </w:p>
        </w:tc>
        <w:tc>
          <w:tcPr>
            <w:tcW w:type="dxa" w:w="6660"/>
          </w:tcPr>
          <w:p>
            <w:pPr>
              <w:spacing w:after="0"/>
            </w:pPr>
            <w:r>
              <w:rPr>
                <w:b w:val="0"/>
              </w:rPr>
              <w:t>ASP.NET Core API host, Identity setup, middleware, Swagger, SPA publish integration.</w:t>
            </w:r>
          </w:p>
        </w:tc>
      </w:tr>
      <w:tr>
        <w:tc>
          <w:tcPr>
            <w:tcW w:type="dxa" w:w="2700"/>
          </w:tcPr>
          <w:p>
            <w:pPr>
              <w:spacing w:after="0"/>
            </w:pPr>
            <w:r>
              <w:rPr>
                <w:rFonts w:ascii="Consolas" w:hAnsi="Consolas"/>
                <w:color w:val="0B2545"/>
                <w:sz w:val="19"/>
              </w:rPr>
              <w:t>RvtPortal.Client</w:t>
            </w:r>
          </w:p>
        </w:tc>
        <w:tc>
          <w:tcPr>
            <w:tcW w:type="dxa" w:w="6660"/>
          </w:tcPr>
          <w:p>
            <w:pPr>
              <w:spacing w:after="0"/>
            </w:pPr>
            <w:r>
              <w:rPr>
                <w:b w:val="0"/>
              </w:rPr>
              <w:t>React/Vite client application.</w:t>
            </w:r>
          </w:p>
        </w:tc>
      </w:tr>
      <w:tr>
        <w:tc>
          <w:tcPr>
            <w:tcW w:type="dxa" w:w="2700"/>
          </w:tcPr>
          <w:p>
            <w:pPr>
              <w:spacing w:after="0"/>
            </w:pPr>
            <w:r>
              <w:rPr>
                <w:rFonts w:ascii="Consolas" w:hAnsi="Consolas"/>
                <w:color w:val="0B2545"/>
                <w:sz w:val="19"/>
              </w:rPr>
              <w:t>RvtPortal.Spa.Tests</w:t>
            </w:r>
          </w:p>
        </w:tc>
        <w:tc>
          <w:tcPr>
            <w:tcW w:type="dxa" w:w="6660"/>
          </w:tcPr>
          <w:p>
            <w:pPr>
              <w:spacing w:after="0"/>
            </w:pPr>
            <w:r>
              <w:rPr>
                <w:b w:val="0"/>
              </w:rPr>
              <w:t>Backend/API/host tests.</w:t>
            </w:r>
          </w:p>
        </w:tc>
      </w:tr>
      <w:tr>
        <w:tc>
          <w:tcPr>
            <w:tcW w:type="dxa" w:w="2700"/>
          </w:tcPr>
          <w:p>
            <w:pPr>
              <w:spacing w:after="0"/>
            </w:pPr>
            <w:r>
              <w:rPr>
                <w:rFonts w:ascii="Consolas" w:hAnsi="Consolas"/>
                <w:color w:val="0B2545"/>
                <w:sz w:val="19"/>
              </w:rPr>
              <w:t>RVT.BusinessLogic</w:t>
            </w:r>
          </w:p>
        </w:tc>
        <w:tc>
          <w:tcPr>
            <w:tcW w:type="dxa" w:w="6660"/>
          </w:tcPr>
          <w:p>
            <w:pPr>
              <w:spacing w:after="0"/>
            </w:pPr>
            <w:r>
              <w:rPr>
                <w:b w:val="0"/>
              </w:rPr>
              <w:t>Domain services and application workflow logic.</w:t>
            </w:r>
          </w:p>
        </w:tc>
      </w:tr>
      <w:tr>
        <w:tc>
          <w:tcPr>
            <w:tcW w:type="dxa" w:w="2700"/>
          </w:tcPr>
          <w:p>
            <w:pPr>
              <w:spacing w:after="0"/>
            </w:pPr>
            <w:r>
              <w:rPr>
                <w:rFonts w:ascii="Consolas" w:hAnsi="Consolas"/>
                <w:color w:val="0B2545"/>
                <w:sz w:val="19"/>
              </w:rPr>
              <w:t>RVT.Dataaccess</w:t>
            </w:r>
          </w:p>
        </w:tc>
        <w:tc>
          <w:tcPr>
            <w:tcW w:type="dxa" w:w="6660"/>
          </w:tcPr>
          <w:p>
            <w:pPr>
              <w:spacing w:after="0"/>
            </w:pPr>
            <w:r>
              <w:rPr>
                <w:b w:val="0"/>
              </w:rPr>
              <w:t>EF contexts, repositories, persistence integration.</w:t>
            </w:r>
          </w:p>
        </w:tc>
      </w:tr>
      <w:tr>
        <w:tc>
          <w:tcPr>
            <w:tcW w:type="dxa" w:w="2700"/>
          </w:tcPr>
          <w:p>
            <w:pPr>
              <w:spacing w:after="0"/>
            </w:pPr>
            <w:r>
              <w:rPr>
                <w:rFonts w:ascii="Consolas" w:hAnsi="Consolas"/>
                <w:color w:val="0B2545"/>
                <w:sz w:val="19"/>
              </w:rPr>
              <w:t>RVT.Entities</w:t>
            </w:r>
          </w:p>
        </w:tc>
        <w:tc>
          <w:tcPr>
            <w:tcW w:type="dxa" w:w="6660"/>
          </w:tcPr>
          <w:p>
            <w:pPr>
              <w:spacing w:after="0"/>
            </w:pPr>
            <w:r>
              <w:rPr>
                <w:b w:val="0"/>
              </w:rPr>
              <w:t>Shared entity, DTO, and model definitions.</w:t>
            </w:r>
          </w:p>
        </w:tc>
      </w:tr>
      <w:tr>
        <w:tc>
          <w:tcPr>
            <w:tcW w:type="dxa" w:w="2700"/>
          </w:tcPr>
          <w:p>
            <w:pPr>
              <w:spacing w:after="0"/>
            </w:pPr>
            <w:r>
              <w:rPr>
                <w:rFonts w:ascii="Consolas" w:hAnsi="Consolas"/>
                <w:color w:val="0B2545"/>
                <w:sz w:val="19"/>
              </w:rPr>
              <w:t>RVT.Utilities</w:t>
            </w:r>
          </w:p>
        </w:tc>
        <w:tc>
          <w:tcPr>
            <w:tcW w:type="dxa" w:w="6660"/>
          </w:tcPr>
          <w:p>
            <w:pPr>
              <w:spacing w:after="0"/>
            </w:pPr>
            <w:r>
              <w:rPr>
                <w:b w:val="0"/>
              </w:rPr>
              <w:t>Email, blob, logging, and other utility services.</w:t>
            </w:r>
          </w:p>
        </w:tc>
      </w:tr>
      <w:tr>
        <w:tc>
          <w:tcPr>
            <w:tcW w:type="dxa" w:w="2700"/>
          </w:tcPr>
          <w:p>
            <w:pPr>
              <w:spacing w:after="0"/>
            </w:pPr>
            <w:r>
              <w:rPr>
                <w:rFonts w:ascii="Consolas" w:hAnsi="Consolas"/>
                <w:color w:val="0B2545"/>
                <w:sz w:val="19"/>
              </w:rPr>
              <w:t>docs/release</w:t>
            </w:r>
          </w:p>
        </w:tc>
        <w:tc>
          <w:tcPr>
            <w:tcW w:type="dxa" w:w="6660"/>
          </w:tcPr>
          <w:p>
            <w:pPr>
              <w:spacing w:after="0"/>
            </w:pPr>
            <w:r>
              <w:rPr>
                <w:b w:val="0"/>
              </w:rPr>
              <w:t>Cutover, parity, and readiness evidence.</w:t>
            </w:r>
          </w:p>
        </w:tc>
      </w:tr>
    </w:tbl>
    <w:p>
      <w:pPr>
        <w:spacing w:after="40"/>
      </w:pPr>
    </w:p>
    <w:p>
      <w:pPr>
        <w:pStyle w:val="Heading1"/>
      </w:pPr>
      <w:r>
        <w:t>5. Local Setup</w:t>
      </w:r>
    </w:p>
    <w:p>
      <w:pPr>
        <w:keepNext/>
      </w:pPr>
      <w:r>
        <w:rPr>
          <w:b w:val="0"/>
        </w:rPr>
        <w:t>Install:</w:t>
      </w:r>
    </w:p>
    <w:p>
      <w:pPr>
        <w:pStyle w:val="ListBullet"/>
        <w:spacing w:after="80" w:line="300" w:lineRule="auto"/>
        <w:ind w:left="540" w:hanging="271"/>
      </w:pPr>
      <w:r>
        <w:rPr>
          <w:b w:val="0"/>
        </w:rPr>
        <w:t>.NET SDK 10</w:t>
      </w:r>
    </w:p>
    <w:p>
      <w:pPr>
        <w:pStyle w:val="ListBullet"/>
        <w:spacing w:after="80" w:line="300" w:lineRule="auto"/>
        <w:ind w:left="540" w:hanging="271"/>
      </w:pPr>
      <w:r>
        <w:rPr>
          <w:b w:val="0"/>
        </w:rPr>
        <w:t>Node.js 24.x</w:t>
      </w:r>
    </w:p>
    <w:p>
      <w:pPr>
        <w:keepNext/>
      </w:pPr>
      <w:r>
        <w:rPr>
          <w:b w:val="0"/>
        </w:rPr>
        <w:t>Restore from the repository root:</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cantSplit/>
        </w:trPr>
        <w:tc>
          <w:tcPr>
            <w:tcW w:type="dxa" w:w="9360"/>
            <w:tcMar>
              <w:top w:w="80" w:type="dxa"/>
              <w:bottom w:w="80" w:type="dxa"/>
              <w:start w:w="120" w:type="dxa"/>
              <w:end w:w="120" w:type="dxa"/>
            </w:tcMar>
            <w:vAlign w:val="center"/>
            <w:shd w:fill="F2F4F7"/>
          </w:tcPr>
          <w:p>
            <w:pPr>
              <w:spacing w:after="0" w:line="252" w:lineRule="auto"/>
            </w:pPr>
            <w:r>
              <w:rPr>
                <w:rFonts w:ascii="Consolas" w:hAnsi="Consolas"/>
                <w:color w:val="0B2545"/>
                <w:sz w:val="17"/>
              </w:rPr>
              <w:t>dotnet restore .\RvtPortal.Spa.sln</w:t>
            </w:r>
            <w:r>
              <w:br/>
            </w:r>
            <w:r>
              <w:rPr>
                <w:rFonts w:ascii="Consolas" w:hAnsi="Consolas"/>
                <w:color w:val="0B2545"/>
                <w:sz w:val="17"/>
              </w:rPr>
              <w:t>Set-Location .\RvtPortal.Client</w:t>
            </w:r>
            <w:r>
              <w:br/>
            </w:r>
            <w:r>
              <w:rPr>
                <w:rFonts w:ascii="Consolas" w:hAnsi="Consolas"/>
                <w:color w:val="0B2545"/>
                <w:sz w:val="17"/>
              </w:rPr>
              <w:t>npm ci</w:t>
            </w:r>
          </w:p>
        </w:tc>
      </w:tr>
    </w:tbl>
    <w:p>
      <w:pPr>
        <w:spacing w:after="40"/>
      </w:pPr>
    </w:p>
    <w:p>
      <w:pPr>
        <w:keepNext/>
      </w:pPr>
      <w:r>
        <w:rPr>
          <w:b w:val="0"/>
        </w:rPr>
        <w:t xml:space="preserve">Configure local secrets outside Git. Do not commit real credentials. At minimum, the API needs </w:t>
      </w:r>
      <w:r>
        <w:rPr>
          <w:rFonts w:ascii="Consolas" w:hAnsi="Consolas"/>
          <w:color w:val="0B2545"/>
          <w:sz w:val="19"/>
        </w:rPr>
        <w:t>ConnectionStrings:DefaultConnection</w:t>
      </w:r>
      <w:r>
        <w:rPr>
          <w:b w:val="0"/>
        </w:rPr>
        <w:t>; other production-only values include SMTP, blob storage, Redis, What3Words, Omnidots, and data-protection settings. Run the API:</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cantSplit/>
        </w:trPr>
        <w:tc>
          <w:tcPr>
            <w:tcW w:type="dxa" w:w="9360"/>
            <w:tcMar>
              <w:top w:w="80" w:type="dxa"/>
              <w:bottom w:w="80" w:type="dxa"/>
              <w:start w:w="120" w:type="dxa"/>
              <w:end w:w="120" w:type="dxa"/>
            </w:tcMar>
            <w:vAlign w:val="center"/>
            <w:shd w:fill="F2F4F7"/>
          </w:tcPr>
          <w:p>
            <w:pPr>
              <w:spacing w:after="0" w:line="252" w:lineRule="auto"/>
            </w:pPr>
            <w:r>
              <w:rPr>
                <w:rFonts w:ascii="Consolas" w:hAnsi="Consolas"/>
                <w:color w:val="0B2545"/>
                <w:sz w:val="17"/>
              </w:rPr>
              <w:t>dotnet run --project .\RvtPortal.Spa\RvtPortal.Spa.csproj --launch-profile https</w:t>
            </w:r>
          </w:p>
        </w:tc>
      </w:tr>
    </w:tbl>
    <w:p>
      <w:pPr>
        <w:spacing w:after="40"/>
      </w:pPr>
    </w:p>
    <w:p>
      <w:pPr>
        <w:keepNext/>
      </w:pPr>
      <w:r>
        <w:rPr>
          <w:b w:val="0"/>
        </w:rPr>
        <w:t>Run the React client:</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cantSplit/>
        </w:trPr>
        <w:tc>
          <w:tcPr>
            <w:tcW w:type="dxa" w:w="9360"/>
            <w:tcMar>
              <w:top w:w="80" w:type="dxa"/>
              <w:bottom w:w="80" w:type="dxa"/>
              <w:start w:w="120" w:type="dxa"/>
              <w:end w:w="120" w:type="dxa"/>
            </w:tcMar>
            <w:vAlign w:val="center"/>
            <w:shd w:fill="F2F4F7"/>
          </w:tcPr>
          <w:p>
            <w:pPr>
              <w:spacing w:after="0" w:line="252" w:lineRule="auto"/>
            </w:pPr>
            <w:r>
              <w:rPr>
                <w:rFonts w:ascii="Consolas" w:hAnsi="Consolas"/>
                <w:color w:val="0B2545"/>
                <w:sz w:val="17"/>
              </w:rPr>
              <w:t>Set-Location .\RvtPortal.Client</w:t>
            </w:r>
            <w:r>
              <w:br/>
            </w:r>
            <w:r>
              <w:rPr>
                <w:rFonts w:ascii="Consolas" w:hAnsi="Consolas"/>
                <w:color w:val="0B2545"/>
                <w:sz w:val="17"/>
              </w:rPr>
              <w:t>npm run dev</w:t>
            </w:r>
          </w:p>
        </w:tc>
      </w:tr>
    </w:tbl>
    <w:p>
      <w:pPr>
        <w:spacing w:after="40"/>
      </w:pPr>
    </w:p>
    <w:p>
      <w:pPr>
        <w:keepNext/>
      </w:pPr>
      <w:r>
        <w:rPr>
          <w:b w:val="0"/>
        </w:rPr>
        <w:t>Typical local URLs:</w:t>
      </w:r>
    </w:p>
    <w:p>
      <w:pPr>
        <w:pStyle w:val="ListBullet"/>
        <w:spacing w:after="80" w:line="300" w:lineRule="auto"/>
        <w:ind w:left="540" w:hanging="271"/>
      </w:pPr>
      <w:r>
        <w:rPr>
          <w:b w:val="0"/>
        </w:rPr>
        <w:t xml:space="preserve">React client: </w:t>
      </w:r>
      <w:r>
        <w:rPr>
          <w:rFonts w:ascii="Consolas" w:hAnsi="Consolas"/>
          <w:color w:val="0B2545"/>
          <w:sz w:val="19"/>
        </w:rPr>
        <w:t>http://localhost:5173</w:t>
      </w:r>
    </w:p>
    <w:p>
      <w:pPr>
        <w:pStyle w:val="ListBullet"/>
        <w:spacing w:after="80" w:line="300" w:lineRule="auto"/>
        <w:ind w:left="540" w:hanging="271"/>
      </w:pPr>
      <w:r>
        <w:rPr>
          <w:b w:val="0"/>
        </w:rPr>
        <w:t xml:space="preserve">API: </w:t>
      </w:r>
      <w:r>
        <w:rPr>
          <w:rFonts w:ascii="Consolas" w:hAnsi="Consolas"/>
          <w:color w:val="0B2545"/>
          <w:sz w:val="19"/>
        </w:rPr>
        <w:t>http://localhost:5178</w:t>
      </w:r>
    </w:p>
    <w:p>
      <w:pPr>
        <w:pStyle w:val="ListBullet"/>
        <w:spacing w:after="80" w:line="300" w:lineRule="auto"/>
        <w:ind w:left="540" w:hanging="271"/>
      </w:pPr>
      <w:r>
        <w:rPr>
          <w:b w:val="0"/>
        </w:rPr>
        <w:t xml:space="preserve">HTTPS API: </w:t>
      </w:r>
      <w:r>
        <w:rPr>
          <w:rFonts w:ascii="Consolas" w:hAnsi="Consolas"/>
          <w:color w:val="0B2545"/>
          <w:sz w:val="19"/>
        </w:rPr>
        <w:t>https://localhost:5179</w:t>
      </w:r>
    </w:p>
    <w:p>
      <w:pPr>
        <w:pStyle w:val="ListBullet"/>
        <w:spacing w:after="80" w:line="300" w:lineRule="auto"/>
        <w:ind w:left="540" w:hanging="271"/>
      </w:pPr>
      <w:r>
        <w:rPr>
          <w:b w:val="0"/>
        </w:rPr>
        <w:t xml:space="preserve">Swagger: </w:t>
      </w:r>
      <w:r>
        <w:rPr>
          <w:rFonts w:ascii="Consolas" w:hAnsi="Consolas"/>
          <w:color w:val="0B2545"/>
          <w:sz w:val="19"/>
        </w:rPr>
        <w:t>http://localhost:5178/swagger</w:t>
      </w:r>
    </w:p>
    <w:p>
      <w:pPr>
        <w:pStyle w:val="ListBullet"/>
        <w:spacing w:after="80" w:line="300" w:lineRule="auto"/>
        <w:ind w:left="540" w:hanging="271"/>
      </w:pPr>
      <w:r>
        <w:rPr>
          <w:b w:val="0"/>
        </w:rPr>
        <w:t xml:space="preserve">Health check: </w:t>
      </w:r>
      <w:r>
        <w:rPr>
          <w:rFonts w:ascii="Consolas" w:hAnsi="Consolas"/>
          <w:color w:val="0B2545"/>
          <w:sz w:val="19"/>
        </w:rPr>
        <w:t>http://localhost:5178/api/health</w:t>
      </w:r>
    </w:p>
    <w:p>
      <w:pPr>
        <w:pStyle w:val="Heading1"/>
      </w:pPr>
      <w:r>
        <w:t>6. Authentication And Roles</w:t>
      </w:r>
    </w:p>
    <w:p>
      <w:pPr>
        <w:keepNext/>
      </w:pPr>
      <w:r>
        <w:rPr>
          <w:b w:val="0"/>
        </w:rPr>
        <w:t>The SPA keeps the existing ASP.NET Identity cookie model. It does not store bearer tokens in browser storage. Main roles:</w:t>
      </w:r>
    </w:p>
    <w:tbl>
      <w:tblPr>
        <w:tblW w:type="dxa" w:w="9360"/>
        <w:jc w:val="left"/>
        <w:tblLayout w:type="fixed"/>
        <w:tblLook w:firstColumn="1" w:firstRow="1" w:lastColumn="0" w:lastRow="0" w:noHBand="0" w:noVBand="1" w:val="04A0"/>
        <w:tblInd w:w="120" w:type="dxa"/>
        <w:tblBorders>
          <w:top w:val="single" w:sz="4" w:color="AEB8C5"/>
          <w:left w:val="single" w:sz="4" w:color="AEB8C5"/>
          <w:bottom w:val="single" w:sz="4" w:color="AEB8C5"/>
          <w:right w:val="single" w:sz="4" w:color="AEB8C5"/>
          <w:insideH w:val="single" w:sz="4" w:color="AEB8C5"/>
          <w:insideV w:val="single" w:sz="4" w:color="AEB8C5"/>
        </w:tblBorders>
      </w:tblPr>
      <w:tblGrid>
        <w:gridCol w:w="2700"/>
        <w:gridCol w:w="6660"/>
      </w:tblGrid>
      <w:tr>
        <w:tc>
          <w:tcPr>
            <w:tcW w:type="dxa" w:w="2700"/>
            <w:tcMar>
              <w:top w:w="80" w:type="dxa"/>
              <w:bottom w:w="80" w:type="dxa"/>
              <w:start w:w="120" w:type="dxa"/>
              <w:end w:w="120" w:type="dxa"/>
            </w:tcMar>
            <w:vAlign w:val="center"/>
            <w:shd w:fill="E8EEF5"/>
          </w:tcPr>
          <w:p>
            <w:pPr>
              <w:spacing w:after="0"/>
            </w:pPr>
            <w:r>
              <w:rPr>
                <w:b/>
              </w:rPr>
              <w:t>Role</w:t>
            </w:r>
          </w:p>
        </w:tc>
        <w:tc>
          <w:tcPr>
            <w:tcW w:type="dxa" w:w="6660"/>
            <w:tcMar>
              <w:top w:w="80" w:type="dxa"/>
              <w:bottom w:w="80" w:type="dxa"/>
              <w:start w:w="120" w:type="dxa"/>
              <w:end w:w="120" w:type="dxa"/>
            </w:tcMar>
            <w:vAlign w:val="center"/>
            <w:shd w:fill="E8EEF5"/>
          </w:tcPr>
          <w:p>
            <w:pPr>
              <w:spacing w:after="0"/>
            </w:pPr>
            <w:r>
              <w:rPr>
                <w:b/>
              </w:rPr>
              <w:t>Purpose</w:t>
            </w:r>
          </w:p>
        </w:tc>
      </w:tr>
      <w:tr>
        <w:tc>
          <w:tcPr>
            <w:tcW w:type="dxa" w:w="2700"/>
          </w:tcPr>
          <w:p>
            <w:pPr>
              <w:spacing w:after="0"/>
            </w:pPr>
            <w:r>
              <w:rPr>
                <w:rFonts w:ascii="Consolas" w:hAnsi="Consolas"/>
                <w:color w:val="0B2545"/>
                <w:sz w:val="19"/>
              </w:rPr>
              <w:t>RVTMasterAdmin</w:t>
            </w:r>
          </w:p>
        </w:tc>
        <w:tc>
          <w:tcPr>
            <w:tcW w:type="dxa" w:w="6660"/>
          </w:tcPr>
          <w:p>
            <w:pPr>
              <w:spacing w:after="0"/>
            </w:pPr>
            <w:r>
              <w:rPr>
                <w:b w:val="0"/>
              </w:rPr>
              <w:t>Full portal administration.</w:t>
            </w:r>
          </w:p>
        </w:tc>
      </w:tr>
      <w:tr>
        <w:tc>
          <w:tcPr>
            <w:tcW w:type="dxa" w:w="2700"/>
          </w:tcPr>
          <w:p>
            <w:pPr>
              <w:spacing w:after="0"/>
            </w:pPr>
            <w:r>
              <w:rPr>
                <w:rFonts w:ascii="Consolas" w:hAnsi="Consolas"/>
                <w:color w:val="0B2545"/>
                <w:sz w:val="19"/>
              </w:rPr>
              <w:t>RVTAdmin</w:t>
            </w:r>
          </w:p>
        </w:tc>
        <w:tc>
          <w:tcPr>
            <w:tcW w:type="dxa" w:w="6660"/>
          </w:tcPr>
          <w:p>
            <w:pPr>
              <w:spacing w:after="0"/>
            </w:pPr>
            <w:r>
              <w:rPr>
                <w:b w:val="0"/>
              </w:rPr>
              <w:t>Standard RVT administration.</w:t>
            </w:r>
          </w:p>
        </w:tc>
      </w:tr>
      <w:tr>
        <w:tc>
          <w:tcPr>
            <w:tcW w:type="dxa" w:w="2700"/>
          </w:tcPr>
          <w:p>
            <w:pPr>
              <w:spacing w:after="0"/>
            </w:pPr>
            <w:r>
              <w:rPr>
                <w:rFonts w:ascii="Consolas" w:hAnsi="Consolas"/>
                <w:color w:val="0B2545"/>
                <w:sz w:val="19"/>
              </w:rPr>
              <w:t>RVTInstaller</w:t>
            </w:r>
          </w:p>
        </w:tc>
        <w:tc>
          <w:tcPr>
            <w:tcW w:type="dxa" w:w="6660"/>
          </w:tcPr>
          <w:p>
            <w:pPr>
              <w:spacing w:after="0"/>
            </w:pPr>
            <w:r>
              <w:rPr>
                <w:b w:val="0"/>
              </w:rPr>
              <w:t>Installer monitor/deployment workflow access.</w:t>
            </w:r>
          </w:p>
        </w:tc>
      </w:tr>
      <w:tr>
        <w:tc>
          <w:tcPr>
            <w:tcW w:type="dxa" w:w="2700"/>
          </w:tcPr>
          <w:p>
            <w:pPr>
              <w:spacing w:after="0"/>
            </w:pPr>
            <w:r>
              <w:rPr>
                <w:rFonts w:ascii="Consolas" w:hAnsi="Consolas"/>
                <w:color w:val="0B2545"/>
                <w:sz w:val="19"/>
              </w:rPr>
              <w:t>CompanyUser</w:t>
            </w:r>
          </w:p>
        </w:tc>
        <w:tc>
          <w:tcPr>
            <w:tcW w:type="dxa" w:w="6660"/>
          </w:tcPr>
          <w:p>
            <w:pPr>
              <w:spacing w:after="0"/>
            </w:pPr>
            <w:r>
              <w:rPr>
                <w:b w:val="0"/>
              </w:rPr>
              <w:t>Customer-scoped access to assigned company/site data.</w:t>
            </w:r>
          </w:p>
        </w:tc>
      </w:tr>
    </w:tbl>
    <w:p>
      <w:pPr>
        <w:spacing w:after="40"/>
      </w:pPr>
    </w:p>
    <w:p>
      <w:pPr/>
      <w:r>
        <w:rPr>
          <w:b w:val="0"/>
        </w:rPr>
        <w:t xml:space="preserve">Server-side authorization is the source of truth. React navigation hides or shows routes for usability, but API controllers must still enforce role and data access rules. Read </w:t>
      </w:r>
      <w:r>
        <w:rPr>
          <w:rFonts w:ascii="Consolas" w:hAnsi="Consolas"/>
          <w:color w:val="0B2545"/>
          <w:sz w:val="19"/>
        </w:rPr>
        <w:t>RvtPortal.Spa/AUTHORIZATION.md</w:t>
      </w:r>
      <w:r>
        <w:rPr>
          <w:b w:val="0"/>
        </w:rPr>
        <w:t xml:space="preserve"> before changing login, account, role, or protected endpoint behavior.</w:t>
      </w:r>
    </w:p>
    <w:p>
      <w:pPr>
        <w:pStyle w:val="Heading1"/>
      </w:pPr>
      <w:r>
        <w:t>7. How To Trace A Workflow</w:t>
      </w:r>
    </w:p>
    <w:p>
      <w:pPr>
        <w:keepNext/>
      </w:pPr>
      <w:r>
        <w:rPr>
          <w:b w:val="0"/>
        </w:rPr>
        <w:t>For most features, use this path:</w:t>
      </w:r>
    </w:p>
    <w:p>
      <w:pPr>
        <w:pStyle w:val="ListNumber"/>
        <w:spacing w:after="80" w:line="300" w:lineRule="auto"/>
        <w:ind w:left="540" w:hanging="271"/>
      </w:pPr>
      <w:r>
        <w:rPr>
          <w:b w:val="0"/>
        </w:rPr>
        <w:t xml:space="preserve">Start in </w:t>
      </w:r>
      <w:r>
        <w:rPr>
          <w:rFonts w:ascii="Consolas" w:hAnsi="Consolas"/>
          <w:color w:val="0B2545"/>
          <w:sz w:val="19"/>
        </w:rPr>
        <w:t>RvtPortal.Client/src/App.tsx</w:t>
      </w:r>
      <w:r>
        <w:rPr>
          <w:b w:val="0"/>
        </w:rPr>
        <w:t xml:space="preserve"> to find the route and role visibility.</w:t>
      </w:r>
    </w:p>
    <w:p>
      <w:pPr>
        <w:pStyle w:val="ListNumber"/>
        <w:spacing w:after="80" w:line="300" w:lineRule="auto"/>
        <w:ind w:left="540" w:hanging="271"/>
      </w:pPr>
      <w:r>
        <w:rPr>
          <w:b w:val="0"/>
        </w:rPr>
        <w:t xml:space="preserve">Open the relevant panel in </w:t>
      </w:r>
      <w:r>
        <w:rPr>
          <w:rFonts w:ascii="Consolas" w:hAnsi="Consolas"/>
          <w:color w:val="0B2545"/>
          <w:sz w:val="19"/>
        </w:rPr>
        <w:t>RvtPortal.Client/src/admin</w:t>
      </w:r>
      <w:r>
        <w:rPr>
          <w:b w:val="0"/>
        </w:rPr>
        <w:t xml:space="preserve"> or </w:t>
      </w:r>
      <w:r>
        <w:rPr>
          <w:rFonts w:ascii="Consolas" w:hAnsi="Consolas"/>
          <w:color w:val="0B2545"/>
          <w:sz w:val="19"/>
        </w:rPr>
        <w:t>RvtPortal.Client/src/operations</w:t>
      </w:r>
      <w:r>
        <w:rPr>
          <w:b w:val="0"/>
        </w:rPr>
        <w:t>.</w:t>
      </w:r>
    </w:p>
    <w:p>
      <w:pPr>
        <w:pStyle w:val="ListNumber"/>
        <w:spacing w:after="80" w:line="300" w:lineRule="auto"/>
        <w:ind w:left="540" w:hanging="271"/>
      </w:pPr>
      <w:r>
        <w:rPr>
          <w:b w:val="0"/>
        </w:rPr>
        <w:t xml:space="preserve">Follow API calls through </w:t>
      </w:r>
      <w:r>
        <w:rPr>
          <w:rFonts w:ascii="Consolas" w:hAnsi="Consolas"/>
          <w:color w:val="0B2545"/>
          <w:sz w:val="19"/>
        </w:rPr>
        <w:t>RvtPortal.Client/src/api/client.ts</w:t>
      </w:r>
      <w:r>
        <w:rPr>
          <w:b w:val="0"/>
        </w:rPr>
        <w:t>.</w:t>
      </w:r>
    </w:p>
    <w:p>
      <w:pPr>
        <w:pStyle w:val="ListNumber"/>
        <w:spacing w:after="80" w:line="300" w:lineRule="auto"/>
        <w:ind w:left="540" w:hanging="271"/>
      </w:pPr>
      <w:r>
        <w:rPr>
          <w:b w:val="0"/>
        </w:rPr>
        <w:t xml:space="preserve">Open the matching controller in </w:t>
      </w:r>
      <w:r>
        <w:rPr>
          <w:rFonts w:ascii="Consolas" w:hAnsi="Consolas"/>
          <w:color w:val="0B2545"/>
          <w:sz w:val="19"/>
        </w:rPr>
        <w:t>RvtPortal.Spa/Api</w:t>
      </w:r>
      <w:r>
        <w:rPr>
          <w:b w:val="0"/>
        </w:rPr>
        <w:t>.</w:t>
      </w:r>
    </w:p>
    <w:p>
      <w:pPr>
        <w:pStyle w:val="ListNumber"/>
        <w:spacing w:after="80" w:line="300" w:lineRule="auto"/>
        <w:ind w:left="540" w:hanging="271"/>
      </w:pPr>
      <w:r>
        <w:rPr>
          <w:b w:val="0"/>
        </w:rPr>
        <w:t xml:space="preserve">Continue into </w:t>
      </w:r>
      <w:r>
        <w:rPr>
          <w:rFonts w:ascii="Consolas" w:hAnsi="Consolas"/>
          <w:color w:val="0B2545"/>
          <w:sz w:val="19"/>
        </w:rPr>
        <w:t>RVT.BusinessLogic</w:t>
      </w:r>
      <w:r>
        <w:rPr>
          <w:b w:val="0"/>
        </w:rPr>
        <w:t xml:space="preserve">, then </w:t>
      </w:r>
      <w:r>
        <w:rPr>
          <w:rFonts w:ascii="Consolas" w:hAnsi="Consolas"/>
          <w:color w:val="0B2545"/>
          <w:sz w:val="19"/>
        </w:rPr>
        <w:t>RVT.Dataaccess</w:t>
      </w:r>
      <w:r>
        <w:rPr>
          <w:b w:val="0"/>
        </w:rPr>
        <w:t>, if the endpoint uses existing domain services.</w:t>
      </w:r>
    </w:p>
    <w:p>
      <w:pPr>
        <w:pStyle w:val="ListNumber"/>
        <w:spacing w:after="80" w:line="300" w:lineRule="auto"/>
        <w:ind w:left="540" w:hanging="271"/>
      </w:pPr>
      <w:r>
        <w:rPr>
          <w:b w:val="0"/>
        </w:rPr>
        <w:t xml:space="preserve">Check tests in </w:t>
      </w:r>
      <w:r>
        <w:rPr>
          <w:rFonts w:ascii="Consolas" w:hAnsi="Consolas"/>
          <w:color w:val="0B2545"/>
          <w:sz w:val="19"/>
        </w:rPr>
        <w:t>RvtPortal.Spa.Tests</w:t>
      </w:r>
      <w:r>
        <w:rPr>
          <w:b w:val="0"/>
        </w:rPr>
        <w:t xml:space="preserve"> and </w:t>
      </w:r>
      <w:r>
        <w:rPr>
          <w:rFonts w:ascii="Consolas" w:hAnsi="Consolas"/>
          <w:color w:val="0B2545"/>
          <w:sz w:val="19"/>
        </w:rPr>
        <w:t>RvtPortal.Client/src/**/*.test.tsx</w:t>
      </w:r>
      <w:r>
        <w:rPr>
          <w:b w:val="0"/>
        </w:rPr>
        <w:t>.</w:t>
      </w:r>
    </w:p>
    <w:p>
      <w:pPr/>
      <w:r>
        <w:rPr>
          <w:b w:val="0"/>
        </w:rPr>
        <w:t>When changing a migrated MVC workflow, update the release evidence if the parity or readiness status changes.</w:t>
      </w:r>
    </w:p>
    <w:p>
      <w:pPr>
        <w:pStyle w:val="Heading1"/>
      </w:pPr>
      <w:r>
        <w:t>8. Test And Build Gates</w:t>
      </w:r>
    </w:p>
    <w:p>
      <w:pPr>
        <w:keepNext/>
      </w:pPr>
      <w:r>
        <w:rPr>
          <w:b w:val="0"/>
        </w:rPr>
        <w:t>Run these before handing work over:</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cantSplit/>
        </w:trPr>
        <w:tc>
          <w:tcPr>
            <w:tcW w:type="dxa" w:w="9360"/>
            <w:tcMar>
              <w:top w:w="80" w:type="dxa"/>
              <w:bottom w:w="80" w:type="dxa"/>
              <w:start w:w="120" w:type="dxa"/>
              <w:end w:w="120" w:type="dxa"/>
            </w:tcMar>
            <w:vAlign w:val="center"/>
            <w:shd w:fill="F2F4F7"/>
          </w:tcPr>
          <w:p>
            <w:pPr>
              <w:spacing w:after="0" w:line="252" w:lineRule="auto"/>
            </w:pPr>
            <w:r>
              <w:rPr>
                <w:rFonts w:ascii="Consolas" w:hAnsi="Consolas"/>
                <w:color w:val="0B2545"/>
                <w:sz w:val="17"/>
              </w:rPr>
              <w:t>dotnet restore .\RvtPortal.Spa.sln</w:t>
            </w:r>
            <w:r>
              <w:br/>
            </w:r>
            <w:r>
              <w:rPr>
                <w:rFonts w:ascii="Consolas" w:hAnsi="Consolas"/>
                <w:color w:val="0B2545"/>
                <w:sz w:val="17"/>
              </w:rPr>
              <w:t>dotnet build .\RvtPortal.Spa.sln --configuration Release --no-restore -v minimal</w:t>
            </w:r>
            <w:r>
              <w:br/>
            </w:r>
            <w:r>
              <w:rPr>
                <w:rFonts w:ascii="Consolas" w:hAnsi="Consolas"/>
                <w:color w:val="0B2545"/>
                <w:sz w:val="17"/>
              </w:rPr>
              <w:t>dotnet test .\RvtPortal.Spa.Tests\RvtPortal.Spa.Tests.csproj --configuration Release -v minimal</w:t>
            </w:r>
          </w:p>
        </w:tc>
      </w:tr>
    </w:tbl>
    <w:p>
      <w:pPr>
        <w:spacing w:after="40"/>
      </w:pPr>
    </w:p>
    <w:p>
      <w:pPr>
        <w:keepNext/>
      </w:pPr>
      <w:r>
        <w:rPr>
          <w:b w:val="0"/>
        </w:rPr>
        <w:t>Client gates:</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cantSplit/>
        </w:trPr>
        <w:tc>
          <w:tcPr>
            <w:tcW w:type="dxa" w:w="9360"/>
            <w:tcMar>
              <w:top w:w="80" w:type="dxa"/>
              <w:bottom w:w="80" w:type="dxa"/>
              <w:start w:w="120" w:type="dxa"/>
              <w:end w:w="120" w:type="dxa"/>
            </w:tcMar>
            <w:vAlign w:val="center"/>
            <w:shd w:fill="F2F4F7"/>
          </w:tcPr>
          <w:p>
            <w:pPr>
              <w:spacing w:after="0" w:line="252" w:lineRule="auto"/>
            </w:pPr>
            <w:r>
              <w:rPr>
                <w:rFonts w:ascii="Consolas" w:hAnsi="Consolas"/>
                <w:color w:val="0B2545"/>
                <w:sz w:val="17"/>
              </w:rPr>
              <w:t>Set-Location .\RvtPortal.Client</w:t>
            </w:r>
            <w:r>
              <w:br/>
            </w:r>
            <w:r>
              <w:rPr>
                <w:rFonts w:ascii="Consolas" w:hAnsi="Consolas"/>
                <w:color w:val="0B2545"/>
                <w:sz w:val="17"/>
              </w:rPr>
              <w:t>npm run lint</w:t>
            </w:r>
            <w:r>
              <w:br/>
            </w:r>
            <w:r>
              <w:rPr>
                <w:rFonts w:ascii="Consolas" w:hAnsi="Consolas"/>
                <w:color w:val="0B2545"/>
                <w:sz w:val="17"/>
              </w:rPr>
              <w:t>npm run build</w:t>
            </w:r>
            <w:r>
              <w:br/>
            </w:r>
            <w:r>
              <w:rPr>
                <w:rFonts w:ascii="Consolas" w:hAnsi="Consolas"/>
                <w:color w:val="0B2545"/>
                <w:sz w:val="17"/>
              </w:rPr>
              <w:t>npm run test:run</w:t>
            </w:r>
            <w:r>
              <w:br/>
            </w:r>
            <w:r>
              <w:rPr>
                <w:rFonts w:ascii="Consolas" w:hAnsi="Consolas"/>
                <w:color w:val="0B2545"/>
                <w:sz w:val="17"/>
              </w:rPr>
              <w:t>npm run test:e2e</w:t>
            </w:r>
          </w:p>
        </w:tc>
      </w:tr>
    </w:tbl>
    <w:p>
      <w:pPr>
        <w:spacing w:after="40"/>
      </w:pPr>
    </w:p>
    <w:p>
      <w:pPr/>
      <w:r>
        <w:rPr>
          <w:b w:val="0"/>
        </w:rPr>
        <w:t>Current known warning to expect during client build: Vite reports the main JavaScript bundle is larger than 500 kB. It is a release-polish item, not currently a failing gate.</w:t>
      </w:r>
    </w:p>
    <w:p>
      <w:pPr>
        <w:pStyle w:val="Heading1"/>
      </w:pPr>
      <w:r>
        <w:t>9. Release Evidence</w:t>
      </w:r>
    </w:p>
    <w:p>
      <w:pPr>
        <w:keepNext/>
      </w:pPr>
      <w:r>
        <w:rPr>
          <w:b w:val="0"/>
        </w:rPr>
        <w:t>Use these files to understand cutover readiness:</w:t>
      </w:r>
    </w:p>
    <w:p>
      <w:pPr>
        <w:pStyle w:val="ListBullet"/>
        <w:spacing w:after="80" w:line="300" w:lineRule="auto"/>
        <w:ind w:left="540" w:hanging="271"/>
      </w:pPr>
      <w:r>
        <w:rPr>
          <w:rFonts w:ascii="Consolas" w:hAnsi="Consolas"/>
          <w:color w:val="0B2545"/>
          <w:sz w:val="19"/>
        </w:rPr>
        <w:t>docs/release/PARITY_MATRIX.md</w:t>
      </w:r>
      <w:r>
        <w:rPr>
          <w:b w:val="0"/>
        </w:rPr>
        <w:t>: MVC-to-SPA migration ledger.</w:t>
      </w:r>
    </w:p>
    <w:p>
      <w:pPr>
        <w:pStyle w:val="ListBullet"/>
        <w:spacing w:after="80" w:line="300" w:lineRule="auto"/>
        <w:ind w:left="540" w:hanging="271"/>
      </w:pPr>
      <w:r>
        <w:rPr>
          <w:rFonts w:ascii="Consolas" w:hAnsi="Consolas"/>
          <w:color w:val="0B2545"/>
          <w:sz w:val="19"/>
        </w:rPr>
        <w:t>docs/release/FUNCTIONALITY_READINESS_MATRIX.md</w:t>
      </w:r>
      <w:r>
        <w:rPr>
          <w:b w:val="0"/>
        </w:rPr>
        <w:t>: capability readiness and test evidence.</w:t>
      </w:r>
    </w:p>
    <w:p>
      <w:pPr>
        <w:pStyle w:val="ListBullet"/>
        <w:spacing w:after="80" w:line="300" w:lineRule="auto"/>
        <w:ind w:left="540" w:hanging="271"/>
      </w:pPr>
      <w:r>
        <w:rPr>
          <w:rFonts w:ascii="Consolas" w:hAnsi="Consolas"/>
          <w:color w:val="0B2545"/>
          <w:sz w:val="19"/>
        </w:rPr>
        <w:t>docs/release/CUTOVER_RUNBOOK.md</w:t>
      </w:r>
      <w:r>
        <w:rPr>
          <w:b w:val="0"/>
        </w:rPr>
        <w:t>: deployment, smoke, rollback, and go/no-go checklist.</w:t>
      </w:r>
    </w:p>
    <w:p>
      <w:pPr>
        <w:pStyle w:val="Heading1"/>
      </w:pPr>
      <w:r>
        <w:t>10. First Week Checklist</w:t>
      </w:r>
    </w:p>
    <w:p>
      <w:pPr>
        <w:pStyle w:val="ListBullet"/>
        <w:spacing w:after="80" w:line="300" w:lineRule="auto"/>
        <w:ind w:left="540" w:hanging="271"/>
      </w:pPr>
      <w:r>
        <w:rPr>
          <w:b w:val="0"/>
        </w:rPr>
        <w:t xml:space="preserve">Open </w:t>
      </w:r>
      <w:r>
        <w:rPr>
          <w:rFonts w:ascii="Consolas" w:hAnsi="Consolas"/>
          <w:color w:val="0B2545"/>
          <w:sz w:val="19"/>
        </w:rPr>
        <w:t>RvtPortal.Spa.sln</w:t>
      </w:r>
      <w:r>
        <w:rPr>
          <w:b w:val="0"/>
        </w:rPr>
        <w:t xml:space="preserve"> and confirm the solution builds.</w:t>
      </w:r>
    </w:p>
    <w:p>
      <w:pPr>
        <w:pStyle w:val="ListBullet"/>
        <w:spacing w:after="80" w:line="300" w:lineRule="auto"/>
        <w:ind w:left="540" w:hanging="271"/>
      </w:pPr>
      <w:r>
        <w:rPr>
          <w:b w:val="0"/>
        </w:rPr>
        <w:t>Run the API and React client locally.</w:t>
      </w:r>
    </w:p>
    <w:p>
      <w:pPr>
        <w:pStyle w:val="ListBullet"/>
        <w:spacing w:after="80" w:line="300" w:lineRule="auto"/>
        <w:ind w:left="540" w:hanging="271"/>
      </w:pPr>
      <w:r>
        <w:rPr>
          <w:b w:val="0"/>
        </w:rPr>
        <w:t xml:space="preserve">Read </w:t>
      </w:r>
      <w:r>
        <w:rPr>
          <w:rFonts w:ascii="Consolas" w:hAnsi="Consolas"/>
          <w:color w:val="0B2545"/>
          <w:sz w:val="19"/>
        </w:rPr>
        <w:t>README.md</w:t>
      </w:r>
      <w:r>
        <w:rPr>
          <w:b w:val="0"/>
        </w:rPr>
        <w:t xml:space="preserve">, this guide, </w:t>
      </w:r>
      <w:r>
        <w:rPr>
          <w:rFonts w:ascii="Consolas" w:hAnsi="Consolas"/>
          <w:color w:val="0B2545"/>
          <w:sz w:val="19"/>
        </w:rPr>
        <w:t>RvtPortal.Spa/AUTHORIZATION.md</w:t>
      </w:r>
      <w:r>
        <w:rPr>
          <w:b w:val="0"/>
        </w:rPr>
        <w:t>, and the readiness matrix.</w:t>
      </w:r>
    </w:p>
    <w:p>
      <w:pPr>
        <w:pStyle w:val="ListBullet"/>
        <w:spacing w:after="80" w:line="300" w:lineRule="auto"/>
        <w:ind w:left="540" w:hanging="271"/>
      </w:pPr>
      <w:r>
        <w:rPr>
          <w:b w:val="0"/>
        </w:rPr>
        <w:t>Trace one admin workflow and one company/installer workflow from React panel to API controller.</w:t>
      </w:r>
    </w:p>
    <w:p>
      <w:pPr>
        <w:pStyle w:val="ListBullet"/>
        <w:spacing w:after="80" w:line="300" w:lineRule="auto"/>
        <w:ind w:left="540" w:hanging="271"/>
      </w:pPr>
      <w:r>
        <w:rPr>
          <w:b w:val="0"/>
        </w:rPr>
        <w:t>Make a small first change that includes both frontend and backend tests where relevant.</w:t>
      </w:r>
    </w:p>
    <w:p>
      <w:pPr>
        <w:pStyle w:val="ListBullet"/>
        <w:spacing w:after="80" w:line="300" w:lineRule="auto"/>
        <w:ind w:left="540" w:hanging="271"/>
      </w:pPr>
      <w:r>
        <w:rPr>
          <w:b w:val="0"/>
        </w:rPr>
        <w:t>Keep local credentials in user secrets, environment variables, or ignored local overrides.</w:t>
      </w:r>
    </w:p>
    <w:p>
      <w:pPr>
        <w:pStyle w:val="Heading1"/>
      </w:pPr>
      <w:r>
        <w:t>11. Common Pitfalls</w:t>
      </w:r>
    </w:p>
    <w:p>
      <w:pPr>
        <w:pStyle w:val="ListBullet"/>
        <w:spacing w:after="80" w:line="300" w:lineRule="auto"/>
        <w:ind w:left="540" w:hanging="271"/>
      </w:pPr>
      <w:r>
        <w:rPr>
          <w:b w:val="0"/>
        </w:rPr>
        <w:t>Do not reintroduce legacy MVC/demo projects unless there is an approved migration exception.</w:t>
      </w:r>
    </w:p>
    <w:p>
      <w:pPr>
        <w:pStyle w:val="ListBullet"/>
        <w:spacing w:after="80" w:line="300" w:lineRule="auto"/>
        <w:ind w:left="540" w:hanging="271"/>
      </w:pPr>
      <w:r>
        <w:rPr>
          <w:b w:val="0"/>
        </w:rPr>
        <w:t>Do not rely on React route hiding as authorization; enforce rules in the API.</w:t>
      </w:r>
    </w:p>
    <w:p>
      <w:pPr>
        <w:pStyle w:val="ListBullet"/>
        <w:spacing w:after="80" w:line="300" w:lineRule="auto"/>
        <w:ind w:left="540" w:hanging="271"/>
      </w:pPr>
      <w:r>
        <w:rPr>
          <w:b w:val="0"/>
        </w:rPr>
        <w:t>Do not commit connection strings or service credentials.</w:t>
      </w:r>
    </w:p>
    <w:p>
      <w:pPr>
        <w:pStyle w:val="ListBullet"/>
        <w:spacing w:after="80" w:line="300" w:lineRule="auto"/>
        <w:ind w:left="540" w:hanging="271"/>
      </w:pPr>
      <w:r>
        <w:rPr>
          <w:rFonts w:ascii="Consolas" w:hAnsi="Consolas"/>
          <w:color w:val="0B2545"/>
          <w:sz w:val="19"/>
        </w:rPr>
        <w:t>appsettings.json</w:t>
      </w:r>
      <w:r>
        <w:rPr>
          <w:b w:val="0"/>
        </w:rPr>
        <w:t xml:space="preserve"> intentionally contains placeholders.</w:t>
      </w:r>
    </w:p>
    <w:p>
      <w:pPr>
        <w:pStyle w:val="ListBullet"/>
        <w:spacing w:after="80" w:line="300" w:lineRule="auto"/>
        <w:ind w:left="540" w:hanging="271"/>
      </w:pPr>
      <w:r>
        <w:rPr>
          <w:b w:val="0"/>
        </w:rPr>
        <w:t>The Vite development client talks to the API through the configured dev origin/proxy behavior.</w:t>
      </w:r>
    </w:p>
    <w:p>
      <w:pPr>
        <w:pStyle w:val="ListBullet"/>
        <w:spacing w:after="80" w:line="300" w:lineRule="auto"/>
        <w:ind w:left="540" w:hanging="271"/>
      </w:pPr>
      <w:r>
        <w:rPr>
          <w:b w:val="0"/>
        </w:rPr>
        <w:t xml:space="preserve">When running Git through Parallels </w:t>
      </w:r>
      <w:r>
        <w:rPr>
          <w:rFonts w:ascii="Consolas" w:hAnsi="Consolas"/>
          <w:color w:val="0B2545"/>
          <w:sz w:val="19"/>
        </w:rPr>
        <w:t>prlctl</w:t>
      </w:r>
      <w:r>
        <w:rPr>
          <w:b w:val="0"/>
        </w:rPr>
        <w:t xml:space="preserve">, add the safe-directory override because commands may execute as </w:t>
      </w:r>
      <w:r>
        <w:rPr>
          <w:rFonts w:ascii="Consolas" w:hAnsi="Consolas"/>
          <w:color w:val="0B2545"/>
          <w:sz w:val="19"/>
        </w:rPr>
        <w:t>NT AUTHORITY\SYSTEM</w:t>
      </w:r>
      <w:r>
        <w:rPr>
          <w:b w:val="0"/>
        </w:rPr>
        <w:t>:</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9360"/>
      </w:tblGrid>
      <w:tr>
        <w:trPr>
          <w:cantSplit/>
        </w:trPr>
        <w:tc>
          <w:tcPr>
            <w:tcW w:type="dxa" w:w="9360"/>
            <w:tcMar>
              <w:top w:w="80" w:type="dxa"/>
              <w:bottom w:w="80" w:type="dxa"/>
              <w:start w:w="120" w:type="dxa"/>
              <w:end w:w="120" w:type="dxa"/>
            </w:tcMar>
            <w:vAlign w:val="center"/>
            <w:shd w:fill="F2F4F7"/>
          </w:tcPr>
          <w:p>
            <w:pPr>
              <w:spacing w:after="0" w:line="252" w:lineRule="auto"/>
            </w:pPr>
            <w:r>
              <w:rPr>
                <w:rFonts w:ascii="Consolas" w:hAnsi="Consolas"/>
                <w:color w:val="0B2545"/>
                <w:sz w:val="17"/>
              </w:rPr>
              <w:t>git -c safe.directory='C:/Users/oldgeorge/source/repos/chris-oldgeorge/rvtportal-spa-alpha' status</w:t>
            </w:r>
          </w:p>
        </w:tc>
      </w:tr>
    </w:tbl>
    <w:p>
      <w:pPr>
        <w:spacing w:after="40"/>
      </w:pPr>
    </w:p>
    <w:p>
      <w:pPr>
        <w:pStyle w:val="Heading1"/>
      </w:pPr>
      <w:r>
        <w:t>12. Where To Ask Better Questions</w:t>
      </w:r>
    </w:p>
    <w:p>
      <w:pPr>
        <w:keepNext/>
      </w:pPr>
      <w:r>
        <w:rPr>
          <w:b w:val="0"/>
        </w:rPr>
        <w:t>Use the code layout to narrow questions:</w:t>
      </w:r>
    </w:p>
    <w:tbl>
      <w:tblPr>
        <w:tblW w:type="dxa" w:w="9360"/>
        <w:jc w:val="left"/>
        <w:tblLayout w:type="fixed"/>
        <w:tblLook w:firstColumn="1" w:firstRow="1" w:lastColumn="0" w:lastRow="0" w:noHBand="0" w:noVBand="1" w:val="04A0"/>
        <w:tblInd w:w="120" w:type="dxa"/>
        <w:tblBorders>
          <w:top w:val="single" w:sz="4" w:color="AEB8C5"/>
          <w:left w:val="single" w:sz="4" w:color="AEB8C5"/>
          <w:bottom w:val="single" w:sz="4" w:color="AEB8C5"/>
          <w:right w:val="single" w:sz="4" w:color="AEB8C5"/>
          <w:insideH w:val="single" w:sz="4" w:color="AEB8C5"/>
          <w:insideV w:val="single" w:sz="4" w:color="AEB8C5"/>
        </w:tblBorders>
      </w:tblPr>
      <w:tblGrid>
        <w:gridCol w:w="3300"/>
        <w:gridCol w:w="6060"/>
      </w:tblGrid>
      <w:tr>
        <w:tc>
          <w:tcPr>
            <w:tcW w:type="dxa" w:w="3300"/>
            <w:tcMar>
              <w:top w:w="80" w:type="dxa"/>
              <w:bottom w:w="80" w:type="dxa"/>
              <w:start w:w="120" w:type="dxa"/>
              <w:end w:w="120" w:type="dxa"/>
            </w:tcMar>
            <w:vAlign w:val="center"/>
            <w:shd w:fill="E8EEF5"/>
          </w:tcPr>
          <w:p>
            <w:pPr>
              <w:spacing w:after="0"/>
            </w:pPr>
            <w:r>
              <w:rPr>
                <w:b/>
              </w:rPr>
              <w:t>Question</w:t>
            </w:r>
          </w:p>
        </w:tc>
        <w:tc>
          <w:tcPr>
            <w:tcW w:type="dxa" w:w="6060"/>
            <w:tcMar>
              <w:top w:w="80" w:type="dxa"/>
              <w:bottom w:w="80" w:type="dxa"/>
              <w:start w:w="120" w:type="dxa"/>
              <w:end w:w="120" w:type="dxa"/>
            </w:tcMar>
            <w:vAlign w:val="center"/>
            <w:shd w:fill="E8EEF5"/>
          </w:tcPr>
          <w:p>
            <w:pPr>
              <w:spacing w:after="0"/>
            </w:pPr>
            <w:r>
              <w:rPr>
                <w:b/>
              </w:rPr>
              <w:t>Start here</w:t>
            </w:r>
          </w:p>
        </w:tc>
      </w:tr>
      <w:tr>
        <w:tc>
          <w:tcPr>
            <w:tcW w:type="dxa" w:w="3300"/>
          </w:tcPr>
          <w:p>
            <w:pPr>
              <w:spacing w:after="0"/>
            </w:pPr>
            <w:r>
              <w:rPr>
                <w:b w:val="0"/>
              </w:rPr>
              <w:t>How does this page render?</w:t>
            </w:r>
          </w:p>
        </w:tc>
        <w:tc>
          <w:tcPr>
            <w:tcW w:type="dxa" w:w="6060"/>
          </w:tcPr>
          <w:p>
            <w:pPr>
              <w:spacing w:after="0"/>
            </w:pPr>
            <w:r>
              <w:rPr>
                <w:b w:val="0"/>
              </w:rPr>
              <w:t xml:space="preserve">Start in </w:t>
            </w:r>
            <w:r>
              <w:rPr>
                <w:rFonts w:ascii="Consolas" w:hAnsi="Consolas"/>
                <w:color w:val="0B2545"/>
                <w:sz w:val="19"/>
              </w:rPr>
              <w:t>RvtPortal.Client/src/App.tsx</w:t>
            </w:r>
            <w:r>
              <w:rPr>
                <w:b w:val="0"/>
              </w:rPr>
              <w:t>.</w:t>
            </w:r>
          </w:p>
        </w:tc>
      </w:tr>
      <w:tr>
        <w:tc>
          <w:tcPr>
            <w:tcW w:type="dxa" w:w="3300"/>
          </w:tcPr>
          <w:p>
            <w:pPr>
              <w:spacing w:after="0"/>
            </w:pPr>
            <w:r>
              <w:rPr>
                <w:b w:val="0"/>
              </w:rPr>
              <w:t>Where does this API come from?</w:t>
            </w:r>
          </w:p>
        </w:tc>
        <w:tc>
          <w:tcPr>
            <w:tcW w:type="dxa" w:w="6060"/>
          </w:tcPr>
          <w:p>
            <w:pPr>
              <w:spacing w:after="0"/>
            </w:pPr>
            <w:r>
              <w:rPr>
                <w:b w:val="0"/>
              </w:rPr>
              <w:t xml:space="preserve">Search </w:t>
            </w:r>
            <w:r>
              <w:rPr>
                <w:rFonts w:ascii="Consolas" w:hAnsi="Consolas"/>
                <w:color w:val="0B2545"/>
                <w:sz w:val="19"/>
              </w:rPr>
              <w:t>RvtPortal.Spa/Api</w:t>
            </w:r>
            <w:r>
              <w:rPr>
                <w:b w:val="0"/>
              </w:rPr>
              <w:t>.</w:t>
            </w:r>
          </w:p>
        </w:tc>
      </w:tr>
      <w:tr>
        <w:tc>
          <w:tcPr>
            <w:tcW w:type="dxa" w:w="3300"/>
          </w:tcPr>
          <w:p>
            <w:pPr>
              <w:spacing w:after="0"/>
            </w:pPr>
            <w:r>
              <w:rPr>
                <w:b w:val="0"/>
              </w:rPr>
              <w:t>Why does this role see this route?</w:t>
            </w:r>
          </w:p>
        </w:tc>
        <w:tc>
          <w:tcPr>
            <w:tcW w:type="dxa" w:w="6060"/>
          </w:tcPr>
          <w:p>
            <w:pPr>
              <w:spacing w:after="0"/>
            </w:pPr>
            <w:r>
              <w:rPr>
                <w:b w:val="0"/>
              </w:rPr>
              <w:t xml:space="preserve">Read </w:t>
            </w:r>
            <w:r>
              <w:rPr>
                <w:rFonts w:ascii="Consolas" w:hAnsi="Consolas"/>
                <w:color w:val="0B2545"/>
                <w:sz w:val="19"/>
              </w:rPr>
              <w:t>AUTHORIZATION.md</w:t>
            </w:r>
            <w:r>
              <w:rPr>
                <w:b w:val="0"/>
              </w:rPr>
              <w:t xml:space="preserve">, then </w:t>
            </w:r>
            <w:r>
              <w:rPr>
                <w:rFonts w:ascii="Consolas" w:hAnsi="Consolas"/>
                <w:color w:val="0B2545"/>
                <w:sz w:val="19"/>
              </w:rPr>
              <w:t>RoleAuthorization.cs</w:t>
            </w:r>
            <w:r>
              <w:rPr>
                <w:b w:val="0"/>
              </w:rPr>
              <w:t xml:space="preserve"> and </w:t>
            </w:r>
            <w:r>
              <w:rPr>
                <w:rFonts w:ascii="Consolas" w:hAnsi="Consolas"/>
                <w:color w:val="0B2545"/>
                <w:sz w:val="19"/>
              </w:rPr>
              <w:t>App.tsx</w:t>
            </w:r>
            <w:r>
              <w:rPr>
                <w:b w:val="0"/>
              </w:rPr>
              <w:t>.</w:t>
            </w:r>
          </w:p>
        </w:tc>
      </w:tr>
      <w:tr>
        <w:tc>
          <w:tcPr>
            <w:tcW w:type="dxa" w:w="3300"/>
          </w:tcPr>
          <w:p>
            <w:pPr>
              <w:spacing w:after="0"/>
            </w:pPr>
            <w:r>
              <w:rPr>
                <w:b w:val="0"/>
              </w:rPr>
              <w:t>Is this migrated?</w:t>
            </w:r>
          </w:p>
        </w:tc>
        <w:tc>
          <w:tcPr>
            <w:tcW w:type="dxa" w:w="6060"/>
          </w:tcPr>
          <w:p>
            <w:pPr>
              <w:spacing w:after="0"/>
            </w:pPr>
            <w:r>
              <w:rPr>
                <w:b w:val="0"/>
              </w:rPr>
              <w:t xml:space="preserve">Check </w:t>
            </w:r>
            <w:r>
              <w:rPr>
                <w:rFonts w:ascii="Consolas" w:hAnsi="Consolas"/>
                <w:color w:val="0B2545"/>
                <w:sz w:val="19"/>
              </w:rPr>
              <w:t>docs/release/PARITY_MATRIX.md</w:t>
            </w:r>
            <w:r>
              <w:rPr>
                <w:b w:val="0"/>
              </w:rPr>
              <w:t>.</w:t>
            </w:r>
          </w:p>
        </w:tc>
      </w:tr>
      <w:tr>
        <w:tc>
          <w:tcPr>
            <w:tcW w:type="dxa" w:w="3300"/>
          </w:tcPr>
          <w:p>
            <w:pPr>
              <w:spacing w:after="0"/>
            </w:pPr>
            <w:r>
              <w:rPr>
                <w:b w:val="0"/>
              </w:rPr>
              <w:t>Is this ready for release?</w:t>
            </w:r>
          </w:p>
        </w:tc>
        <w:tc>
          <w:tcPr>
            <w:tcW w:type="dxa" w:w="6060"/>
          </w:tcPr>
          <w:p>
            <w:pPr>
              <w:spacing w:after="0"/>
            </w:pPr>
            <w:r>
              <w:rPr>
                <w:b w:val="0"/>
              </w:rPr>
              <w:t xml:space="preserve">Check </w:t>
            </w:r>
            <w:r>
              <w:rPr>
                <w:rFonts w:ascii="Consolas" w:hAnsi="Consolas"/>
                <w:color w:val="0B2545"/>
                <w:sz w:val="19"/>
              </w:rPr>
              <w:t>FUNCTIONALITY_READINESS_MATRIX.md</w:t>
            </w:r>
            <w:r>
              <w:rPr>
                <w:b w:val="0"/>
              </w:rPr>
              <w:t xml:space="preserve"> and </w:t>
            </w:r>
            <w:r>
              <w:rPr>
                <w:rFonts w:ascii="Consolas" w:hAnsi="Consolas"/>
                <w:color w:val="0B2545"/>
                <w:sz w:val="19"/>
              </w:rPr>
              <w:t>CUTOVER_RUNBOOK.md</w:t>
            </w:r>
            <w:r>
              <w:rPr>
                <w:b w:val="0"/>
              </w:rPr>
              <w:t xml:space="preserve"> in </w:t>
            </w:r>
            <w:r>
              <w:rPr>
                <w:rFonts w:ascii="Consolas" w:hAnsi="Consolas"/>
                <w:color w:val="0B2545"/>
                <w:sz w:val="19"/>
              </w:rPr>
              <w:t>docs/release</w:t>
            </w:r>
            <w:r>
              <w:rPr>
                <w:b w:val="0"/>
              </w:rPr>
              <w:t>.</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8"/>
      </w:rPr>
      <w:t>RVT Portal React 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Light" w:hAnsi="Calibri Light"/>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RVT Portal React Port - Developer Onboarding</dc:title>
  <dc:subject>Developer onboarding guide for the RVT Portal SPA React port</dc:subject>
  <dc:creator>Aileron / Codex</dc:creator>
  <cp:keywords>RVT Portal, React, SPA, onboarding, ASP.NET Core</cp:keywords>
  <dc:description>generated by python-docx</dc:description>
  <cp:lastModifiedBy/>
  <cp:revision>1</cp:revision>
  <dcterms:created xsi:type="dcterms:W3CDTF">2013-12-23T23:15:00Z</dcterms:created>
  <dcterms:modified xsi:type="dcterms:W3CDTF">2013-12-23T23:15:00Z</dcterms:modified>
  <cp:category/>
</cp:coreProperties>
</file>