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98yjvdafq5mu" w:id="0"/>
      <w:bookmarkEnd w:id="0"/>
      <w:r w:rsidDel="00000000" w:rsidR="00000000" w:rsidRPr="00000000">
        <w:rPr>
          <w:rtl w:val="0"/>
        </w:rPr>
        <w:t xml:space="preserve">National Geographic Database (NGD) Strategic Data Analysis: Spatial Intelligence for Infrastructure and Planning</w:t>
      </w:r>
    </w:p>
    <w:p w:rsidR="00000000" w:rsidDel="00000000" w:rsidP="00000000" w:rsidRDefault="00000000" w:rsidRPr="00000000" w14:paraId="00000002">
      <w:pPr>
        <w:pStyle w:val="Heading4"/>
        <w:rPr/>
      </w:pPr>
      <w:bookmarkStart w:colFirst="0" w:colLast="0" w:name="_8in1tlopxckl" w:id="1"/>
      <w:bookmarkEnd w:id="1"/>
      <w:r w:rsidDel="00000000" w:rsidR="00000000" w:rsidRPr="00000000">
        <w:rPr>
          <w:rtl w:val="0"/>
        </w:rPr>
        <w:t xml:space="preserve">1. Strategic Overview of the NGD Ecosystem</w:t>
      </w:r>
    </w:p>
    <w:p w:rsidR="00000000" w:rsidDel="00000000" w:rsidP="00000000" w:rsidRDefault="00000000" w:rsidRPr="00000000" w14:paraId="00000003">
      <w:pPr>
        <w:rPr/>
      </w:pPr>
      <w:r w:rsidDel="00000000" w:rsidR="00000000" w:rsidRPr="00000000">
        <w:rPr>
          <w:rtl w:val="0"/>
        </w:rPr>
        <w:t xml:space="preserve">The evolution of the National Geographic Database (NGD) from a set of static, monolithic datasets to the dynamic  </w:t>
      </w:r>
      <w:r w:rsidDel="00000000" w:rsidR="00000000" w:rsidRPr="00000000">
        <w:rPr>
          <w:b w:val="1"/>
          <w:bCs w:val="1"/>
          <w:rtl w:val="0"/>
        </w:rPr>
        <w:t xml:space="preserve">OS NGD API - Features</w:t>
      </w:r>
      <w:r w:rsidDel="00000000" w:rsidR="00000000" w:rsidRPr="00000000">
        <w:rPr>
          <w:rtl w:val="0"/>
        </w:rPr>
        <w:t xml:space="preserve">  represents the new gold standard for national infrastructure strategy. By providing granular access to 91 distinct feature collections, this ecosystem facilitates a shift toward high-frequency, multi-dimensional urban modeling. Unlike legacy data delivery, this multi-collection API allows planners to query specific thematic layers in real time, ensuring that the "digital twin" of our built environment is always synchronized with the most recent topographic reality.This comprehensive ecosystem is built upon six core pillars:  </w:t>
      </w:r>
      <w:r w:rsidDel="00000000" w:rsidR="00000000" w:rsidRPr="00000000">
        <w:rPr>
          <w:b w:val="1"/>
          <w:bCs w:val="1"/>
          <w:rtl w:val="0"/>
        </w:rPr>
        <w:t xml:space="preserve">Buildings, Transport, Land, Sites, Structures, and Water</w:t>
      </w:r>
      <w:r w:rsidDel="00000000" w:rsidR="00000000" w:rsidRPr="00000000">
        <w:rPr>
          <w:rtl w:val="0"/>
        </w:rPr>
        <w:t xml:space="preserve"> . Synthesizing these categories is essential for holistic planning. While Buildings and Transport form the visible skeleton of our cities, the inclusion of  </w:t>
      </w:r>
      <w:r w:rsidDel="00000000" w:rsidR="00000000" w:rsidRPr="00000000">
        <w:rPr>
          <w:b w:val="1"/>
          <w:bCs w:val="1"/>
          <w:rtl w:val="0"/>
        </w:rPr>
        <w:t xml:space="preserve">Structures</w:t>
      </w:r>
      <w:r w:rsidDel="00000000" w:rsidR="00000000" w:rsidRPr="00000000">
        <w:rPr>
          <w:rtl w:val="0"/>
        </w:rPr>
        <w:t xml:space="preserve"> —which captures man-made constructions like masts, cranes, and complex compound structures such as bridges and dams—provides the necessary vertical and functional context. Furthermore, the  </w:t>
      </w:r>
      <w:r w:rsidDel="00000000" w:rsidR="00000000" w:rsidRPr="00000000">
        <w:rPr>
          <w:b w:val="1"/>
          <w:bCs w:val="1"/>
          <w:rtl w:val="0"/>
        </w:rPr>
        <w:t xml:space="preserve">Water</w:t>
      </w:r>
      <w:r w:rsidDel="00000000" w:rsidR="00000000" w:rsidRPr="00000000">
        <w:rPr>
          <w:rtl w:val="0"/>
        </w:rPr>
        <w:t xml:space="preserve">  theme, detailing everything from inland watercourses to specific tidal boundaries, adds the critical environmental layer required for resilient infrastructure. This collective intelligence provides a 360-degree view of the built world, beginning with the fundamental geometry of our buildings.</w:t>
      </w:r>
    </w:p>
    <w:p w:rsidR="00000000" w:rsidDel="00000000" w:rsidP="00000000" w:rsidRDefault="00000000" w:rsidRPr="00000000" w14:paraId="00000004">
      <w:pPr>
        <w:pStyle w:val="Heading4"/>
        <w:rPr/>
      </w:pPr>
      <w:bookmarkStart w:colFirst="0" w:colLast="0" w:name="_vnfrqc7qfig5" w:id="2"/>
      <w:bookmarkEnd w:id="2"/>
      <w:r w:rsidDel="00000000" w:rsidR="00000000" w:rsidRPr="00000000">
        <w:rPr>
          <w:rtl w:val="0"/>
        </w:rPr>
        <w:t xml:space="preserve">2. Building Geometries and Urban Morphology Analysis</w:t>
      </w:r>
    </w:p>
    <w:p w:rsidR="00000000" w:rsidDel="00000000" w:rsidP="00000000" w:rsidRDefault="00000000" w:rsidRPr="00000000" w14:paraId="00000005">
      <w:pPr>
        <w:rPr/>
      </w:pPr>
      <w:r w:rsidDel="00000000" w:rsidR="00000000" w:rsidRPr="00000000">
        <w:rPr>
          <w:rtl w:val="0"/>
        </w:rPr>
        <w:t xml:space="preserve">In the realm of urban morphology, high-fidelity building geometry is non-negotiable. For a data strategist, these geometries are the primary metrics for assessing urban density, calculating solar potential, and performing environmental impact assessments. The NGD offers building data through various collections that provide different levels of abstraction, allowing decision-makers to choose between detailed structural assemblies and simplified footprints depending on the analytical requirement.The building feature collections are evaluated as follows:| Collection Version | Representation | Strategic Utility &amp; Differentiators || ------ | ------ | ------ || </w:t>
      </w:r>
      <w:r w:rsidDel="00000000" w:rsidR="00000000" w:rsidRPr="00000000">
        <w:rPr>
          <w:b w:val="1"/>
          <w:bCs w:val="1"/>
          <w:rtl w:val="0"/>
        </w:rPr>
        <w:t xml:space="preserve">Building v1</w:t>
      </w:r>
      <w:r w:rsidDel="00000000" w:rsidR="00000000" w:rsidRPr="00000000">
        <w:rPr>
          <w:rtl w:val="0"/>
        </w:rPr>
        <w:t xml:space="preserve"> | Consists of multiple adjoining building parts. | </w:t>
      </w:r>
      <w:r w:rsidDel="00000000" w:rsidR="00000000" w:rsidRPr="00000000">
        <w:rPr>
          <w:b w:val="1"/>
          <w:bCs w:val="1"/>
          <w:rtl w:val="0"/>
        </w:rPr>
        <w:t xml:space="preserve">Crucial Nuance:</w:t>
      </w:r>
      <w:r w:rsidDel="00000000" w:rsidR="00000000" w:rsidRPr="00000000">
        <w:rPr>
          <w:rtl w:val="0"/>
        </w:rPr>
        <w:t xml:space="preserve">  When contained within a Land Use Site, adjoining building parts are represented as a single feature. This is ideal for site-wide capacity assessments. || </w:t>
      </w:r>
      <w:r w:rsidDel="00000000" w:rsidR="00000000" w:rsidRPr="00000000">
        <w:rPr>
          <w:b w:val="1"/>
          <w:bCs w:val="1"/>
          <w:rtl w:val="0"/>
        </w:rPr>
        <w:t xml:space="preserve">Building v2 through v4</w:t>
      </w:r>
      <w:r w:rsidDel="00000000" w:rsidR="00000000" w:rsidRPr="00000000">
        <w:rPr>
          <w:rtl w:val="0"/>
        </w:rPr>
        <w:t xml:space="preserve"> | Single building footprints. | Consists of adjoining building parts determined to be part of the same building. These versions ensure consistency across different data releases for ownership and utility modeling. |</w:t>
      </w:r>
    </w:p>
    <w:p w:rsidR="00000000" w:rsidDel="00000000" w:rsidP="00000000" w:rsidRDefault="00000000" w:rsidRPr="00000000" w14:paraId="00000006">
      <w:pPr>
        <w:rPr/>
      </w:pPr>
      <w:r w:rsidDel="00000000" w:rsidR="00000000" w:rsidRPr="00000000">
        <w:rPr>
          <w:rtl w:val="0"/>
        </w:rPr>
        <w:t xml:space="preserve">To achieve true "spatial intelligence," one must look at the atomic units of these collections:  </w:t>
      </w:r>
      <w:r w:rsidDel="00000000" w:rsidR="00000000" w:rsidRPr="00000000">
        <w:rPr>
          <w:b w:val="1"/>
          <w:bCs w:val="1"/>
          <w:rtl w:val="0"/>
        </w:rPr>
        <w:t xml:space="preserve">Building Part v1 and v2</w:t>
      </w:r>
      <w:r w:rsidDel="00000000" w:rsidR="00000000" w:rsidRPr="00000000">
        <w:rPr>
          <w:rtl w:val="0"/>
        </w:rPr>
        <w:t xml:space="preserve"> . These represent complete separate buildings or divisions identifiable ground-to-roof, such as castles or multi-storey car parks. By analyzing these alongside  </w:t>
      </w:r>
      <w:r w:rsidDel="00000000" w:rsidR="00000000" w:rsidRPr="00000000">
        <w:rPr>
          <w:b w:val="1"/>
          <w:bCs w:val="1"/>
          <w:rtl w:val="0"/>
        </w:rPr>
        <w:t xml:space="preserve">Building Access Location v1</w:t>
      </w:r>
      <w:r w:rsidDel="00000000" w:rsidR="00000000" w:rsidRPr="00000000">
        <w:rPr>
          <w:rtl w:val="0"/>
        </w:rPr>
        <w:t xml:space="preserve"> —which identifies specific pedestrian and vehicle entry points—and  </w:t>
      </w:r>
      <w:r w:rsidDel="00000000" w:rsidR="00000000" w:rsidRPr="00000000">
        <w:rPr>
          <w:b w:val="1"/>
          <w:bCs w:val="1"/>
          <w:rtl w:val="0"/>
        </w:rPr>
        <w:t xml:space="preserve">Building Line v1</w:t>
      </w:r>
      <w:r w:rsidDel="00000000" w:rsidR="00000000" w:rsidRPr="00000000">
        <w:rPr>
          <w:rtl w:val="0"/>
        </w:rPr>
        <w:t xml:space="preserve"> , which maps internal divisions and overhanging edges, consultants can conduct sophisticated accessibility audits and emergency response simulations. Understanding these internal and peripheral structural details is the prerequisite for modeling how these assets are serviced by the national transport network.</w:t>
      </w:r>
    </w:p>
    <w:p w:rsidR="00000000" w:rsidDel="00000000" w:rsidP="00000000" w:rsidRDefault="00000000" w:rsidRPr="00000000" w14:paraId="00000007">
      <w:pPr>
        <w:pStyle w:val="Heading4"/>
        <w:rPr/>
      </w:pPr>
      <w:bookmarkStart w:colFirst="0" w:colLast="0" w:name="_uboi0v1av4k8" w:id="3"/>
      <w:bookmarkEnd w:id="3"/>
      <w:r w:rsidDel="00000000" w:rsidR="00000000" w:rsidRPr="00000000">
        <w:rPr>
          <w:rtl w:val="0"/>
        </w:rPr>
        <w:t xml:space="preserve">3. Transport Networks: Multimodal Logistics and Optimization</w:t>
      </w:r>
    </w:p>
    <w:p w:rsidR="00000000" w:rsidDel="00000000" w:rsidP="00000000" w:rsidRDefault="00000000" w:rsidRPr="00000000" w14:paraId="00000008">
      <w:pPr>
        <w:rPr/>
      </w:pPr>
      <w:r w:rsidDel="00000000" w:rsidR="00000000" w:rsidRPr="00000000">
        <w:rPr>
          <w:rtl w:val="0"/>
        </w:rPr>
        <w:t xml:space="preserve">Integrated transport data is the lifeline of national connectivity. In modern logistics, a simple road centerline is insufficient for optimization; one requires a topological network that reflects the physical and legal constraints of the highway. The NGD’s  </w:t>
      </w:r>
      <w:r w:rsidDel="00000000" w:rsidR="00000000" w:rsidRPr="00000000">
        <w:rPr>
          <w:b w:val="1"/>
          <w:bCs w:val="1"/>
          <w:rtl w:val="0"/>
        </w:rPr>
        <w:t xml:space="preserve">Road Link</w:t>
      </w:r>
      <w:r w:rsidDel="00000000" w:rsidR="00000000" w:rsidRPr="00000000">
        <w:rPr>
          <w:rtl w:val="0"/>
        </w:rPr>
        <w:t xml:space="preserve">  and  </w:t>
      </w:r>
      <w:r w:rsidDel="00000000" w:rsidR="00000000" w:rsidRPr="00000000">
        <w:rPr>
          <w:b w:val="1"/>
          <w:bCs w:val="1"/>
          <w:rtl w:val="0"/>
        </w:rPr>
        <w:t xml:space="preserve">Road Node</w:t>
      </w:r>
      <w:r w:rsidDel="00000000" w:rsidR="00000000" w:rsidRPr="00000000">
        <w:rPr>
          <w:rtl w:val="0"/>
        </w:rPr>
        <w:t xml:space="preserve">  collections (v1 through v5) provide this depth, representing single and dual carriageways, slip roads, and trajectories across traffic squares with surgical precision.Strategic routing is further enhanced by the intelligent placement of  </w:t>
      </w:r>
      <w:r w:rsidDel="00000000" w:rsidR="00000000" w:rsidRPr="00000000">
        <w:rPr>
          <w:b w:val="1"/>
          <w:bCs w:val="1"/>
          <w:rtl w:val="0"/>
        </w:rPr>
        <w:t xml:space="preserve">Road Nodes</w:t>
      </w:r>
      <w:r w:rsidDel="00000000" w:rsidR="00000000" w:rsidRPr="00000000">
        <w:rPr>
          <w:rtl w:val="0"/>
        </w:rPr>
        <w:t xml:space="preserve"> . These are not merely intersection points; nodes are triggered by specific operational changes, including:</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The start or end of a tunnel.</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The start or end of a one-way routing feature.</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A change in the Local Highway Authority.</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The intersection or crossing of roads where there is no physical connectivity (e.g., flyovers).For logistics firms, the  </w:t>
      </w:r>
      <w:r w:rsidDel="00000000" w:rsidR="00000000" w:rsidRPr="00000000">
        <w:rPr>
          <w:b w:val="1"/>
          <w:bCs w:val="1"/>
          <w:rtl w:val="0"/>
        </w:rPr>
        <w:t xml:space="preserve">Average and Indicative Speed v1</w:t>
      </w:r>
      <w:r w:rsidDel="00000000" w:rsidR="00000000" w:rsidRPr="00000000">
        <w:rPr>
          <w:rtl w:val="0"/>
        </w:rPr>
        <w:t xml:space="preserve">  collection is the primary value-add. It distinguishes between the  </w:t>
      </w:r>
      <w:r w:rsidDel="00000000" w:rsidR="00000000" w:rsidRPr="00000000">
        <w:rPr>
          <w:b w:val="1"/>
          <w:bCs w:val="1"/>
          <w:rtl w:val="0"/>
        </w:rPr>
        <w:t xml:space="preserve">Indicative Speed Limit</w:t>
      </w:r>
      <w:r w:rsidDel="00000000" w:rsidR="00000000" w:rsidRPr="00000000">
        <w:rPr>
          <w:rtl w:val="0"/>
        </w:rPr>
        <w:t xml:space="preserve">  (the maximum legal allowed) and  </w:t>
      </w:r>
      <w:r w:rsidDel="00000000" w:rsidR="00000000" w:rsidRPr="00000000">
        <w:rPr>
          <w:b w:val="1"/>
          <w:bCs w:val="1"/>
          <w:rtl w:val="0"/>
        </w:rPr>
        <w:t xml:space="preserve">Average Speed</w:t>
      </w:r>
      <w:r w:rsidDel="00000000" w:rsidR="00000000" w:rsidRPr="00000000">
        <w:rPr>
          <w:rtl w:val="0"/>
        </w:rPr>
        <w:t xml:space="preserve">  (the historic performance observed over a six-month period). This collection provides data across 14 distinct time periods—8 for Monday-Friday and 6 for Saturday-Sunday—enabling precise modeling of peak-hour congestion versus off-peak delivery efficiency. Furthermore, the framework bridges the gap between different modes of travel via  </w:t>
      </w:r>
      <w:r w:rsidDel="00000000" w:rsidR="00000000" w:rsidRPr="00000000">
        <w:rPr>
          <w:b w:val="1"/>
          <w:bCs w:val="1"/>
          <w:rtl w:val="0"/>
        </w:rPr>
        <w:t xml:space="preserve">Connecting Link v1</w:t>
      </w:r>
      <w:r w:rsidDel="00000000" w:rsidR="00000000" w:rsidRPr="00000000">
        <w:rPr>
          <w:rtl w:val="0"/>
        </w:rPr>
        <w:t xml:space="preserve">  and  </w:t>
      </w:r>
      <w:r w:rsidDel="00000000" w:rsidR="00000000" w:rsidRPr="00000000">
        <w:rPr>
          <w:b w:val="1"/>
          <w:bCs w:val="1"/>
          <w:rtl w:val="0"/>
        </w:rPr>
        <w:t xml:space="preserve">Connecting Node v1</w:t>
      </w:r>
      <w:r w:rsidDel="00000000" w:rsidR="00000000" w:rsidRPr="00000000">
        <w:rPr>
          <w:rtl w:val="0"/>
        </w:rPr>
        <w:t xml:space="preserve"> , which unify the Road and Path networks. This enables "last-mile" logistics where a vehicular route must transition seamlessly into a pedestrian path network without splitting the underlying road geometry.</w:t>
      </w:r>
    </w:p>
    <w:p w:rsidR="00000000" w:rsidDel="00000000" w:rsidP="00000000" w:rsidRDefault="00000000" w:rsidRPr="00000000" w14:paraId="0000000D">
      <w:pPr>
        <w:pStyle w:val="Heading4"/>
        <w:rPr/>
      </w:pPr>
      <w:bookmarkStart w:colFirst="0" w:colLast="0" w:name="_xcuaj7udiz5i" w:id="4"/>
      <w:bookmarkEnd w:id="4"/>
      <w:r w:rsidDel="00000000" w:rsidR="00000000" w:rsidRPr="00000000">
        <w:rPr>
          <w:rtl w:val="0"/>
        </w:rPr>
        <w:t xml:space="preserve">4. Land Use, Site Management, and Environmental Planning</w:t>
      </w:r>
    </w:p>
    <w:p w:rsidR="00000000" w:rsidDel="00000000" w:rsidP="00000000" w:rsidRDefault="00000000" w:rsidRPr="00000000" w14:paraId="0000000E">
      <w:pPr>
        <w:rPr/>
      </w:pPr>
      <w:r w:rsidDel="00000000" w:rsidR="00000000" w:rsidRPr="00000000">
        <w:rPr>
          <w:rtl w:val="0"/>
        </w:rPr>
        <w:t xml:space="preserve">Effective regional planning requires a clear distinction between  </w:t>
      </w:r>
      <w:r w:rsidDel="00000000" w:rsidR="00000000" w:rsidRPr="00000000">
        <w:rPr>
          <w:b w:val="1"/>
          <w:bCs w:val="1"/>
          <w:rtl w:val="0"/>
        </w:rPr>
        <w:t xml:space="preserve">Sites</w:t>
      </w:r>
      <w:r w:rsidDel="00000000" w:rsidR="00000000" w:rsidRPr="00000000">
        <w:rPr>
          <w:rtl w:val="0"/>
        </w:rPr>
        <w:t xml:space="preserve">  (the recognizable extent of an activity) and  </w:t>
      </w:r>
      <w:r w:rsidDel="00000000" w:rsidR="00000000" w:rsidRPr="00000000">
        <w:rPr>
          <w:b w:val="1"/>
          <w:bCs w:val="1"/>
          <w:rtl w:val="0"/>
        </w:rPr>
        <w:t xml:space="preserve">Land</w:t>
      </w:r>
      <w:r w:rsidDel="00000000" w:rsidR="00000000" w:rsidRPr="00000000">
        <w:rPr>
          <w:rtl w:val="0"/>
        </w:rPr>
        <w:t xml:space="preserve">  (the physical cover of the earth). The NGD allows decision-makers to manage these two layers independently but synchronously.  </w:t>
      </w:r>
      <w:r w:rsidDel="00000000" w:rsidR="00000000" w:rsidRPr="00000000">
        <w:rPr>
          <w:b w:val="1"/>
          <w:bCs w:val="1"/>
          <w:rtl w:val="0"/>
        </w:rPr>
        <w:t xml:space="preserve">Site v1 and v2</w:t>
      </w:r>
      <w:r w:rsidDel="00000000" w:rsidR="00000000" w:rsidRPr="00000000">
        <w:rPr>
          <w:rtl w:val="0"/>
        </w:rPr>
        <w:t xml:space="preserve">  collections define the functional boundaries of activity extents—such as universities, railway centers, and caravan sites—allowing for precise zoning and utility demand forecasting.Environmental management and physical morphology are captured through the Land collections:| Collection Version | Feature Inclusion | Strategic Application || ------ | ------ | ------ || </w:t>
      </w:r>
      <w:r w:rsidDel="00000000" w:rsidR="00000000" w:rsidRPr="00000000">
        <w:rPr>
          <w:b w:val="1"/>
          <w:bCs w:val="1"/>
          <w:rtl w:val="0"/>
        </w:rPr>
        <w:t xml:space="preserve">Land v1 through v3</w:t>
      </w:r>
      <w:r w:rsidDel="00000000" w:rsidR="00000000" w:rsidRPr="00000000">
        <w:rPr>
          <w:rtl w:val="0"/>
        </w:rPr>
        <w:t xml:space="preserve"> | Areas not captured as buildings, rail, roads, or water. | Supports identifying arable land, heath, rough grassland, and made surfaces for environmental reporting. || </w:t>
      </w:r>
      <w:r w:rsidDel="00000000" w:rsidR="00000000" w:rsidRPr="00000000">
        <w:rPr>
          <w:b w:val="1"/>
          <w:bCs w:val="1"/>
          <w:rtl w:val="0"/>
        </w:rPr>
        <w:t xml:space="preserve">Land Point v1</w:t>
      </w:r>
      <w:r w:rsidDel="00000000" w:rsidR="00000000" w:rsidRPr="00000000">
        <w:rPr>
          <w:rtl w:val="0"/>
        </w:rPr>
        <w:t xml:space="preserve"> | Small features of interest. | Captures specific vegetation types, such as coniferous and non-coniferous trees, vital for biodiversity audits. || </w:t>
      </w:r>
      <w:r w:rsidDel="00000000" w:rsidR="00000000" w:rsidRPr="00000000">
        <w:rPr>
          <w:b w:val="1"/>
          <w:bCs w:val="1"/>
          <w:rtl w:val="0"/>
        </w:rPr>
        <w:t xml:space="preserve">Landform v1</w:t>
      </w:r>
      <w:r w:rsidDel="00000000" w:rsidR="00000000" w:rsidRPr="00000000">
        <w:rPr>
          <w:rtl w:val="0"/>
        </w:rPr>
        <w:t xml:space="preserve"> | Distinct physical morphology. | Maps cliffs, artificial slopes, and burial mounds, providing the "terrain context" for development. |</w:t>
      </w:r>
    </w:p>
    <w:p w:rsidR="00000000" w:rsidDel="00000000" w:rsidP="00000000" w:rsidRDefault="00000000" w:rsidRPr="00000000" w14:paraId="0000000F">
      <w:pPr>
        <w:rPr/>
      </w:pPr>
      <w:r w:rsidDel="00000000" w:rsidR="00000000" w:rsidRPr="00000000">
        <w:rPr>
          <w:rtl w:val="0"/>
        </w:rPr>
        <w:t xml:space="preserve">To streamline the operational use of these sites, the NGD provides  </w:t>
      </w:r>
      <w:r w:rsidDel="00000000" w:rsidR="00000000" w:rsidRPr="00000000">
        <w:rPr>
          <w:b w:val="1"/>
          <w:bCs w:val="1"/>
          <w:rtl w:val="0"/>
        </w:rPr>
        <w:t xml:space="preserve">Site Access Location</w:t>
      </w:r>
      <w:r w:rsidDel="00000000" w:rsidR="00000000" w:rsidRPr="00000000">
        <w:rPr>
          <w:rtl w:val="0"/>
        </w:rPr>
        <w:t xml:space="preserve">  (the point of entry/exit on the site boundary) and  </w:t>
      </w:r>
      <w:r w:rsidDel="00000000" w:rsidR="00000000" w:rsidRPr="00000000">
        <w:rPr>
          <w:b w:val="1"/>
          <w:bCs w:val="1"/>
          <w:rtl w:val="0"/>
        </w:rPr>
        <w:t xml:space="preserve">Site Routing Point</w:t>
      </w:r>
      <w:r w:rsidDel="00000000" w:rsidR="00000000" w:rsidRPr="00000000">
        <w:rPr>
          <w:rtl w:val="0"/>
        </w:rPr>
        <w:t xml:space="preserve">  (the specific location on the road network that services that entry). This distinction is critical for large-scale developments, ensuring that traffic impact assessments accurately reflect how vehicles enter the public highway. This sophisticated layering of physical and functional data is held together by the NGD’s framework of persistent identifiers.</w:t>
      </w:r>
    </w:p>
    <w:p w:rsidR="00000000" w:rsidDel="00000000" w:rsidP="00000000" w:rsidRDefault="00000000" w:rsidRPr="00000000" w14:paraId="00000010">
      <w:pPr>
        <w:pStyle w:val="Heading4"/>
        <w:rPr/>
      </w:pPr>
      <w:bookmarkStart w:colFirst="0" w:colLast="0" w:name="_8xk4jo13d08g" w:id="5"/>
      <w:bookmarkEnd w:id="5"/>
      <w:r w:rsidDel="00000000" w:rsidR="00000000" w:rsidRPr="00000000">
        <w:rPr>
          <w:rtl w:val="0"/>
        </w:rPr>
        <w:t xml:space="preserve">5. Integrated Data Connectivity: The Linked Identifiers Framework</w:t>
      </w:r>
    </w:p>
    <w:p w:rsidR="00000000" w:rsidDel="00000000" w:rsidP="00000000" w:rsidRDefault="00000000" w:rsidRPr="00000000" w14:paraId="00000011">
      <w:pPr>
        <w:rPr/>
      </w:pPr>
      <w:r w:rsidDel="00000000" w:rsidR="00000000" w:rsidRPr="00000000">
        <w:rPr>
          <w:rtl w:val="0"/>
        </w:rPr>
        <w:t xml:space="preserve">Data interoperability is the "glue" of a modern geospatial strategy. The NGD facilitates this through the  </w:t>
      </w:r>
      <w:r w:rsidDel="00000000" w:rsidR="00000000" w:rsidRPr="00000000">
        <w:rPr>
          <w:b w:val="1"/>
          <w:bCs w:val="1"/>
          <w:rtl w:val="0"/>
        </w:rPr>
        <w:t xml:space="preserve">Linked Identifiers Framework</w:t>
      </w:r>
      <w:r w:rsidDel="00000000" w:rsidR="00000000" w:rsidRPr="00000000">
        <w:rPr>
          <w:rtl w:val="0"/>
        </w:rPr>
        <w:t xml:space="preserve"> , which allows organizations to correlate disparate datasets—such as property records and topographic features—without complex spatial joins.The strategy begins with the  </w:t>
      </w:r>
      <w:r w:rsidDel="00000000" w:rsidR="00000000" w:rsidRPr="00000000">
        <w:rPr>
          <w:b w:val="1"/>
          <w:bCs w:val="1"/>
          <w:rtl w:val="0"/>
        </w:rPr>
        <w:t xml:space="preserve">OS Match &amp; Cleanse API</w:t>
      </w:r>
      <w:r w:rsidDel="00000000" w:rsidR="00000000" w:rsidRPr="00000000">
        <w:rPr>
          <w:rtl w:val="0"/>
        </w:rPr>
        <w:t xml:space="preserve"> , which is often the first step in ensuring address records are accurate. Once cleansed, the  </w:t>
      </w:r>
      <w:r w:rsidDel="00000000" w:rsidR="00000000" w:rsidRPr="00000000">
        <w:rPr>
          <w:b w:val="1"/>
          <w:bCs w:val="1"/>
          <w:rtl w:val="0"/>
        </w:rPr>
        <w:t xml:space="preserve">Linked Identifiers API</w:t>
      </w:r>
      <w:r w:rsidDel="00000000" w:rsidR="00000000" w:rsidRPr="00000000">
        <w:rPr>
          <w:rtl w:val="0"/>
        </w:rPr>
        <w:t xml:space="preserve">  provides the mechanism to correlate  </w:t>
      </w:r>
      <w:r w:rsidDel="00000000" w:rsidR="00000000" w:rsidRPr="00000000">
        <w:rPr>
          <w:b w:val="1"/>
          <w:bCs w:val="1"/>
          <w:rtl w:val="0"/>
        </w:rPr>
        <w:t xml:space="preserve">UPRNs (Unique Property Reference Numbers)</w:t>
      </w:r>
      <w:r w:rsidDel="00000000" w:rsidR="00000000" w:rsidRPr="00000000">
        <w:rPr>
          <w:rtl w:val="0"/>
        </w:rPr>
        <w:t xml:space="preserve">  with  </w:t>
      </w:r>
      <w:r w:rsidDel="00000000" w:rsidR="00000000" w:rsidRPr="00000000">
        <w:rPr>
          <w:b w:val="1"/>
          <w:bCs w:val="1"/>
          <w:rtl w:val="0"/>
        </w:rPr>
        <w:t xml:space="preserve">TOIDs (Topographic Identifiers)</w:t>
      </w:r>
      <w:r w:rsidDel="00000000" w:rsidR="00000000" w:rsidRPr="00000000">
        <w:rPr>
          <w:rtl w:val="0"/>
        </w:rPr>
        <w:t xml:space="preserve"> . A prime example of this utility is the correlation method BLPU_UPRN_RoadLink_TOID_9, which links a property directly to the specific road link asset servicing it.Key "Lookup" capabilities of this framework include:</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Identifier Type Lookups:</w:t>
      </w:r>
      <w:r w:rsidDel="00000000" w:rsidR="00000000" w:rsidRPr="00000000">
        <w:rPr>
          <w:rtl w:val="0"/>
        </w:rPr>
        <w:t xml:space="preserve">  Finding all associated linked IDs for a base identifier like a UPRN.</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Feature Type Lookups:</w:t>
      </w:r>
      <w:r w:rsidDel="00000000" w:rsidR="00000000" w:rsidRPr="00000000">
        <w:rPr>
          <w:rtl w:val="0"/>
        </w:rPr>
        <w:t xml:space="preserve">  Retrieving correlations for specific features, such as finding the RoadLink TOID associated with a specific asset.</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Product Versioning Resolution:</w:t>
      </w:r>
      <w:r w:rsidDel="00000000" w:rsidR="00000000" w:rsidRPr="00000000">
        <w:rPr>
          <w:rtl w:val="0"/>
        </w:rPr>
        <w:t xml:space="preserve">  Ensuring that the specific correlation method used is compatible with the version of the data product currently in use.This framework enables cross-departmental sharing, allowing maintenance teams to link a service request (UPRN) to a specific infrastructure asset (TOID) for rapid intervention.</w:t>
      </w:r>
    </w:p>
    <w:p w:rsidR="00000000" w:rsidDel="00000000" w:rsidP="00000000" w:rsidRDefault="00000000" w:rsidRPr="00000000" w14:paraId="00000015">
      <w:pPr>
        <w:pStyle w:val="Heading4"/>
        <w:rPr/>
      </w:pPr>
      <w:bookmarkStart w:colFirst="0" w:colLast="0" w:name="_jz9gxdsugzz3" w:id="6"/>
      <w:bookmarkEnd w:id="6"/>
      <w:r w:rsidDel="00000000" w:rsidR="00000000" w:rsidRPr="00000000">
        <w:rPr>
          <w:rtl w:val="0"/>
        </w:rPr>
        <w:t xml:space="preserve">6. Conclusion: Strategic Recommendations for Decision-Makers</w:t>
      </w:r>
    </w:p>
    <w:p w:rsidR="00000000" w:rsidDel="00000000" w:rsidP="00000000" w:rsidRDefault="00000000" w:rsidRPr="00000000" w14:paraId="00000016">
      <w:pPr>
        <w:rPr>
          <w:b w:val="1"/>
          <w:bCs w:val="1"/>
        </w:rPr>
      </w:pPr>
      <w:r w:rsidDel="00000000" w:rsidR="00000000" w:rsidRPr="00000000">
        <w:rPr>
          <w:rtl w:val="0"/>
        </w:rPr>
        <w:t xml:space="preserve">The depth and versioning of the NGD collections offer a tiered approach to spatial intelligence. Selecting the correct version is not a technical formality but a strategic decision that impacts the fidelity of the entire infrastructure model.</w:t>
      </w:r>
      <w:r w:rsidDel="00000000" w:rsidR="00000000" w:rsidRPr="00000000">
        <w:rPr>
          <w:b w:val="1"/>
          <w:bCs w:val="1"/>
          <w:rtl w:val="0"/>
        </w:rPr>
        <w:t xml:space="preserve">Strategic Recommendations:</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For Urban Density and Consistency:</w:t>
      </w:r>
      <w:r w:rsidDel="00000000" w:rsidR="00000000" w:rsidRPr="00000000">
        <w:rPr>
          <w:rtl w:val="0"/>
        </w:rPr>
        <w:t xml:space="preserve">  Utilize  </w:t>
      </w:r>
      <w:r w:rsidDel="00000000" w:rsidR="00000000" w:rsidRPr="00000000">
        <w:rPr>
          <w:b w:val="1"/>
          <w:bCs w:val="1"/>
          <w:rtl w:val="0"/>
        </w:rPr>
        <w:t xml:space="preserve">Building v2 through v4</w:t>
      </w:r>
      <w:r w:rsidDel="00000000" w:rsidR="00000000" w:rsidRPr="00000000">
        <w:rPr>
          <w:rtl w:val="0"/>
        </w:rPr>
        <w:t xml:space="preserve">  for most urban planning scenarios. These versions provide a consistent "single building footprint" across data releases, which is superior for multi-year trend analysis compared to the more variable adjoining-part representation of v1.</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For Logistics and Network Performance:</w:t>
      </w:r>
      <w:r w:rsidDel="00000000" w:rsidR="00000000" w:rsidRPr="00000000">
        <w:rPr>
          <w:rtl w:val="0"/>
        </w:rPr>
        <w:t xml:space="preserve">  Implement  </w:t>
      </w:r>
      <w:r w:rsidDel="00000000" w:rsidR="00000000" w:rsidRPr="00000000">
        <w:rPr>
          <w:b w:val="1"/>
          <w:bCs w:val="1"/>
          <w:rtl w:val="0"/>
        </w:rPr>
        <w:t xml:space="preserve">Average and Indicative Speed v1</w:t>
      </w:r>
      <w:r w:rsidDel="00000000" w:rsidR="00000000" w:rsidRPr="00000000">
        <w:rPr>
          <w:rtl w:val="0"/>
        </w:rPr>
        <w:t xml:space="preserve">  in conjunction with  </w:t>
      </w:r>
      <w:r w:rsidDel="00000000" w:rsidR="00000000" w:rsidRPr="00000000">
        <w:rPr>
          <w:b w:val="1"/>
          <w:bCs w:val="1"/>
          <w:rtl w:val="0"/>
        </w:rPr>
        <w:t xml:space="preserve">Road Link v5</w:t>
      </w:r>
      <w:r w:rsidDel="00000000" w:rsidR="00000000" w:rsidRPr="00000000">
        <w:rPr>
          <w:rtl w:val="0"/>
        </w:rPr>
        <w:t xml:space="preserve"> . By analyzing the 14 time periods, logistics managers can shift from "idealized" routing based on speed limits to "performance-based" routing based on observed historic averages.</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For Integrated Site Management:</w:t>
      </w:r>
      <w:r w:rsidDel="00000000" w:rsidR="00000000" w:rsidRPr="00000000">
        <w:rPr>
          <w:rtl w:val="0"/>
        </w:rPr>
        <w:t xml:space="preserve">  Leverage the  </w:t>
      </w:r>
      <w:r w:rsidDel="00000000" w:rsidR="00000000" w:rsidRPr="00000000">
        <w:rPr>
          <w:b w:val="1"/>
          <w:bCs w:val="1"/>
          <w:rtl w:val="0"/>
        </w:rPr>
        <w:t xml:space="preserve">Linked Identifiers API</w:t>
      </w:r>
      <w:r w:rsidDel="00000000" w:rsidR="00000000" w:rsidRPr="00000000">
        <w:rPr>
          <w:rtl w:val="0"/>
        </w:rPr>
        <w:t xml:space="preserve">  specifically to bridge the gap between  </w:t>
      </w:r>
      <w:r w:rsidDel="00000000" w:rsidR="00000000" w:rsidRPr="00000000">
        <w:rPr>
          <w:b w:val="1"/>
          <w:bCs w:val="1"/>
          <w:rtl w:val="0"/>
        </w:rPr>
        <w:t xml:space="preserve">Sites</w:t>
      </w:r>
      <w:r w:rsidDel="00000000" w:rsidR="00000000" w:rsidRPr="00000000">
        <w:rPr>
          <w:rtl w:val="0"/>
        </w:rPr>
        <w:t xml:space="preserve">  (the administrative activity extent, like a caravan site or university) and  </w:t>
      </w:r>
      <w:r w:rsidDel="00000000" w:rsidR="00000000" w:rsidRPr="00000000">
        <w:rPr>
          <w:b w:val="1"/>
          <w:bCs w:val="1"/>
          <w:rtl w:val="0"/>
        </w:rPr>
        <w:t xml:space="preserve">Land</w:t>
      </w:r>
      <w:r w:rsidDel="00000000" w:rsidR="00000000" w:rsidRPr="00000000">
        <w:rPr>
          <w:rtl w:val="0"/>
        </w:rPr>
        <w:t xml:space="preserve">  (the physical topographic cover). This allows managers to identify exactly how much "made surface" or "arable land" exists within a specific functional zone, enabling more accurate environmental compliance and utility planning.</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