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236"/>
        <w:ind/>
        <w:jc w:val="center"/>
      </w:pPr>
      <w:r>
        <w:rPr>
          <w:rFonts w:ascii="Times New Roman" w:cs="Times New Roman" w:eastAsia="Times New Roman" w:hAnsi="Times New Roman"/>
          <w:b/>
          <w:bCs/>
          <w:sz w:val="28"/>
          <w:szCs w:val="28"/>
        </w:rPr>
        <w:t xml:space="preserve">Indonesian News Summarization with Named Entity Recognition: A Comparative Analysis of BERT2GPT Fine-Tuning Strategies on the Liputan6 Corpus</w:t>
      </w:r>
    </w:p>
    <w:tbl>
      <w:tblPr>
        <w:tblW w:type="dxa" w:w="9360"/>
        <w:tblBorders>
          <w:top w:val="none"/>
          <w:left w:val="none"/>
          <w:bottom w:val="none"/>
          <w:right w:val="none"/>
          <w:insideH w:val="single" w:color="auto" w:sz="4"/>
          <w:insideV w:val="single" w:color="auto" w:sz="4"/>
        </w:tblBorders>
      </w:tblPr>
      <w:tblGrid>
        <w:gridCol w:w="3120"/>
        <w:gridCol w:w="3120"/>
        <w:gridCol w:w="3120"/>
      </w:tblGrid>
      <w:tr>
        <w:tc>
          <w:tcPr>
            <w:tcW w:type="dxa" w:w="3120"/>
            <w:tcBorders>
              <w:top w:val="none"/>
              <w:left w:val="none"/>
              <w:bottom w:val="none"/>
              <w:right w:val="none"/>
            </w:tcBorders>
          </w:tcPr>
          <w:p>
            <w:pPr>
              <w:spacing w:after="100" w:line="236"/>
              <w:ind/>
              <w:jc w:val="center"/>
            </w:pPr>
            <w:r>
              <w:rPr>
                <w:rFonts w:ascii="Times New Roman" w:cs="Times New Roman" w:eastAsia="Times New Roman" w:hAnsi="Times New Roman"/>
                <w:b/>
                <w:bCs/>
                <w:sz w:val="20"/>
                <w:szCs w:val="20"/>
              </w:rPr>
              <w:t xml:space="preserve">1st Christopher Setyawan</w:t>
            </w:r>
          </w:p>
          <w:p>
            <w:pPr>
              <w:spacing w:after="100" w:line="236"/>
              <w:ind/>
              <w:jc w:val="center"/>
            </w:pPr>
            <w:r>
              <w:rPr>
                <w:rFonts w:ascii="Times New Roman" w:cs="Times New Roman" w:eastAsia="Times New Roman" w:hAnsi="Times New Roman"/>
                <w:sz w:val="18"/>
                <w:szCs w:val="18"/>
              </w:rPr>
              <w:t xml:space="preserve">Computer Science Dept.</w:t>
            </w:r>
          </w:p>
          <w:p>
            <w:pPr>
              <w:spacing w:after="100" w:line="236"/>
              <w:ind/>
              <w:jc w:val="center"/>
            </w:pPr>
            <w:r>
              <w:rPr>
                <w:rFonts w:ascii="Times New Roman" w:cs="Times New Roman" w:eastAsia="Times New Roman" w:hAnsi="Times New Roman"/>
                <w:sz w:val="18"/>
                <w:szCs w:val="18"/>
              </w:rPr>
              <w:t xml:space="preserve">School of Computer Science</w:t>
            </w:r>
          </w:p>
          <w:p>
            <w:pPr>
              <w:spacing w:after="100" w:line="236"/>
              <w:ind/>
              <w:jc w:val="center"/>
            </w:pPr>
            <w:r>
              <w:rPr>
                <w:rFonts w:ascii="Times New Roman" w:cs="Times New Roman" w:eastAsia="Times New Roman" w:hAnsi="Times New Roman"/>
                <w:sz w:val="18"/>
                <w:szCs w:val="18"/>
              </w:rPr>
              <w:t xml:space="preserve">Bina Nusantara University</w:t>
            </w:r>
          </w:p>
          <w:p>
            <w:pPr>
              <w:spacing w:after="100" w:line="236"/>
              <w:ind/>
              <w:jc w:val="center"/>
            </w:pPr>
            <w:r>
              <w:rPr>
                <w:rFonts w:ascii="Times New Roman" w:cs="Times New Roman" w:eastAsia="Times New Roman" w:hAnsi="Times New Roman"/>
                <w:sz w:val="18"/>
                <w:szCs w:val="18"/>
              </w:rPr>
              <w:t xml:space="preserve">Jakarta, Indonesia 11480</w:t>
            </w:r>
          </w:p>
          <w:p>
            <w:pPr>
              <w:spacing w:after="100" w:line="236"/>
              <w:ind/>
              <w:jc w:val="center"/>
            </w:pPr>
            <w:r>
              <w:rPr>
                <w:rFonts w:ascii="Times New Roman" w:cs="Times New Roman" w:eastAsia="Times New Roman" w:hAnsi="Times New Roman"/>
                <w:sz w:val="18"/>
                <w:szCs w:val="18"/>
              </w:rPr>
              <w:t xml:space="preserve">2802459670</w:t>
            </w:r>
          </w:p>
        </w:tc>
        <w:tc>
          <w:tcPr>
            <w:tcW w:type="dxa" w:w="3120"/>
            <w:tcBorders>
              <w:top w:val="none"/>
              <w:left w:val="none"/>
              <w:bottom w:val="none"/>
              <w:right w:val="none"/>
            </w:tcBorders>
          </w:tcPr>
          <w:p>
            <w:pPr>
              <w:spacing w:after="100" w:line="236"/>
              <w:ind/>
              <w:jc w:val="center"/>
            </w:pPr>
            <w:r>
              <w:rPr>
                <w:rFonts w:ascii="Times New Roman" w:cs="Times New Roman" w:eastAsia="Times New Roman" w:hAnsi="Times New Roman"/>
                <w:b/>
                <w:bCs/>
                <w:sz w:val="20"/>
                <w:szCs w:val="20"/>
              </w:rPr>
              <w:t xml:space="preserve">2nd Gracias Kumara Winata</w:t>
            </w:r>
          </w:p>
          <w:p>
            <w:pPr>
              <w:spacing w:after="100" w:line="236"/>
              <w:ind/>
              <w:jc w:val="center"/>
            </w:pPr>
            <w:r>
              <w:rPr>
                <w:rFonts w:ascii="Times New Roman" w:cs="Times New Roman" w:eastAsia="Times New Roman" w:hAnsi="Times New Roman"/>
                <w:sz w:val="18"/>
                <w:szCs w:val="18"/>
              </w:rPr>
              <w:t xml:space="preserve">Computer Science Dept.</w:t>
            </w:r>
          </w:p>
          <w:p>
            <w:pPr>
              <w:spacing w:after="100" w:line="236"/>
              <w:ind/>
              <w:jc w:val="center"/>
            </w:pPr>
            <w:r>
              <w:rPr>
                <w:rFonts w:ascii="Times New Roman" w:cs="Times New Roman" w:eastAsia="Times New Roman" w:hAnsi="Times New Roman"/>
                <w:sz w:val="18"/>
                <w:szCs w:val="18"/>
              </w:rPr>
              <w:t xml:space="preserve">School of Computer Science</w:t>
            </w:r>
          </w:p>
          <w:p>
            <w:pPr>
              <w:spacing w:after="100" w:line="236"/>
              <w:ind/>
              <w:jc w:val="center"/>
            </w:pPr>
            <w:r>
              <w:rPr>
                <w:rFonts w:ascii="Times New Roman" w:cs="Times New Roman" w:eastAsia="Times New Roman" w:hAnsi="Times New Roman"/>
                <w:sz w:val="18"/>
                <w:szCs w:val="18"/>
              </w:rPr>
              <w:t xml:space="preserve">Bina Nusantara University</w:t>
            </w:r>
          </w:p>
          <w:p>
            <w:pPr>
              <w:spacing w:after="100" w:line="236"/>
              <w:ind/>
              <w:jc w:val="center"/>
            </w:pPr>
            <w:r>
              <w:rPr>
                <w:rFonts w:ascii="Times New Roman" w:cs="Times New Roman" w:eastAsia="Times New Roman" w:hAnsi="Times New Roman"/>
                <w:sz w:val="18"/>
                <w:szCs w:val="18"/>
              </w:rPr>
              <w:t xml:space="preserve">Jakarta, Indonesia 11480</w:t>
            </w:r>
          </w:p>
          <w:p>
            <w:pPr>
              <w:spacing w:after="100" w:line="236"/>
              <w:ind/>
              <w:jc w:val="center"/>
            </w:pPr>
            <w:r>
              <w:rPr>
                <w:rFonts w:ascii="Times New Roman" w:cs="Times New Roman" w:eastAsia="Times New Roman" w:hAnsi="Times New Roman"/>
                <w:sz w:val="18"/>
                <w:szCs w:val="18"/>
              </w:rPr>
              <w:t xml:space="preserve">2802459683</w:t>
            </w:r>
          </w:p>
        </w:tc>
        <w:tc>
          <w:tcPr>
            <w:tcW w:type="dxa" w:w="3120"/>
            <w:tcBorders>
              <w:top w:val="none"/>
              <w:left w:val="none"/>
              <w:bottom w:val="none"/>
              <w:right w:val="none"/>
            </w:tcBorders>
          </w:tcPr>
          <w:p>
            <w:pPr>
              <w:spacing w:after="100" w:line="236"/>
              <w:ind/>
              <w:jc w:val="center"/>
            </w:pPr>
            <w:r>
              <w:rPr>
                <w:rFonts w:ascii="Times New Roman" w:cs="Times New Roman" w:eastAsia="Times New Roman" w:hAnsi="Times New Roman"/>
                <w:b/>
                <w:bCs/>
                <w:sz w:val="20"/>
                <w:szCs w:val="20"/>
              </w:rPr>
              <w:t xml:space="preserve">3rd Vincensius Kevin Mulyono</w:t>
            </w:r>
          </w:p>
          <w:p>
            <w:pPr>
              <w:spacing w:after="100" w:line="236"/>
              <w:ind/>
              <w:jc w:val="center"/>
            </w:pPr>
            <w:r>
              <w:rPr>
                <w:rFonts w:ascii="Times New Roman" w:cs="Times New Roman" w:eastAsia="Times New Roman" w:hAnsi="Times New Roman"/>
                <w:sz w:val="18"/>
                <w:szCs w:val="18"/>
              </w:rPr>
              <w:t xml:space="preserve">Computer Science Dept.</w:t>
            </w:r>
          </w:p>
          <w:p>
            <w:pPr>
              <w:spacing w:after="100" w:line="236"/>
              <w:ind/>
              <w:jc w:val="center"/>
            </w:pPr>
            <w:r>
              <w:rPr>
                <w:rFonts w:ascii="Times New Roman" w:cs="Times New Roman" w:eastAsia="Times New Roman" w:hAnsi="Times New Roman"/>
                <w:sz w:val="18"/>
                <w:szCs w:val="18"/>
              </w:rPr>
              <w:t xml:space="preserve">School of Computer Science</w:t>
            </w:r>
          </w:p>
          <w:p>
            <w:pPr>
              <w:spacing w:after="100" w:line="236"/>
              <w:ind/>
              <w:jc w:val="center"/>
            </w:pPr>
            <w:r>
              <w:rPr>
                <w:rFonts w:ascii="Times New Roman" w:cs="Times New Roman" w:eastAsia="Times New Roman" w:hAnsi="Times New Roman"/>
                <w:sz w:val="18"/>
                <w:szCs w:val="18"/>
              </w:rPr>
              <w:t xml:space="preserve">Bina Nusantara University</w:t>
            </w:r>
          </w:p>
          <w:p>
            <w:pPr>
              <w:spacing w:after="100" w:line="236"/>
              <w:ind/>
              <w:jc w:val="center"/>
            </w:pPr>
            <w:r>
              <w:rPr>
                <w:rFonts w:ascii="Times New Roman" w:cs="Times New Roman" w:eastAsia="Times New Roman" w:hAnsi="Times New Roman"/>
                <w:sz w:val="18"/>
                <w:szCs w:val="18"/>
              </w:rPr>
              <w:t xml:space="preserve">Jakarta, Indonesia 11480</w:t>
            </w:r>
          </w:p>
          <w:p>
            <w:pPr>
              <w:spacing w:after="100" w:line="236"/>
              <w:ind/>
              <w:jc w:val="center"/>
            </w:pPr>
            <w:r>
              <w:rPr>
                <w:rFonts w:ascii="Times New Roman" w:cs="Times New Roman" w:eastAsia="Times New Roman" w:hAnsi="Times New Roman"/>
                <w:sz w:val="18"/>
                <w:szCs w:val="18"/>
              </w:rPr>
              <w:t xml:space="preserve">2802476424</w:t>
            </w:r>
          </w:p>
        </w:tc>
      </w:tr>
    </w:tbl>
    <w:p>
      <w:pPr>
        <w:spacing w:after="180" w:line="236"/>
        <w:ind/>
        <w:jc w:val="both"/>
      </w:pPr>
    </w:p>
    <w:p>
      <w:pPr>
        <w:spacing w:after="80" w:line="236"/>
        <w:ind/>
        <w:jc w:val="both"/>
      </w:pPr>
      <w:r>
        <w:rPr>
          <w:rFonts w:ascii="Times New Roman" w:cs="Times New Roman" w:eastAsia="Times New Roman" w:hAnsi="Times New Roman"/>
          <w:b/>
          <w:bCs/>
          <w:i/>
          <w:iCs/>
          <w:sz w:val="20"/>
          <w:szCs w:val="20"/>
        </w:rPr>
        <w:t xml:space="preserve">Abstract: </w:t>
      </w:r>
      <w:r>
        <w:rPr>
          <w:rFonts w:ascii="Times New Roman" w:cs="Times New Roman" w:eastAsia="Times New Roman" w:hAnsi="Times New Roman"/>
          <w:i/>
          <w:iCs/>
          <w:sz w:val="20"/>
          <w:szCs w:val="20"/>
        </w:rPr>
        <w:t xml:space="preserve">The rapid expansion of online Indonesian news outlets has created a daily flood of articles that readers struggle to keep up with. Automated text summarization offers a way to consume more information in less time, but Indonesian remains under-resourced compared to English in terms of available models and benchmarks. This paper presents an integrated system that combines abstractive summarization with named entity recognition for Indonesian news articles. We compare five models: a LEAD-2 extractive baseline, a pre-trained BERT2GPT model without additional adaptation, BERT2GPT fine-tuned on IndoSum, BERT2GPT fine-tuned on the Liputan6 canonical corpus, and the IndoBERT-NER model for entity extraction. Summarization models are evaluated using ROUGE-1, ROUGE-2, and ROUGE-L on the Liputan6 test set, while the NER model is evaluated using precision, recall, and F1-score on the IndoNLU NERGrit benchmark. Experimental results reveal an unexpected finding: the pre-trained BERT2GPT without fine-tuning achieved the best scores on Liputan6 (R-1: 39.23, R-2: 21.47, R-L: 31.95), outperforming both fine-tuned variants. We attribute this to the base model already being well aligned with the news domain and to catastrophic forgetting introduced by limited fine-tuning data. The IndoBERT-NER model reached an F1 of 0.2320 under cross-dataset evaluation where label schemas differ between training and test sets. The complete system is deployed as a web application that accepts URLs from major Indonesian news portals.</w:t>
      </w:r>
    </w:p>
    <w:p>
      <w:pPr>
        <w:spacing w:after="160" w:line="236"/>
        <w:ind/>
        <w:jc w:val="both"/>
      </w:pPr>
      <w:r>
        <w:rPr>
          <w:rFonts w:ascii="Times New Roman" w:cs="Times New Roman" w:eastAsia="Times New Roman" w:hAnsi="Times New Roman"/>
          <w:b/>
          <w:bCs/>
          <w:i/>
          <w:iCs/>
          <w:sz w:val="20"/>
          <w:szCs w:val="20"/>
        </w:rPr>
        <w:t xml:space="preserve">Keywords: </w:t>
      </w:r>
      <w:r>
        <w:rPr>
          <w:rFonts w:ascii="Times New Roman" w:cs="Times New Roman" w:eastAsia="Times New Roman" w:hAnsi="Times New Roman"/>
          <w:i/>
          <w:iCs/>
          <w:sz w:val="20"/>
          <w:szCs w:val="20"/>
        </w:rPr>
        <w:t xml:space="preserve">Indonesian NLP, text summarization, named entity recognition, BERT2GPT, IndoBERT, Liputan6, ROUGE, fine-tuning</w:t>
      </w:r>
    </w:p>
    <w:p>
      <w:pPr>
        <w:pBdr>
          <w:bottom w:val="single" w:color="000000" w:sz="4" w:space="1"/>
        </w:pBdr>
        <w:spacing w:after="60"/>
      </w:pPr>
    </w:p>
    <w:p>
      <w:pPr>
        <w:sectPr>
          <w:pgSz w:w="12240" w:h="15840" w:orient="portrait"/>
          <w:pgMar w:top="1080" w:right="1080" w:bottom="1080" w:left="1080" w:header="708" w:footer="708" w:gutter="0"/>
          <w:pgNumType/>
          <w:docGrid w:linePitch="360"/>
        </w:sectPr>
      </w:pPr>
    </w:p>
    <w:p>
      <w:pPr>
        <w:spacing w:after="80" w:line="236"/>
        <w:ind/>
        <w:jc w:val="center"/>
      </w:pPr>
      <w:r>
        <w:rPr>
          <w:rFonts w:ascii="Times New Roman" w:cs="Times New Roman" w:eastAsia="Times New Roman" w:hAnsi="Times New Roman"/>
          <w:b/>
          <w:bCs/>
          <w:caps/>
          <w:sz w:val="20"/>
          <w:szCs w:val="20"/>
        </w:rPr>
        <w:t xml:space="preserve">I. Introduction</w:t>
      </w:r>
    </w:p>
    <w:p>
      <w:pPr>
        <w:spacing w:after="100" w:line="236"/>
        <w:ind w:firstLine="360"/>
        <w:jc w:val="both"/>
      </w:pPr>
      <w:r>
        <w:rPr>
          <w:rFonts w:ascii="Times New Roman" w:cs="Times New Roman" w:eastAsia="Times New Roman" w:hAnsi="Times New Roman"/>
          <w:sz w:val="20"/>
          <w:szCs w:val="20"/>
        </w:rPr>
        <w:t xml:space="preserve">The number of online news articles published in Bahasa Indonesia has grown rapidly over the past two decades. Major portals such as Detik, Kompas, Tribunnews, and Tempo collectively release hundreds to thousands of articles every day, covering politics, economics, sports, technology, and entertainment. For readers, this volume creates a familiar problem: there is more text than anyone has time to process. Automated summarization tools that condense an article into a few sentences without losing its core information have become a practical necessity, especially in low-resource languages where commercial solutions remain limited.</w:t>
      </w:r>
    </w:p>
    <w:p>
      <w:pPr>
        <w:spacing w:after="100" w:line="236"/>
        <w:ind w:firstLine="360"/>
        <w:jc w:val="both"/>
      </w:pPr>
      <w:r>
        <w:rPr>
          <w:rFonts w:ascii="Times New Roman" w:cs="Times New Roman" w:eastAsia="Times New Roman" w:hAnsi="Times New Roman"/>
          <w:sz w:val="20"/>
          <w:szCs w:val="20"/>
        </w:rPr>
        <w:t xml:space="preserve">The challenge extends beyond summarization. When reading news, the most useful pieces of information are often the named entities involved, including which people, organizations, and locations are mentioned. Manually scanning an article to extract these entities is repetitive and time-consuming. Named entity recognition (NER) can automate this task, but high-quality NER systems for Indonesian are not as widely available as their English counterparts.</w:t>
      </w:r>
    </w:p>
    <w:p>
      <w:pPr>
        <w:spacing w:after="100" w:line="236"/>
        <w:ind w:firstLine="360"/>
        <w:jc w:val="both"/>
      </w:pPr>
      <w:r>
        <w:rPr>
          <w:rFonts w:ascii="Times New Roman" w:cs="Times New Roman" w:eastAsia="Times New Roman" w:hAnsi="Times New Roman"/>
          <w:sz w:val="20"/>
          <w:szCs w:val="20"/>
        </w:rPr>
        <w:t xml:space="preserve">Several factors make Indonesian NLP a distinct research area. Indonesian has rich morphology with productive affixation, code-switching with regional languages, and stylistic conventions in news writing that differ from English. Pre-trained models for Indonesian have improved substantially in recent years through efforts such as IndoBERT [1], IndoNLG [2], and IndoNLU [3], yet many tasks still require careful adaptation of these models to specific domains.</w:t>
      </w:r>
    </w:p>
    <w:p>
      <w:pPr>
        <w:spacing w:after="100" w:line="236"/>
        <w:ind w:firstLine="360"/>
        <w:jc w:val="both"/>
      </w:pPr>
      <w:r>
        <w:rPr>
          <w:rFonts w:ascii="Times New Roman" w:cs="Times New Roman" w:eastAsia="Times New Roman" w:hAnsi="Times New Roman"/>
          <w:sz w:val="20"/>
          <w:szCs w:val="20"/>
        </w:rPr>
        <w:t xml:space="preserve">This work builds an integrated system that addresses both needs at once. The system accepts a URL of an Indonesian news article, scrapes the content, generates a summary using a fine-tuned encoder-decoder model, and extracts the named entities using a fine-tuned IndoBERT classifier. To understand which design choices matter most, we compare four summarization approaches spanning from the simplest possible baseline to a model fine-tuned on a large news corpus. The research questions guiding the experiments are: (1) Does fine-tuning a pre-trained BERT2GPT model on Indonesian news corpora improve summarization quality? (2) How does the choice of fine-tuning dataset (IndoSum versus Liputan6) affect performance? (3) How well does a pre-trained Indonesian NER model generalize when evaluated on a dataset with a different label schema?</w:t>
      </w:r>
    </w:p>
    <w:p>
      <w:pPr>
        <w:spacing w:after="100" w:line="236"/>
        <w:ind w:firstLine="360"/>
        <w:jc w:val="both"/>
      </w:pPr>
      <w:r>
        <w:rPr>
          <w:rFonts w:ascii="Times New Roman" w:cs="Times New Roman" w:eastAsia="Times New Roman" w:hAnsi="Times New Roman"/>
          <w:sz w:val="20"/>
          <w:szCs w:val="20"/>
        </w:rPr>
        <w:t xml:space="preserve">The rest of this paper is organized as follows. Section II reviews related work on Indonesian summarization corpora, summarization models, and NER. Section III describes the datasets, system architecture, and training procedures. Section IV presents the experimental results and analysis. Section V concludes the paper.</w:t>
      </w:r>
    </w:p>
    <w:p>
      <w:pPr>
        <w:spacing w:after="80" w:line="236"/>
        <w:ind/>
        <w:jc w:val="center"/>
      </w:pPr>
      <w:r>
        <w:rPr>
          <w:rFonts w:ascii="Times New Roman" w:cs="Times New Roman" w:eastAsia="Times New Roman" w:hAnsi="Times New Roman"/>
          <w:b/>
          <w:bCs/>
          <w:caps/>
          <w:sz w:val="20"/>
          <w:szCs w:val="20"/>
        </w:rPr>
        <w:t xml:space="preserve">II. Related Work</w:t>
      </w:r>
    </w:p>
    <w:p>
      <w:pPr>
        <w:spacing w:after="60" w:line="236"/>
        <w:ind/>
        <w:jc w:val="left"/>
      </w:pPr>
      <w:r>
        <w:rPr>
          <w:rFonts w:ascii="Times New Roman" w:cs="Times New Roman" w:eastAsia="Times New Roman" w:hAnsi="Times New Roman"/>
          <w:i/>
          <w:iCs/>
          <w:sz w:val="20"/>
          <w:szCs w:val="20"/>
        </w:rPr>
        <w:t xml:space="preserve">A. Indonesian Text Summarization Corpora</w:t>
      </w:r>
    </w:p>
    <w:p>
      <w:pPr>
        <w:spacing w:after="100" w:line="236"/>
        <w:ind w:firstLine="360"/>
        <w:jc w:val="both"/>
      </w:pPr>
      <w:r>
        <w:rPr>
          <w:rFonts w:ascii="Times New Roman" w:cs="Times New Roman" w:eastAsia="Times New Roman" w:hAnsi="Times New Roman"/>
          <w:sz w:val="20"/>
          <w:szCs w:val="20"/>
        </w:rPr>
        <w:t xml:space="preserve">Public Indonesian summarization datasets remain limited in number, although their quality has improved in recent years. IndoSum, introduced by Kurniawan and Louvan [4], contains approximately 20,000 article-summary pairs collected from multiple Indonesian news portals. The dataset is widely used as an early benchmark, but its summaries are largely extractive: the reference texts often share long verbatim spans with the source articles. This characteristic tends to inflate ROUGE scores for models that learn to copy directly from the input.</w:t>
      </w:r>
    </w:p>
    <w:p>
      <w:pPr>
        <w:spacing w:after="100" w:line="236"/>
        <w:ind w:firstLine="360"/>
        <w:jc w:val="both"/>
      </w:pPr>
      <w:r>
        <w:rPr>
          <w:rFonts w:ascii="Times New Roman" w:cs="Times New Roman" w:eastAsia="Times New Roman" w:hAnsi="Times New Roman"/>
          <w:sz w:val="20"/>
          <w:szCs w:val="20"/>
        </w:rPr>
        <w:t xml:space="preserve">Liputan6, introduced by Koto et al. [5], is currently the largest publicly available Indonesian summarization corpus. It contains 215,827 article-summary pairs collected from the Liputan6.com portal between 2000 and 2010. The canonical split provides 193,883 training samples, 10,972 development samples, and 10,972 test samples. Compared to IndoSum, Liputan6 summaries are written in a more abstractive style: the average summary is around two sentences long and uses paraphrasing rather than direct extraction. The paper also introduces a LEAD-2 baseline reporting R-1 of 36.68, R-2 of 20.23, and R-L of 33.71.</w:t>
      </w:r>
    </w:p>
    <w:p>
      <w:pPr>
        <w:spacing w:after="100" w:line="236"/>
        <w:ind w:firstLine="360"/>
        <w:jc w:val="both"/>
      </w:pPr>
      <w:r>
        <w:rPr>
          <w:rFonts w:ascii="Times New Roman" w:cs="Times New Roman" w:eastAsia="Times New Roman" w:hAnsi="Times New Roman"/>
          <w:sz w:val="20"/>
          <w:szCs w:val="20"/>
        </w:rPr>
        <w:t xml:space="preserve">Other Indonesian summarization datasets include subsets of XL-Sum [6], a multilingual collection, although these contain fewer Indonesian-specific samples than IndoSum or Liputan6.</w:t>
      </w:r>
    </w:p>
    <w:p>
      <w:pPr>
        <w:spacing w:after="60" w:line="236"/>
        <w:ind/>
        <w:jc w:val="left"/>
      </w:pPr>
      <w:r>
        <w:rPr>
          <w:rFonts w:ascii="Times New Roman" w:cs="Times New Roman" w:eastAsia="Times New Roman" w:hAnsi="Times New Roman"/>
          <w:i/>
          <w:iCs/>
          <w:sz w:val="20"/>
          <w:szCs w:val="20"/>
        </w:rPr>
        <w:t xml:space="preserve">B. Encoder-Decoder Models for Summarization</w:t>
      </w:r>
    </w:p>
    <w:p>
      <w:pPr>
        <w:spacing w:after="100" w:line="236"/>
        <w:ind w:firstLine="360"/>
        <w:jc w:val="both"/>
      </w:pPr>
      <w:r>
        <w:rPr>
          <w:rFonts w:ascii="Times New Roman" w:cs="Times New Roman" w:eastAsia="Times New Roman" w:hAnsi="Times New Roman"/>
          <w:sz w:val="20"/>
          <w:szCs w:val="20"/>
        </w:rPr>
        <w:t xml:space="preserve">The encoder-decoder architecture is the dominant approach for abstractive summarization. The cahya/bert2gpt-indonesian-summarization model uses a pre-trained BERT [7] encoder paired with a GPT-2-style decoder [8], both pre-trained on Indonesian text. This model serves as the backbone for three of the four summarization models evaluated in this study.</w:t>
      </w:r>
    </w:p>
    <w:p>
      <w:pPr>
        <w:spacing w:after="100" w:line="236"/>
        <w:ind w:firstLine="360"/>
        <w:jc w:val="both"/>
      </w:pPr>
      <w:r>
        <w:rPr>
          <w:rFonts w:ascii="Times New Roman" w:cs="Times New Roman" w:eastAsia="Times New Roman" w:hAnsi="Times New Roman"/>
          <w:sz w:val="20"/>
          <w:szCs w:val="20"/>
        </w:rPr>
        <w:t xml:space="preserve">IndoBART, introduced as part of the IndoNLG benchmark [2], is a BART-style model [9] pre-trained on Indonesian text. Although IndoBART is a strong alternative for summarization, this work focuses on BERT2GPT due to its availability through the HuggingFace ecosystem [15] and its existing fine-tuning for summarization tasks. Earlier neural approaches such as Pointer-Generator Networks [10] and sequence-to-sequence models with attention [11] demonstrated the feasibility of abstractive summarization but have largely been superseded by Transformer-based architectures [12]. For evaluation, ROUGE [13] remains the standard metric.</w:t>
      </w:r>
    </w:p>
    <w:p>
      <w:pPr>
        <w:spacing w:after="60" w:line="236"/>
        <w:ind/>
        <w:jc w:val="left"/>
      </w:pPr>
      <w:r>
        <w:rPr>
          <w:rFonts w:ascii="Times New Roman" w:cs="Times New Roman" w:eastAsia="Times New Roman" w:hAnsi="Times New Roman"/>
          <w:i/>
          <w:iCs/>
          <w:sz w:val="20"/>
          <w:szCs w:val="20"/>
        </w:rPr>
        <w:t xml:space="preserve">C. Named Entity Recognition for Indonesian</w:t>
      </w:r>
    </w:p>
    <w:p>
      <w:pPr>
        <w:spacing w:after="100" w:line="236"/>
        <w:ind w:firstLine="360"/>
        <w:jc w:val="both"/>
      </w:pPr>
      <w:r>
        <w:rPr>
          <w:rFonts w:ascii="Times New Roman" w:cs="Times New Roman" w:eastAsia="Times New Roman" w:hAnsi="Times New Roman"/>
          <w:sz w:val="20"/>
          <w:szCs w:val="20"/>
        </w:rPr>
        <w:t xml:space="preserve">IndoBERT [1], pre-trained on a large Indonesian corpus, has been further fine-tuned for various downstream tasks including NER. The cahya/bert-base-indonesian-NER variant produces token-level classifications across six entity categories: persons (PER), organizations (ORG), locations (LOC), geopolitical entities (GPE), date expressions (DATE), and named events (EVT).</w:t>
      </w:r>
    </w:p>
    <w:p>
      <w:pPr>
        <w:spacing w:after="100" w:line="236"/>
        <w:ind w:firstLine="360"/>
        <w:jc w:val="both"/>
      </w:pPr>
      <w:r>
        <w:rPr>
          <w:rFonts w:ascii="Times New Roman" w:cs="Times New Roman" w:eastAsia="Times New Roman" w:hAnsi="Times New Roman"/>
          <w:sz w:val="20"/>
          <w:szCs w:val="20"/>
        </w:rPr>
        <w:t xml:space="preserve">The NERGrit dataset, included in the IndoNLU benchmark [3], provides approximately 5,000 Indonesian sentences with entity annotations. However, NERGrit uses a different label schema with three primary categories: PERSON, ORGANISATION, and PLACE. This schema difference creates a challenge when evaluating models trained on the six-category schema against NERGrit. Cross-dataset evaluation in NER is a well-known difficulty documented in studies of NER for low-resource languages [14]. Our evaluation acknowledges this limitation explicitly and reports the resulting metrics as a lower bound on practical performance.</w:t>
      </w:r>
    </w:p>
    <w:p>
      <w:pPr>
        <w:spacing w:after="80" w:line="236"/>
        <w:ind/>
        <w:jc w:val="center"/>
      </w:pPr>
      <w:r>
        <w:rPr>
          <w:rFonts w:ascii="Times New Roman" w:cs="Times New Roman" w:eastAsia="Times New Roman" w:hAnsi="Times New Roman"/>
          <w:b/>
          <w:bCs/>
          <w:caps/>
          <w:sz w:val="20"/>
          <w:szCs w:val="20"/>
        </w:rPr>
        <w:t xml:space="preserve">III. Methodology</w:t>
      </w:r>
    </w:p>
    <w:p>
      <w:pPr>
        <w:spacing w:after="60" w:line="236"/>
        <w:ind/>
        <w:jc w:val="left"/>
      </w:pPr>
      <w:r>
        <w:rPr>
          <w:rFonts w:ascii="Times New Roman" w:cs="Times New Roman" w:eastAsia="Times New Roman" w:hAnsi="Times New Roman"/>
          <w:i/>
          <w:iCs/>
          <w:sz w:val="20"/>
          <w:szCs w:val="20"/>
        </w:rPr>
        <w:t xml:space="preserve">A. Datasets</w:t>
      </w:r>
    </w:p>
    <w:p>
      <w:pPr>
        <w:spacing w:after="100" w:line="236"/>
        <w:ind w:firstLine="360"/>
        <w:jc w:val="both"/>
      </w:pPr>
      <w:r>
        <w:rPr>
          <w:rFonts w:ascii="Times New Roman" w:cs="Times New Roman" w:eastAsia="Times New Roman" w:hAnsi="Times New Roman"/>
          <w:sz w:val="20"/>
          <w:szCs w:val="20"/>
        </w:rPr>
        <w:t xml:space="preserve">Three datasets are used in this study. The Liputan6 canonical split [5] serves as the primary fine-tuning corpus and evaluation set for summarization. Due to computational cost, we use a stratified subset of 50,000 samples for the final fine-tuning stage and evaluate on 200 randomly sampled examples from the official test set.</w:t>
      </w:r>
    </w:p>
    <w:p>
      <w:pPr>
        <w:spacing w:after="100" w:line="236"/>
        <w:ind w:firstLine="360"/>
        <w:jc w:val="both"/>
      </w:pPr>
      <w:r>
        <w:rPr>
          <w:rFonts w:ascii="Times New Roman" w:cs="Times New Roman" w:eastAsia="Times New Roman" w:hAnsi="Times New Roman"/>
          <w:sz w:val="20"/>
          <w:szCs w:val="20"/>
        </w:rPr>
        <w:t xml:space="preserve">The IndoSum dataset [4] is used as the first-stage fine-tuning corpus. Approximately 14,000 article-summary pairs are used for training, with evaluation performed on the held-out test split. The IndoNLU NERGrit test set [3] is used to evaluate the NER model, again using 200 randomly sampled sentences.</w:t>
      </w:r>
    </w:p>
    <w:p>
      <w:pPr>
        <w:spacing w:after="60" w:line="236"/>
        <w:ind/>
        <w:jc w:val="left"/>
      </w:pPr>
      <w:r>
        <w:rPr>
          <w:rFonts w:ascii="Times New Roman" w:cs="Times New Roman" w:eastAsia="Times New Roman" w:hAnsi="Times New Roman"/>
          <w:i/>
          <w:iCs/>
          <w:sz w:val="20"/>
          <w:szCs w:val="20"/>
        </w:rPr>
        <w:t xml:space="preserve">B. System Architecture</w:t>
      </w:r>
    </w:p>
    <w:p>
      <w:pPr>
        <w:spacing w:after="100" w:line="236"/>
        <w:ind w:firstLine="360"/>
        <w:jc w:val="both"/>
      </w:pPr>
      <w:r>
        <w:rPr>
          <w:rFonts w:ascii="Times New Roman" w:cs="Times New Roman" w:eastAsia="Times New Roman" w:hAnsi="Times New Roman"/>
          <w:sz w:val="20"/>
          <w:szCs w:val="20"/>
        </w:rPr>
        <w:t xml:space="preserve">The complete system is organized into four modules. A web scraper handles content retrieval from major Indonesian news portals using specialized parsers for Detik, Kompas, Tribunnews, and Tempo, with a generic fallback parser for unknown portals. The scraper uses BeautifulSoup for HTML parsing and the requests library for HTTP communication.</w:t>
      </w:r>
    </w:p>
    <w:p>
      <w:pPr>
        <w:spacing w:after="100" w:line="236"/>
        <w:ind w:firstLine="360"/>
        <w:jc w:val="both"/>
      </w:pPr>
      <w:r>
        <w:rPr>
          <w:rFonts w:ascii="Times New Roman" w:cs="Times New Roman" w:eastAsia="Times New Roman" w:hAnsi="Times New Roman"/>
          <w:sz w:val="20"/>
          <w:szCs w:val="20"/>
        </w:rPr>
        <w:t xml:space="preserve">The summarization module loads the chosen BERT2GPT variant and applies a post-processing pipeline before returning the output. The NER module processes long articles by chunking the input into segments of 250 words to fit within the 512-token BERT limit. The backend is implemented with FastAPI and serves both the API and the static HTML frontend.</w:t>
      </w:r>
    </w:p>
    <w:p>
      <w:pPr>
        <w:spacing w:after="60" w:line="236"/>
        <w:ind/>
        <w:jc w:val="left"/>
      </w:pPr>
      <w:r>
        <w:rPr>
          <w:rFonts w:ascii="Times New Roman" w:cs="Times New Roman" w:eastAsia="Times New Roman" w:hAnsi="Times New Roman"/>
          <w:i/>
          <w:iCs/>
          <w:sz w:val="20"/>
          <w:szCs w:val="20"/>
        </w:rPr>
        <w:t xml:space="preserve">C. Summarization Models</w:t>
      </w:r>
    </w:p>
    <w:p>
      <w:pPr>
        <w:spacing w:after="100" w:line="236"/>
        <w:ind w:firstLine="360"/>
        <w:jc w:val="both"/>
      </w:pPr>
      <w:r>
        <w:rPr>
          <w:rFonts w:ascii="Times New Roman" w:cs="Times New Roman" w:eastAsia="Times New Roman" w:hAnsi="Times New Roman"/>
          <w:sz w:val="20"/>
          <w:szCs w:val="20"/>
        </w:rPr>
        <w:t xml:space="preserve">Four summarization models are evaluated. Model 1, the LEAD-2 Baseline, takes the first two sentences of the article as the summary without any training. The choice follows the convention from the Liputan6 paper [5], where the average reference summary is approximately two sentences long.</w:t>
      </w:r>
    </w:p>
    <w:p>
      <w:pPr>
        <w:spacing w:after="100" w:line="236"/>
        <w:ind w:firstLine="360"/>
        <w:jc w:val="both"/>
      </w:pPr>
      <w:r>
        <w:rPr>
          <w:rFonts w:ascii="Times New Roman" w:cs="Times New Roman" w:eastAsia="Times New Roman" w:hAnsi="Times New Roman"/>
          <w:sz w:val="20"/>
          <w:szCs w:val="20"/>
        </w:rPr>
        <w:t xml:space="preserve">Model 2, BERT2GPT Without Fine-Tuning, uses the cahya/bert2gpt-indonesian-summarization checkpoint directly without further training. Evaluating this model isolates the contribution of additional fine-tuning to downstream performance.</w:t>
      </w:r>
    </w:p>
    <w:p>
      <w:pPr>
        <w:spacing w:after="100" w:line="236"/>
        <w:ind w:firstLine="360"/>
        <w:jc w:val="both"/>
      </w:pPr>
      <w:r>
        <w:rPr>
          <w:rFonts w:ascii="Times New Roman" w:cs="Times New Roman" w:eastAsia="Times New Roman" w:hAnsi="Times New Roman"/>
          <w:sz w:val="20"/>
          <w:szCs w:val="20"/>
        </w:rPr>
        <w:t xml:space="preserve">Model 3, BERT2GPT Fine-Tuned on IndoSum, is initialized from the Model 2 checkpoint and fine-tuned for three epochs on approximately 14,000 IndoSum training samples. Fine-tuning uses AdamW with a learning rate of 5e-5, a batch size of 4, and mixed precision (fp16) on an NVIDIA RTX 3090 GPU. This stage serves as a warm-up before continued training on a larger corpus.</w:t>
      </w:r>
    </w:p>
    <w:p>
      <w:pPr>
        <w:spacing w:after="100" w:line="236"/>
        <w:ind w:firstLine="360"/>
        <w:jc w:val="both"/>
      </w:pPr>
      <w:r>
        <w:rPr>
          <w:rFonts w:ascii="Times New Roman" w:cs="Times New Roman" w:eastAsia="Times New Roman" w:hAnsi="Times New Roman"/>
          <w:sz w:val="20"/>
          <w:szCs w:val="20"/>
        </w:rPr>
        <w:t xml:space="preserve">Model 4, BERT2GPT Fine-Tuned on Liputan6, continues from Model 3 on 50,000 Liputan6 training samples for three additional epochs with a reduced learning rate of 3e-5 to mitigate catastrophic forgetting. For all BERT2GPT models, summary generation uses beam search with three beams and a no-repeat n-gram size of four to suppress repetitive phrases.</w:t>
      </w:r>
    </w:p>
    <w:p>
      <w:pPr>
        <w:spacing w:after="60" w:line="236"/>
        <w:ind/>
        <w:jc w:val="left"/>
      </w:pPr>
      <w:r>
        <w:rPr>
          <w:rFonts w:ascii="Times New Roman" w:cs="Times New Roman" w:eastAsia="Times New Roman" w:hAnsi="Times New Roman"/>
          <w:i/>
          <w:iCs/>
          <w:sz w:val="20"/>
          <w:szCs w:val="20"/>
        </w:rPr>
        <w:t xml:space="preserve">D. Named Entity Recognition Model</w:t>
      </w:r>
    </w:p>
    <w:p>
      <w:pPr>
        <w:spacing w:after="100" w:line="236"/>
        <w:ind w:firstLine="360"/>
        <w:jc w:val="both"/>
      </w:pPr>
      <w:r>
        <w:rPr>
          <w:rFonts w:ascii="Times New Roman" w:cs="Times New Roman" w:eastAsia="Times New Roman" w:hAnsi="Times New Roman"/>
          <w:sz w:val="20"/>
          <w:szCs w:val="20"/>
        </w:rPr>
        <w:t xml:space="preserve">Model 5 is cahya/bert-base-indonesian-NER, an IndoBERT [1] variant fine-tuned for NER on Indonesian text. The model recognizes six categories: PER, ORG, LOC, GPE, DATE, and EVT. For long articles, input is split into chunks of 250 words with the tokenizer configured for a maximum of 512 tokens. A confidence threshold of 0.65 filters low-confidence predictions. Stop-word filtering removes common function words, and a post-processing step strips WordPiece tokenization artifacts.</w:t>
      </w:r>
    </w:p>
    <w:p>
      <w:pPr>
        <w:spacing w:after="60" w:line="236"/>
        <w:ind/>
        <w:jc w:val="left"/>
      </w:pPr>
      <w:r>
        <w:rPr>
          <w:rFonts w:ascii="Times New Roman" w:cs="Times New Roman" w:eastAsia="Times New Roman" w:hAnsi="Times New Roman"/>
          <w:i/>
          <w:iCs/>
          <w:sz w:val="20"/>
          <w:szCs w:val="20"/>
        </w:rPr>
        <w:t xml:space="preserve">E. Post-Processing Pipeline</w:t>
      </w:r>
    </w:p>
    <w:p>
      <w:pPr>
        <w:spacing w:after="100" w:line="236"/>
        <w:ind w:firstLine="360"/>
        <w:jc w:val="both"/>
      </w:pPr>
      <w:r>
        <w:rPr>
          <w:rFonts w:ascii="Times New Roman" w:cs="Times New Roman" w:eastAsia="Times New Roman" w:hAnsi="Times New Roman"/>
          <w:sz w:val="20"/>
          <w:szCs w:val="20"/>
        </w:rPr>
        <w:t xml:space="preserve">Raw BERT2GPT outputs contain several artifacts. First, the model produces lowercase text due to training data preprocessing. A case map built from the original article restores capitalized proper nouns in the summary. Second, a garbage word filter removes unusually short tokens or tokens with suspicious non-alphabetic patterns. Third, a sentence-level deduplication step discards any sentence sharing more than 60 percent of its words with a previously included sentence.</w:t>
      </w:r>
    </w:p>
    <w:p>
      <w:pPr>
        <w:spacing w:after="60" w:line="236"/>
        <w:ind/>
        <w:jc w:val="left"/>
      </w:pPr>
      <w:r>
        <w:rPr>
          <w:rFonts w:ascii="Times New Roman" w:cs="Times New Roman" w:eastAsia="Times New Roman" w:hAnsi="Times New Roman"/>
          <w:i/>
          <w:iCs/>
          <w:sz w:val="20"/>
          <w:szCs w:val="20"/>
        </w:rPr>
        <w:t xml:space="preserve">F. Evaluation Metrics</w:t>
      </w:r>
    </w:p>
    <w:p>
      <w:pPr>
        <w:spacing w:after="100" w:line="236"/>
        <w:ind w:firstLine="360"/>
        <w:jc w:val="both"/>
      </w:pPr>
      <w:r>
        <w:rPr>
          <w:rFonts w:ascii="Times New Roman" w:cs="Times New Roman" w:eastAsia="Times New Roman" w:hAnsi="Times New Roman"/>
          <w:sz w:val="20"/>
          <w:szCs w:val="20"/>
        </w:rPr>
        <w:t xml:space="preserve">For summarization, ROUGE-1, ROUGE-2, and ROUGE-L are computed using the standard rouge_score library on 200 test samples per model. For NER, precision, recall, and F1-score are computed with the seqeval library. Predictions are mapped from the six-category schema to NERGrit: PER to PERSON, ORG to ORGANISATION, and both LOC and GPE to PLACE. DATE and EVT are excluded.</w:t>
      </w:r>
    </w:p>
    <w:p>
      <w:pPr>
        <w:spacing w:after="80" w:line="236"/>
        <w:ind/>
        <w:jc w:val="center"/>
      </w:pPr>
      <w:r>
        <w:rPr>
          <w:rFonts w:ascii="Times New Roman" w:cs="Times New Roman" w:eastAsia="Times New Roman" w:hAnsi="Times New Roman"/>
          <w:b/>
          <w:bCs/>
          <w:caps/>
          <w:sz w:val="20"/>
          <w:szCs w:val="20"/>
        </w:rPr>
        <w:t xml:space="preserve">IV. Results and Discussion</w:t>
      </w:r>
    </w:p>
    <w:p>
      <w:pPr>
        <w:spacing w:after="60" w:line="236"/>
        <w:ind/>
        <w:jc w:val="left"/>
      </w:pPr>
      <w:r>
        <w:rPr>
          <w:rFonts w:ascii="Times New Roman" w:cs="Times New Roman" w:eastAsia="Times New Roman" w:hAnsi="Times New Roman"/>
          <w:i/>
          <w:iCs/>
          <w:sz w:val="20"/>
          <w:szCs w:val="20"/>
        </w:rPr>
        <w:t xml:space="preserve">A. Summarization Results on Liputan6</w:t>
      </w:r>
    </w:p>
    <w:p>
      <w:pPr>
        <w:spacing w:after="100" w:line="236"/>
        <w:ind w:firstLine="360"/>
        <w:jc w:val="both"/>
      </w:pPr>
      <w:r>
        <w:rPr>
          <w:rFonts w:ascii="Times New Roman" w:cs="Times New Roman" w:eastAsia="Times New Roman" w:hAnsi="Times New Roman"/>
          <w:sz w:val="20"/>
          <w:szCs w:val="20"/>
        </w:rPr>
        <w:t xml:space="preserve">Table I presents the ROUGE scores for all four summarization models on 200 samples from the Liputan6 canonical test set. The pre-trained BERT2GPT without fine-tuning (Model 2) achieved the highest scores across all three metrics. This is an unexpected outcome: under typical assumptions, fine-tuning on the target distribution should improve performance.</w:t>
      </w:r>
    </w:p>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1700"/>
        <w:gridCol w:w="933"/>
        <w:gridCol w:w="933"/>
        <w:gridCol w:w="934"/>
      </w:tblGrid>
      <w:tr>
        <w:tc>
          <w:tcPr>
            <w:tcW w:type="dxa" w:w="1700"/>
            <w:tcBorders>
              <w:top w:val="single" w:color="000000" w:sz="4"/>
              <w:left w:val="single" w:color="000000" w:sz="4"/>
              <w:bottom w:val="single" w:color="000000" w:sz="4"/>
              <w:right w:val="single" w:color="000000" w:sz="4"/>
            </w:tcBorders>
            <w:shd w:fill="D0D0D0"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Model</w:t>
            </w:r>
          </w:p>
        </w:tc>
        <w:tc>
          <w:tcPr>
            <w:tcW w:type="dxa" w:w="933"/>
            <w:tcBorders>
              <w:top w:val="single" w:color="000000" w:sz="4"/>
              <w:left w:val="single" w:color="000000" w:sz="4"/>
              <w:bottom w:val="single" w:color="000000" w:sz="4"/>
              <w:right w:val="single" w:color="000000" w:sz="4"/>
            </w:tcBorders>
            <w:shd w:fill="D0D0D0"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R-1</w:t>
            </w:r>
          </w:p>
        </w:tc>
        <w:tc>
          <w:tcPr>
            <w:tcW w:type="dxa" w:w="933"/>
            <w:tcBorders>
              <w:top w:val="single" w:color="000000" w:sz="4"/>
              <w:left w:val="single" w:color="000000" w:sz="4"/>
              <w:bottom w:val="single" w:color="000000" w:sz="4"/>
              <w:right w:val="single" w:color="000000" w:sz="4"/>
            </w:tcBorders>
            <w:shd w:fill="D0D0D0"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R-2</w:t>
            </w:r>
          </w:p>
        </w:tc>
        <w:tc>
          <w:tcPr>
            <w:tcW w:type="dxa" w:w="934"/>
            <w:tcBorders>
              <w:top w:val="single" w:color="000000" w:sz="4"/>
              <w:left w:val="single" w:color="000000" w:sz="4"/>
              <w:bottom w:val="single" w:color="000000" w:sz="4"/>
              <w:right w:val="single" w:color="000000" w:sz="4"/>
            </w:tcBorders>
            <w:shd w:fill="D0D0D0"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R-L</w:t>
            </w:r>
          </w:p>
        </w:tc>
      </w:tr>
      <w:t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LEAD-2 Baseline</w:t>
            </w:r>
          </w:p>
        </w:tc>
        <w:tc>
          <w:tcPr>
            <w:tcW w:type="dxa" w:w="933"/>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32.11</w:t>
            </w:r>
          </w:p>
        </w:tc>
        <w:tc>
          <w:tcPr>
            <w:tcW w:type="dxa" w:w="933"/>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18.88</w:t>
            </w:r>
          </w:p>
        </w:tc>
        <w:tc>
          <w:tcPr>
            <w:tcW w:type="dxa" w:w="934"/>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26.86</w:t>
            </w:r>
          </w:p>
        </w:tc>
      </w:tr>
      <w:t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BERT2GPT (no FT)</w:t>
            </w:r>
          </w:p>
        </w:tc>
        <w:tc>
          <w:tcPr>
            <w:tcW w:type="dxa" w:w="933"/>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39.23</w:t>
            </w:r>
          </w:p>
        </w:tc>
        <w:tc>
          <w:tcPr>
            <w:tcW w:type="dxa" w:w="933"/>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21.47</w:t>
            </w:r>
          </w:p>
        </w:tc>
        <w:tc>
          <w:tcPr>
            <w:tcW w:type="dxa" w:w="934"/>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31.95</w:t>
            </w:r>
          </w:p>
        </w:tc>
      </w:tr>
      <w:t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BERT2GPT + IndoSum</w:t>
            </w:r>
          </w:p>
        </w:tc>
        <w:tc>
          <w:tcPr>
            <w:tcW w:type="dxa" w:w="933"/>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35.83</w:t>
            </w:r>
          </w:p>
        </w:tc>
        <w:tc>
          <w:tcPr>
            <w:tcW w:type="dxa" w:w="933"/>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18.96</w:t>
            </w:r>
          </w:p>
        </w:tc>
        <w:tc>
          <w:tcPr>
            <w:tcW w:type="dxa" w:w="934"/>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29.86</w:t>
            </w:r>
          </w:p>
        </w:tc>
      </w:tr>
      <w:t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BERT2GPT + Liputan6</w:t>
            </w:r>
          </w:p>
        </w:tc>
        <w:tc>
          <w:tcPr>
            <w:tcW w:type="dxa" w:w="933"/>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35.83</w:t>
            </w:r>
          </w:p>
        </w:tc>
        <w:tc>
          <w:tcPr>
            <w:tcW w:type="dxa" w:w="933"/>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18.96</w:t>
            </w:r>
          </w:p>
        </w:tc>
        <w:tc>
          <w:tcPr>
            <w:tcW w:type="dxa" w:w="934"/>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29.86</w:t>
            </w:r>
          </w:p>
        </w:tc>
      </w:tr>
    </w:tbl>
    <w:p>
      <w:pPr>
        <w:spacing w:after="120" w:line="236"/>
        <w:ind/>
        <w:jc w:val="center"/>
      </w:pPr>
      <w:r>
        <w:rPr>
          <w:rFonts w:ascii="Times New Roman" w:cs="Times New Roman" w:eastAsia="Times New Roman" w:hAnsi="Times New Roman"/>
          <w:i/>
          <w:iCs/>
          <w:sz w:val="18"/>
          <w:szCs w:val="18"/>
        </w:rPr>
        <w:t xml:space="preserve">Table I. ROUGE Scores on Liputan6 Test Set (200 samples). Best scores in bold.</w:t>
      </w:r>
    </w:p>
    <w:p>
      <w:pPr>
        <w:spacing w:after="100" w:line="236"/>
        <w:ind w:firstLine="360"/>
        <w:jc w:val="both"/>
      </w:pPr>
      <w:r>
        <w:rPr>
          <w:rFonts w:ascii="Times New Roman" w:cs="Times New Roman" w:eastAsia="Times New Roman" w:hAnsi="Times New Roman"/>
          <w:sz w:val="20"/>
          <w:szCs w:val="20"/>
        </w:rPr>
        <w:t xml:space="preserve">Several factors may explain this outcome. First, the cahya/bert2gpt-indonesian-summarization checkpoint has already been pre-trained on Indonesian text and previously adapted to summarization tasks. The base model is therefore well aligned with the news domain from the start. Second, our fine-tuning used only 50,000 Liputan6 samples (roughly one-fourth of the full training set) due to computational constraints. With limited data and three epochs at a reduced learning rate, the fine-tuning process likely caused partial catastrophic forgetting of the broader language patterns the base model had learned. Third, the dataset distribution may not differ enough from the original pretraining to justify aggressive adaptation.</w:t>
      </w:r>
    </w:p>
    <w:p>
      <w:pPr>
        <w:spacing w:after="100" w:line="236"/>
        <w:ind w:firstLine="360"/>
        <w:jc w:val="both"/>
      </w:pPr>
      <w:r>
        <w:rPr>
          <w:rFonts w:ascii="Times New Roman" w:cs="Times New Roman" w:eastAsia="Times New Roman" w:hAnsi="Times New Roman"/>
          <w:sz w:val="20"/>
          <w:szCs w:val="20"/>
        </w:rPr>
        <w:t xml:space="preserve">The LEAD-2 baseline scored the lowest overall. The gap between LEAD-2 and the fine-tuned Liputan6 model is smaller than the gap to the pre-trained model, which is consistent with the known finding that Liputan6 summaries are partly derived from article leads.</w:t>
      </w:r>
    </w:p>
    <w:p>
      <w:pPr>
        <w:spacing w:after="60" w:line="236"/>
        <w:ind/>
        <w:jc w:val="left"/>
      </w:pPr>
      <w:r>
        <w:rPr>
          <w:rFonts w:ascii="Times New Roman" w:cs="Times New Roman" w:eastAsia="Times New Roman" w:hAnsi="Times New Roman"/>
          <w:i/>
          <w:iCs/>
          <w:sz w:val="20"/>
          <w:szCs w:val="20"/>
        </w:rPr>
        <w:t xml:space="preserve">B. Summarization Results on IndoSum</w:t>
      </w:r>
    </w:p>
    <w:p>
      <w:pPr>
        <w:spacing w:after="100" w:line="236"/>
        <w:ind w:firstLine="360"/>
        <w:jc w:val="both"/>
      </w:pPr>
      <w:r>
        <w:rPr>
          <w:rFonts w:ascii="Times New Roman" w:cs="Times New Roman" w:eastAsia="Times New Roman" w:hAnsi="Times New Roman"/>
          <w:sz w:val="20"/>
          <w:szCs w:val="20"/>
        </w:rPr>
        <w:t xml:space="preserve">Model 3, fine-tuned on IndoSum, was also evaluated on the IndoSum test set. The scores were R-1: 91.93, R-2: 89.83, R-L: 91.25. These numbers require careful interpretation. IndoSum reference summaries are largely extractive and share long contiguous spans with the source articles. A model that learns to copy these spans receives very high ROUGE scores regardless of abstractive quality. We report these results only for completeness. The Liputan6 evaluation in Table I is more meaningful.</w:t>
      </w:r>
    </w:p>
    <w:p>
      <w:pPr>
        <w:spacing w:after="60" w:line="236"/>
        <w:ind/>
        <w:jc w:val="left"/>
      </w:pPr>
      <w:r>
        <w:rPr>
          <w:rFonts w:ascii="Times New Roman" w:cs="Times New Roman" w:eastAsia="Times New Roman" w:hAnsi="Times New Roman"/>
          <w:i/>
          <w:iCs/>
          <w:sz w:val="20"/>
          <w:szCs w:val="20"/>
        </w:rPr>
        <w:t xml:space="preserve">C. Named Entity Recognition Results</w:t>
      </w:r>
    </w:p>
    <w:p>
      <w:pPr>
        <w:spacing w:after="100" w:line="236"/>
        <w:ind w:firstLine="360"/>
        <w:jc w:val="both"/>
      </w:pPr>
      <w:r>
        <w:rPr>
          <w:rFonts w:ascii="Times New Roman" w:cs="Times New Roman" w:eastAsia="Times New Roman" w:hAnsi="Times New Roman"/>
          <w:sz w:val="20"/>
          <w:szCs w:val="20"/>
        </w:rPr>
        <w:t xml:space="preserve">Table II presents the precision, recall, and F1-score for Model 5 on 200 samples from the NERGrit test set. The overall F1 of 0.2320 is substantially lower than values above 0.75 typically reported on IndoNLU benchmarks. The main reason is the label schema mismatch: the model was trained with six categories while NERGrit uses three. Our mapping merges LOC and GPE into PLACE and drops DATE and EVT entirely, introducing ambiguity and reducing recall. The model also was not trained on NERGrit annotations, so its decision boundaries do not match the test annotation guidelines exactly.</w:t>
      </w:r>
    </w:p>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1700"/>
        <w:gridCol w:w="933"/>
        <w:gridCol w:w="933"/>
        <w:gridCol w:w="934"/>
      </w:tblGrid>
      <w:tr>
        <w:tc>
          <w:tcPr>
            <w:tcW w:type="dxa" w:w="1700"/>
            <w:tcBorders>
              <w:top w:val="single" w:color="000000" w:sz="4"/>
              <w:left w:val="single" w:color="000000" w:sz="4"/>
              <w:bottom w:val="single" w:color="000000" w:sz="4"/>
              <w:right w:val="single" w:color="000000" w:sz="4"/>
            </w:tcBorders>
            <w:shd w:fill="D0D0D0"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Model</w:t>
            </w:r>
          </w:p>
        </w:tc>
        <w:tc>
          <w:tcPr>
            <w:tcW w:type="dxa" w:w="933"/>
            <w:tcBorders>
              <w:top w:val="single" w:color="000000" w:sz="4"/>
              <w:left w:val="single" w:color="000000" w:sz="4"/>
              <w:bottom w:val="single" w:color="000000" w:sz="4"/>
              <w:right w:val="single" w:color="000000" w:sz="4"/>
            </w:tcBorders>
            <w:shd w:fill="D0D0D0"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P</w:t>
            </w:r>
          </w:p>
        </w:tc>
        <w:tc>
          <w:tcPr>
            <w:tcW w:type="dxa" w:w="933"/>
            <w:tcBorders>
              <w:top w:val="single" w:color="000000" w:sz="4"/>
              <w:left w:val="single" w:color="000000" w:sz="4"/>
              <w:bottom w:val="single" w:color="000000" w:sz="4"/>
              <w:right w:val="single" w:color="000000" w:sz="4"/>
            </w:tcBorders>
            <w:shd w:fill="D0D0D0"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R</w:t>
            </w:r>
          </w:p>
        </w:tc>
        <w:tc>
          <w:tcPr>
            <w:tcW w:type="dxa" w:w="934"/>
            <w:tcBorders>
              <w:top w:val="single" w:color="000000" w:sz="4"/>
              <w:left w:val="single" w:color="000000" w:sz="4"/>
              <w:bottom w:val="single" w:color="000000" w:sz="4"/>
              <w:right w:val="single" w:color="000000" w:sz="4"/>
            </w:tcBorders>
            <w:shd w:fill="D0D0D0"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F1</w:t>
            </w:r>
          </w:p>
        </w:tc>
      </w:tr>
      <w:t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IndoBERT-NER</w:t>
            </w:r>
          </w:p>
        </w:tc>
        <w:tc>
          <w:tcPr>
            <w:tcW w:type="dxa" w:w="933"/>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0.1774</w:t>
            </w:r>
          </w:p>
        </w:tc>
        <w:tc>
          <w:tcPr>
            <w:tcW w:type="dxa" w:w="933"/>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0.3353</w:t>
            </w:r>
          </w:p>
        </w:tc>
        <w:tc>
          <w:tcPr>
            <w:tcW w:type="dxa" w:w="934"/>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0.2320</w:t>
            </w:r>
          </w:p>
        </w:tc>
      </w:tr>
    </w:tbl>
    <w:p>
      <w:pPr>
        <w:spacing w:after="120" w:line="236"/>
        <w:ind/>
        <w:jc w:val="center"/>
      </w:pPr>
      <w:r>
        <w:rPr>
          <w:rFonts w:ascii="Times New Roman" w:cs="Times New Roman" w:eastAsia="Times New Roman" w:hAnsi="Times New Roman"/>
          <w:i/>
          <w:iCs/>
          <w:sz w:val="18"/>
          <w:szCs w:val="18"/>
        </w:rPr>
        <w:t xml:space="preserve">Table II. NER Results on IndoNLU NERGrit Test Set (200 samples).</w:t>
      </w:r>
    </w:p>
    <w:p>
      <w:pPr>
        <w:spacing w:after="100" w:line="236"/>
        <w:ind w:firstLine="360"/>
        <w:jc w:val="both"/>
      </w:pPr>
      <w:r>
        <w:rPr>
          <w:rFonts w:ascii="Times New Roman" w:cs="Times New Roman" w:eastAsia="Times New Roman" w:hAnsi="Times New Roman"/>
          <w:sz w:val="20"/>
          <w:szCs w:val="20"/>
        </w:rPr>
        <w:t xml:space="preserve">In qualitative testing on real news articles, the model performs considerably better than the F1 score suggests. For an article about a political meeting, the model correctly identifies major individuals, organizations, and locations. The cross-dataset score reported here should be treated as a lower bound rather than an indicator of practical utility.</w:t>
      </w:r>
    </w:p>
    <w:p>
      <w:pPr>
        <w:spacing w:after="60" w:line="236"/>
        <w:ind/>
        <w:jc w:val="left"/>
      </w:pPr>
      <w:r>
        <w:rPr>
          <w:rFonts w:ascii="Times New Roman" w:cs="Times New Roman" w:eastAsia="Times New Roman" w:hAnsi="Times New Roman"/>
          <w:i/>
          <w:iCs/>
          <w:sz w:val="20"/>
          <w:szCs w:val="20"/>
        </w:rPr>
        <w:t xml:space="preserve">D. Qualitative Analysis</w:t>
      </w:r>
    </w:p>
    <w:p>
      <w:pPr>
        <w:spacing w:after="100" w:line="236"/>
        <w:ind w:firstLine="360"/>
        <w:jc w:val="both"/>
      </w:pPr>
      <w:r>
        <w:rPr>
          <w:rFonts w:ascii="Times New Roman" w:cs="Times New Roman" w:eastAsia="Times New Roman" w:hAnsi="Times New Roman"/>
          <w:sz w:val="20"/>
          <w:szCs w:val="20"/>
        </w:rPr>
        <w:t xml:space="preserve">For most articles, the summarization output captures the main event in a coherent two-sentence to four-sentence format. The post-processing pipeline successfully restores capitalization of proper nouns and removes most repetitive content. Some failure modes remain. The model handles compound numerical entities poorly: a phrase like 1.6 miliar Pound (Rp 28 triliun) is sometimes reconstructed as 1, 6 miliar Rp 28 triliunan because the tokenizer splits the numbers across sub-word tokens. Long summaries also occasionally contain partial phrase repetitions within the same sentence, which reflects general limitations of seq2seq decoding with small vocabulary models.</w:t>
      </w:r>
    </w:p>
    <w:p>
      <w:pPr>
        <w:spacing w:after="100" w:line="236"/>
        <w:ind w:firstLine="360"/>
        <w:jc w:val="both"/>
      </w:pPr>
      <w:r>
        <w:rPr>
          <w:rFonts w:ascii="Times New Roman" w:cs="Times New Roman" w:eastAsia="Times New Roman" w:hAnsi="Times New Roman"/>
          <w:sz w:val="20"/>
          <w:szCs w:val="20"/>
        </w:rPr>
        <w:t xml:space="preserve">For NER, the most common error is over-segmentation of compound names. Donald Trump is occasionally split into two separate PER entities rather than merged into a single span. The simple aggregation strategy handles most of these cases, but residual errors remain when WordPiece tokenization produces unusual splits.</w:t>
      </w:r>
    </w:p>
    <w:p>
      <w:pPr>
        <w:spacing w:after="60" w:line="236"/>
        <w:ind/>
        <w:jc w:val="left"/>
      </w:pPr>
      <w:r>
        <w:rPr>
          <w:rFonts w:ascii="Times New Roman" w:cs="Times New Roman" w:eastAsia="Times New Roman" w:hAnsi="Times New Roman"/>
          <w:i/>
          <w:iCs/>
          <w:sz w:val="20"/>
          <w:szCs w:val="20"/>
        </w:rPr>
        <w:t xml:space="preserve">E. Limitations</w:t>
      </w:r>
    </w:p>
    <w:p>
      <w:pPr>
        <w:spacing w:after="100" w:line="236"/>
        <w:ind w:firstLine="360"/>
        <w:jc w:val="both"/>
      </w:pPr>
      <w:r>
        <w:rPr>
          <w:rFonts w:ascii="Times New Roman" w:cs="Times New Roman" w:eastAsia="Times New Roman" w:hAnsi="Times New Roman"/>
          <w:sz w:val="20"/>
          <w:szCs w:val="20"/>
        </w:rPr>
        <w:t xml:space="preserve">This study has several limitations. First, fine-tuning used only 50,000 of the available 193,883 Liputan6 training samples due to compute constraints. Training on the full corpus might produce a model that surpasses the no-fine-tune baseline. Second, the case map post-processing occasionally capitalizes ordinary words that happen to appear capitalized in the article. Third, the NER evaluation is cross-dataset, which substantially understates practical performance. Fourth, we evaluated only one base model family (BERT2GPT). A comparison against IndoBART or mBART-based models would provide a broader view.</w:t>
      </w:r>
    </w:p>
    <w:p>
      <w:pPr>
        <w:spacing w:after="80" w:line="236"/>
        <w:ind/>
        <w:jc w:val="center"/>
      </w:pPr>
      <w:r>
        <w:rPr>
          <w:rFonts w:ascii="Times New Roman" w:cs="Times New Roman" w:eastAsia="Times New Roman" w:hAnsi="Times New Roman"/>
          <w:b/>
          <w:bCs/>
          <w:caps/>
          <w:sz w:val="20"/>
          <w:szCs w:val="20"/>
        </w:rPr>
        <w:t xml:space="preserve">V. Conclusion</w:t>
      </w:r>
    </w:p>
    <w:p>
      <w:pPr>
        <w:spacing w:after="100" w:line="236"/>
        <w:ind w:firstLine="360"/>
        <w:jc w:val="both"/>
      </w:pPr>
      <w:r>
        <w:rPr>
          <w:rFonts w:ascii="Times New Roman" w:cs="Times New Roman" w:eastAsia="Times New Roman" w:hAnsi="Times New Roman"/>
          <w:sz w:val="20"/>
          <w:szCs w:val="20"/>
        </w:rPr>
        <w:t xml:space="preserve">This study presented an integrated system for Indonesian news summarization and named entity recognition. We compared four summarization approaches spanning from a simple extractive baseline to a fine-tuned encoder-decoder model, and evaluated a pre-trained NER model under cross-dataset conditions.</w:t>
      </w:r>
    </w:p>
    <w:p>
      <w:pPr>
        <w:spacing w:after="100" w:line="236"/>
        <w:ind w:firstLine="360"/>
        <w:jc w:val="both"/>
      </w:pPr>
      <w:r>
        <w:rPr>
          <w:rFonts w:ascii="Times New Roman" w:cs="Times New Roman" w:eastAsia="Times New Roman" w:hAnsi="Times New Roman"/>
          <w:sz w:val="20"/>
          <w:szCs w:val="20"/>
        </w:rPr>
        <w:t xml:space="preserve">The main finding is counter-intuitive: the pre-trained BERT2GPT without additional fine-tuning achieved the best ROUGE scores on Liputan6, outperforming both fine-tuned variants. This indicates that for already well-adapted Indonesian models, aggressive fine-tuning on small data subsets can degrade performance. Future work should explore fine-tuning on the full 193K Liputan6 corpus using techniques such as learning rate warm-up, gradient accumulation, and parameter-efficient methods to avoid catastrophic forgetting.</w:t>
      </w:r>
    </w:p>
    <w:p>
      <w:pPr>
        <w:spacing w:after="100" w:line="236"/>
        <w:ind w:firstLine="360"/>
        <w:jc w:val="both"/>
      </w:pPr>
      <w:r>
        <w:rPr>
          <w:rFonts w:ascii="Times New Roman" w:cs="Times New Roman" w:eastAsia="Times New Roman" w:hAnsi="Times New Roman"/>
          <w:sz w:val="20"/>
          <w:szCs w:val="20"/>
        </w:rPr>
        <w:t xml:space="preserve">For the NER component, the cross-dataset F1 of 0.2320 reflects label schema mismatch rather than poor model quality. Future work could fine-tune the NER model directly on NERGrit annotations or build a unified label scheme for downstream use.</w:t>
      </w:r>
    </w:p>
    <w:p>
      <w:pPr>
        <w:spacing w:after="100" w:line="236"/>
        <w:ind w:firstLine="360"/>
        <w:jc w:val="both"/>
      </w:pPr>
      <w:r>
        <w:rPr>
          <w:rFonts w:ascii="Times New Roman" w:cs="Times New Roman" w:eastAsia="Times New Roman" w:hAnsi="Times New Roman"/>
          <w:sz w:val="20"/>
          <w:szCs w:val="20"/>
        </w:rPr>
        <w:t xml:space="preserve">The complete system is packaged as a web application accessible through any browser. The combination of summarization and entity extraction in a single interface provides a useful tool for Indonesian readers and demonstrates how publicly available pre-trained models can be assembled into a practical end-to-end application without specialized infrastructure.</w:t>
      </w:r>
    </w:p>
    <w:p>
      <w:pPr>
        <w:spacing w:after="80" w:line="236"/>
        <w:ind/>
        <w:jc w:val="center"/>
      </w:pPr>
      <w:r>
        <w:rPr>
          <w:rFonts w:ascii="Times New Roman" w:cs="Times New Roman" w:eastAsia="Times New Roman" w:hAnsi="Times New Roman"/>
          <w:b/>
          <w:bCs/>
          <w:caps/>
          <w:sz w:val="20"/>
          <w:szCs w:val="20"/>
        </w:rPr>
        <w:t xml:space="preserve">VI. References</w:t>
      </w:r>
    </w:p>
    <w:p>
      <w:pPr>
        <w:spacing w:after="60" w:line="220"/>
        <w:ind w:left="360" w:hanging="360"/>
        <w:jc w:val="both"/>
      </w:pPr>
      <w:r>
        <w:rPr>
          <w:rFonts w:ascii="Times New Roman" w:cs="Times New Roman" w:eastAsia="Times New Roman" w:hAnsi="Times New Roman"/>
          <w:sz w:val="18"/>
          <w:szCs w:val="18"/>
        </w:rPr>
        <w:t xml:space="preserve">[1] F. Koto, A. Rahimi, J. H. Lau, and T. Baldwin, IndoLEM and IndoBERT: A Benchmark Dataset and Pre-trained Language Model for Indonesian NLP, in Proc. COLING, 2020, pp. 609-619. https://aclanthology.org/2020.coling-main.53</w:t>
      </w:r>
    </w:p>
    <w:p>
      <w:pPr>
        <w:spacing w:after="60" w:line="220"/>
        <w:ind w:left="360" w:hanging="360"/>
        <w:jc w:val="both"/>
      </w:pPr>
      <w:r>
        <w:rPr>
          <w:rFonts w:ascii="Times New Roman" w:cs="Times New Roman" w:eastAsia="Times New Roman" w:hAnsi="Times New Roman"/>
          <w:sz w:val="18"/>
          <w:szCs w:val="18"/>
        </w:rPr>
        <w:t xml:space="preserve">[2] S. Cahyawijaya, G. I. Winata, B. Wilie, K. Vincentio, X. Li, A. Kuncoro, S. Ruder, Z. Y. Lim, S. Bahar, M. L. Khodra, A. Purwarianti, and P. Fung, IndoNLG: Benchmark and Resources for Evaluating Indonesian Natural Language Generation, in Proc. EMNLP, 2021, pp. 8875-8898. https://aclanthology.org/2021.emnlp-main.699</w:t>
      </w:r>
    </w:p>
    <w:p>
      <w:pPr>
        <w:spacing w:after="60" w:line="220"/>
        <w:ind w:left="360" w:hanging="360"/>
        <w:jc w:val="both"/>
      </w:pPr>
      <w:r>
        <w:rPr>
          <w:rFonts w:ascii="Times New Roman" w:cs="Times New Roman" w:eastAsia="Times New Roman" w:hAnsi="Times New Roman"/>
          <w:sz w:val="18"/>
          <w:szCs w:val="18"/>
        </w:rPr>
        <w:t xml:space="preserve">[3] B. Wilie, K. Vincentio, G. I. Winata, S. Cahyawijaya, X. Li, Z. Y. Lim, S. Soleman, R. Mahendra, P. Fung, S. Bahar, and A. Purwarianti, IndoNLU: Benchmark and Resources for Evaluating Indonesian Natural Language Understanding, in Proc. AACL-IJCNLP, 2020, pp. 843-857. https://aclanthology.org/2020.aacl-main.85</w:t>
      </w:r>
    </w:p>
    <w:p>
      <w:pPr>
        <w:spacing w:after="60" w:line="220"/>
        <w:ind w:left="360" w:hanging="360"/>
        <w:jc w:val="both"/>
      </w:pPr>
      <w:r>
        <w:rPr>
          <w:rFonts w:ascii="Times New Roman" w:cs="Times New Roman" w:eastAsia="Times New Roman" w:hAnsi="Times New Roman"/>
          <w:sz w:val="18"/>
          <w:szCs w:val="18"/>
        </w:rPr>
        <w:t xml:space="preserve">[4] K. Kurniawan and S. Louvan, IndoSum: A New Benchmark Dataset for Indonesian Text Summarization, in Proc. IALP, 2018, pp. 215-220. https://doi.org/10.1109/IALP.2018.8629109</w:t>
      </w:r>
    </w:p>
    <w:p>
      <w:pPr>
        <w:spacing w:after="60" w:line="220"/>
        <w:ind w:left="360" w:hanging="360"/>
        <w:jc w:val="both"/>
      </w:pPr>
      <w:r>
        <w:rPr>
          <w:rFonts w:ascii="Times New Roman" w:cs="Times New Roman" w:eastAsia="Times New Roman" w:hAnsi="Times New Roman"/>
          <w:sz w:val="18"/>
          <w:szCs w:val="18"/>
        </w:rPr>
        <w:t xml:space="preserve">[5] F. Koto, J. H. Lau, and T. Baldwin, Liputan6: A Large-scale Indonesian Dataset for Text Summarization, in Proc. AACL-IJCNLP, 2020, pp. 598-608. https://aclanthology.org/2020.aacl-main.60</w:t>
      </w:r>
    </w:p>
    <w:p>
      <w:pPr>
        <w:spacing w:after="60" w:line="220"/>
        <w:ind w:left="360" w:hanging="360"/>
        <w:jc w:val="both"/>
      </w:pPr>
      <w:r>
        <w:rPr>
          <w:rFonts w:ascii="Times New Roman" w:cs="Times New Roman" w:eastAsia="Times New Roman" w:hAnsi="Times New Roman"/>
          <w:sz w:val="18"/>
          <w:szCs w:val="18"/>
        </w:rPr>
        <w:t xml:space="preserve">[6] T. Hasan, A. Bhattacharjee, M. S. Islam, K. Mubasshir, Y.-F. Li, Y.-B. Kang, M. S. Rahman, and R. Shahriyar, XL-Sum: Large-Scale Multilingual Abstractive Summarization for 44 Languages, in Findings of ACL-IJCNLP, 2021, pp. 4693-4703. https://aclanthology.org/2021.findings-acl.413</w:t>
      </w:r>
    </w:p>
    <w:p>
      <w:pPr>
        <w:spacing w:after="60" w:line="220"/>
        <w:ind w:left="360" w:hanging="360"/>
        <w:jc w:val="both"/>
      </w:pPr>
      <w:r>
        <w:rPr>
          <w:rFonts w:ascii="Times New Roman" w:cs="Times New Roman" w:eastAsia="Times New Roman" w:hAnsi="Times New Roman"/>
          <w:sz w:val="18"/>
          <w:szCs w:val="18"/>
        </w:rPr>
        <w:t xml:space="preserve">[7] J. Devlin, M.-W. Chang, K. Lee, and K. Toutanova, BERT: Pre-training of Deep Bidirectional Transformers for Language Understanding, in Proc. NAACL-HLT, 2019, pp. 4171-4186. https://aclanthology.org/N19-1423</w:t>
      </w:r>
    </w:p>
    <w:p>
      <w:pPr>
        <w:spacing w:after="60" w:line="220"/>
        <w:ind w:left="360" w:hanging="360"/>
        <w:jc w:val="both"/>
      </w:pPr>
      <w:r>
        <w:rPr>
          <w:rFonts w:ascii="Times New Roman" w:cs="Times New Roman" w:eastAsia="Times New Roman" w:hAnsi="Times New Roman"/>
          <w:sz w:val="18"/>
          <w:szCs w:val="18"/>
        </w:rPr>
        <w:t xml:space="preserve">[8] A. Radford, J. Wu, R. Child, D. Luan, D. Amodei, and I. Sutskever, Language Models are Unsupervised Multitask Learners, OpenAI Technical Report, 2019.</w:t>
      </w:r>
    </w:p>
    <w:p>
      <w:pPr>
        <w:spacing w:after="60" w:line="220"/>
        <w:ind w:left="360" w:hanging="360"/>
        <w:jc w:val="both"/>
      </w:pPr>
      <w:r>
        <w:rPr>
          <w:rFonts w:ascii="Times New Roman" w:cs="Times New Roman" w:eastAsia="Times New Roman" w:hAnsi="Times New Roman"/>
          <w:sz w:val="18"/>
          <w:szCs w:val="18"/>
        </w:rPr>
        <w:t xml:space="preserve">[9] M. Lewis, Y. Liu, N. Goyal, M. Ghazvininejad, A. Mohamed, O. Levy, V. Stoyanov, and L. Zettlemoyer, BART: Denoising Sequence-to-Sequence Pre-training for Natural Language Generation, Translation, and Comprehension, in Proc. ACL, 2020, pp. 7871-7880. https://aclanthology.org/2020.acl-main.703</w:t>
      </w:r>
    </w:p>
    <w:p>
      <w:pPr>
        <w:spacing w:after="60" w:line="220"/>
        <w:ind w:left="360" w:hanging="360"/>
        <w:jc w:val="both"/>
      </w:pPr>
      <w:r>
        <w:rPr>
          <w:rFonts w:ascii="Times New Roman" w:cs="Times New Roman" w:eastAsia="Times New Roman" w:hAnsi="Times New Roman"/>
          <w:sz w:val="18"/>
          <w:szCs w:val="18"/>
        </w:rPr>
        <w:t xml:space="preserve">[10] A. See, P. J. Liu, and C. D. Manning, Get To The Point: Summarization with Pointer-Generator Networks, in Proc. ACL, 2017, pp. 1073-1083. https://aclanthology.org/P17-1099</w:t>
      </w:r>
    </w:p>
    <w:p>
      <w:pPr>
        <w:spacing w:after="60" w:line="220"/>
        <w:ind w:left="360" w:hanging="360"/>
        <w:jc w:val="both"/>
      </w:pPr>
      <w:r>
        <w:rPr>
          <w:rFonts w:ascii="Times New Roman" w:cs="Times New Roman" w:eastAsia="Times New Roman" w:hAnsi="Times New Roman"/>
          <w:sz w:val="18"/>
          <w:szCs w:val="18"/>
        </w:rPr>
        <w:t xml:space="preserve">[11] R. Nallapati, B. Zhou, C. dos Santos, C. Gulcehre, and B. Xiang, Abstractive Text Summarization using Sequence-to-Sequence RNNs and Beyond, in Proc. CoNLL, 2016, pp. 280-290. https://aclanthology.org/K16-1028</w:t>
      </w:r>
    </w:p>
    <w:p>
      <w:pPr>
        <w:spacing w:after="60" w:line="220"/>
        <w:ind w:left="360" w:hanging="360"/>
        <w:jc w:val="both"/>
      </w:pPr>
      <w:r>
        <w:rPr>
          <w:rFonts w:ascii="Times New Roman" w:cs="Times New Roman" w:eastAsia="Times New Roman" w:hAnsi="Times New Roman"/>
          <w:sz w:val="18"/>
          <w:szCs w:val="18"/>
        </w:rPr>
        <w:t xml:space="preserve">[12] A. Vaswani, N. Shazeer, N. Parmar, J. Uszkoreit, L. Jones, A. N. Gomez, L. Kaiser, and I. Polosukhin, Attention Is All You Need, in Proc. NeurIPS, 2017. https://arxiv.org/abs/1706.03762</w:t>
      </w:r>
    </w:p>
    <w:p>
      <w:pPr>
        <w:spacing w:after="60" w:line="220"/>
        <w:ind w:left="360" w:hanging="360"/>
        <w:jc w:val="both"/>
      </w:pPr>
      <w:r>
        <w:rPr>
          <w:rFonts w:ascii="Times New Roman" w:cs="Times New Roman" w:eastAsia="Times New Roman" w:hAnsi="Times New Roman"/>
          <w:sz w:val="18"/>
          <w:szCs w:val="18"/>
        </w:rPr>
        <w:t xml:space="preserve">[13] C.-Y. Lin, ROUGE: A Package for Automatic Evaluation of Summaries, in Proc. ACL Workshop on Text Summarization Branches Out, 2004, pp. 74-81. https://aclanthology.org/W04-1013</w:t>
      </w:r>
    </w:p>
    <w:p>
      <w:pPr>
        <w:spacing w:after="60" w:line="220"/>
        <w:ind w:left="360" w:hanging="360"/>
        <w:jc w:val="both"/>
      </w:pPr>
      <w:r>
        <w:rPr>
          <w:rFonts w:ascii="Times New Roman" w:cs="Times New Roman" w:eastAsia="Times New Roman" w:hAnsi="Times New Roman"/>
          <w:sz w:val="18"/>
          <w:szCs w:val="18"/>
        </w:rPr>
        <w:t xml:space="preserve">[14] J. Li, A. Sun, J. Han, and C. Li, A Survey on Deep Learning for Named Entity Recognition, IEEE Trans. Knowl. Data Eng., vol. 34, no. 1, pp. 50-70, 2020. https://doi.org/10.1109/TKDE.2020.2981314</w:t>
      </w:r>
    </w:p>
    <w:p>
      <w:pPr>
        <w:spacing w:after="60" w:line="220"/>
        <w:ind w:left="360" w:hanging="360"/>
        <w:jc w:val="both"/>
      </w:pPr>
      <w:r>
        <w:rPr>
          <w:rFonts w:ascii="Times New Roman" w:cs="Times New Roman" w:eastAsia="Times New Roman" w:hAnsi="Times New Roman"/>
          <w:sz w:val="18"/>
          <w:szCs w:val="18"/>
        </w:rPr>
        <w:t xml:space="preserve">[15] T. Wolf, L. Debut, V. Sanh, et al., Transformers: State-of-the-Art Natural Language Processing, in Proc. EMNLP: System Demonstrations, 2020, pp. 38-45. https://aclanthology.org/2020.emnlp-demos.6</w:t>
      </w:r>
    </w:p>
    <w:p>
      <w:pPr>
        <w:spacing w:after="80" w:line="236"/>
        <w:ind/>
        <w:jc w:val="center"/>
      </w:pPr>
      <w:r>
        <w:rPr>
          <w:rFonts w:ascii="Times New Roman" w:cs="Times New Roman" w:eastAsia="Times New Roman" w:hAnsi="Times New Roman"/>
          <w:b/>
          <w:bCs/>
          <w:caps/>
          <w:sz w:val="20"/>
          <w:szCs w:val="20"/>
        </w:rPr>
        <w:t xml:space="preserve">VII. Open Data</w:t>
      </w:r>
    </w:p>
    <w:p>
      <w:pPr>
        <w:spacing w:after="100" w:line="236"/>
        <w:ind w:firstLine="360"/>
        <w:jc w:val="both"/>
      </w:pPr>
      <w:r>
        <w:rPr>
          <w:rFonts w:ascii="Times New Roman" w:cs="Times New Roman" w:eastAsia="Times New Roman" w:hAnsi="Times New Roman"/>
          <w:sz w:val="20"/>
          <w:szCs w:val="20"/>
        </w:rPr>
        <w:t xml:space="preserve">The Liputan6 canonical split can be obtained at https://github.com/fajri91/sum_liputan6. IndoSum is available at https://www.kaggle.com/datasets/linkgish/indosum. The IndoNLU NERGrit subset is accessible via HuggingFace Datasets at https://huggingface.co/datasets/indonlp/indonlu. Pre-trained models used are cahya/bert2gpt-indonesian-summarization and cahya/bert-base-indonesian-NER. Source code for the complete system including the web scraper, fine-tuning scripts, evaluation scripts, FastAPI backend, and web frontend is available in the team GitHub repository.</w:t>
      </w:r>
    </w:p>
    <w:p>
      <w:pPr>
        <w:spacing w:after="80" w:line="236"/>
        <w:ind/>
        <w:jc w:val="center"/>
      </w:pPr>
      <w:r>
        <w:rPr>
          <w:rFonts w:ascii="Times New Roman" w:cs="Times New Roman" w:eastAsia="Times New Roman" w:hAnsi="Times New Roman"/>
          <w:b/>
          <w:bCs/>
          <w:caps/>
          <w:sz w:val="20"/>
          <w:szCs w:val="20"/>
        </w:rPr>
        <w:t xml:space="preserve">VIII. Author Contributorship</w:t>
      </w:r>
    </w:p>
    <w:p>
      <w:pPr>
        <w:spacing w:after="100" w:line="236"/>
        <w:ind w:firstLine="360"/>
        <w:jc w:val="both"/>
      </w:pPr>
      <w:r>
        <w:rPr>
          <w:rFonts w:ascii="Times New Roman" w:cs="Times New Roman" w:eastAsia="Times New Roman" w:hAnsi="Times New Roman"/>
          <w:sz w:val="20"/>
          <w:szCs w:val="20"/>
        </w:rPr>
        <w:t xml:space="preserve">Christopher Setyawan contributed to topic formulation, system architecture design, BERT2GPT fine-tuning on Liputan6, ROUGE evaluation pipeline, web scraper implementation, FastAPI backend development, and writing of the Methodology and Results sections.</w:t>
      </w:r>
    </w:p>
    <w:p>
      <w:pPr>
        <w:spacing w:after="100" w:line="236"/>
        <w:ind w:firstLine="360"/>
        <w:jc w:val="both"/>
      </w:pPr>
      <w:r>
        <w:rPr>
          <w:rFonts w:ascii="Times New Roman" w:cs="Times New Roman" w:eastAsia="Times New Roman" w:hAnsi="Times New Roman"/>
          <w:sz w:val="20"/>
          <w:szCs w:val="20"/>
        </w:rPr>
        <w:t xml:space="preserve">Gracias Kumara Winata contributed to BERT2GPT fine-tuning on IndoSum, NER model integration and post-processing, cross-dataset NER evaluation, frontend implementation, and writing of the Introduction and Related Work sections.</w:t>
      </w:r>
    </w:p>
    <w:p>
      <w:pPr>
        <w:spacing w:after="100" w:line="236"/>
        <w:ind w:firstLine="360"/>
        <w:jc w:val="both"/>
      </w:pPr>
      <w:r>
        <w:rPr>
          <w:rFonts w:ascii="Times New Roman" w:cs="Times New Roman" w:eastAsia="Times New Roman" w:hAnsi="Times New Roman"/>
          <w:sz w:val="20"/>
          <w:szCs w:val="20"/>
        </w:rPr>
        <w:t xml:space="preserve">Vincensius Kevin Mulyono contributed to dataset preparation and preprocessing, LEAD-2 baseline implementation, qualitative analysis of model outputs, post-processing pipeline development, documentation, and writing of the Conclusion and References sections.</w:t>
      </w:r>
    </w:p>
    <w:sectPr>
      <w:pgSz w:w="12240" w:h="15840" w:orient="portrait"/>
      <w:pgMar w:top="1080" w:right="1080" w:bottom="1080" w:left="1080" w:header="708" w:footer="708" w:gutter="0"/>
      <w:pgNumType/>
      <w:cols w:space="72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2026-05-21T05:57:31.994Z</dcterms:created>
  <dcterms:modified xsi:type="dcterms:W3CDTF">2026-05-21T05:57:31.994Z</dcterms:modified>
</cp:coreProperties>
</file>

<file path=docProps/custom.xml><?xml version="1.0" encoding="utf-8"?>
<Properties xmlns="http://schemas.openxmlformats.org/officeDocument/2006/custom-properties" xmlns:vt="http://schemas.openxmlformats.org/officeDocument/2006/docPropsVTypes"/>
</file>