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FFC" w:rsidRPr="00D14611" w:rsidRDefault="00AD3FFC">
      <w:pPr>
        <w:pStyle w:val="BodyText3"/>
        <w:tabs>
          <w:tab w:val="clear" w:pos="720"/>
          <w:tab w:val="clear" w:pos="1080"/>
        </w:tabs>
        <w:rPr>
          <w:szCs w:val="24"/>
        </w:rPr>
      </w:pPr>
      <w:bookmarkStart w:id="0" w:name="_GoBack"/>
      <w:bookmarkEnd w:id="0"/>
      <w:r w:rsidRPr="00D14611">
        <w:rPr>
          <w:szCs w:val="24"/>
        </w:rPr>
        <w:t xml:space="preserve">The following notes </w:t>
      </w:r>
      <w:r w:rsidR="00C80EAF">
        <w:rPr>
          <w:szCs w:val="24"/>
        </w:rPr>
        <w:t>describe</w:t>
      </w:r>
      <w:r w:rsidRPr="00D14611">
        <w:rPr>
          <w:szCs w:val="24"/>
        </w:rPr>
        <w:t xml:space="preserve"> known anomalies in state data reported to the collection agent. Each anomaly recorded here applies to the curren</w:t>
      </w:r>
      <w:r w:rsidR="00CE68B7">
        <w:rPr>
          <w:szCs w:val="24"/>
        </w:rPr>
        <w:t>t fiscal year. The absence of “</w:t>
      </w:r>
      <w:r w:rsidR="00CE68B7" w:rsidRPr="0069708B">
        <w:rPr>
          <w:color w:val="000000"/>
          <w:szCs w:val="24"/>
        </w:rPr>
        <w:t>N</w:t>
      </w:r>
      <w:r w:rsidRPr="00D14611">
        <w:rPr>
          <w:szCs w:val="24"/>
        </w:rPr>
        <w:t>otes” for a state indicates that the state’s data did not contain any anomalies.</w:t>
      </w:r>
    </w:p>
    <w:p w:rsidR="00AD3FFC" w:rsidRPr="00D14611" w:rsidRDefault="00AD3FFC">
      <w:pPr>
        <w:pStyle w:val="BodyText3"/>
        <w:tabs>
          <w:tab w:val="clear" w:pos="720"/>
          <w:tab w:val="clear" w:pos="1080"/>
        </w:tabs>
        <w:rPr>
          <w:szCs w:val="24"/>
        </w:rPr>
      </w:pPr>
    </w:p>
    <w:p w:rsidR="00AD3FFC" w:rsidRPr="00D14611" w:rsidRDefault="00AD3FFC">
      <w:pPr>
        <w:pStyle w:val="Heading2"/>
        <w:rPr>
          <w:b w:val="0"/>
          <w:bCs/>
          <w:szCs w:val="24"/>
          <w:u w:val="single"/>
        </w:rPr>
      </w:pPr>
      <w:r w:rsidRPr="00D14611">
        <w:rPr>
          <w:b w:val="0"/>
          <w:bCs/>
          <w:szCs w:val="24"/>
          <w:u w:val="single"/>
        </w:rPr>
        <w:t>Alabama</w:t>
      </w:r>
    </w:p>
    <w:p w:rsidR="00AD3FFC" w:rsidRPr="00D14611" w:rsidRDefault="00AD3FFC">
      <w:pPr>
        <w:pStyle w:val="Heading3"/>
        <w:ind w:firstLine="720"/>
        <w:jc w:val="left"/>
        <w:rPr>
          <w:b w:val="0"/>
          <w:szCs w:val="24"/>
        </w:rPr>
      </w:pPr>
      <w:r w:rsidRPr="00D14611">
        <w:t xml:space="preserve">Fiscal Year: </w:t>
      </w:r>
      <w:r w:rsidRPr="00D14611">
        <w:rPr>
          <w:b w:val="0"/>
        </w:rPr>
        <w:t>October 1–September 30</w:t>
      </w:r>
    </w:p>
    <w:p w:rsidR="00A20A08" w:rsidRDefault="00A20A08" w:rsidP="00A20A08">
      <w:pPr>
        <w:ind w:firstLine="720"/>
        <w:rPr>
          <w:b/>
          <w:sz w:val="24"/>
          <w:szCs w:val="24"/>
        </w:rPr>
      </w:pPr>
      <w:r w:rsidRPr="00D14611">
        <w:rPr>
          <w:b/>
          <w:sz w:val="24"/>
          <w:szCs w:val="24"/>
        </w:rPr>
        <w:t>Notes:</w:t>
      </w:r>
    </w:p>
    <w:p w:rsidR="009D5A2A" w:rsidRDefault="00AB18F5" w:rsidP="009D5A2A">
      <w:pPr>
        <w:numPr>
          <w:ilvl w:val="0"/>
          <w:numId w:val="1"/>
        </w:numPr>
        <w:rPr>
          <w:sz w:val="24"/>
          <w:szCs w:val="24"/>
        </w:rPr>
      </w:pPr>
      <w:r>
        <w:rPr>
          <w:sz w:val="24"/>
          <w:szCs w:val="24"/>
        </w:rPr>
        <w:t>Alabama reports F-33 data within the state education agency account codes documented in the Alabama State Department of Education</w:t>
      </w:r>
      <w:r w:rsidR="00D75A8C">
        <w:rPr>
          <w:sz w:val="24"/>
          <w:szCs w:val="24"/>
        </w:rPr>
        <w:t xml:space="preserve">’s accounting manual for local education agencies </w:t>
      </w:r>
      <w:r w:rsidR="009D5A2A">
        <w:rPr>
          <w:sz w:val="24"/>
          <w:szCs w:val="24"/>
        </w:rPr>
        <w:t>(</w:t>
      </w:r>
      <w:r w:rsidR="009D5A2A" w:rsidRPr="009D5A2A">
        <w:rPr>
          <w:sz w:val="24"/>
          <w:szCs w:val="24"/>
        </w:rPr>
        <w:t>https://web.alsde.edu/docs/documents/59/Accounting_Manual.zip</w:t>
      </w:r>
      <w:r w:rsidR="009D5A2A">
        <w:rPr>
          <w:sz w:val="24"/>
          <w:szCs w:val="24"/>
        </w:rPr>
        <w:t>).</w:t>
      </w:r>
      <w:r>
        <w:rPr>
          <w:sz w:val="24"/>
          <w:szCs w:val="24"/>
        </w:rPr>
        <w:t xml:space="preserve"> </w:t>
      </w:r>
      <w:r w:rsidR="00FE10CB">
        <w:rPr>
          <w:sz w:val="24"/>
          <w:szCs w:val="24"/>
        </w:rPr>
        <w:t xml:space="preserve">F-33 survey staff crosswalk </w:t>
      </w:r>
      <w:r w:rsidR="00574998">
        <w:rPr>
          <w:sz w:val="24"/>
          <w:szCs w:val="24"/>
        </w:rPr>
        <w:t xml:space="preserve">Alabama’s reported </w:t>
      </w:r>
      <w:r w:rsidR="009D5A2A">
        <w:rPr>
          <w:sz w:val="24"/>
          <w:szCs w:val="24"/>
        </w:rPr>
        <w:t>account code amounts</w:t>
      </w:r>
      <w:r w:rsidR="00574998">
        <w:rPr>
          <w:sz w:val="24"/>
          <w:szCs w:val="24"/>
        </w:rPr>
        <w:t xml:space="preserve"> to each F-33 survey variable.</w:t>
      </w:r>
    </w:p>
    <w:p w:rsidR="004D6576" w:rsidRDefault="00416180" w:rsidP="00A20A08">
      <w:pPr>
        <w:numPr>
          <w:ilvl w:val="0"/>
          <w:numId w:val="1"/>
        </w:numPr>
        <w:rPr>
          <w:sz w:val="24"/>
          <w:szCs w:val="24"/>
        </w:rPr>
      </w:pPr>
      <w:r w:rsidRPr="004D6576">
        <w:rPr>
          <w:sz w:val="24"/>
          <w:szCs w:val="24"/>
        </w:rPr>
        <w:t>Alabama local education agencies do not report long-term debt at the beginning of the fiscal year (19H) or long-term debt at the end of the fiscal year (41F). 19H is gene</w:t>
      </w:r>
      <w:r w:rsidR="004D6576" w:rsidRPr="004D6576">
        <w:rPr>
          <w:sz w:val="24"/>
          <w:szCs w:val="24"/>
        </w:rPr>
        <w:t xml:space="preserve">rally estimated for Alabama local education agencies by setting 19H equal to prior fiscal year 41F. 41F </w:t>
      </w:r>
      <w:r w:rsidR="004D6576">
        <w:rPr>
          <w:sz w:val="24"/>
          <w:szCs w:val="24"/>
        </w:rPr>
        <w:t>generally estimated for Alabama local education agencies by setting 41F equal to 19H + long-term debt issued during the fiscal year (21F) – long-term debt retired during the fiscal year (31F).</w:t>
      </w:r>
    </w:p>
    <w:p w:rsidR="00A20A08" w:rsidRPr="004D6576" w:rsidRDefault="00A20A08" w:rsidP="00A20A08">
      <w:pPr>
        <w:numPr>
          <w:ilvl w:val="0"/>
          <w:numId w:val="1"/>
        </w:numPr>
        <w:rPr>
          <w:sz w:val="24"/>
          <w:szCs w:val="24"/>
        </w:rPr>
      </w:pPr>
      <w:r w:rsidRPr="004D6576">
        <w:rPr>
          <w:sz w:val="24"/>
          <w:szCs w:val="24"/>
        </w:rPr>
        <w:t xml:space="preserve">Students do not pay transportation fees (A08) in Alabama. </w:t>
      </w:r>
    </w:p>
    <w:p w:rsidR="00AD3FFC" w:rsidRPr="00D14611" w:rsidRDefault="00AD3FFC">
      <w:pPr>
        <w:pStyle w:val="BodyTextIndent"/>
        <w:ind w:firstLine="720"/>
        <w:rPr>
          <w:szCs w:val="24"/>
        </w:rPr>
      </w:pPr>
    </w:p>
    <w:p w:rsidR="00AD3FFC" w:rsidRPr="00D14611" w:rsidRDefault="00AD3FFC">
      <w:pPr>
        <w:pStyle w:val="Heading2"/>
        <w:rPr>
          <w:szCs w:val="24"/>
        </w:rPr>
      </w:pPr>
      <w:r w:rsidRPr="00D14611">
        <w:rPr>
          <w:b w:val="0"/>
          <w:bCs/>
          <w:szCs w:val="24"/>
          <w:u w:val="single"/>
        </w:rPr>
        <w:t>Alaska</w:t>
      </w:r>
    </w:p>
    <w:p w:rsidR="00AD3FFC" w:rsidRPr="00D14611" w:rsidRDefault="00AD3FFC">
      <w:pPr>
        <w:ind w:firstLine="720"/>
        <w:rPr>
          <w:b/>
          <w:sz w:val="24"/>
          <w:szCs w:val="24"/>
        </w:rPr>
      </w:pPr>
      <w:r w:rsidRPr="00D14611">
        <w:rPr>
          <w:b/>
          <w:sz w:val="24"/>
          <w:szCs w:val="24"/>
        </w:rPr>
        <w:t xml:space="preserve">Fiscal Year: </w:t>
      </w:r>
      <w:r w:rsidRPr="00D14611">
        <w:rPr>
          <w:sz w:val="24"/>
          <w:szCs w:val="24"/>
        </w:rPr>
        <w:t>July 1–June 30</w:t>
      </w:r>
    </w:p>
    <w:p w:rsidR="00AD3FFC" w:rsidRDefault="00AD3FFC">
      <w:pPr>
        <w:ind w:firstLine="720"/>
        <w:rPr>
          <w:b/>
          <w:sz w:val="24"/>
          <w:szCs w:val="24"/>
        </w:rPr>
      </w:pPr>
      <w:r w:rsidRPr="00D14611">
        <w:rPr>
          <w:b/>
          <w:sz w:val="24"/>
          <w:szCs w:val="24"/>
        </w:rPr>
        <w:t>Notes:</w:t>
      </w:r>
    </w:p>
    <w:p w:rsidR="004B6A44" w:rsidRDefault="009C6D19" w:rsidP="004B6A44">
      <w:pPr>
        <w:numPr>
          <w:ilvl w:val="0"/>
          <w:numId w:val="1"/>
        </w:numPr>
        <w:rPr>
          <w:sz w:val="24"/>
          <w:szCs w:val="24"/>
        </w:rPr>
      </w:pPr>
      <w:r w:rsidRPr="004B6A44">
        <w:rPr>
          <w:sz w:val="24"/>
          <w:szCs w:val="24"/>
        </w:rPr>
        <w:t xml:space="preserve">The state reported State Payments on Behalf of the Local Education Agency data. </w:t>
      </w:r>
    </w:p>
    <w:p w:rsidR="00AD3FFC" w:rsidRPr="004B6A44" w:rsidRDefault="002F5837" w:rsidP="004B6A44">
      <w:pPr>
        <w:numPr>
          <w:ilvl w:val="0"/>
          <w:numId w:val="1"/>
        </w:numPr>
        <w:rPr>
          <w:sz w:val="24"/>
          <w:szCs w:val="24"/>
        </w:rPr>
      </w:pPr>
      <w:r w:rsidRPr="004B6A44">
        <w:rPr>
          <w:sz w:val="24"/>
          <w:szCs w:val="24"/>
        </w:rPr>
        <w:t>The Alaska financial reporting system cannot isolate p</w:t>
      </w:r>
      <w:r w:rsidR="00AD3FFC" w:rsidRPr="004B6A44">
        <w:rPr>
          <w:sz w:val="24"/>
          <w:szCs w:val="24"/>
        </w:rPr>
        <w:t xml:space="preserve">ayments to other school systems (Q11). These amounts are usually </w:t>
      </w:r>
      <w:r w:rsidR="00C7666E" w:rsidRPr="004B6A44">
        <w:rPr>
          <w:sz w:val="24"/>
          <w:szCs w:val="24"/>
        </w:rPr>
        <w:t>small</w:t>
      </w:r>
      <w:r w:rsidR="00AD3FFC" w:rsidRPr="004B6A44">
        <w:rPr>
          <w:sz w:val="24"/>
          <w:szCs w:val="24"/>
        </w:rPr>
        <w:t>. They will slightly inflate the current expenditure amounts for individual school districts.</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Arizona</w:t>
      </w:r>
    </w:p>
    <w:p w:rsidR="00AD3FFC" w:rsidRPr="00D14611" w:rsidRDefault="00AD3FFC">
      <w:pPr>
        <w:pStyle w:val="Heading3"/>
        <w:ind w:firstLine="720"/>
        <w:jc w:val="left"/>
        <w:rPr>
          <w:szCs w:val="24"/>
        </w:rPr>
      </w:pPr>
      <w:r w:rsidRPr="00D14611">
        <w:t xml:space="preserve">Fiscal Year: </w:t>
      </w:r>
      <w:r w:rsidRPr="00D14611">
        <w:rPr>
          <w:b w:val="0"/>
        </w:rPr>
        <w:t>July 1–June 30</w:t>
      </w:r>
    </w:p>
    <w:p w:rsidR="00AD3FFC" w:rsidRPr="00D14611" w:rsidRDefault="00AD3FFC">
      <w:pPr>
        <w:ind w:left="720"/>
        <w:rPr>
          <w:b/>
          <w:sz w:val="24"/>
          <w:szCs w:val="24"/>
        </w:rPr>
      </w:pPr>
      <w:r w:rsidRPr="00D14611">
        <w:rPr>
          <w:b/>
          <w:sz w:val="24"/>
          <w:szCs w:val="24"/>
        </w:rPr>
        <w:t xml:space="preserve">Notes: </w:t>
      </w:r>
    </w:p>
    <w:p w:rsidR="005423AB" w:rsidRDefault="00C57548">
      <w:pPr>
        <w:pStyle w:val="BodyTextIndent2"/>
        <w:numPr>
          <w:ilvl w:val="0"/>
          <w:numId w:val="1"/>
        </w:numPr>
        <w:rPr>
          <w:sz w:val="24"/>
          <w:szCs w:val="24"/>
        </w:rPr>
      </w:pPr>
      <w:r>
        <w:rPr>
          <w:sz w:val="24"/>
          <w:szCs w:val="24"/>
        </w:rPr>
        <w:t>For FY 14, t</w:t>
      </w:r>
      <w:r w:rsidR="005423AB">
        <w:rPr>
          <w:sz w:val="24"/>
          <w:szCs w:val="24"/>
        </w:rPr>
        <w:t xml:space="preserve">he Arizona Department of Education significantly revised its submission format and </w:t>
      </w:r>
      <w:r>
        <w:rPr>
          <w:sz w:val="24"/>
          <w:szCs w:val="24"/>
        </w:rPr>
        <w:t>classification of many of their reported finances as they’ve become more educated about F-33 category definitions. The reporting and classification changes explain many of the large variances in some revenue and expenditure amounts from FY 13.</w:t>
      </w:r>
    </w:p>
    <w:p w:rsidR="00AD3FFC" w:rsidRPr="00D14611" w:rsidRDefault="00AD3FFC">
      <w:pPr>
        <w:rPr>
          <w:sz w:val="24"/>
          <w:szCs w:val="24"/>
        </w:rPr>
      </w:pPr>
    </w:p>
    <w:p w:rsidR="00AD3FFC" w:rsidRPr="00D14611" w:rsidRDefault="00AD3FFC">
      <w:pPr>
        <w:pStyle w:val="Heading2"/>
        <w:rPr>
          <w:szCs w:val="24"/>
        </w:rPr>
      </w:pPr>
      <w:r w:rsidRPr="00D14611">
        <w:rPr>
          <w:b w:val="0"/>
          <w:bCs/>
          <w:szCs w:val="24"/>
          <w:u w:val="single"/>
        </w:rPr>
        <w:t>Arkansas</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Pr="00D14611" w:rsidRDefault="009C6D19">
      <w:pPr>
        <w:numPr>
          <w:ilvl w:val="0"/>
          <w:numId w:val="2"/>
        </w:numPr>
        <w:rPr>
          <w:sz w:val="24"/>
          <w:szCs w:val="24"/>
        </w:rPr>
      </w:pPr>
      <w:r>
        <w:rPr>
          <w:sz w:val="24"/>
          <w:szCs w:val="24"/>
        </w:rPr>
        <w:t xml:space="preserve">The state reported State Payments on Behalf of the Local Education Agency data. </w:t>
      </w:r>
      <w:r w:rsidR="002F5837">
        <w:rPr>
          <w:sz w:val="24"/>
          <w:szCs w:val="24"/>
        </w:rPr>
        <w:t>The Census Bure</w:t>
      </w:r>
      <w:r w:rsidR="008B4E9F">
        <w:rPr>
          <w:sz w:val="24"/>
          <w:szCs w:val="24"/>
        </w:rPr>
        <w:t>au redistributed these data</w:t>
      </w:r>
      <w:r w:rsidR="002F5837">
        <w:rPr>
          <w:sz w:val="24"/>
          <w:szCs w:val="24"/>
        </w:rPr>
        <w:t xml:space="preserve"> to the corresponding expenditure items for the state.</w:t>
      </w:r>
    </w:p>
    <w:p w:rsidR="00AD3FFC" w:rsidRPr="00E50F92" w:rsidRDefault="00C94DD9" w:rsidP="00F40F6D">
      <w:pPr>
        <w:numPr>
          <w:ilvl w:val="0"/>
          <w:numId w:val="2"/>
        </w:numPr>
        <w:rPr>
          <w:sz w:val="24"/>
          <w:szCs w:val="24"/>
        </w:rPr>
      </w:pPr>
      <w:r>
        <w:rPr>
          <w:sz w:val="24"/>
          <w:szCs w:val="24"/>
        </w:rPr>
        <w:t>Arkansas</w:t>
      </w:r>
      <w:r w:rsidR="002F5837">
        <w:rPr>
          <w:sz w:val="24"/>
          <w:szCs w:val="24"/>
        </w:rPr>
        <w:t xml:space="preserve"> reported a</w:t>
      </w:r>
      <w:r w:rsidR="00AD3FFC" w:rsidRPr="00D14611">
        <w:rPr>
          <w:sz w:val="24"/>
          <w:szCs w:val="24"/>
        </w:rPr>
        <w:t xml:space="preserve"> half-cent sales tax collected by the state to reimburse local governments for a tax credit </w:t>
      </w:r>
      <w:r w:rsidR="00CE6731">
        <w:rPr>
          <w:sz w:val="24"/>
          <w:szCs w:val="24"/>
        </w:rPr>
        <w:t>as NCES Local Revenue, Census State R</w:t>
      </w:r>
      <w:r w:rsidR="00AD3FFC" w:rsidRPr="00D14611">
        <w:rPr>
          <w:sz w:val="24"/>
          <w:szCs w:val="24"/>
        </w:rPr>
        <w:t xml:space="preserve">evenue (C24) and included </w:t>
      </w:r>
      <w:r w:rsidR="002F5837">
        <w:rPr>
          <w:sz w:val="24"/>
          <w:szCs w:val="24"/>
        </w:rPr>
        <w:t xml:space="preserve">it </w:t>
      </w:r>
      <w:r w:rsidR="00AD3FFC" w:rsidRPr="00D14611">
        <w:rPr>
          <w:sz w:val="24"/>
          <w:szCs w:val="24"/>
        </w:rPr>
        <w:t>in the local revenue subtotal</w:t>
      </w:r>
      <w:r w:rsidR="004B6A44">
        <w:rPr>
          <w:sz w:val="24"/>
          <w:szCs w:val="24"/>
        </w:rPr>
        <w:t xml:space="preserve"> (TLOCREV)</w:t>
      </w:r>
      <w:r w:rsidR="00AD3FFC" w:rsidRPr="00D14611">
        <w:rPr>
          <w:sz w:val="24"/>
          <w:szCs w:val="24"/>
        </w:rPr>
        <w:t>.</w:t>
      </w:r>
    </w:p>
    <w:p w:rsidR="00AD3FFC" w:rsidRPr="00D14611" w:rsidRDefault="00204204">
      <w:pPr>
        <w:rPr>
          <w:sz w:val="24"/>
          <w:szCs w:val="24"/>
          <w:u w:val="single"/>
        </w:rPr>
      </w:pPr>
      <w:r w:rsidRPr="00D14611">
        <w:rPr>
          <w:sz w:val="24"/>
          <w:szCs w:val="24"/>
          <w:u w:val="single"/>
        </w:rPr>
        <w:br w:type="page"/>
      </w:r>
      <w:r w:rsidR="00AD3FFC" w:rsidRPr="00D14611">
        <w:rPr>
          <w:sz w:val="24"/>
          <w:szCs w:val="24"/>
          <w:u w:val="single"/>
        </w:rPr>
        <w:lastRenderedPageBreak/>
        <w:t>California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DA71A8" w:rsidRDefault="00390C6B" w:rsidP="002E69E5">
      <w:pPr>
        <w:numPr>
          <w:ilvl w:val="0"/>
          <w:numId w:val="3"/>
        </w:numPr>
        <w:rPr>
          <w:sz w:val="24"/>
          <w:szCs w:val="24"/>
        </w:rPr>
      </w:pPr>
      <w:r>
        <w:rPr>
          <w:sz w:val="24"/>
          <w:szCs w:val="24"/>
        </w:rPr>
        <w:t xml:space="preserve">California reports F-33 data within the state education agency account codes documented in the California Department of Education’s accounting manual for local education agencies, </w:t>
      </w:r>
      <w:r w:rsidRPr="00F40F6D">
        <w:rPr>
          <w:i/>
          <w:sz w:val="24"/>
          <w:szCs w:val="24"/>
        </w:rPr>
        <w:t>California School Accounting Manual</w:t>
      </w:r>
      <w:r>
        <w:rPr>
          <w:sz w:val="24"/>
          <w:szCs w:val="24"/>
        </w:rPr>
        <w:t xml:space="preserve"> (</w:t>
      </w:r>
      <w:r w:rsidRPr="00390C6B">
        <w:rPr>
          <w:sz w:val="24"/>
          <w:szCs w:val="24"/>
        </w:rPr>
        <w:t>http://www.cde.ca.gov/fg/ac/sa/</w:t>
      </w:r>
      <w:r>
        <w:rPr>
          <w:sz w:val="24"/>
          <w:szCs w:val="24"/>
        </w:rPr>
        <w:t>). F-33 survey staff crosswalk California’s reported account code amounts to each F-33 survey variable.</w:t>
      </w:r>
      <w:r w:rsidR="00DA71A8">
        <w:rPr>
          <w:sz w:val="24"/>
          <w:szCs w:val="24"/>
        </w:rPr>
        <w:t xml:space="preserve"> </w:t>
      </w:r>
    </w:p>
    <w:p w:rsidR="00390C6B" w:rsidRPr="00390C6B" w:rsidRDefault="00DA71A8" w:rsidP="002E69E5">
      <w:pPr>
        <w:numPr>
          <w:ilvl w:val="0"/>
          <w:numId w:val="3"/>
        </w:numPr>
        <w:rPr>
          <w:sz w:val="24"/>
          <w:szCs w:val="24"/>
        </w:rPr>
      </w:pPr>
      <w:r>
        <w:rPr>
          <w:sz w:val="24"/>
          <w:szCs w:val="24"/>
        </w:rPr>
        <w:t>California’s F-33 revenue, expenditure, and asset data are</w:t>
      </w:r>
      <w:r w:rsidR="002E69E5">
        <w:rPr>
          <w:sz w:val="24"/>
          <w:szCs w:val="24"/>
        </w:rPr>
        <w:t xml:space="preserve"> crosswalked from unaudited, actual data files posted </w:t>
      </w:r>
      <w:r>
        <w:rPr>
          <w:sz w:val="24"/>
          <w:szCs w:val="24"/>
        </w:rPr>
        <w:t xml:space="preserve">annually </w:t>
      </w:r>
      <w:r w:rsidR="002E69E5">
        <w:rPr>
          <w:sz w:val="24"/>
          <w:szCs w:val="24"/>
        </w:rPr>
        <w:t>to the California Department of Education’s website (</w:t>
      </w:r>
      <w:r w:rsidR="002E69E5" w:rsidRPr="002E69E5">
        <w:rPr>
          <w:sz w:val="24"/>
          <w:szCs w:val="24"/>
        </w:rPr>
        <w:t>http://www.cde.ca.gov/ds/fd/fd/</w:t>
      </w:r>
      <w:r w:rsidR="002E69E5">
        <w:rPr>
          <w:sz w:val="24"/>
          <w:szCs w:val="24"/>
        </w:rPr>
        <w:t xml:space="preserve">). </w:t>
      </w:r>
      <w:r>
        <w:rPr>
          <w:sz w:val="24"/>
          <w:szCs w:val="24"/>
        </w:rPr>
        <w:t xml:space="preserve">Long-term debt data are reported </w:t>
      </w:r>
      <w:r w:rsidR="00A801BA">
        <w:rPr>
          <w:sz w:val="24"/>
          <w:szCs w:val="24"/>
        </w:rPr>
        <w:t>fo</w:t>
      </w:r>
      <w:r w:rsidR="0037073B">
        <w:rPr>
          <w:sz w:val="24"/>
          <w:szCs w:val="24"/>
        </w:rPr>
        <w:t xml:space="preserve">r the survey within a </w:t>
      </w:r>
      <w:r w:rsidR="00A801BA">
        <w:rPr>
          <w:sz w:val="24"/>
          <w:szCs w:val="24"/>
        </w:rPr>
        <w:t>supplemental data file</w:t>
      </w:r>
      <w:r w:rsidR="0037073B">
        <w:rPr>
          <w:sz w:val="24"/>
          <w:szCs w:val="24"/>
        </w:rPr>
        <w:t xml:space="preserve"> submitted separately by the state respondent. </w:t>
      </w:r>
      <w:r w:rsidR="00A801BA">
        <w:rPr>
          <w:sz w:val="24"/>
          <w:szCs w:val="24"/>
        </w:rPr>
        <w:t xml:space="preserve"> </w:t>
      </w:r>
      <w:r w:rsidR="002E69E5">
        <w:rPr>
          <w:sz w:val="24"/>
          <w:szCs w:val="24"/>
        </w:rPr>
        <w:t xml:space="preserve">  </w:t>
      </w:r>
    </w:p>
    <w:p w:rsidR="00AD3FFC" w:rsidRPr="005A2445" w:rsidRDefault="009C6D19" w:rsidP="00F40F6D">
      <w:pPr>
        <w:numPr>
          <w:ilvl w:val="0"/>
          <w:numId w:val="7"/>
        </w:numPr>
        <w:rPr>
          <w:sz w:val="24"/>
          <w:szCs w:val="24"/>
        </w:rPr>
      </w:pPr>
      <w:r>
        <w:rPr>
          <w:sz w:val="24"/>
          <w:szCs w:val="24"/>
        </w:rPr>
        <w:t xml:space="preserve">The state reported State Payments on Behalf of the Local Education Agency data. </w:t>
      </w:r>
      <w:r w:rsidR="002F5837">
        <w:rPr>
          <w:sz w:val="24"/>
          <w:szCs w:val="24"/>
        </w:rPr>
        <w:t>The Census Bure</w:t>
      </w:r>
      <w:r w:rsidR="008B4E9F">
        <w:rPr>
          <w:sz w:val="24"/>
          <w:szCs w:val="24"/>
        </w:rPr>
        <w:t>au redistributed these data</w:t>
      </w:r>
      <w:r w:rsidR="002F5837">
        <w:rPr>
          <w:sz w:val="24"/>
          <w:szCs w:val="24"/>
        </w:rPr>
        <w:t xml:space="preserve"> to the corresponding expenditure items for the state.</w:t>
      </w:r>
      <w:r w:rsidR="0037073B">
        <w:rPr>
          <w:sz w:val="24"/>
          <w:szCs w:val="24"/>
        </w:rPr>
        <w:t xml:space="preserve"> State government payments on behalf of California school districts to the state’s retirement system were prorated to function-level expenditure totals based on the reporting of salaries at the function level. </w:t>
      </w:r>
    </w:p>
    <w:p w:rsidR="00DC41E8" w:rsidRPr="00EB01E2" w:rsidRDefault="00DC41E8" w:rsidP="00DC41E8">
      <w:pPr>
        <w:numPr>
          <w:ilvl w:val="0"/>
          <w:numId w:val="3"/>
        </w:numPr>
        <w:rPr>
          <w:b/>
          <w:sz w:val="24"/>
          <w:szCs w:val="24"/>
        </w:rPr>
      </w:pPr>
      <w:r>
        <w:rPr>
          <w:sz w:val="24"/>
          <w:szCs w:val="24"/>
        </w:rPr>
        <w:t xml:space="preserve">The state reports financial data for </w:t>
      </w:r>
      <w:r w:rsidR="00307048">
        <w:rPr>
          <w:sz w:val="24"/>
          <w:szCs w:val="24"/>
        </w:rPr>
        <w:t>the Regional Occupational P</w:t>
      </w:r>
      <w:r>
        <w:rPr>
          <w:sz w:val="24"/>
          <w:szCs w:val="24"/>
        </w:rPr>
        <w:t>rograms (ROPs)</w:t>
      </w:r>
      <w:r w:rsidR="00307048">
        <w:rPr>
          <w:sz w:val="24"/>
          <w:szCs w:val="24"/>
        </w:rPr>
        <w:t xml:space="preserve"> and Joint P</w:t>
      </w:r>
      <w:r>
        <w:rPr>
          <w:sz w:val="24"/>
          <w:szCs w:val="24"/>
        </w:rPr>
        <w:t>ower</w:t>
      </w:r>
      <w:r w:rsidR="002D21BB">
        <w:rPr>
          <w:sz w:val="24"/>
          <w:szCs w:val="24"/>
        </w:rPr>
        <w:t>s</w:t>
      </w:r>
      <w:r w:rsidR="00307048">
        <w:rPr>
          <w:sz w:val="24"/>
          <w:szCs w:val="24"/>
        </w:rPr>
        <w:t xml:space="preserve"> Authorities (JPAs) </w:t>
      </w:r>
      <w:r>
        <w:rPr>
          <w:sz w:val="24"/>
          <w:szCs w:val="24"/>
        </w:rPr>
        <w:t>that do not report their financial data separately within the financial data of the regular school districts they serve. The financial data for these education service agencies are reported as “-2” (nonapplicable) on the F-33 data file.</w:t>
      </w:r>
    </w:p>
    <w:p w:rsidR="00227666" w:rsidRDefault="00E43F2B">
      <w:pPr>
        <w:numPr>
          <w:ilvl w:val="0"/>
          <w:numId w:val="3"/>
        </w:numPr>
        <w:rPr>
          <w:sz w:val="24"/>
          <w:szCs w:val="24"/>
        </w:rPr>
      </w:pPr>
      <w:r>
        <w:rPr>
          <w:sz w:val="24"/>
          <w:szCs w:val="24"/>
        </w:rPr>
        <w:t>California school districts</w:t>
      </w:r>
      <w:r w:rsidR="00227666">
        <w:rPr>
          <w:sz w:val="24"/>
          <w:szCs w:val="24"/>
        </w:rPr>
        <w:t xml:space="preserve"> do not derive revenues </w:t>
      </w:r>
      <w:r>
        <w:rPr>
          <w:sz w:val="24"/>
          <w:szCs w:val="24"/>
        </w:rPr>
        <w:t>from the sale or rental of textbooks (A11).</w:t>
      </w:r>
    </w:p>
    <w:p w:rsidR="00E43F2B" w:rsidRDefault="00E43F2B">
      <w:pPr>
        <w:numPr>
          <w:ilvl w:val="0"/>
          <w:numId w:val="3"/>
        </w:numPr>
        <w:rPr>
          <w:sz w:val="24"/>
          <w:szCs w:val="24"/>
        </w:rPr>
      </w:pPr>
      <w:r>
        <w:rPr>
          <w:sz w:val="24"/>
          <w:szCs w:val="24"/>
        </w:rPr>
        <w:t>California school districts do no</w:t>
      </w:r>
      <w:r w:rsidR="00E17CB1">
        <w:rPr>
          <w:sz w:val="24"/>
          <w:szCs w:val="24"/>
        </w:rPr>
        <w:t>t receive</w:t>
      </w:r>
      <w:r>
        <w:rPr>
          <w:sz w:val="24"/>
          <w:szCs w:val="24"/>
        </w:rPr>
        <w:t xml:space="preserve"> district activity revenues (A13). In California, revenues for extracurricular activities are collected and managed by student organizations rather than by school districts.</w:t>
      </w:r>
    </w:p>
    <w:p w:rsidR="00FA2A2E" w:rsidRDefault="00B07E88">
      <w:pPr>
        <w:pStyle w:val="BodyTextIndent"/>
        <w:numPr>
          <w:ilvl w:val="0"/>
          <w:numId w:val="3"/>
        </w:numPr>
        <w:rPr>
          <w:szCs w:val="24"/>
        </w:rPr>
      </w:pPr>
      <w:r w:rsidRPr="00D14611">
        <w:rPr>
          <w:szCs w:val="24"/>
        </w:rPr>
        <w:t xml:space="preserve">For </w:t>
      </w:r>
      <w:r w:rsidR="00884CA3">
        <w:rPr>
          <w:szCs w:val="24"/>
        </w:rPr>
        <w:t>five</w:t>
      </w:r>
      <w:r w:rsidRPr="00D14611">
        <w:rPr>
          <w:szCs w:val="24"/>
        </w:rPr>
        <w:t xml:space="preserve"> </w:t>
      </w:r>
      <w:r w:rsidR="00227666">
        <w:rPr>
          <w:szCs w:val="24"/>
        </w:rPr>
        <w:t xml:space="preserve">school </w:t>
      </w:r>
      <w:r w:rsidRPr="00D14611">
        <w:rPr>
          <w:szCs w:val="24"/>
        </w:rPr>
        <w:t xml:space="preserve">districts in California, the state reports a single unified </w:t>
      </w:r>
      <w:r w:rsidR="00227666">
        <w:rPr>
          <w:szCs w:val="24"/>
        </w:rPr>
        <w:t xml:space="preserve">school </w:t>
      </w:r>
      <w:r w:rsidRPr="00D14611">
        <w:rPr>
          <w:szCs w:val="24"/>
        </w:rPr>
        <w:t xml:space="preserve">district in the F-33 survey, but separate elementary and secondary </w:t>
      </w:r>
      <w:r w:rsidR="00227666">
        <w:rPr>
          <w:szCs w:val="24"/>
        </w:rPr>
        <w:t xml:space="preserve">school </w:t>
      </w:r>
      <w:r w:rsidRPr="00D14611">
        <w:rPr>
          <w:szCs w:val="24"/>
        </w:rPr>
        <w:t xml:space="preserve">districts in the </w:t>
      </w:r>
      <w:r w:rsidR="001669BF" w:rsidRPr="00D14611">
        <w:rPr>
          <w:szCs w:val="24"/>
        </w:rPr>
        <w:t>Common Core of Data (</w:t>
      </w:r>
      <w:r w:rsidRPr="00D14611">
        <w:rPr>
          <w:szCs w:val="24"/>
        </w:rPr>
        <w:t>CCD</w:t>
      </w:r>
      <w:r w:rsidR="001669BF" w:rsidRPr="00D14611">
        <w:rPr>
          <w:szCs w:val="24"/>
        </w:rPr>
        <w:t>)</w:t>
      </w:r>
      <w:r w:rsidRPr="00D14611">
        <w:rPr>
          <w:szCs w:val="24"/>
        </w:rPr>
        <w:t xml:space="preserve"> Local Education Agency Universe Survey. California treats the two elementary and high school districts as one district in its financial accounting, but as separate districts in managing its student and staff data. </w:t>
      </w:r>
      <w:r w:rsidR="006D56EC">
        <w:rPr>
          <w:szCs w:val="24"/>
        </w:rPr>
        <w:t xml:space="preserve">The LEAID of the combined district in the F-33 file is the same as the LEAID of </w:t>
      </w:r>
      <w:r w:rsidRPr="006D56EC">
        <w:rPr>
          <w:szCs w:val="24"/>
        </w:rPr>
        <w:t xml:space="preserve">the administrative office </w:t>
      </w:r>
      <w:r w:rsidR="006D56EC" w:rsidRPr="006D56EC">
        <w:rPr>
          <w:szCs w:val="24"/>
        </w:rPr>
        <w:t>for the component elementary and high school districts in the CCD LEA Universe file, so the combined district in the F-33 file</w:t>
      </w:r>
      <w:r w:rsidRPr="006D56EC">
        <w:rPr>
          <w:szCs w:val="24"/>
        </w:rPr>
        <w:t xml:space="preserve"> may be matched </w:t>
      </w:r>
      <w:r w:rsidR="006D56EC" w:rsidRPr="006D56EC">
        <w:rPr>
          <w:szCs w:val="24"/>
        </w:rPr>
        <w:t xml:space="preserve">to the </w:t>
      </w:r>
      <w:r w:rsidRPr="006D56EC">
        <w:rPr>
          <w:szCs w:val="24"/>
        </w:rPr>
        <w:t xml:space="preserve">CCD </w:t>
      </w:r>
      <w:r w:rsidR="006D56EC" w:rsidRPr="006D56EC">
        <w:rPr>
          <w:szCs w:val="24"/>
        </w:rPr>
        <w:t xml:space="preserve">LEA Universe </w:t>
      </w:r>
      <w:r w:rsidRPr="006D56EC">
        <w:rPr>
          <w:szCs w:val="24"/>
        </w:rPr>
        <w:t>file.</w:t>
      </w:r>
    </w:p>
    <w:p w:rsidR="00FA2A2E" w:rsidRDefault="00FA2A2E" w:rsidP="00FA2A2E">
      <w:pPr>
        <w:pStyle w:val="BodyTextIndent"/>
        <w:ind w:left="1080"/>
        <w:rPr>
          <w:szCs w:val="24"/>
        </w:rPr>
      </w:pPr>
    </w:p>
    <w:p w:rsidR="00FA2A2E" w:rsidRDefault="00B07E88" w:rsidP="00FA2A2E">
      <w:pPr>
        <w:pStyle w:val="BodyTextIndent"/>
        <w:ind w:left="1080"/>
        <w:rPr>
          <w:szCs w:val="24"/>
        </w:rPr>
      </w:pPr>
      <w:r w:rsidRPr="006D56EC">
        <w:rPr>
          <w:szCs w:val="24"/>
        </w:rPr>
        <w:t xml:space="preserve"> </w:t>
      </w:r>
      <w:r w:rsidR="00FA2A2E">
        <w:rPr>
          <w:szCs w:val="24"/>
        </w:rPr>
        <w:t xml:space="preserve">On the F-33 data file, the V33 and MEMBERSCH enrollments </w:t>
      </w:r>
      <w:r w:rsidR="005945DA">
        <w:rPr>
          <w:szCs w:val="24"/>
        </w:rPr>
        <w:t xml:space="preserve">of the component elementary and high school districts have also been combined to correspond to the financial data reported as a single unified district. </w:t>
      </w:r>
    </w:p>
    <w:p w:rsidR="00FA2A2E" w:rsidRDefault="00FA2A2E" w:rsidP="00FA2A2E">
      <w:pPr>
        <w:pStyle w:val="BodyTextIndent"/>
        <w:ind w:left="1080"/>
        <w:rPr>
          <w:szCs w:val="24"/>
        </w:rPr>
      </w:pPr>
    </w:p>
    <w:p w:rsidR="00AD3FFC" w:rsidRDefault="00B07E88" w:rsidP="00FA2A2E">
      <w:pPr>
        <w:pStyle w:val="BodyTextIndent"/>
        <w:ind w:left="1080"/>
        <w:rPr>
          <w:szCs w:val="24"/>
        </w:rPr>
      </w:pPr>
      <w:r w:rsidRPr="00D14611">
        <w:rPr>
          <w:szCs w:val="24"/>
        </w:rPr>
        <w:t>Table C-</w:t>
      </w:r>
      <w:r w:rsidR="006701AA">
        <w:rPr>
          <w:szCs w:val="24"/>
        </w:rPr>
        <w:t xml:space="preserve">1 </w:t>
      </w:r>
      <w:r w:rsidR="00045595">
        <w:rPr>
          <w:szCs w:val="24"/>
        </w:rPr>
        <w:t xml:space="preserve">(below) </w:t>
      </w:r>
      <w:r w:rsidR="006701AA">
        <w:rPr>
          <w:szCs w:val="24"/>
        </w:rPr>
        <w:t>lists the combined districts and corresponding LEAIDs</w:t>
      </w:r>
      <w:r w:rsidRPr="00D14611">
        <w:rPr>
          <w:szCs w:val="24"/>
        </w:rPr>
        <w:t>.</w:t>
      </w:r>
    </w:p>
    <w:p w:rsidR="00C26FC9" w:rsidRDefault="00C26FC9" w:rsidP="00C26FC9">
      <w:pPr>
        <w:pStyle w:val="BodyTextIndent"/>
        <w:ind w:left="1080"/>
        <w:rPr>
          <w:szCs w:val="24"/>
        </w:rPr>
      </w:pPr>
    </w:p>
    <w:p w:rsidR="00045595" w:rsidRDefault="00045595" w:rsidP="007F7810">
      <w:pPr>
        <w:pStyle w:val="Caption"/>
        <w:ind w:left="1710" w:right="900" w:hanging="990"/>
        <w:rPr>
          <w:b w:val="0"/>
        </w:rPr>
      </w:pPr>
    </w:p>
    <w:p w:rsidR="00045595" w:rsidRDefault="00045595" w:rsidP="007F7810">
      <w:pPr>
        <w:pStyle w:val="Caption"/>
        <w:ind w:left="1710" w:right="900" w:hanging="990"/>
        <w:rPr>
          <w:b w:val="0"/>
        </w:rPr>
      </w:pPr>
    </w:p>
    <w:p w:rsidR="00045595" w:rsidRDefault="00045595" w:rsidP="00EB01E2">
      <w:pPr>
        <w:pStyle w:val="Caption"/>
        <w:ind w:right="900"/>
        <w:rPr>
          <w:b w:val="0"/>
        </w:rPr>
      </w:pPr>
    </w:p>
    <w:p w:rsidR="002966FF" w:rsidRDefault="002966FF" w:rsidP="007F7810">
      <w:pPr>
        <w:pStyle w:val="Caption"/>
        <w:ind w:left="1710" w:right="900" w:hanging="990"/>
        <w:rPr>
          <w:b w:val="0"/>
        </w:rPr>
      </w:pPr>
    </w:p>
    <w:p w:rsidR="00C26FC9" w:rsidRPr="00C26FC9" w:rsidRDefault="00C26FC9" w:rsidP="007F7810">
      <w:pPr>
        <w:pStyle w:val="Caption"/>
        <w:ind w:left="1710" w:right="900" w:hanging="990"/>
        <w:rPr>
          <w:b w:val="0"/>
        </w:rPr>
      </w:pPr>
      <w:r w:rsidRPr="00D14611">
        <w:rPr>
          <w:b w:val="0"/>
        </w:rPr>
        <w:t>Table C-1.   California combined school districts in the F-</w:t>
      </w:r>
      <w:r w:rsidR="007F7810">
        <w:rPr>
          <w:b w:val="0"/>
        </w:rPr>
        <w:t xml:space="preserve">33 file and the corresponding              </w:t>
      </w:r>
      <w:r>
        <w:rPr>
          <w:b w:val="0"/>
        </w:rPr>
        <w:t xml:space="preserve">component districts in the Common Core of Data (CCD) Local Education Agency (LEA) Universe </w:t>
      </w:r>
      <w:r w:rsidR="00B42C45">
        <w:rPr>
          <w:b w:val="0"/>
        </w:rPr>
        <w:t xml:space="preserve">Survey </w:t>
      </w:r>
      <w:r>
        <w:rPr>
          <w:b w:val="0"/>
        </w:rPr>
        <w:t>file</w:t>
      </w:r>
      <w:r w:rsidRPr="00D14611">
        <w:rPr>
          <w:b w:val="0"/>
        </w:rPr>
        <w:t xml:space="preserve">: Fiscal year </w:t>
      </w:r>
      <w:r w:rsidR="007F1752">
        <w:rPr>
          <w:b w:val="0"/>
        </w:rPr>
        <w:t>201</w:t>
      </w:r>
      <w:r w:rsidR="00A97F00">
        <w:rPr>
          <w:b w:val="0"/>
        </w:rPr>
        <w:t>4</w:t>
      </w:r>
    </w:p>
    <w:tbl>
      <w:tblPr>
        <w:tblW w:w="0" w:type="auto"/>
        <w:tblInd w:w="922" w:type="dxa"/>
        <w:tblLook w:val="04A0" w:firstRow="1" w:lastRow="0" w:firstColumn="1" w:lastColumn="0" w:noHBand="0" w:noVBand="1"/>
      </w:tblPr>
      <w:tblGrid>
        <w:gridCol w:w="2340"/>
        <w:gridCol w:w="916"/>
        <w:gridCol w:w="222"/>
        <w:gridCol w:w="241"/>
        <w:gridCol w:w="2677"/>
        <w:gridCol w:w="916"/>
        <w:gridCol w:w="222"/>
      </w:tblGrid>
      <w:tr w:rsidR="00C26FC9" w:rsidTr="007F7810">
        <w:trPr>
          <w:cantSplit/>
          <w:trHeight w:val="197"/>
        </w:trPr>
        <w:tc>
          <w:tcPr>
            <w:tcW w:w="3478" w:type="dxa"/>
            <w:gridSpan w:val="3"/>
            <w:tcBorders>
              <w:top w:val="single" w:sz="4" w:space="0" w:color="auto"/>
              <w:left w:val="nil"/>
              <w:bottom w:val="single" w:sz="4" w:space="0" w:color="auto"/>
              <w:right w:val="nil"/>
            </w:tcBorders>
            <w:vAlign w:val="bottom"/>
            <w:hideMark/>
          </w:tcPr>
          <w:p w:rsidR="00C26FC9" w:rsidRDefault="00C26FC9">
            <w:pPr>
              <w:pStyle w:val="BodyTextIndent"/>
              <w:ind w:left="0"/>
              <w:jc w:val="center"/>
              <w:rPr>
                <w:sz w:val="20"/>
              </w:rPr>
            </w:pPr>
            <w:r>
              <w:rPr>
                <w:sz w:val="20"/>
              </w:rPr>
              <w:t>Combined</w:t>
            </w:r>
            <w:r>
              <w:rPr>
                <w:bCs w:val="0"/>
                <w:sz w:val="20"/>
              </w:rPr>
              <w:t xml:space="preserve"> school district in the F-33 file</w:t>
            </w:r>
          </w:p>
        </w:tc>
        <w:tc>
          <w:tcPr>
            <w:tcW w:w="241" w:type="dxa"/>
            <w:tcBorders>
              <w:top w:val="single" w:sz="4" w:space="0" w:color="auto"/>
              <w:left w:val="nil"/>
              <w:bottom w:val="nil"/>
              <w:right w:val="nil"/>
            </w:tcBorders>
          </w:tcPr>
          <w:p w:rsidR="00C26FC9" w:rsidRDefault="00C26FC9">
            <w:pPr>
              <w:pStyle w:val="BodyTextIndent"/>
              <w:ind w:left="0"/>
              <w:jc w:val="right"/>
              <w:rPr>
                <w:sz w:val="20"/>
              </w:rPr>
            </w:pPr>
          </w:p>
        </w:tc>
        <w:tc>
          <w:tcPr>
            <w:tcW w:w="3815" w:type="dxa"/>
            <w:gridSpan w:val="3"/>
            <w:tcBorders>
              <w:top w:val="single" w:sz="4" w:space="0" w:color="auto"/>
              <w:left w:val="nil"/>
              <w:bottom w:val="single" w:sz="4" w:space="0" w:color="auto"/>
              <w:right w:val="nil"/>
            </w:tcBorders>
            <w:hideMark/>
          </w:tcPr>
          <w:p w:rsidR="00C26FC9" w:rsidRDefault="00C26FC9">
            <w:pPr>
              <w:pStyle w:val="BodyTextIndent"/>
              <w:ind w:left="0"/>
              <w:jc w:val="center"/>
              <w:rPr>
                <w:sz w:val="20"/>
              </w:rPr>
            </w:pPr>
            <w:r>
              <w:rPr>
                <w:sz w:val="20"/>
              </w:rPr>
              <w:t xml:space="preserve">Corresponding component district in the CCD LEA Universe </w:t>
            </w:r>
            <w:r w:rsidR="00B42C45">
              <w:rPr>
                <w:sz w:val="20"/>
              </w:rPr>
              <w:t xml:space="preserve">Survey </w:t>
            </w:r>
            <w:r>
              <w:rPr>
                <w:sz w:val="20"/>
              </w:rPr>
              <w:t>file</w:t>
            </w:r>
          </w:p>
        </w:tc>
      </w:tr>
      <w:tr w:rsidR="00C26FC9" w:rsidTr="007F7810">
        <w:trPr>
          <w:cantSplit/>
        </w:trPr>
        <w:tc>
          <w:tcPr>
            <w:tcW w:w="2340" w:type="dxa"/>
            <w:tcBorders>
              <w:top w:val="single" w:sz="4" w:space="0" w:color="auto"/>
              <w:left w:val="nil"/>
              <w:bottom w:val="single" w:sz="4" w:space="0" w:color="auto"/>
              <w:right w:val="nil"/>
            </w:tcBorders>
            <w:hideMark/>
          </w:tcPr>
          <w:p w:rsidR="00C26FC9" w:rsidRDefault="00C26FC9">
            <w:pPr>
              <w:pStyle w:val="BodyTextIndent"/>
              <w:ind w:left="252" w:hanging="252"/>
              <w:rPr>
                <w:sz w:val="20"/>
              </w:rPr>
            </w:pPr>
            <w:r>
              <w:rPr>
                <w:sz w:val="20"/>
              </w:rPr>
              <w:t>District name</w:t>
            </w:r>
          </w:p>
        </w:tc>
        <w:tc>
          <w:tcPr>
            <w:tcW w:w="916" w:type="dxa"/>
            <w:tcBorders>
              <w:top w:val="single" w:sz="4" w:space="0" w:color="auto"/>
              <w:left w:val="nil"/>
              <w:bottom w:val="single" w:sz="4" w:space="0" w:color="auto"/>
              <w:right w:val="nil"/>
            </w:tcBorders>
            <w:hideMark/>
          </w:tcPr>
          <w:p w:rsidR="00C26FC9" w:rsidRDefault="00C26FC9" w:rsidP="00C873B7">
            <w:pPr>
              <w:pStyle w:val="BodyTextIndent"/>
              <w:ind w:left="0"/>
              <w:rPr>
                <w:sz w:val="20"/>
              </w:rPr>
            </w:pPr>
            <w:r>
              <w:rPr>
                <w:sz w:val="20"/>
              </w:rPr>
              <w:t>LEAID</w:t>
            </w:r>
          </w:p>
        </w:tc>
        <w:tc>
          <w:tcPr>
            <w:tcW w:w="222" w:type="dxa"/>
            <w:tcBorders>
              <w:top w:val="nil"/>
              <w:left w:val="nil"/>
              <w:bottom w:val="single" w:sz="4" w:space="0" w:color="auto"/>
              <w:right w:val="nil"/>
            </w:tcBorders>
            <w:hideMark/>
          </w:tcPr>
          <w:p w:rsidR="00C26FC9" w:rsidRDefault="00C26FC9">
            <w:pPr>
              <w:pStyle w:val="BodyTextIndent"/>
              <w:ind w:left="0"/>
              <w:rPr>
                <w:sz w:val="20"/>
              </w:rPr>
            </w:pPr>
          </w:p>
        </w:tc>
        <w:tc>
          <w:tcPr>
            <w:tcW w:w="241" w:type="dxa"/>
            <w:tcBorders>
              <w:top w:val="nil"/>
              <w:left w:val="nil"/>
              <w:bottom w:val="single" w:sz="4" w:space="0" w:color="auto"/>
              <w:right w:val="nil"/>
            </w:tcBorders>
          </w:tcPr>
          <w:p w:rsidR="00C26FC9" w:rsidRDefault="00C26FC9">
            <w:pPr>
              <w:pStyle w:val="BodyTextIndent"/>
              <w:ind w:left="0"/>
              <w:jc w:val="right"/>
              <w:rPr>
                <w:sz w:val="20"/>
              </w:rPr>
            </w:pPr>
          </w:p>
        </w:tc>
        <w:tc>
          <w:tcPr>
            <w:tcW w:w="2677" w:type="dxa"/>
            <w:tcBorders>
              <w:top w:val="nil"/>
              <w:left w:val="nil"/>
              <w:bottom w:val="single" w:sz="4" w:space="0" w:color="auto"/>
              <w:right w:val="nil"/>
            </w:tcBorders>
            <w:hideMark/>
          </w:tcPr>
          <w:p w:rsidR="00C26FC9" w:rsidRDefault="00C26FC9">
            <w:pPr>
              <w:pStyle w:val="BodyTextIndent"/>
              <w:ind w:left="0"/>
              <w:rPr>
                <w:sz w:val="20"/>
              </w:rPr>
            </w:pPr>
            <w:r>
              <w:rPr>
                <w:sz w:val="20"/>
              </w:rPr>
              <w:t>District name</w:t>
            </w:r>
          </w:p>
        </w:tc>
        <w:tc>
          <w:tcPr>
            <w:tcW w:w="916" w:type="dxa"/>
            <w:tcBorders>
              <w:top w:val="single" w:sz="4" w:space="0" w:color="auto"/>
              <w:left w:val="nil"/>
              <w:bottom w:val="single" w:sz="4" w:space="0" w:color="auto"/>
              <w:right w:val="nil"/>
            </w:tcBorders>
            <w:vAlign w:val="bottom"/>
            <w:hideMark/>
          </w:tcPr>
          <w:p w:rsidR="00C26FC9" w:rsidRDefault="00C26FC9">
            <w:pPr>
              <w:pStyle w:val="BodyTextIndent"/>
              <w:ind w:left="0"/>
              <w:rPr>
                <w:sz w:val="20"/>
              </w:rPr>
            </w:pPr>
            <w:r>
              <w:rPr>
                <w:sz w:val="20"/>
              </w:rPr>
              <w:t>LEAID</w:t>
            </w:r>
          </w:p>
        </w:tc>
        <w:tc>
          <w:tcPr>
            <w:tcW w:w="222" w:type="dxa"/>
            <w:tcBorders>
              <w:top w:val="single" w:sz="4" w:space="0" w:color="auto"/>
              <w:left w:val="nil"/>
              <w:bottom w:val="single" w:sz="4" w:space="0" w:color="auto"/>
              <w:right w:val="nil"/>
            </w:tcBorders>
            <w:vAlign w:val="bottom"/>
          </w:tcPr>
          <w:p w:rsidR="00C26FC9" w:rsidRDefault="00C26FC9">
            <w:pPr>
              <w:pStyle w:val="BodyTextIndent"/>
              <w:ind w:left="0"/>
              <w:jc w:val="center"/>
              <w:rPr>
                <w:sz w:val="20"/>
              </w:rPr>
            </w:pPr>
          </w:p>
        </w:tc>
      </w:tr>
      <w:tr w:rsidR="00C26FC9" w:rsidTr="007F7810">
        <w:trPr>
          <w:cantSplit/>
        </w:trPr>
        <w:tc>
          <w:tcPr>
            <w:tcW w:w="2340" w:type="dxa"/>
            <w:tcBorders>
              <w:top w:val="single" w:sz="4" w:space="0" w:color="auto"/>
              <w:left w:val="nil"/>
              <w:bottom w:val="nil"/>
              <w:right w:val="nil"/>
            </w:tcBorders>
            <w:hideMark/>
          </w:tcPr>
          <w:p w:rsidR="00C26FC9" w:rsidRDefault="00C26FC9">
            <w:pPr>
              <w:pStyle w:val="BodyTextIndent"/>
              <w:ind w:left="0"/>
              <w:rPr>
                <w:sz w:val="20"/>
              </w:rPr>
            </w:pPr>
            <w:r>
              <w:rPr>
                <w:sz w:val="20"/>
              </w:rPr>
              <w:t xml:space="preserve">Arena Union Elementary/ </w:t>
            </w:r>
          </w:p>
        </w:tc>
        <w:tc>
          <w:tcPr>
            <w:tcW w:w="916" w:type="dxa"/>
            <w:tcBorders>
              <w:top w:val="single" w:sz="4" w:space="0" w:color="auto"/>
              <w:left w:val="nil"/>
              <w:bottom w:val="nil"/>
              <w:right w:val="nil"/>
            </w:tcBorders>
            <w:hideMark/>
          </w:tcPr>
          <w:p w:rsidR="00C26FC9" w:rsidRDefault="00C26FC9">
            <w:pPr>
              <w:pStyle w:val="BodyTextIndent"/>
              <w:ind w:left="0"/>
              <w:rPr>
                <w:sz w:val="20"/>
              </w:rPr>
            </w:pPr>
            <w:r>
              <w:rPr>
                <w:sz w:val="20"/>
              </w:rPr>
              <w:t>0601325</w:t>
            </w:r>
          </w:p>
        </w:tc>
        <w:tc>
          <w:tcPr>
            <w:tcW w:w="222" w:type="dxa"/>
            <w:tcBorders>
              <w:top w:val="single" w:sz="4" w:space="0" w:color="auto"/>
              <w:left w:val="nil"/>
              <w:bottom w:val="nil"/>
              <w:right w:val="nil"/>
            </w:tcBorders>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Borders>
              <w:top w:val="single" w:sz="4" w:space="0" w:color="auto"/>
              <w:left w:val="nil"/>
              <w:bottom w:val="nil"/>
              <w:right w:val="nil"/>
            </w:tcBorders>
            <w:hideMark/>
          </w:tcPr>
          <w:p w:rsidR="00C26FC9" w:rsidRDefault="00C26FC9">
            <w:pPr>
              <w:pStyle w:val="BodyTextIndent"/>
              <w:ind w:left="0"/>
              <w:rPr>
                <w:sz w:val="20"/>
              </w:rPr>
            </w:pPr>
            <w:r>
              <w:rPr>
                <w:sz w:val="20"/>
              </w:rPr>
              <w:t>Arena Union Elementary</w:t>
            </w:r>
          </w:p>
        </w:tc>
        <w:tc>
          <w:tcPr>
            <w:tcW w:w="916" w:type="dxa"/>
            <w:tcBorders>
              <w:top w:val="single" w:sz="4" w:space="0" w:color="auto"/>
              <w:left w:val="nil"/>
              <w:bottom w:val="nil"/>
              <w:right w:val="nil"/>
            </w:tcBorders>
            <w:vAlign w:val="bottom"/>
            <w:hideMark/>
          </w:tcPr>
          <w:p w:rsidR="00C26FC9" w:rsidRDefault="00C26FC9">
            <w:pPr>
              <w:pStyle w:val="BodyTextIndent"/>
              <w:ind w:left="0"/>
              <w:rPr>
                <w:sz w:val="20"/>
              </w:rPr>
            </w:pPr>
            <w:r>
              <w:rPr>
                <w:sz w:val="20"/>
              </w:rPr>
              <w:t>0603090</w:t>
            </w:r>
          </w:p>
        </w:tc>
        <w:tc>
          <w:tcPr>
            <w:tcW w:w="222" w:type="dxa"/>
            <w:tcBorders>
              <w:top w:val="single" w:sz="4" w:space="0" w:color="auto"/>
              <w:left w:val="nil"/>
              <w:bottom w:val="nil"/>
              <w:right w:val="nil"/>
            </w:tcBorders>
            <w:vAlign w:val="bottom"/>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162"/>
              <w:rPr>
                <w:sz w:val="20"/>
              </w:rPr>
            </w:pPr>
            <w:r>
              <w:rPr>
                <w:sz w:val="20"/>
              </w:rPr>
              <w:t xml:space="preserve">Point Arena Joint </w:t>
            </w:r>
          </w:p>
        </w:tc>
        <w:tc>
          <w:tcPr>
            <w:tcW w:w="916" w:type="dxa"/>
          </w:tcPr>
          <w:p w:rsidR="00C26FC9" w:rsidRDefault="00C26FC9">
            <w:pPr>
              <w:pStyle w:val="BodyTextIndent"/>
              <w:ind w:left="0"/>
              <w:jc w:val="right"/>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Point Arena Joint Union High</w:t>
            </w:r>
          </w:p>
        </w:tc>
        <w:tc>
          <w:tcPr>
            <w:tcW w:w="916" w:type="dxa"/>
            <w:vAlign w:val="bottom"/>
            <w:hideMark/>
          </w:tcPr>
          <w:p w:rsidR="00C26FC9" w:rsidRDefault="00C26FC9">
            <w:pPr>
              <w:pStyle w:val="BodyTextIndent"/>
              <w:ind w:left="0"/>
              <w:rPr>
                <w:sz w:val="20"/>
              </w:rPr>
            </w:pPr>
            <w:r>
              <w:rPr>
                <w:sz w:val="20"/>
              </w:rPr>
              <w:t>0631230</w:t>
            </w:r>
          </w:p>
        </w:tc>
        <w:tc>
          <w:tcPr>
            <w:tcW w:w="222" w:type="dxa"/>
            <w:vAlign w:val="bottom"/>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162" w:right="-108"/>
              <w:rPr>
                <w:bCs w:val="0"/>
                <w:sz w:val="20"/>
              </w:rPr>
            </w:pPr>
            <w:r>
              <w:rPr>
                <w:sz w:val="20"/>
              </w:rPr>
              <w:t>Union High</w:t>
            </w:r>
          </w:p>
        </w:tc>
        <w:tc>
          <w:tcPr>
            <w:tcW w:w="916" w:type="dxa"/>
          </w:tcPr>
          <w:p w:rsidR="00C26FC9" w:rsidRDefault="00C26FC9">
            <w:pPr>
              <w:pStyle w:val="BodyTextIndent"/>
              <w:ind w:left="0"/>
              <w:jc w:val="right"/>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139" w:hanging="139"/>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Height w:val="135"/>
        </w:trPr>
        <w:tc>
          <w:tcPr>
            <w:tcW w:w="2340" w:type="dxa"/>
            <w:hideMark/>
          </w:tcPr>
          <w:p w:rsidR="00C26FC9" w:rsidRDefault="00C26FC9">
            <w:pPr>
              <w:pStyle w:val="BodyTextIndent"/>
              <w:ind w:left="0"/>
              <w:rPr>
                <w:bCs w:val="0"/>
                <w:sz w:val="20"/>
              </w:rPr>
            </w:pPr>
            <w:r>
              <w:rPr>
                <w:sz w:val="20"/>
              </w:rPr>
              <w:t xml:space="preserve">              </w:t>
            </w:r>
          </w:p>
        </w:tc>
        <w:tc>
          <w:tcPr>
            <w:tcW w:w="916" w:type="dxa"/>
          </w:tcPr>
          <w:p w:rsidR="00C26FC9" w:rsidRDefault="00C26FC9">
            <w:pPr>
              <w:pStyle w:val="BodyTextIndent"/>
              <w:ind w:left="0"/>
              <w:jc w:val="right"/>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0"/>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0"/>
              <w:rPr>
                <w:bCs w:val="0"/>
                <w:sz w:val="20"/>
              </w:rPr>
            </w:pPr>
            <w:r>
              <w:rPr>
                <w:bCs w:val="0"/>
                <w:sz w:val="20"/>
              </w:rPr>
              <w:t>Modesto City Schools</w:t>
            </w:r>
          </w:p>
        </w:tc>
        <w:tc>
          <w:tcPr>
            <w:tcW w:w="916" w:type="dxa"/>
            <w:hideMark/>
          </w:tcPr>
          <w:p w:rsidR="00C26FC9" w:rsidRDefault="00C26FC9">
            <w:pPr>
              <w:pStyle w:val="BodyTextIndent"/>
              <w:ind w:left="0"/>
              <w:rPr>
                <w:sz w:val="20"/>
              </w:rPr>
            </w:pPr>
            <w:r>
              <w:rPr>
                <w:sz w:val="20"/>
              </w:rPr>
              <w:t>0601330</w:t>
            </w:r>
          </w:p>
        </w:tc>
        <w:tc>
          <w:tcPr>
            <w:tcW w:w="222" w:type="dxa"/>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Modesto City Elementary</w:t>
            </w:r>
          </w:p>
        </w:tc>
        <w:tc>
          <w:tcPr>
            <w:tcW w:w="916" w:type="dxa"/>
            <w:hideMark/>
          </w:tcPr>
          <w:p w:rsidR="00C26FC9" w:rsidRDefault="00C26FC9">
            <w:pPr>
              <w:pStyle w:val="BodyTextIndent"/>
              <w:ind w:left="0"/>
              <w:rPr>
                <w:sz w:val="20"/>
              </w:rPr>
            </w:pPr>
            <w:r>
              <w:rPr>
                <w:sz w:val="20"/>
              </w:rPr>
              <w:t>0625130</w:t>
            </w:r>
          </w:p>
        </w:tc>
        <w:tc>
          <w:tcPr>
            <w:tcW w:w="222" w:type="dxa"/>
          </w:tcPr>
          <w:p w:rsidR="00C26FC9" w:rsidRDefault="00C26FC9">
            <w:pPr>
              <w:pStyle w:val="BodyTextIndent"/>
              <w:ind w:left="0"/>
              <w:jc w:val="right"/>
              <w:rPr>
                <w:sz w:val="20"/>
              </w:rPr>
            </w:pPr>
          </w:p>
        </w:tc>
      </w:tr>
      <w:tr w:rsidR="00C26FC9" w:rsidTr="007F7810">
        <w:trPr>
          <w:cantSplit/>
        </w:trPr>
        <w:tc>
          <w:tcPr>
            <w:tcW w:w="2340" w:type="dxa"/>
          </w:tcPr>
          <w:p w:rsidR="00C26FC9" w:rsidRDefault="00C26FC9">
            <w:pPr>
              <w:pStyle w:val="BodyTextIndent"/>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Modesto City High</w:t>
            </w:r>
          </w:p>
        </w:tc>
        <w:tc>
          <w:tcPr>
            <w:tcW w:w="916" w:type="dxa"/>
            <w:hideMark/>
          </w:tcPr>
          <w:p w:rsidR="00C26FC9" w:rsidRDefault="00C26FC9">
            <w:pPr>
              <w:pStyle w:val="BodyTextIndent"/>
              <w:ind w:left="0"/>
              <w:rPr>
                <w:sz w:val="20"/>
              </w:rPr>
            </w:pPr>
            <w:r>
              <w:rPr>
                <w:sz w:val="20"/>
              </w:rPr>
              <w:t>0625150</w:t>
            </w:r>
          </w:p>
        </w:tc>
        <w:tc>
          <w:tcPr>
            <w:tcW w:w="222" w:type="dxa"/>
          </w:tcPr>
          <w:p w:rsidR="00C26FC9" w:rsidRDefault="00C26FC9">
            <w:pPr>
              <w:pStyle w:val="BodyTextIndent"/>
              <w:ind w:left="0"/>
              <w:jc w:val="right"/>
              <w:rPr>
                <w:sz w:val="20"/>
              </w:rPr>
            </w:pPr>
          </w:p>
        </w:tc>
      </w:tr>
      <w:tr w:rsidR="00C26FC9" w:rsidTr="007F7810">
        <w:trPr>
          <w:cantSplit/>
        </w:trPr>
        <w:tc>
          <w:tcPr>
            <w:tcW w:w="2340" w:type="dxa"/>
          </w:tcPr>
          <w:p w:rsidR="00C26FC9" w:rsidRDefault="00C26FC9">
            <w:pPr>
              <w:pStyle w:val="BodyTextIndent"/>
              <w:ind w:left="0"/>
              <w:rPr>
                <w:bCs w:val="0"/>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0"/>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0"/>
              <w:rPr>
                <w:bCs w:val="0"/>
                <w:sz w:val="20"/>
              </w:rPr>
            </w:pPr>
            <w:r>
              <w:rPr>
                <w:bCs w:val="0"/>
                <w:sz w:val="20"/>
              </w:rPr>
              <w:t>Petaluma</w:t>
            </w:r>
            <w:r>
              <w:rPr>
                <w:sz w:val="20"/>
              </w:rPr>
              <w:t xml:space="preserve"> Elementary/</w:t>
            </w:r>
          </w:p>
        </w:tc>
        <w:tc>
          <w:tcPr>
            <w:tcW w:w="916" w:type="dxa"/>
            <w:hideMark/>
          </w:tcPr>
          <w:p w:rsidR="00C26FC9" w:rsidRDefault="00C26FC9">
            <w:pPr>
              <w:pStyle w:val="BodyTextIndent"/>
              <w:ind w:left="0"/>
              <w:rPr>
                <w:sz w:val="20"/>
              </w:rPr>
            </w:pPr>
            <w:r>
              <w:rPr>
                <w:sz w:val="20"/>
              </w:rPr>
              <w:t>0601328</w:t>
            </w:r>
          </w:p>
        </w:tc>
        <w:tc>
          <w:tcPr>
            <w:tcW w:w="222" w:type="dxa"/>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Petaluma City Elementary</w:t>
            </w:r>
          </w:p>
        </w:tc>
        <w:tc>
          <w:tcPr>
            <w:tcW w:w="916" w:type="dxa"/>
            <w:hideMark/>
          </w:tcPr>
          <w:p w:rsidR="00C26FC9" w:rsidRDefault="00C26FC9">
            <w:pPr>
              <w:pStyle w:val="BodyTextIndent"/>
              <w:ind w:left="0"/>
              <w:rPr>
                <w:sz w:val="20"/>
              </w:rPr>
            </w:pPr>
            <w:r>
              <w:rPr>
                <w:sz w:val="20"/>
              </w:rPr>
              <w:t>0630230</w:t>
            </w: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162"/>
              <w:rPr>
                <w:sz w:val="20"/>
              </w:rPr>
            </w:pPr>
            <w:r>
              <w:rPr>
                <w:sz w:val="20"/>
              </w:rPr>
              <w:t>Joint</w:t>
            </w:r>
            <w:r>
              <w:rPr>
                <w:bCs w:val="0"/>
                <w:sz w:val="20"/>
              </w:rPr>
              <w:t xml:space="preserve"> Union High</w:t>
            </w: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Petaluma Joint Union High</w:t>
            </w:r>
          </w:p>
        </w:tc>
        <w:tc>
          <w:tcPr>
            <w:tcW w:w="916" w:type="dxa"/>
            <w:hideMark/>
          </w:tcPr>
          <w:p w:rsidR="00C26FC9" w:rsidRDefault="00C26FC9">
            <w:pPr>
              <w:pStyle w:val="BodyTextIndent"/>
              <w:ind w:left="0"/>
              <w:rPr>
                <w:sz w:val="20"/>
              </w:rPr>
            </w:pPr>
            <w:r>
              <w:rPr>
                <w:sz w:val="20"/>
              </w:rPr>
              <w:t>0630250</w:t>
            </w:r>
          </w:p>
        </w:tc>
        <w:tc>
          <w:tcPr>
            <w:tcW w:w="222" w:type="dxa"/>
          </w:tcPr>
          <w:p w:rsidR="00C26FC9" w:rsidRDefault="00C26FC9">
            <w:pPr>
              <w:pStyle w:val="BodyTextIndent"/>
              <w:ind w:left="0"/>
              <w:jc w:val="right"/>
              <w:rPr>
                <w:sz w:val="20"/>
              </w:rPr>
            </w:pPr>
          </w:p>
        </w:tc>
      </w:tr>
      <w:tr w:rsidR="00C26FC9" w:rsidTr="007F7810">
        <w:trPr>
          <w:cantSplit/>
        </w:trPr>
        <w:tc>
          <w:tcPr>
            <w:tcW w:w="2340" w:type="dxa"/>
          </w:tcPr>
          <w:p w:rsidR="00C26FC9" w:rsidRDefault="00C26FC9">
            <w:pPr>
              <w:pStyle w:val="BodyTextIndent"/>
              <w:ind w:left="0"/>
              <w:rPr>
                <w:bCs w:val="0"/>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139"/>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0"/>
              <w:rPr>
                <w:bCs w:val="0"/>
                <w:sz w:val="20"/>
              </w:rPr>
            </w:pPr>
            <w:r>
              <w:rPr>
                <w:bCs w:val="0"/>
                <w:sz w:val="20"/>
              </w:rPr>
              <w:t xml:space="preserve">Santa Cruz City </w:t>
            </w:r>
          </w:p>
        </w:tc>
        <w:tc>
          <w:tcPr>
            <w:tcW w:w="916" w:type="dxa"/>
            <w:hideMark/>
          </w:tcPr>
          <w:p w:rsidR="00C26FC9" w:rsidRDefault="00C26FC9">
            <w:pPr>
              <w:pStyle w:val="BodyTextIndent"/>
              <w:ind w:left="0"/>
              <w:rPr>
                <w:sz w:val="20"/>
              </w:rPr>
            </w:pPr>
            <w:r>
              <w:rPr>
                <w:sz w:val="20"/>
              </w:rPr>
              <w:t>0601327</w:t>
            </w:r>
          </w:p>
        </w:tc>
        <w:tc>
          <w:tcPr>
            <w:tcW w:w="222" w:type="dxa"/>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Santa Cruz City Elementary</w:t>
            </w:r>
          </w:p>
        </w:tc>
        <w:tc>
          <w:tcPr>
            <w:tcW w:w="916" w:type="dxa"/>
            <w:hideMark/>
          </w:tcPr>
          <w:p w:rsidR="00C26FC9" w:rsidRDefault="00C26FC9">
            <w:pPr>
              <w:pStyle w:val="BodyTextIndent"/>
              <w:ind w:left="0"/>
              <w:rPr>
                <w:sz w:val="20"/>
              </w:rPr>
            </w:pPr>
            <w:r>
              <w:rPr>
                <w:sz w:val="20"/>
              </w:rPr>
              <w:t>0635590</w:t>
            </w: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162"/>
              <w:rPr>
                <w:sz w:val="20"/>
              </w:rPr>
            </w:pPr>
            <w:r>
              <w:rPr>
                <w:sz w:val="20"/>
              </w:rPr>
              <w:t>Elementary/ High</w:t>
            </w: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Santa Cruz City High</w:t>
            </w:r>
          </w:p>
        </w:tc>
        <w:tc>
          <w:tcPr>
            <w:tcW w:w="916" w:type="dxa"/>
            <w:hideMark/>
          </w:tcPr>
          <w:p w:rsidR="00C26FC9" w:rsidRDefault="00C26FC9">
            <w:pPr>
              <w:pStyle w:val="BodyTextIndent"/>
              <w:ind w:left="0"/>
              <w:rPr>
                <w:sz w:val="20"/>
              </w:rPr>
            </w:pPr>
            <w:r>
              <w:rPr>
                <w:sz w:val="20"/>
              </w:rPr>
              <w:t>0635600</w:t>
            </w:r>
          </w:p>
        </w:tc>
        <w:tc>
          <w:tcPr>
            <w:tcW w:w="222" w:type="dxa"/>
          </w:tcPr>
          <w:p w:rsidR="00C26FC9" w:rsidRDefault="00C26FC9">
            <w:pPr>
              <w:pStyle w:val="BodyTextIndent"/>
              <w:ind w:left="0"/>
              <w:jc w:val="right"/>
              <w:rPr>
                <w:sz w:val="20"/>
              </w:rPr>
            </w:pPr>
          </w:p>
        </w:tc>
      </w:tr>
      <w:tr w:rsidR="00C26FC9" w:rsidTr="007F7810">
        <w:trPr>
          <w:cantSplit/>
          <w:trHeight w:val="162"/>
        </w:trPr>
        <w:tc>
          <w:tcPr>
            <w:tcW w:w="2340" w:type="dxa"/>
          </w:tcPr>
          <w:p w:rsidR="00C26FC9" w:rsidRDefault="00C26FC9">
            <w:pPr>
              <w:pStyle w:val="BodyTextIndent"/>
              <w:ind w:left="0"/>
              <w:rPr>
                <w:bCs w:val="0"/>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0"/>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0"/>
              <w:rPr>
                <w:bCs w:val="0"/>
                <w:sz w:val="20"/>
              </w:rPr>
            </w:pPr>
            <w:r>
              <w:rPr>
                <w:bCs w:val="0"/>
                <w:sz w:val="20"/>
              </w:rPr>
              <w:t>City of Santa Rosa</w:t>
            </w:r>
          </w:p>
        </w:tc>
        <w:tc>
          <w:tcPr>
            <w:tcW w:w="916" w:type="dxa"/>
            <w:hideMark/>
          </w:tcPr>
          <w:p w:rsidR="00C26FC9" w:rsidRDefault="00C26FC9">
            <w:pPr>
              <w:pStyle w:val="BodyTextIndent"/>
              <w:ind w:left="0"/>
              <w:rPr>
                <w:sz w:val="20"/>
              </w:rPr>
            </w:pPr>
            <w:r>
              <w:rPr>
                <w:sz w:val="20"/>
              </w:rPr>
              <w:t>0601329</w:t>
            </w:r>
          </w:p>
        </w:tc>
        <w:tc>
          <w:tcPr>
            <w:tcW w:w="222" w:type="dxa"/>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Santa Rosa Elementary</w:t>
            </w:r>
          </w:p>
        </w:tc>
        <w:tc>
          <w:tcPr>
            <w:tcW w:w="916" w:type="dxa"/>
            <w:hideMark/>
          </w:tcPr>
          <w:p w:rsidR="00C26FC9" w:rsidRDefault="00C26FC9">
            <w:pPr>
              <w:pStyle w:val="BodyTextIndent"/>
              <w:ind w:left="0"/>
              <w:rPr>
                <w:sz w:val="20"/>
              </w:rPr>
            </w:pPr>
            <w:r>
              <w:rPr>
                <w:sz w:val="20"/>
              </w:rPr>
              <w:t>0635810</w:t>
            </w:r>
          </w:p>
        </w:tc>
        <w:tc>
          <w:tcPr>
            <w:tcW w:w="222" w:type="dxa"/>
          </w:tcPr>
          <w:p w:rsidR="00C26FC9" w:rsidRDefault="00C26FC9">
            <w:pPr>
              <w:pStyle w:val="BodyTextIndent"/>
              <w:ind w:left="0"/>
              <w:jc w:val="right"/>
              <w:rPr>
                <w:sz w:val="20"/>
              </w:rPr>
            </w:pPr>
          </w:p>
        </w:tc>
      </w:tr>
      <w:tr w:rsidR="00C26FC9" w:rsidTr="007F7810">
        <w:trPr>
          <w:cantSplit/>
        </w:trPr>
        <w:tc>
          <w:tcPr>
            <w:tcW w:w="2340" w:type="dxa"/>
            <w:tcBorders>
              <w:top w:val="nil"/>
              <w:left w:val="nil"/>
              <w:bottom w:val="single" w:sz="4" w:space="0" w:color="auto"/>
              <w:right w:val="nil"/>
            </w:tcBorders>
            <w:hideMark/>
          </w:tcPr>
          <w:p w:rsidR="00C26FC9" w:rsidRDefault="00C26FC9">
            <w:pPr>
              <w:pStyle w:val="BodyTextIndent"/>
              <w:ind w:left="162"/>
              <w:rPr>
                <w:sz w:val="20"/>
              </w:rPr>
            </w:pPr>
            <w:r>
              <w:rPr>
                <w:sz w:val="20"/>
              </w:rPr>
              <w:t>Elementary/ High</w:t>
            </w:r>
          </w:p>
        </w:tc>
        <w:tc>
          <w:tcPr>
            <w:tcW w:w="916" w:type="dxa"/>
            <w:tcBorders>
              <w:top w:val="nil"/>
              <w:left w:val="nil"/>
              <w:bottom w:val="single" w:sz="4" w:space="0" w:color="auto"/>
              <w:right w:val="nil"/>
            </w:tcBorders>
          </w:tcPr>
          <w:p w:rsidR="00C26FC9" w:rsidRDefault="00C26FC9">
            <w:pPr>
              <w:pStyle w:val="BodyTextIndent"/>
              <w:ind w:left="0"/>
              <w:jc w:val="right"/>
              <w:rPr>
                <w:sz w:val="20"/>
              </w:rPr>
            </w:pPr>
          </w:p>
        </w:tc>
        <w:tc>
          <w:tcPr>
            <w:tcW w:w="222" w:type="dxa"/>
            <w:tcBorders>
              <w:top w:val="nil"/>
              <w:left w:val="nil"/>
              <w:bottom w:val="single" w:sz="4" w:space="0" w:color="auto"/>
              <w:right w:val="nil"/>
            </w:tcBorders>
          </w:tcPr>
          <w:p w:rsidR="00C26FC9" w:rsidRDefault="00C26FC9">
            <w:pPr>
              <w:pStyle w:val="BodyTextIndent"/>
              <w:ind w:left="0"/>
              <w:jc w:val="right"/>
              <w:rPr>
                <w:sz w:val="20"/>
              </w:rPr>
            </w:pPr>
          </w:p>
        </w:tc>
        <w:tc>
          <w:tcPr>
            <w:tcW w:w="241" w:type="dxa"/>
            <w:tcBorders>
              <w:top w:val="nil"/>
              <w:left w:val="nil"/>
              <w:bottom w:val="single" w:sz="4" w:space="0" w:color="auto"/>
              <w:right w:val="nil"/>
            </w:tcBorders>
          </w:tcPr>
          <w:p w:rsidR="00C26FC9" w:rsidRDefault="00C26FC9">
            <w:pPr>
              <w:pStyle w:val="BodyTextIndent"/>
              <w:ind w:left="0"/>
              <w:jc w:val="right"/>
              <w:rPr>
                <w:sz w:val="20"/>
              </w:rPr>
            </w:pPr>
          </w:p>
        </w:tc>
        <w:tc>
          <w:tcPr>
            <w:tcW w:w="2677" w:type="dxa"/>
            <w:tcBorders>
              <w:top w:val="nil"/>
              <w:left w:val="nil"/>
              <w:bottom w:val="single" w:sz="4" w:space="0" w:color="auto"/>
              <w:right w:val="nil"/>
            </w:tcBorders>
            <w:hideMark/>
          </w:tcPr>
          <w:p w:rsidR="00C26FC9" w:rsidRDefault="00C26FC9">
            <w:pPr>
              <w:pStyle w:val="BodyTextIndent"/>
              <w:ind w:left="0"/>
              <w:rPr>
                <w:sz w:val="20"/>
              </w:rPr>
            </w:pPr>
            <w:r>
              <w:rPr>
                <w:sz w:val="20"/>
              </w:rPr>
              <w:t>Santa Rosa High</w:t>
            </w:r>
          </w:p>
        </w:tc>
        <w:tc>
          <w:tcPr>
            <w:tcW w:w="916" w:type="dxa"/>
            <w:tcBorders>
              <w:top w:val="nil"/>
              <w:left w:val="nil"/>
              <w:bottom w:val="single" w:sz="4" w:space="0" w:color="auto"/>
              <w:right w:val="nil"/>
            </w:tcBorders>
            <w:hideMark/>
          </w:tcPr>
          <w:p w:rsidR="00C26FC9" w:rsidRDefault="00C26FC9">
            <w:pPr>
              <w:pStyle w:val="BodyTextIndent"/>
              <w:ind w:left="0"/>
              <w:rPr>
                <w:sz w:val="20"/>
              </w:rPr>
            </w:pPr>
            <w:r>
              <w:rPr>
                <w:sz w:val="20"/>
              </w:rPr>
              <w:t>0635830</w:t>
            </w:r>
          </w:p>
        </w:tc>
        <w:tc>
          <w:tcPr>
            <w:tcW w:w="222" w:type="dxa"/>
            <w:tcBorders>
              <w:top w:val="nil"/>
              <w:left w:val="nil"/>
              <w:bottom w:val="single" w:sz="4" w:space="0" w:color="auto"/>
              <w:right w:val="nil"/>
            </w:tcBorders>
          </w:tcPr>
          <w:p w:rsidR="00C26FC9" w:rsidRDefault="00C26FC9">
            <w:pPr>
              <w:pStyle w:val="BodyTextIndent"/>
              <w:ind w:left="0"/>
              <w:jc w:val="right"/>
              <w:rPr>
                <w:sz w:val="20"/>
              </w:rPr>
            </w:pPr>
          </w:p>
        </w:tc>
      </w:tr>
    </w:tbl>
    <w:p w:rsidR="00191059" w:rsidRDefault="002B53BF" w:rsidP="00104D6B">
      <w:pPr>
        <w:ind w:left="810"/>
        <w:rPr>
          <w:sz w:val="24"/>
          <w:szCs w:val="24"/>
          <w:u w:val="single"/>
        </w:rPr>
      </w:pPr>
      <w:r>
        <w:t xml:space="preserve">SOURCE: U.S. Department of Education, National Center for Education Statistics, Common Core of Data (CCD), “School District Finance Survey (F-33),” fiscal year </w:t>
      </w:r>
      <w:r w:rsidR="007F1752">
        <w:t>201</w:t>
      </w:r>
      <w:r w:rsidR="00A97F00">
        <w:t>4</w:t>
      </w:r>
      <w:r>
        <w:t xml:space="preserve">, </w:t>
      </w:r>
      <w:r w:rsidR="00600F1D">
        <w:t>Provisional</w:t>
      </w:r>
      <w:r w:rsidR="00B42C45">
        <w:t xml:space="preserve"> </w:t>
      </w:r>
      <w:r>
        <w:t xml:space="preserve">Version 1a; “Local Education Agency Universe Survey,” school year </w:t>
      </w:r>
      <w:r w:rsidR="007F1752">
        <w:t>201</w:t>
      </w:r>
      <w:r w:rsidR="00A97F00">
        <w:t>3</w:t>
      </w:r>
      <w:r>
        <w:t>–</w:t>
      </w:r>
      <w:r w:rsidR="007F1752">
        <w:t>1</w:t>
      </w:r>
      <w:r w:rsidR="00A97F00">
        <w:t>4</w:t>
      </w:r>
      <w:r>
        <w:t>,</w:t>
      </w:r>
      <w:r w:rsidR="00F15BEB">
        <w:t xml:space="preserve"> </w:t>
      </w:r>
      <w:r w:rsidR="00B42C45">
        <w:t xml:space="preserve">Provisional </w:t>
      </w:r>
      <w:r>
        <w:t xml:space="preserve">Version </w:t>
      </w:r>
      <w:r w:rsidR="00E96F68">
        <w:t>1a</w:t>
      </w:r>
      <w:r>
        <w:t>.</w:t>
      </w:r>
    </w:p>
    <w:p w:rsidR="00295031" w:rsidRDefault="00295031">
      <w:pPr>
        <w:rPr>
          <w:sz w:val="24"/>
          <w:szCs w:val="24"/>
          <w:u w:val="single"/>
        </w:rPr>
      </w:pPr>
    </w:p>
    <w:p w:rsidR="00AD3FFC" w:rsidRPr="00D14611" w:rsidRDefault="00AD3FFC">
      <w:pPr>
        <w:rPr>
          <w:sz w:val="24"/>
          <w:szCs w:val="24"/>
          <w:u w:val="single"/>
        </w:rPr>
      </w:pPr>
      <w:r w:rsidRPr="00D14611">
        <w:rPr>
          <w:sz w:val="24"/>
          <w:szCs w:val="24"/>
          <w:u w:val="single"/>
        </w:rPr>
        <w:t>Colorado</w:t>
      </w:r>
    </w:p>
    <w:p w:rsidR="00B07E88" w:rsidRDefault="00AD3FFC" w:rsidP="00AC27B2">
      <w:pPr>
        <w:ind w:left="720"/>
        <w:rPr>
          <w:b/>
          <w:sz w:val="24"/>
          <w:szCs w:val="24"/>
        </w:rPr>
      </w:pPr>
      <w:r w:rsidRPr="00D14611">
        <w:rPr>
          <w:b/>
          <w:sz w:val="24"/>
          <w:szCs w:val="24"/>
        </w:rPr>
        <w:t xml:space="preserve">Fiscal Year: </w:t>
      </w:r>
      <w:r w:rsidRPr="00D14611">
        <w:rPr>
          <w:sz w:val="24"/>
          <w:szCs w:val="24"/>
        </w:rPr>
        <w:t>July 1–June 30</w:t>
      </w:r>
      <w:r w:rsidR="00B07E88" w:rsidRPr="00D14611">
        <w:rPr>
          <w:b/>
          <w:sz w:val="24"/>
          <w:szCs w:val="24"/>
        </w:rPr>
        <w:t xml:space="preserve"> </w:t>
      </w:r>
    </w:p>
    <w:p w:rsidR="007D2312" w:rsidRPr="00D14611" w:rsidRDefault="007D2312" w:rsidP="00AC27B2">
      <w:pPr>
        <w:ind w:left="720"/>
        <w:rPr>
          <w:b/>
          <w:sz w:val="24"/>
          <w:szCs w:val="24"/>
        </w:rPr>
      </w:pPr>
      <w:r>
        <w:rPr>
          <w:b/>
          <w:sz w:val="24"/>
          <w:szCs w:val="24"/>
        </w:rPr>
        <w:t>Notes:</w:t>
      </w:r>
    </w:p>
    <w:p w:rsidR="00191059" w:rsidRPr="00104D6B" w:rsidRDefault="00191059" w:rsidP="00191059">
      <w:pPr>
        <w:numPr>
          <w:ilvl w:val="0"/>
          <w:numId w:val="13"/>
        </w:numPr>
        <w:rPr>
          <w:b/>
          <w:sz w:val="24"/>
          <w:szCs w:val="24"/>
        </w:rPr>
      </w:pPr>
      <w:r>
        <w:rPr>
          <w:sz w:val="24"/>
          <w:szCs w:val="24"/>
        </w:rPr>
        <w:t>The state reports financial data for Boards of Cooperative Educational Services (BOCES) and other education service agencies within the financial data of the regular school districts they serve. The financial data for these education service agencies are reported as “-2” (nonapplicable) on the F-33 data file.</w:t>
      </w:r>
    </w:p>
    <w:p w:rsidR="00437066" w:rsidRDefault="00437066">
      <w:pPr>
        <w:rPr>
          <w:sz w:val="24"/>
          <w:szCs w:val="24"/>
          <w:u w:val="single"/>
        </w:rPr>
      </w:pPr>
    </w:p>
    <w:p w:rsidR="00AD3FFC" w:rsidRPr="00D14611" w:rsidRDefault="00AD3FFC">
      <w:pPr>
        <w:rPr>
          <w:sz w:val="24"/>
          <w:szCs w:val="24"/>
          <w:u w:val="single"/>
        </w:rPr>
      </w:pPr>
      <w:r w:rsidRPr="00D14611">
        <w:rPr>
          <w:sz w:val="24"/>
          <w:szCs w:val="24"/>
          <w:u w:val="single"/>
        </w:rPr>
        <w:t>Connecticut</w:t>
      </w:r>
    </w:p>
    <w:p w:rsidR="00AD3FFC" w:rsidRPr="00D14611" w:rsidRDefault="00AD3FFC">
      <w:pPr>
        <w:ind w:left="720"/>
        <w:rPr>
          <w:b/>
          <w:sz w:val="24"/>
          <w:szCs w:val="24"/>
        </w:rPr>
      </w:pPr>
      <w:r w:rsidRPr="00D14611">
        <w:rPr>
          <w:b/>
          <w:sz w:val="24"/>
          <w:szCs w:val="24"/>
        </w:rPr>
        <w:t>Fiscal Year:</w:t>
      </w:r>
      <w:r w:rsidRPr="00D14611">
        <w:rPr>
          <w:sz w:val="24"/>
          <w:szCs w:val="24"/>
        </w:rPr>
        <w:t xml:space="preserve"> July 1–June 30</w:t>
      </w:r>
    </w:p>
    <w:p w:rsidR="00AD3FFC" w:rsidRPr="00D14611" w:rsidRDefault="00AD3FFC">
      <w:pPr>
        <w:ind w:left="720"/>
        <w:rPr>
          <w:b/>
          <w:sz w:val="24"/>
          <w:szCs w:val="24"/>
        </w:rPr>
      </w:pPr>
      <w:r w:rsidRPr="00D14611">
        <w:rPr>
          <w:b/>
          <w:sz w:val="24"/>
          <w:szCs w:val="24"/>
        </w:rPr>
        <w:t xml:space="preserve">Notes: </w:t>
      </w:r>
    </w:p>
    <w:p w:rsidR="00E17CB1" w:rsidRPr="004A3AA6" w:rsidRDefault="009C6D19" w:rsidP="004A3AA6">
      <w:pPr>
        <w:numPr>
          <w:ilvl w:val="0"/>
          <w:numId w:val="4"/>
        </w:numPr>
        <w:rPr>
          <w:sz w:val="24"/>
          <w:szCs w:val="24"/>
        </w:rPr>
      </w:pPr>
      <w:r>
        <w:rPr>
          <w:sz w:val="24"/>
          <w:szCs w:val="24"/>
        </w:rPr>
        <w:t xml:space="preserve">The state reported State Payments on Behalf of the Local Education Agency data. </w:t>
      </w:r>
      <w:r w:rsidR="002F5837">
        <w:rPr>
          <w:sz w:val="24"/>
          <w:szCs w:val="24"/>
        </w:rPr>
        <w:t>The Census Bure</w:t>
      </w:r>
      <w:r w:rsidR="008B4E9F">
        <w:rPr>
          <w:sz w:val="24"/>
          <w:szCs w:val="24"/>
        </w:rPr>
        <w:t>au redistributed these data</w:t>
      </w:r>
      <w:r w:rsidR="002F5837">
        <w:rPr>
          <w:sz w:val="24"/>
          <w:szCs w:val="24"/>
        </w:rPr>
        <w:t xml:space="preserve"> to the corresponding expenditure items for the state.</w:t>
      </w:r>
    </w:p>
    <w:p w:rsidR="00AD3FFC" w:rsidRPr="0080561E" w:rsidRDefault="00AD3FFC" w:rsidP="0080561E">
      <w:pPr>
        <w:numPr>
          <w:ilvl w:val="0"/>
          <w:numId w:val="4"/>
        </w:numPr>
        <w:rPr>
          <w:sz w:val="24"/>
          <w:szCs w:val="24"/>
          <w:u w:val="single"/>
        </w:rPr>
      </w:pPr>
      <w:r w:rsidRPr="00D14611">
        <w:rPr>
          <w:sz w:val="24"/>
        </w:rPr>
        <w:t xml:space="preserve">Debt information for some dependent city and town school districts </w:t>
      </w:r>
      <w:r w:rsidR="002F5837">
        <w:rPr>
          <w:sz w:val="24"/>
        </w:rPr>
        <w:t>wa</w:t>
      </w:r>
      <w:r w:rsidR="002F5837" w:rsidRPr="00D14611">
        <w:rPr>
          <w:sz w:val="24"/>
        </w:rPr>
        <w:t xml:space="preserve">s </w:t>
      </w:r>
      <w:r w:rsidRPr="00D14611">
        <w:rPr>
          <w:sz w:val="24"/>
        </w:rPr>
        <w:t>not available and thus not reported in the data.</w:t>
      </w:r>
    </w:p>
    <w:p w:rsidR="004F6699" w:rsidRDefault="004F6699">
      <w:pPr>
        <w:rPr>
          <w:sz w:val="24"/>
          <w:szCs w:val="24"/>
          <w:u w:val="single"/>
        </w:rPr>
      </w:pPr>
    </w:p>
    <w:p w:rsidR="00AD3FFC" w:rsidRPr="00D14611" w:rsidRDefault="00AD3FFC">
      <w:pPr>
        <w:rPr>
          <w:sz w:val="24"/>
          <w:szCs w:val="24"/>
          <w:u w:val="single"/>
        </w:rPr>
      </w:pPr>
      <w:r w:rsidRPr="00D14611">
        <w:rPr>
          <w:sz w:val="24"/>
          <w:szCs w:val="24"/>
          <w:u w:val="single"/>
        </w:rPr>
        <w:t>Delaware</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sz w:val="24"/>
          <w:szCs w:val="24"/>
        </w:rPr>
      </w:pPr>
      <w:r w:rsidRPr="00D14611">
        <w:rPr>
          <w:b/>
          <w:sz w:val="24"/>
          <w:szCs w:val="24"/>
        </w:rPr>
        <w:t>Notes:</w:t>
      </w:r>
    </w:p>
    <w:p w:rsidR="00AD3FFC" w:rsidRPr="0080561E" w:rsidRDefault="008B4E9F" w:rsidP="00844628">
      <w:pPr>
        <w:numPr>
          <w:ilvl w:val="0"/>
          <w:numId w:val="5"/>
        </w:numPr>
        <w:rPr>
          <w:szCs w:val="24"/>
        </w:rPr>
      </w:pPr>
      <w:r>
        <w:rPr>
          <w:sz w:val="24"/>
          <w:szCs w:val="24"/>
        </w:rPr>
        <w:t>The state reported c</w:t>
      </w:r>
      <w:r w:rsidRPr="00D14611">
        <w:rPr>
          <w:sz w:val="24"/>
          <w:szCs w:val="24"/>
        </w:rPr>
        <w:t>apital outlay payments for land and existing structures (G15) under construction (F12).</w:t>
      </w:r>
    </w:p>
    <w:p w:rsidR="00A97F00" w:rsidRPr="0003430F" w:rsidRDefault="00A97F00" w:rsidP="0080561E">
      <w:pPr>
        <w:ind w:left="1080"/>
        <w:rPr>
          <w:szCs w:val="24"/>
        </w:rPr>
      </w:pPr>
    </w:p>
    <w:p w:rsidR="00FC6EAF" w:rsidRDefault="00FC6EAF">
      <w:pPr>
        <w:rPr>
          <w:sz w:val="24"/>
          <w:szCs w:val="24"/>
          <w:u w:val="single"/>
        </w:rPr>
      </w:pPr>
    </w:p>
    <w:p w:rsidR="00FC6EAF" w:rsidRDefault="00FC6EAF">
      <w:pPr>
        <w:rPr>
          <w:sz w:val="24"/>
          <w:szCs w:val="24"/>
          <w:u w:val="single"/>
        </w:rPr>
      </w:pPr>
    </w:p>
    <w:p w:rsidR="00AD3FFC" w:rsidRPr="00D14611" w:rsidRDefault="00AD3FFC">
      <w:pPr>
        <w:rPr>
          <w:sz w:val="24"/>
          <w:szCs w:val="24"/>
        </w:rPr>
      </w:pPr>
      <w:r w:rsidRPr="00D14611">
        <w:rPr>
          <w:sz w:val="24"/>
          <w:szCs w:val="24"/>
          <w:u w:val="single"/>
        </w:rPr>
        <w:t>District of Columbia</w:t>
      </w:r>
    </w:p>
    <w:p w:rsidR="00AD3FFC" w:rsidRPr="00D14611" w:rsidRDefault="00AD3FFC">
      <w:pPr>
        <w:ind w:left="720"/>
        <w:rPr>
          <w:b/>
          <w:sz w:val="24"/>
          <w:szCs w:val="24"/>
        </w:rPr>
      </w:pPr>
      <w:r w:rsidRPr="00D14611">
        <w:rPr>
          <w:b/>
          <w:sz w:val="24"/>
          <w:szCs w:val="24"/>
        </w:rPr>
        <w:t>Fiscal Year:</w:t>
      </w:r>
      <w:r w:rsidRPr="00D14611">
        <w:rPr>
          <w:sz w:val="24"/>
          <w:szCs w:val="24"/>
        </w:rPr>
        <w:t xml:space="preserve"> </w:t>
      </w:r>
      <w:r w:rsidR="00E60A08">
        <w:rPr>
          <w:sz w:val="24"/>
          <w:szCs w:val="24"/>
        </w:rPr>
        <w:t>October</w:t>
      </w:r>
      <w:r w:rsidR="00E60A08" w:rsidRPr="00D14611">
        <w:rPr>
          <w:sz w:val="24"/>
          <w:szCs w:val="24"/>
        </w:rPr>
        <w:t xml:space="preserve"> </w:t>
      </w:r>
      <w:r w:rsidRPr="00D14611">
        <w:rPr>
          <w:sz w:val="24"/>
          <w:szCs w:val="24"/>
        </w:rPr>
        <w:t>1–</w:t>
      </w:r>
      <w:r w:rsidR="00E60A08">
        <w:rPr>
          <w:sz w:val="24"/>
          <w:szCs w:val="24"/>
        </w:rPr>
        <w:t>September</w:t>
      </w:r>
      <w:r w:rsidR="00E60A08" w:rsidRPr="00D14611">
        <w:rPr>
          <w:sz w:val="24"/>
          <w:szCs w:val="24"/>
        </w:rPr>
        <w:t xml:space="preserve"> </w:t>
      </w:r>
      <w:r w:rsidRPr="00D14611">
        <w:rPr>
          <w:sz w:val="24"/>
          <w:szCs w:val="24"/>
        </w:rPr>
        <w:t xml:space="preserve">30 </w:t>
      </w:r>
    </w:p>
    <w:p w:rsidR="00AD3FFC" w:rsidRPr="0074461D" w:rsidRDefault="00AD3FFC">
      <w:pPr>
        <w:ind w:left="720"/>
        <w:rPr>
          <w:sz w:val="24"/>
          <w:szCs w:val="24"/>
        </w:rPr>
      </w:pPr>
      <w:r w:rsidRPr="00D14611">
        <w:rPr>
          <w:b/>
          <w:sz w:val="24"/>
          <w:szCs w:val="24"/>
        </w:rPr>
        <w:t>Notes:</w:t>
      </w:r>
      <w:r w:rsidRPr="00D14611">
        <w:rPr>
          <w:sz w:val="24"/>
          <w:szCs w:val="24"/>
        </w:rPr>
        <w:t xml:space="preserve"> </w:t>
      </w:r>
    </w:p>
    <w:p w:rsidR="00AD3FFC" w:rsidRDefault="0074461D">
      <w:pPr>
        <w:numPr>
          <w:ilvl w:val="0"/>
          <w:numId w:val="5"/>
        </w:numPr>
        <w:rPr>
          <w:sz w:val="24"/>
          <w:szCs w:val="24"/>
        </w:rPr>
      </w:pPr>
      <w:r>
        <w:rPr>
          <w:sz w:val="24"/>
          <w:szCs w:val="24"/>
        </w:rPr>
        <w:t>District of Columbia Public Schools (LEAID = 11000</w:t>
      </w:r>
      <w:r w:rsidRPr="0074461D">
        <w:rPr>
          <w:sz w:val="24"/>
          <w:szCs w:val="24"/>
        </w:rPr>
        <w:t>30</w:t>
      </w:r>
      <w:r>
        <w:rPr>
          <w:sz w:val="24"/>
          <w:szCs w:val="24"/>
        </w:rPr>
        <w:t xml:space="preserve">) </w:t>
      </w:r>
      <w:r w:rsidR="002F5837">
        <w:rPr>
          <w:sz w:val="24"/>
          <w:szCs w:val="24"/>
        </w:rPr>
        <w:t>report</w:t>
      </w:r>
      <w:r w:rsidR="00D946D0">
        <w:rPr>
          <w:sz w:val="24"/>
          <w:szCs w:val="24"/>
        </w:rPr>
        <w:t>ed</w:t>
      </w:r>
      <w:r>
        <w:rPr>
          <w:sz w:val="24"/>
          <w:szCs w:val="24"/>
        </w:rPr>
        <w:t xml:space="preserve"> </w:t>
      </w:r>
      <w:r w:rsidR="002F5837">
        <w:rPr>
          <w:sz w:val="24"/>
          <w:szCs w:val="24"/>
        </w:rPr>
        <w:t>c</w:t>
      </w:r>
      <w:r w:rsidR="00AD3FFC" w:rsidRPr="00D14611">
        <w:rPr>
          <w:sz w:val="24"/>
          <w:szCs w:val="24"/>
        </w:rPr>
        <w:t>apital outlay payments for land and existing structures (G15) under construction (F12).</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Florida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030715" w:rsidRDefault="008B4E9F" w:rsidP="00030715">
      <w:pPr>
        <w:numPr>
          <w:ilvl w:val="0"/>
          <w:numId w:val="5"/>
        </w:numPr>
        <w:rPr>
          <w:sz w:val="24"/>
          <w:szCs w:val="24"/>
        </w:rPr>
      </w:pPr>
      <w:r>
        <w:rPr>
          <w:sz w:val="24"/>
          <w:szCs w:val="24"/>
        </w:rPr>
        <w:t>T</w:t>
      </w:r>
      <w:r w:rsidRPr="00B92950">
        <w:rPr>
          <w:sz w:val="24"/>
          <w:szCs w:val="24"/>
        </w:rPr>
        <w:t xml:space="preserve">he </w:t>
      </w:r>
      <w:r>
        <w:rPr>
          <w:sz w:val="24"/>
          <w:szCs w:val="24"/>
        </w:rPr>
        <w:t>Florida</w:t>
      </w:r>
      <w:r w:rsidRPr="00B92950">
        <w:rPr>
          <w:sz w:val="24"/>
          <w:szCs w:val="24"/>
        </w:rPr>
        <w:t xml:space="preserve"> financial reporting system cannot </w:t>
      </w:r>
      <w:r>
        <w:rPr>
          <w:sz w:val="24"/>
          <w:szCs w:val="24"/>
        </w:rPr>
        <w:t>isolate</w:t>
      </w:r>
      <w:r w:rsidRPr="00B92950">
        <w:rPr>
          <w:sz w:val="24"/>
          <w:szCs w:val="24"/>
        </w:rPr>
        <w:t xml:space="preserve"> </w:t>
      </w:r>
      <w:r>
        <w:rPr>
          <w:sz w:val="24"/>
          <w:szCs w:val="24"/>
        </w:rPr>
        <w:t>p</w:t>
      </w:r>
      <w:r w:rsidRPr="00B92950">
        <w:rPr>
          <w:sz w:val="24"/>
          <w:szCs w:val="24"/>
        </w:rPr>
        <w:t xml:space="preserve">ayments to other school systems (Q11). </w:t>
      </w:r>
      <w:r w:rsidR="00AD3FFC" w:rsidRPr="00D14611">
        <w:rPr>
          <w:sz w:val="24"/>
          <w:szCs w:val="24"/>
        </w:rPr>
        <w:t xml:space="preserve">These amounts are usually </w:t>
      </w:r>
      <w:r w:rsidR="00C7666E">
        <w:rPr>
          <w:sz w:val="24"/>
          <w:szCs w:val="24"/>
        </w:rPr>
        <w:t>small</w:t>
      </w:r>
      <w:r w:rsidR="00AD3FFC" w:rsidRPr="00D14611">
        <w:rPr>
          <w:sz w:val="24"/>
          <w:szCs w:val="24"/>
        </w:rPr>
        <w:t>. They will slightly inflate the current expenditure amounts for individual school districts.</w:t>
      </w:r>
    </w:p>
    <w:p w:rsidR="00AD3FFC" w:rsidRPr="00D14611" w:rsidRDefault="00AD3FFC">
      <w:pPr>
        <w:ind w:left="720"/>
        <w:rPr>
          <w:sz w:val="24"/>
          <w:szCs w:val="24"/>
        </w:rPr>
      </w:pPr>
    </w:p>
    <w:p w:rsidR="00AD3FFC" w:rsidRPr="00D14611" w:rsidRDefault="00AD3FFC">
      <w:pPr>
        <w:rPr>
          <w:sz w:val="24"/>
          <w:szCs w:val="24"/>
          <w:u w:val="single"/>
        </w:rPr>
      </w:pPr>
      <w:r w:rsidRPr="00D14611">
        <w:rPr>
          <w:sz w:val="24"/>
          <w:szCs w:val="24"/>
          <w:u w:val="single"/>
        </w:rPr>
        <w:t>Georgia</w:t>
      </w:r>
    </w:p>
    <w:p w:rsidR="00AD3FFC" w:rsidRPr="00D14611" w:rsidRDefault="00AD3FFC">
      <w:pPr>
        <w:ind w:firstLine="720"/>
        <w:rPr>
          <w:b/>
          <w:sz w:val="24"/>
          <w:szCs w:val="24"/>
        </w:rPr>
      </w:pPr>
      <w:r w:rsidRPr="00D14611">
        <w:rPr>
          <w:b/>
          <w:sz w:val="24"/>
          <w:szCs w:val="24"/>
        </w:rPr>
        <w:t xml:space="preserve">Fiscal Year: </w:t>
      </w:r>
      <w:r w:rsidRPr="00D14611">
        <w:rPr>
          <w:sz w:val="24"/>
          <w:szCs w:val="24"/>
        </w:rPr>
        <w:t>July 1–June 30</w:t>
      </w:r>
      <w:r w:rsidRPr="00D14611">
        <w:rPr>
          <w:b/>
          <w:sz w:val="24"/>
          <w:szCs w:val="24"/>
        </w:rPr>
        <w:t xml:space="preserve"> </w:t>
      </w:r>
    </w:p>
    <w:p w:rsidR="00AD3FFC" w:rsidRPr="00D14611" w:rsidRDefault="00AD3FFC">
      <w:pPr>
        <w:ind w:left="720"/>
        <w:rPr>
          <w:b/>
          <w:sz w:val="24"/>
          <w:szCs w:val="24"/>
        </w:rPr>
      </w:pPr>
      <w:r w:rsidRPr="00D14611">
        <w:rPr>
          <w:b/>
          <w:sz w:val="24"/>
          <w:szCs w:val="24"/>
        </w:rPr>
        <w:t xml:space="preserve">Notes: </w:t>
      </w:r>
    </w:p>
    <w:p w:rsidR="00AD3FFC" w:rsidRDefault="009C6D19" w:rsidP="00030715">
      <w:pPr>
        <w:numPr>
          <w:ilvl w:val="0"/>
          <w:numId w:val="5"/>
        </w:numPr>
        <w:rPr>
          <w:sz w:val="24"/>
          <w:szCs w:val="24"/>
        </w:rPr>
      </w:pPr>
      <w:r w:rsidRPr="00030715">
        <w:rPr>
          <w:sz w:val="24"/>
          <w:szCs w:val="24"/>
        </w:rPr>
        <w:t xml:space="preserve">The state reported the State Payments on Behalf of the Local Education Agency data. </w:t>
      </w:r>
    </w:p>
    <w:p w:rsidR="00D642A8" w:rsidRDefault="00D642A8">
      <w:pPr>
        <w:rPr>
          <w:sz w:val="24"/>
          <w:szCs w:val="24"/>
          <w:u w:val="single"/>
        </w:rPr>
      </w:pPr>
    </w:p>
    <w:p w:rsidR="00AD3FFC" w:rsidRPr="00D14611" w:rsidRDefault="00AD3FFC">
      <w:pPr>
        <w:rPr>
          <w:sz w:val="24"/>
          <w:szCs w:val="24"/>
        </w:rPr>
      </w:pPr>
      <w:r w:rsidRPr="00D14611">
        <w:rPr>
          <w:sz w:val="24"/>
          <w:szCs w:val="24"/>
          <w:u w:val="single"/>
        </w:rPr>
        <w:t>Hawaii</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Idaho</w:t>
      </w:r>
    </w:p>
    <w:p w:rsidR="00AD3FFC" w:rsidRPr="00D14611" w:rsidRDefault="00AD3FFC">
      <w:pPr>
        <w:ind w:left="720"/>
        <w:rPr>
          <w:b/>
          <w:sz w:val="24"/>
          <w:szCs w:val="24"/>
        </w:rPr>
      </w:pPr>
      <w:r w:rsidRPr="00D14611">
        <w:rPr>
          <w:b/>
          <w:sz w:val="24"/>
          <w:szCs w:val="24"/>
        </w:rPr>
        <w:t>Fiscal Year:</w:t>
      </w:r>
      <w:r w:rsidRPr="00D14611">
        <w:rPr>
          <w:sz w:val="24"/>
          <w:szCs w:val="24"/>
        </w:rPr>
        <w:t xml:space="preserve"> July 1–June 30</w:t>
      </w:r>
    </w:p>
    <w:p w:rsidR="00AD3FFC" w:rsidRPr="00D14611" w:rsidRDefault="00AD3FFC">
      <w:pPr>
        <w:ind w:left="720"/>
        <w:rPr>
          <w:b/>
          <w:sz w:val="24"/>
          <w:szCs w:val="24"/>
        </w:rPr>
      </w:pPr>
      <w:r w:rsidRPr="00D14611">
        <w:rPr>
          <w:b/>
          <w:sz w:val="24"/>
          <w:szCs w:val="24"/>
        </w:rPr>
        <w:t xml:space="preserve">Notes: </w:t>
      </w:r>
    </w:p>
    <w:p w:rsidR="00AD3FFC" w:rsidRPr="00D14611" w:rsidRDefault="008B4E9F">
      <w:pPr>
        <w:numPr>
          <w:ilvl w:val="0"/>
          <w:numId w:val="5"/>
        </w:numPr>
        <w:rPr>
          <w:sz w:val="24"/>
          <w:szCs w:val="24"/>
        </w:rPr>
      </w:pPr>
      <w:r>
        <w:rPr>
          <w:sz w:val="24"/>
          <w:szCs w:val="24"/>
        </w:rPr>
        <w:t>The state reported c</w:t>
      </w:r>
      <w:r w:rsidR="00AD3FFC" w:rsidRPr="00D14611">
        <w:rPr>
          <w:sz w:val="24"/>
          <w:szCs w:val="24"/>
        </w:rPr>
        <w:t>apital outlay payments for land and existing structures (G15) under construction (F12).</w:t>
      </w:r>
    </w:p>
    <w:p w:rsidR="00AD3FFC" w:rsidRPr="00D14611" w:rsidRDefault="009C6D19">
      <w:pPr>
        <w:numPr>
          <w:ilvl w:val="0"/>
          <w:numId w:val="5"/>
        </w:numPr>
        <w:rPr>
          <w:sz w:val="24"/>
          <w:szCs w:val="24"/>
        </w:rPr>
      </w:pPr>
      <w:r>
        <w:rPr>
          <w:sz w:val="24"/>
          <w:szCs w:val="24"/>
        </w:rPr>
        <w:t xml:space="preserve">The state reported State Payments on Behalf of the Local Education Agency data. </w:t>
      </w:r>
    </w:p>
    <w:p w:rsidR="00D642A8" w:rsidRPr="0080561E" w:rsidRDefault="008B4E9F" w:rsidP="00844628">
      <w:pPr>
        <w:pStyle w:val="BodyTextIndent2"/>
        <w:numPr>
          <w:ilvl w:val="0"/>
          <w:numId w:val="5"/>
        </w:numPr>
        <w:rPr>
          <w:sz w:val="24"/>
          <w:szCs w:val="24"/>
        </w:rPr>
      </w:pPr>
      <w:r w:rsidRPr="0080561E">
        <w:rPr>
          <w:sz w:val="24"/>
          <w:szCs w:val="24"/>
        </w:rPr>
        <w:t xml:space="preserve">The Idaho financial reporting system cannot isolate payments to other school systems (Q11). </w:t>
      </w:r>
      <w:r w:rsidR="00AD3FFC" w:rsidRPr="0080561E">
        <w:rPr>
          <w:sz w:val="24"/>
          <w:szCs w:val="24"/>
        </w:rPr>
        <w:t xml:space="preserve">These amounts are usually </w:t>
      </w:r>
      <w:r w:rsidR="00C7666E" w:rsidRPr="0080561E">
        <w:rPr>
          <w:sz w:val="24"/>
          <w:szCs w:val="24"/>
        </w:rPr>
        <w:t>small</w:t>
      </w:r>
      <w:r w:rsidR="00AD3FFC" w:rsidRPr="0080561E">
        <w:rPr>
          <w:sz w:val="24"/>
          <w:szCs w:val="24"/>
        </w:rPr>
        <w:t>. They will slightly inflate the current expenditure amounts for individual school districts.</w:t>
      </w:r>
    </w:p>
    <w:p w:rsidR="007D2312" w:rsidRDefault="007D2312">
      <w:pPr>
        <w:rPr>
          <w:sz w:val="24"/>
          <w:szCs w:val="24"/>
          <w:u w:val="single"/>
        </w:rPr>
      </w:pPr>
    </w:p>
    <w:p w:rsidR="00AD3FFC" w:rsidRPr="00D14611" w:rsidRDefault="00AD3FFC">
      <w:pPr>
        <w:rPr>
          <w:sz w:val="24"/>
          <w:szCs w:val="24"/>
          <w:u w:val="single"/>
        </w:rPr>
      </w:pPr>
      <w:r w:rsidRPr="00D14611">
        <w:rPr>
          <w:sz w:val="24"/>
          <w:szCs w:val="24"/>
          <w:u w:val="single"/>
        </w:rPr>
        <w:t>Illinois</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Pr="00D14611" w:rsidRDefault="00386A2E">
      <w:pPr>
        <w:numPr>
          <w:ilvl w:val="0"/>
          <w:numId w:val="6"/>
        </w:numPr>
        <w:rPr>
          <w:sz w:val="24"/>
          <w:szCs w:val="24"/>
        </w:rPr>
      </w:pPr>
      <w:r>
        <w:rPr>
          <w:sz w:val="24"/>
          <w:szCs w:val="24"/>
        </w:rPr>
        <w:t>The state reported c</w:t>
      </w:r>
      <w:r w:rsidR="00AD3FFC" w:rsidRPr="00D14611">
        <w:rPr>
          <w:sz w:val="24"/>
          <w:szCs w:val="24"/>
        </w:rPr>
        <w:t>apital outlay payments for land and existing structures (G15) under construction (F12).</w:t>
      </w:r>
    </w:p>
    <w:p w:rsidR="00AD3FFC" w:rsidRPr="00EB01E2" w:rsidRDefault="009C6D19">
      <w:pPr>
        <w:numPr>
          <w:ilvl w:val="0"/>
          <w:numId w:val="6"/>
        </w:numPr>
        <w:rPr>
          <w:b/>
          <w:sz w:val="24"/>
          <w:szCs w:val="24"/>
        </w:rPr>
      </w:pPr>
      <w:r>
        <w:rPr>
          <w:sz w:val="24"/>
          <w:szCs w:val="24"/>
        </w:rPr>
        <w:t xml:space="preserve">The state reported State Payments on Behalf of the Local Education Agency data. </w:t>
      </w:r>
      <w:r w:rsidR="00386A2E">
        <w:rPr>
          <w:sz w:val="24"/>
          <w:szCs w:val="24"/>
        </w:rPr>
        <w:t>The Census Bureau redistributed these data to the corresponding expenditure items for the state.</w:t>
      </w:r>
    </w:p>
    <w:p w:rsidR="00847177" w:rsidRPr="00EB01E2" w:rsidRDefault="00847177" w:rsidP="00847177">
      <w:pPr>
        <w:numPr>
          <w:ilvl w:val="0"/>
          <w:numId w:val="6"/>
        </w:numPr>
        <w:rPr>
          <w:b/>
          <w:sz w:val="24"/>
          <w:szCs w:val="24"/>
        </w:rPr>
      </w:pPr>
      <w:r>
        <w:rPr>
          <w:sz w:val="24"/>
          <w:szCs w:val="24"/>
        </w:rPr>
        <w:t xml:space="preserve">The state reports financial data for Regional Offices of Education (ROEs) and other education service agencies within the financial data of the regular school districts they serve. The financial data for these education service agencies are reported as “-2” (nonapplicable) on the F-33 data file.   </w:t>
      </w:r>
    </w:p>
    <w:p w:rsidR="006428C8" w:rsidRPr="00F40F6D" w:rsidRDefault="006428C8">
      <w:pPr>
        <w:numPr>
          <w:ilvl w:val="0"/>
          <w:numId w:val="6"/>
        </w:numPr>
        <w:rPr>
          <w:b/>
          <w:sz w:val="24"/>
          <w:szCs w:val="24"/>
        </w:rPr>
      </w:pPr>
      <w:r>
        <w:rPr>
          <w:sz w:val="24"/>
          <w:szCs w:val="24"/>
        </w:rPr>
        <w:t>The state reported corporate personal property replacement tax revenues as NCES Local Revenue, Census State Revenue (C24) and included them in the local revenue subtotal (TLOCREV).</w:t>
      </w:r>
    </w:p>
    <w:p w:rsidR="002966FF" w:rsidRPr="00104D6B" w:rsidRDefault="002966FF" w:rsidP="00F40F6D">
      <w:pPr>
        <w:ind w:left="1080"/>
        <w:rPr>
          <w:b/>
          <w:sz w:val="24"/>
          <w:szCs w:val="24"/>
        </w:rPr>
      </w:pPr>
    </w:p>
    <w:p w:rsidR="00AD3FFC" w:rsidRPr="00D14611" w:rsidRDefault="00AD3FFC">
      <w:pPr>
        <w:rPr>
          <w:sz w:val="24"/>
          <w:szCs w:val="24"/>
          <w:u w:val="single"/>
        </w:rPr>
      </w:pPr>
      <w:r w:rsidRPr="00D14611">
        <w:rPr>
          <w:sz w:val="24"/>
          <w:szCs w:val="24"/>
          <w:u w:val="single"/>
        </w:rPr>
        <w:t>Indiana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E50F92" w:rsidRDefault="00E50F92" w:rsidP="00B27EA4">
      <w:pPr>
        <w:numPr>
          <w:ilvl w:val="0"/>
          <w:numId w:val="7"/>
        </w:numPr>
        <w:rPr>
          <w:sz w:val="24"/>
          <w:szCs w:val="24"/>
        </w:rPr>
      </w:pPr>
      <w:r>
        <w:rPr>
          <w:sz w:val="24"/>
          <w:szCs w:val="24"/>
        </w:rPr>
        <w:t>Indiana reports F-33 data within the state education agency account codes documented i</w:t>
      </w:r>
      <w:r w:rsidR="00237857">
        <w:rPr>
          <w:sz w:val="24"/>
          <w:szCs w:val="24"/>
        </w:rPr>
        <w:t xml:space="preserve">n the Indiana State Board of Accounts’ </w:t>
      </w:r>
      <w:r>
        <w:rPr>
          <w:sz w:val="24"/>
          <w:szCs w:val="24"/>
        </w:rPr>
        <w:t>accounting manual for local education agencies</w:t>
      </w:r>
      <w:r w:rsidR="00237857">
        <w:rPr>
          <w:sz w:val="24"/>
          <w:szCs w:val="24"/>
        </w:rPr>
        <w:t xml:space="preserve">, </w:t>
      </w:r>
      <w:r w:rsidR="00237857" w:rsidRPr="00F40F6D">
        <w:rPr>
          <w:i/>
          <w:sz w:val="24"/>
          <w:szCs w:val="24"/>
        </w:rPr>
        <w:t>Accounting and Uniform Compliance Guidelines Manual for Indiana Public School Corporations</w:t>
      </w:r>
      <w:r>
        <w:rPr>
          <w:sz w:val="24"/>
          <w:szCs w:val="24"/>
        </w:rPr>
        <w:t xml:space="preserve"> (</w:t>
      </w:r>
      <w:r w:rsidR="00B27EA4" w:rsidRPr="00B27EA4">
        <w:rPr>
          <w:sz w:val="24"/>
          <w:szCs w:val="24"/>
        </w:rPr>
        <w:t>http://www.in.gov/sboa/4449.htm</w:t>
      </w:r>
      <w:r>
        <w:rPr>
          <w:sz w:val="24"/>
          <w:szCs w:val="24"/>
        </w:rPr>
        <w:t>). F-3</w:t>
      </w:r>
      <w:r w:rsidR="00237857">
        <w:rPr>
          <w:sz w:val="24"/>
          <w:szCs w:val="24"/>
        </w:rPr>
        <w:t>3 survey staff crosswalk Indiana</w:t>
      </w:r>
      <w:r>
        <w:rPr>
          <w:sz w:val="24"/>
          <w:szCs w:val="24"/>
        </w:rPr>
        <w:t>’s reported account code amounts to each F-33 survey variable.</w:t>
      </w:r>
    </w:p>
    <w:p w:rsidR="00E50F92" w:rsidRDefault="0045136D">
      <w:pPr>
        <w:numPr>
          <w:ilvl w:val="0"/>
          <w:numId w:val="7"/>
        </w:numPr>
        <w:rPr>
          <w:sz w:val="24"/>
          <w:szCs w:val="24"/>
        </w:rPr>
      </w:pPr>
      <w:r>
        <w:rPr>
          <w:sz w:val="24"/>
          <w:szCs w:val="24"/>
        </w:rPr>
        <w:t>F-33 survey staff estimate l</w:t>
      </w:r>
      <w:r w:rsidR="00E50F92" w:rsidRPr="004D6576">
        <w:rPr>
          <w:sz w:val="24"/>
          <w:szCs w:val="24"/>
        </w:rPr>
        <w:t xml:space="preserve">ong-term debt at the beginning of the fiscal </w:t>
      </w:r>
      <w:r w:rsidR="00237857">
        <w:rPr>
          <w:sz w:val="24"/>
          <w:szCs w:val="24"/>
        </w:rPr>
        <w:t>year (19H)</w:t>
      </w:r>
      <w:r w:rsidR="007C42F5">
        <w:rPr>
          <w:sz w:val="24"/>
          <w:szCs w:val="24"/>
        </w:rPr>
        <w:t xml:space="preserve"> </w:t>
      </w:r>
      <w:r w:rsidR="00237857">
        <w:rPr>
          <w:sz w:val="24"/>
          <w:szCs w:val="24"/>
        </w:rPr>
        <w:t xml:space="preserve">for </w:t>
      </w:r>
      <w:r w:rsidR="002D42CF">
        <w:rPr>
          <w:sz w:val="24"/>
          <w:szCs w:val="24"/>
        </w:rPr>
        <w:t xml:space="preserve">some </w:t>
      </w:r>
      <w:r w:rsidR="00237857">
        <w:rPr>
          <w:sz w:val="24"/>
          <w:szCs w:val="24"/>
        </w:rPr>
        <w:t>Indiana</w:t>
      </w:r>
      <w:r w:rsidR="00E50F92" w:rsidRPr="004D6576">
        <w:rPr>
          <w:sz w:val="24"/>
          <w:szCs w:val="24"/>
        </w:rPr>
        <w:t xml:space="preserve"> local educat</w:t>
      </w:r>
      <w:r w:rsidR="00914575">
        <w:rPr>
          <w:sz w:val="24"/>
          <w:szCs w:val="24"/>
        </w:rPr>
        <w:t xml:space="preserve">ion agencies by setting 19H </w:t>
      </w:r>
      <w:r w:rsidR="00E50F92">
        <w:rPr>
          <w:sz w:val="24"/>
          <w:szCs w:val="24"/>
        </w:rPr>
        <w:t>equ</w:t>
      </w:r>
      <w:r w:rsidR="00914575">
        <w:rPr>
          <w:sz w:val="24"/>
          <w:szCs w:val="24"/>
        </w:rPr>
        <w:t>al to long-term debt at the end of the fiscal year (41F)</w:t>
      </w:r>
      <w:r w:rsidR="002D42CF">
        <w:rPr>
          <w:sz w:val="24"/>
          <w:szCs w:val="24"/>
        </w:rPr>
        <w:t xml:space="preserve"> </w:t>
      </w:r>
      <w:r w:rsidR="00914575">
        <w:rPr>
          <w:sz w:val="24"/>
          <w:szCs w:val="24"/>
        </w:rPr>
        <w:t>+</w:t>
      </w:r>
      <w:r w:rsidR="00E50F92">
        <w:rPr>
          <w:sz w:val="24"/>
          <w:szCs w:val="24"/>
        </w:rPr>
        <w:t xml:space="preserve"> long-term debt retired during the fiscal year (31F)</w:t>
      </w:r>
      <w:r w:rsidR="00914575">
        <w:rPr>
          <w:sz w:val="24"/>
          <w:szCs w:val="24"/>
        </w:rPr>
        <w:t xml:space="preserve"> - long-term debt issued during the fiscal year (21F).</w:t>
      </w:r>
    </w:p>
    <w:p w:rsidR="002D42CF" w:rsidRPr="00E50F92" w:rsidRDefault="00B8670F">
      <w:pPr>
        <w:numPr>
          <w:ilvl w:val="0"/>
          <w:numId w:val="7"/>
        </w:numPr>
        <w:rPr>
          <w:sz w:val="24"/>
          <w:szCs w:val="24"/>
        </w:rPr>
      </w:pPr>
      <w:r>
        <w:rPr>
          <w:sz w:val="24"/>
          <w:szCs w:val="24"/>
        </w:rPr>
        <w:t>Per recommendation from the Indiana Department of Education, F-33 staff redistribute</w:t>
      </w:r>
      <w:r w:rsidR="00D337CA">
        <w:rPr>
          <w:sz w:val="24"/>
          <w:szCs w:val="24"/>
        </w:rPr>
        <w:t>d</w:t>
      </w:r>
      <w:r>
        <w:rPr>
          <w:sz w:val="24"/>
          <w:szCs w:val="24"/>
        </w:rPr>
        <w:t xml:space="preserve"> approximately 16.58% of local property tax revenue from Indiana’s General Fund and approximately 13.96% of local property tax revenue from all other school funds to state general formula assistance revenue (C01). </w:t>
      </w:r>
      <w:r w:rsidR="00D337CA">
        <w:rPr>
          <w:sz w:val="24"/>
          <w:szCs w:val="24"/>
        </w:rPr>
        <w:t xml:space="preserve">This is due to Indiana’s State Property Tax Replacement Credit program, through which the state funds its school districts in lieu of </w:t>
      </w:r>
      <w:r w:rsidR="003354EE">
        <w:rPr>
          <w:sz w:val="24"/>
          <w:szCs w:val="24"/>
        </w:rPr>
        <w:t xml:space="preserve">local property tax revenue. </w:t>
      </w:r>
    </w:p>
    <w:p w:rsidR="00936C3F" w:rsidRDefault="009C6D19">
      <w:pPr>
        <w:numPr>
          <w:ilvl w:val="0"/>
          <w:numId w:val="7"/>
        </w:numPr>
        <w:rPr>
          <w:sz w:val="24"/>
          <w:szCs w:val="24"/>
        </w:rPr>
      </w:pPr>
      <w:r>
        <w:rPr>
          <w:sz w:val="24"/>
          <w:szCs w:val="24"/>
        </w:rPr>
        <w:t xml:space="preserve">The state reported State Payments on Behalf of the Local Education Agency data. </w:t>
      </w:r>
      <w:r w:rsidR="00386A2E">
        <w:rPr>
          <w:sz w:val="24"/>
          <w:szCs w:val="24"/>
        </w:rPr>
        <w:t>The Census Bureau redistributed these data to the corresponding expenditure items for the state.</w:t>
      </w:r>
      <w:r w:rsidR="006958AD">
        <w:rPr>
          <w:sz w:val="24"/>
          <w:szCs w:val="24"/>
        </w:rPr>
        <w:t xml:space="preserve"> </w:t>
      </w:r>
      <w:r w:rsidR="00936C3F">
        <w:rPr>
          <w:sz w:val="24"/>
          <w:szCs w:val="24"/>
        </w:rPr>
        <w:t>State</w:t>
      </w:r>
      <w:r w:rsidR="00CF7D59">
        <w:rPr>
          <w:sz w:val="24"/>
          <w:szCs w:val="24"/>
        </w:rPr>
        <w:t xml:space="preserve"> government </w:t>
      </w:r>
      <w:r w:rsidR="00936C3F">
        <w:rPr>
          <w:sz w:val="24"/>
          <w:szCs w:val="24"/>
        </w:rPr>
        <w:t>paym</w:t>
      </w:r>
      <w:r w:rsidR="008C4371">
        <w:rPr>
          <w:sz w:val="24"/>
          <w:szCs w:val="24"/>
        </w:rPr>
        <w:t>ents on behalf of Indiana school corporations</w:t>
      </w:r>
      <w:r w:rsidR="00CF7D59">
        <w:rPr>
          <w:sz w:val="24"/>
          <w:szCs w:val="24"/>
        </w:rPr>
        <w:t xml:space="preserve"> to </w:t>
      </w:r>
      <w:r w:rsidR="00926698">
        <w:rPr>
          <w:sz w:val="24"/>
          <w:szCs w:val="24"/>
        </w:rPr>
        <w:t xml:space="preserve">the state’s retirement </w:t>
      </w:r>
      <w:r w:rsidR="00613DBC">
        <w:rPr>
          <w:sz w:val="24"/>
          <w:szCs w:val="24"/>
        </w:rPr>
        <w:t xml:space="preserve">and health insurance </w:t>
      </w:r>
      <w:r w:rsidR="00926698">
        <w:rPr>
          <w:sz w:val="24"/>
          <w:szCs w:val="24"/>
        </w:rPr>
        <w:t>system</w:t>
      </w:r>
      <w:r w:rsidR="00613DBC">
        <w:rPr>
          <w:sz w:val="24"/>
          <w:szCs w:val="24"/>
        </w:rPr>
        <w:t>s</w:t>
      </w:r>
      <w:r w:rsidR="00926698">
        <w:rPr>
          <w:sz w:val="24"/>
          <w:szCs w:val="24"/>
        </w:rPr>
        <w:t xml:space="preserve"> were</w:t>
      </w:r>
      <w:r w:rsidR="00CF7D59">
        <w:rPr>
          <w:sz w:val="24"/>
          <w:szCs w:val="24"/>
        </w:rPr>
        <w:t xml:space="preserve"> prorated</w:t>
      </w:r>
      <w:r w:rsidR="00926698">
        <w:rPr>
          <w:sz w:val="24"/>
          <w:szCs w:val="24"/>
        </w:rPr>
        <w:t xml:space="preserve"> to function-level expenditure totals </w:t>
      </w:r>
      <w:r w:rsidR="00E37C68">
        <w:rPr>
          <w:sz w:val="24"/>
          <w:szCs w:val="24"/>
        </w:rPr>
        <w:t>based on the reporting of salaries at the function level.</w:t>
      </w:r>
      <w:r w:rsidR="00CF7D59">
        <w:rPr>
          <w:sz w:val="24"/>
          <w:szCs w:val="24"/>
        </w:rPr>
        <w:t xml:space="preserve"> </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Iowa</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Kansas</w:t>
      </w:r>
    </w:p>
    <w:p w:rsidR="00AD3FFC" w:rsidRPr="00D14611" w:rsidRDefault="00AD3FFC">
      <w:pPr>
        <w:ind w:firstLine="720"/>
        <w:rPr>
          <w:b/>
          <w:sz w:val="24"/>
          <w:szCs w:val="24"/>
        </w:rPr>
      </w:pPr>
      <w:r w:rsidRPr="00D14611">
        <w:rPr>
          <w:b/>
          <w:sz w:val="24"/>
          <w:szCs w:val="24"/>
        </w:rPr>
        <w:t>Fiscal Year:</w:t>
      </w:r>
      <w:r w:rsidRPr="00D14611">
        <w:rPr>
          <w:sz w:val="24"/>
          <w:szCs w:val="24"/>
        </w:rPr>
        <w:t xml:space="preserve"> July 1–June 30</w:t>
      </w:r>
    </w:p>
    <w:p w:rsidR="00AD3FFC" w:rsidRPr="00D14611" w:rsidRDefault="00AD3FFC">
      <w:pPr>
        <w:ind w:firstLine="720"/>
        <w:rPr>
          <w:b/>
          <w:sz w:val="24"/>
          <w:szCs w:val="24"/>
        </w:rPr>
      </w:pPr>
      <w:r w:rsidRPr="00D14611">
        <w:rPr>
          <w:b/>
          <w:sz w:val="24"/>
          <w:szCs w:val="24"/>
        </w:rPr>
        <w:t xml:space="preserve">Notes: </w:t>
      </w:r>
    </w:p>
    <w:p w:rsidR="00AD3FFC" w:rsidRPr="00314DE7" w:rsidRDefault="009C6D19">
      <w:pPr>
        <w:numPr>
          <w:ilvl w:val="0"/>
          <w:numId w:val="8"/>
        </w:numPr>
        <w:rPr>
          <w:b/>
          <w:sz w:val="24"/>
          <w:szCs w:val="24"/>
        </w:rPr>
      </w:pPr>
      <w:r>
        <w:rPr>
          <w:sz w:val="24"/>
          <w:szCs w:val="24"/>
        </w:rPr>
        <w:t>The state reported State Payments on Behalf of the Local Education Agency data</w:t>
      </w:r>
      <w:r w:rsidR="00565E6F">
        <w:rPr>
          <w:sz w:val="24"/>
          <w:szCs w:val="24"/>
        </w:rPr>
        <w:t>.</w:t>
      </w:r>
    </w:p>
    <w:p w:rsidR="00314DE7" w:rsidRPr="00104D6B" w:rsidRDefault="00314DE7">
      <w:pPr>
        <w:numPr>
          <w:ilvl w:val="0"/>
          <w:numId w:val="8"/>
        </w:numPr>
        <w:rPr>
          <w:b/>
          <w:sz w:val="24"/>
          <w:szCs w:val="24"/>
        </w:rPr>
      </w:pPr>
      <w:r>
        <w:rPr>
          <w:sz w:val="24"/>
          <w:szCs w:val="24"/>
        </w:rPr>
        <w:t xml:space="preserve">The state reports financial data for </w:t>
      </w:r>
      <w:r w:rsidR="00A71B43">
        <w:rPr>
          <w:sz w:val="24"/>
          <w:szCs w:val="24"/>
        </w:rPr>
        <w:t xml:space="preserve">education cooperatives and other </w:t>
      </w:r>
      <w:r>
        <w:rPr>
          <w:sz w:val="24"/>
          <w:szCs w:val="24"/>
        </w:rPr>
        <w:t>education service agencies</w:t>
      </w:r>
      <w:r w:rsidR="00A71B43">
        <w:rPr>
          <w:sz w:val="24"/>
          <w:szCs w:val="24"/>
        </w:rPr>
        <w:t xml:space="preserve"> within the financial data of the regular school districts they serve. The financial data for these education service agencies a</w:t>
      </w:r>
      <w:r w:rsidR="007714E3">
        <w:rPr>
          <w:sz w:val="24"/>
          <w:szCs w:val="24"/>
        </w:rPr>
        <w:t xml:space="preserve">re </w:t>
      </w:r>
      <w:r w:rsidR="00B75DE0">
        <w:rPr>
          <w:sz w:val="24"/>
          <w:szCs w:val="24"/>
        </w:rPr>
        <w:t>reported</w:t>
      </w:r>
      <w:r w:rsidR="004E6482">
        <w:rPr>
          <w:sz w:val="24"/>
          <w:szCs w:val="24"/>
        </w:rPr>
        <w:t xml:space="preserve"> as “-2” (nonapplicable</w:t>
      </w:r>
      <w:r w:rsidR="00A71B43">
        <w:rPr>
          <w:sz w:val="24"/>
          <w:szCs w:val="24"/>
        </w:rPr>
        <w:t xml:space="preserve">) on the F-33 data file. </w:t>
      </w:r>
      <w:r>
        <w:rPr>
          <w:sz w:val="24"/>
          <w:szCs w:val="24"/>
        </w:rPr>
        <w:t xml:space="preserve">  </w:t>
      </w:r>
    </w:p>
    <w:p w:rsidR="00045595" w:rsidRDefault="00045595">
      <w:pPr>
        <w:rPr>
          <w:sz w:val="24"/>
          <w:szCs w:val="24"/>
          <w:u w:val="single"/>
        </w:rPr>
      </w:pPr>
    </w:p>
    <w:p w:rsidR="00AD3FFC" w:rsidRPr="00D14611" w:rsidRDefault="00AD3FFC">
      <w:pPr>
        <w:rPr>
          <w:sz w:val="24"/>
          <w:szCs w:val="24"/>
          <w:u w:val="single"/>
        </w:rPr>
      </w:pPr>
      <w:r w:rsidRPr="00D14611">
        <w:rPr>
          <w:sz w:val="24"/>
          <w:szCs w:val="24"/>
          <w:u w:val="single"/>
        </w:rPr>
        <w:t>Kentucky</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4F6699" w:rsidRPr="00EB01E2" w:rsidRDefault="009C6D19" w:rsidP="00844628">
      <w:pPr>
        <w:numPr>
          <w:ilvl w:val="0"/>
          <w:numId w:val="8"/>
        </w:numPr>
        <w:rPr>
          <w:b/>
          <w:sz w:val="24"/>
          <w:szCs w:val="24"/>
        </w:rPr>
      </w:pPr>
      <w:r w:rsidRPr="009420AB">
        <w:rPr>
          <w:sz w:val="24"/>
          <w:szCs w:val="24"/>
        </w:rPr>
        <w:t xml:space="preserve">The state reported State Payments on Behalf of the Local Education Agency data. </w:t>
      </w:r>
    </w:p>
    <w:p w:rsidR="004E6482" w:rsidRPr="00D14611" w:rsidRDefault="004E6482" w:rsidP="004E6482">
      <w:pPr>
        <w:numPr>
          <w:ilvl w:val="0"/>
          <w:numId w:val="8"/>
        </w:numPr>
        <w:rPr>
          <w:b/>
          <w:sz w:val="24"/>
          <w:szCs w:val="24"/>
        </w:rPr>
      </w:pPr>
      <w:r>
        <w:rPr>
          <w:sz w:val="24"/>
          <w:szCs w:val="24"/>
        </w:rPr>
        <w:t>The state reports financial data for education cooperatives and other education service agencies within the financial data of the regular school districts they serve. The financial data for these education service agencies are reported as “-2” (nonapplicable) on the F-33 data file.</w:t>
      </w:r>
    </w:p>
    <w:p w:rsidR="009420AB" w:rsidRPr="009420AB" w:rsidRDefault="009420AB" w:rsidP="009420AB">
      <w:pPr>
        <w:ind w:left="1080"/>
        <w:rPr>
          <w:sz w:val="24"/>
          <w:szCs w:val="24"/>
          <w:u w:val="single"/>
        </w:rPr>
      </w:pPr>
    </w:p>
    <w:p w:rsidR="00AD3FFC" w:rsidRPr="00D14611" w:rsidRDefault="00AD3FFC">
      <w:pPr>
        <w:rPr>
          <w:sz w:val="24"/>
          <w:szCs w:val="24"/>
          <w:u w:val="single"/>
        </w:rPr>
      </w:pPr>
      <w:r w:rsidRPr="00D14611">
        <w:rPr>
          <w:sz w:val="24"/>
          <w:szCs w:val="24"/>
          <w:u w:val="single"/>
        </w:rPr>
        <w:t>Louisiana</w:t>
      </w:r>
    </w:p>
    <w:p w:rsidR="00AD3FFC" w:rsidRPr="00D14611" w:rsidRDefault="00AD3FFC">
      <w:pPr>
        <w:rPr>
          <w:sz w:val="24"/>
          <w:szCs w:val="24"/>
        </w:rPr>
      </w:pPr>
      <w:r w:rsidRPr="00D14611">
        <w:rPr>
          <w:sz w:val="24"/>
          <w:szCs w:val="24"/>
        </w:rPr>
        <w:tab/>
      </w:r>
      <w:r w:rsidRPr="00D14611">
        <w:rPr>
          <w:b/>
          <w:sz w:val="24"/>
          <w:szCs w:val="24"/>
        </w:rPr>
        <w:t>Fiscal Year:</w:t>
      </w:r>
      <w:r w:rsidRPr="00D14611">
        <w:rPr>
          <w:sz w:val="24"/>
          <w:szCs w:val="24"/>
        </w:rPr>
        <w:t xml:space="preserve"> July 1–June 30</w:t>
      </w:r>
    </w:p>
    <w:p w:rsidR="00216F65" w:rsidRPr="00D14611" w:rsidRDefault="00216F65">
      <w:pPr>
        <w:rPr>
          <w:sz w:val="24"/>
          <w:szCs w:val="24"/>
          <w:u w:val="single"/>
        </w:rPr>
      </w:pPr>
    </w:p>
    <w:p w:rsidR="00AD3FFC" w:rsidRPr="00D14611" w:rsidRDefault="00AD3FFC">
      <w:pPr>
        <w:rPr>
          <w:sz w:val="24"/>
          <w:szCs w:val="24"/>
          <w:u w:val="single"/>
        </w:rPr>
      </w:pPr>
      <w:r w:rsidRPr="00D14611">
        <w:rPr>
          <w:sz w:val="24"/>
          <w:szCs w:val="24"/>
          <w:u w:val="single"/>
        </w:rPr>
        <w:t>Maine</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5090F" w:rsidRPr="00844628" w:rsidRDefault="00D557D7" w:rsidP="00844628">
      <w:pPr>
        <w:numPr>
          <w:ilvl w:val="0"/>
          <w:numId w:val="8"/>
        </w:numPr>
        <w:rPr>
          <w:szCs w:val="24"/>
        </w:rPr>
      </w:pPr>
      <w:r w:rsidRPr="004237C1">
        <w:rPr>
          <w:sz w:val="24"/>
          <w:szCs w:val="24"/>
        </w:rPr>
        <w:t xml:space="preserve">The state reported State Payments on Behalf of the Local Education Agency data. </w:t>
      </w:r>
    </w:p>
    <w:p w:rsidR="003643FD" w:rsidRPr="00844628" w:rsidRDefault="003643FD" w:rsidP="00844628">
      <w:pPr>
        <w:ind w:left="1080"/>
        <w:rPr>
          <w:b/>
          <w:szCs w:val="24"/>
        </w:rPr>
      </w:pPr>
    </w:p>
    <w:p w:rsidR="00AD3FFC" w:rsidRPr="00D14611" w:rsidRDefault="00AD3FFC">
      <w:pPr>
        <w:pStyle w:val="Heading4"/>
        <w:ind w:firstLine="0"/>
        <w:rPr>
          <w:b w:val="0"/>
          <w:szCs w:val="24"/>
          <w:u w:val="single"/>
        </w:rPr>
      </w:pPr>
      <w:r w:rsidRPr="00D14611">
        <w:rPr>
          <w:b w:val="0"/>
          <w:szCs w:val="24"/>
          <w:u w:val="single"/>
        </w:rPr>
        <w:t>Maryland</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Default="009C6D19" w:rsidP="005B7607">
      <w:pPr>
        <w:numPr>
          <w:ilvl w:val="0"/>
          <w:numId w:val="8"/>
        </w:numPr>
        <w:rPr>
          <w:sz w:val="24"/>
          <w:szCs w:val="24"/>
        </w:rPr>
      </w:pPr>
      <w:r w:rsidRPr="005B7607">
        <w:rPr>
          <w:sz w:val="24"/>
          <w:szCs w:val="24"/>
        </w:rPr>
        <w:t xml:space="preserve">The state reported State Payments on Behalf of the Local Education Agency data. </w:t>
      </w:r>
    </w:p>
    <w:p w:rsidR="00FC6EAF" w:rsidRDefault="00FC6EAF">
      <w:pPr>
        <w:rPr>
          <w:sz w:val="24"/>
          <w:szCs w:val="24"/>
          <w:u w:val="single"/>
        </w:rPr>
      </w:pPr>
    </w:p>
    <w:p w:rsidR="00AD3FFC" w:rsidRPr="00D14611" w:rsidRDefault="00AD3FFC">
      <w:pPr>
        <w:rPr>
          <w:sz w:val="24"/>
          <w:szCs w:val="24"/>
        </w:rPr>
      </w:pPr>
      <w:r w:rsidRPr="00D14611">
        <w:rPr>
          <w:sz w:val="24"/>
          <w:szCs w:val="24"/>
          <w:u w:val="single"/>
        </w:rPr>
        <w:t>Massachusetts</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Default="009C6D19">
      <w:pPr>
        <w:numPr>
          <w:ilvl w:val="0"/>
          <w:numId w:val="8"/>
        </w:numPr>
        <w:rPr>
          <w:sz w:val="24"/>
          <w:szCs w:val="24"/>
        </w:rPr>
      </w:pPr>
      <w:r>
        <w:rPr>
          <w:sz w:val="24"/>
          <w:szCs w:val="24"/>
        </w:rPr>
        <w:t xml:space="preserve">The state reported State Payments on Behalf of the Local Education Agency data. </w:t>
      </w:r>
      <w:r w:rsidR="00A5090F">
        <w:rPr>
          <w:sz w:val="24"/>
          <w:szCs w:val="24"/>
        </w:rPr>
        <w:t>The Census Bureau redistributed these data to the corresponding expenditure items for the state.</w:t>
      </w:r>
    </w:p>
    <w:p w:rsidR="001040F4" w:rsidRPr="001040F4" w:rsidRDefault="001040F4" w:rsidP="001040F4">
      <w:pPr>
        <w:numPr>
          <w:ilvl w:val="0"/>
          <w:numId w:val="8"/>
        </w:numPr>
        <w:rPr>
          <w:sz w:val="24"/>
          <w:szCs w:val="24"/>
        </w:rPr>
      </w:pPr>
      <w:r>
        <w:rPr>
          <w:sz w:val="24"/>
          <w:szCs w:val="24"/>
        </w:rPr>
        <w:t>Massachusetts school districts do not derive revenues from the sale or rental of textbooks (A11).</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Michigan</w:t>
      </w:r>
    </w:p>
    <w:p w:rsidR="00AD3FFC" w:rsidRDefault="00AD3FFC">
      <w:pPr>
        <w:ind w:firstLine="720"/>
        <w:rPr>
          <w:sz w:val="24"/>
          <w:szCs w:val="24"/>
        </w:rPr>
      </w:pPr>
      <w:r w:rsidRPr="00D14611">
        <w:rPr>
          <w:b/>
          <w:sz w:val="24"/>
          <w:szCs w:val="24"/>
        </w:rPr>
        <w:t>Fiscal Year:</w:t>
      </w:r>
      <w:r w:rsidRPr="00D14611">
        <w:rPr>
          <w:sz w:val="24"/>
          <w:szCs w:val="24"/>
        </w:rPr>
        <w:t xml:space="preserve"> July 1–June 30</w:t>
      </w:r>
    </w:p>
    <w:p w:rsidR="00216F65" w:rsidRPr="00D14611" w:rsidRDefault="00216F65">
      <w:pPr>
        <w:rPr>
          <w:sz w:val="24"/>
          <w:szCs w:val="24"/>
          <w:u w:val="single"/>
        </w:rPr>
      </w:pPr>
    </w:p>
    <w:p w:rsidR="00AD3FFC" w:rsidRPr="00D14611" w:rsidRDefault="00AD3FFC">
      <w:pPr>
        <w:rPr>
          <w:sz w:val="24"/>
          <w:szCs w:val="24"/>
          <w:u w:val="single"/>
        </w:rPr>
      </w:pPr>
      <w:r w:rsidRPr="00D14611">
        <w:rPr>
          <w:sz w:val="24"/>
          <w:szCs w:val="24"/>
          <w:u w:val="single"/>
        </w:rPr>
        <w:t>Minnesota</w:t>
      </w:r>
    </w:p>
    <w:p w:rsidR="00AD3FFC" w:rsidRPr="00D14611" w:rsidRDefault="00AD3FFC">
      <w:pPr>
        <w:ind w:left="720"/>
        <w:rPr>
          <w:b/>
          <w:sz w:val="24"/>
          <w:szCs w:val="24"/>
        </w:rPr>
      </w:pPr>
      <w:r w:rsidRPr="00D14611">
        <w:rPr>
          <w:b/>
          <w:sz w:val="24"/>
          <w:szCs w:val="24"/>
        </w:rPr>
        <w:t>Fiscal Year:</w:t>
      </w:r>
      <w:r w:rsidRPr="00D14611">
        <w:rPr>
          <w:sz w:val="24"/>
          <w:szCs w:val="24"/>
        </w:rPr>
        <w:t xml:space="preserve"> July 1–June 30</w:t>
      </w:r>
    </w:p>
    <w:p w:rsidR="00AD3FFC" w:rsidRPr="00D14611" w:rsidRDefault="00AD3FFC">
      <w:pPr>
        <w:ind w:left="720"/>
        <w:rPr>
          <w:sz w:val="24"/>
          <w:szCs w:val="24"/>
        </w:rPr>
      </w:pPr>
      <w:r w:rsidRPr="00D14611">
        <w:rPr>
          <w:b/>
          <w:sz w:val="24"/>
          <w:szCs w:val="24"/>
        </w:rPr>
        <w:t xml:space="preserve">Notes: </w:t>
      </w:r>
    </w:p>
    <w:p w:rsidR="00AD3FFC" w:rsidRDefault="00A5090F">
      <w:pPr>
        <w:numPr>
          <w:ilvl w:val="0"/>
          <w:numId w:val="8"/>
        </w:numPr>
        <w:rPr>
          <w:sz w:val="24"/>
          <w:szCs w:val="24"/>
        </w:rPr>
      </w:pPr>
      <w:r>
        <w:rPr>
          <w:sz w:val="24"/>
          <w:szCs w:val="24"/>
        </w:rPr>
        <w:t>The state reported c</w:t>
      </w:r>
      <w:r w:rsidR="00AD3FFC" w:rsidRPr="00D14611">
        <w:rPr>
          <w:sz w:val="24"/>
          <w:szCs w:val="24"/>
        </w:rPr>
        <w:t>apital outlay payments for land and existing structures (G15) under construction (F12).</w:t>
      </w:r>
    </w:p>
    <w:p w:rsidR="0048598E" w:rsidRPr="0080561E" w:rsidRDefault="0048598E" w:rsidP="0048598E">
      <w:pPr>
        <w:numPr>
          <w:ilvl w:val="0"/>
          <w:numId w:val="8"/>
        </w:numPr>
        <w:rPr>
          <w:b/>
          <w:sz w:val="24"/>
          <w:szCs w:val="24"/>
        </w:rPr>
      </w:pPr>
      <w:r>
        <w:rPr>
          <w:sz w:val="24"/>
          <w:szCs w:val="24"/>
        </w:rPr>
        <w:t xml:space="preserve">The state reports financial data for </w:t>
      </w:r>
      <w:r w:rsidR="001E3D69">
        <w:rPr>
          <w:sz w:val="24"/>
          <w:szCs w:val="24"/>
        </w:rPr>
        <w:t xml:space="preserve">some </w:t>
      </w:r>
      <w:r>
        <w:rPr>
          <w:sz w:val="24"/>
          <w:szCs w:val="24"/>
        </w:rPr>
        <w:t>area learning centers and other education service agencies that do not report data separately within the financial data of the regular school districts they serve. The financial data for these education serv</w:t>
      </w:r>
      <w:r w:rsidR="004E6482">
        <w:rPr>
          <w:sz w:val="24"/>
          <w:szCs w:val="24"/>
        </w:rPr>
        <w:t>ice agencies are reported as “-2” (nonapplicable</w:t>
      </w:r>
      <w:r>
        <w:rPr>
          <w:sz w:val="24"/>
          <w:szCs w:val="24"/>
        </w:rPr>
        <w:t xml:space="preserve">) on the F-33 data file.   </w:t>
      </w:r>
    </w:p>
    <w:p w:rsidR="00AA27BF" w:rsidRPr="00104D6B" w:rsidRDefault="00AA27BF" w:rsidP="0048598E">
      <w:pPr>
        <w:numPr>
          <w:ilvl w:val="0"/>
          <w:numId w:val="8"/>
        </w:numPr>
        <w:rPr>
          <w:b/>
          <w:sz w:val="24"/>
          <w:szCs w:val="24"/>
        </w:rPr>
      </w:pPr>
      <w:r>
        <w:rPr>
          <w:sz w:val="24"/>
          <w:szCs w:val="24"/>
        </w:rPr>
        <w:t>Minnesota property t</w:t>
      </w:r>
      <w:r w:rsidR="00C43C9C">
        <w:rPr>
          <w:sz w:val="24"/>
          <w:szCs w:val="24"/>
        </w:rPr>
        <w:t>ax revenues (T06) decreased</w:t>
      </w:r>
      <w:r>
        <w:rPr>
          <w:sz w:val="24"/>
          <w:szCs w:val="24"/>
        </w:rPr>
        <w:t xml:space="preserve"> substantially</w:t>
      </w:r>
      <w:r w:rsidR="00C43C9C">
        <w:rPr>
          <w:sz w:val="24"/>
          <w:szCs w:val="24"/>
        </w:rPr>
        <w:t xml:space="preserve"> with a corresponding increase in total state revenues due to a $551 million property tax revenue recognition shift from FY 13 to FY 14.</w:t>
      </w:r>
      <w:r>
        <w:rPr>
          <w:sz w:val="24"/>
          <w:szCs w:val="24"/>
        </w:rPr>
        <w:t xml:space="preserve"> </w:t>
      </w:r>
    </w:p>
    <w:p w:rsidR="003647EC" w:rsidRDefault="003647EC">
      <w:pPr>
        <w:rPr>
          <w:sz w:val="24"/>
          <w:szCs w:val="24"/>
          <w:u w:val="single"/>
        </w:rPr>
      </w:pPr>
    </w:p>
    <w:p w:rsidR="002966FF" w:rsidRDefault="002966FF">
      <w:pPr>
        <w:rPr>
          <w:sz w:val="24"/>
          <w:szCs w:val="24"/>
          <w:u w:val="single"/>
        </w:rPr>
      </w:pPr>
    </w:p>
    <w:p w:rsidR="002966FF" w:rsidRDefault="002966FF">
      <w:pPr>
        <w:rPr>
          <w:sz w:val="24"/>
          <w:szCs w:val="24"/>
          <w:u w:val="single"/>
        </w:rPr>
      </w:pPr>
    </w:p>
    <w:p w:rsidR="002966FF" w:rsidRDefault="002966FF">
      <w:pPr>
        <w:rPr>
          <w:sz w:val="24"/>
          <w:szCs w:val="24"/>
          <w:u w:val="single"/>
        </w:rPr>
      </w:pPr>
    </w:p>
    <w:p w:rsidR="00AD3FFC" w:rsidRPr="00D14611" w:rsidRDefault="00AD3FFC">
      <w:pPr>
        <w:rPr>
          <w:sz w:val="24"/>
          <w:szCs w:val="24"/>
          <w:u w:val="single"/>
        </w:rPr>
      </w:pPr>
      <w:r w:rsidRPr="00D14611">
        <w:rPr>
          <w:sz w:val="24"/>
          <w:szCs w:val="24"/>
          <w:u w:val="single"/>
        </w:rPr>
        <w:t>Mississippi</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E23D9B" w:rsidRDefault="00E23D9B" w:rsidP="008A1066">
      <w:pPr>
        <w:numPr>
          <w:ilvl w:val="0"/>
          <w:numId w:val="8"/>
        </w:numPr>
        <w:rPr>
          <w:sz w:val="24"/>
          <w:szCs w:val="24"/>
        </w:rPr>
      </w:pPr>
      <w:r>
        <w:rPr>
          <w:sz w:val="24"/>
          <w:szCs w:val="24"/>
        </w:rPr>
        <w:t xml:space="preserve">Mississippi reports F-33 data within the state education agency account codes </w:t>
      </w:r>
      <w:r w:rsidR="008A1066">
        <w:rPr>
          <w:sz w:val="24"/>
          <w:szCs w:val="24"/>
        </w:rPr>
        <w:t>documented in the Mississippi</w:t>
      </w:r>
      <w:r>
        <w:rPr>
          <w:sz w:val="24"/>
          <w:szCs w:val="24"/>
        </w:rPr>
        <w:t xml:space="preserve"> </w:t>
      </w:r>
      <w:r w:rsidR="008A1066">
        <w:rPr>
          <w:sz w:val="24"/>
          <w:szCs w:val="24"/>
        </w:rPr>
        <w:t>Department of Education’s school district accounting manual</w:t>
      </w:r>
      <w:r>
        <w:rPr>
          <w:sz w:val="24"/>
          <w:szCs w:val="24"/>
        </w:rPr>
        <w:t xml:space="preserve"> (</w:t>
      </w:r>
      <w:r w:rsidR="008A1066" w:rsidRPr="008A1066">
        <w:rPr>
          <w:sz w:val="24"/>
          <w:szCs w:val="24"/>
        </w:rPr>
        <w:t>http://www.mde.k12.ms.us/OSFS/AMD</w:t>
      </w:r>
      <w:r>
        <w:rPr>
          <w:sz w:val="24"/>
          <w:szCs w:val="24"/>
        </w:rPr>
        <w:t xml:space="preserve">). </w:t>
      </w:r>
      <w:r w:rsidR="008A1066">
        <w:rPr>
          <w:sz w:val="24"/>
          <w:szCs w:val="24"/>
        </w:rPr>
        <w:t>F-33 survey staff crosswalk Mississippi</w:t>
      </w:r>
      <w:r>
        <w:rPr>
          <w:sz w:val="24"/>
          <w:szCs w:val="24"/>
        </w:rPr>
        <w:t>’s reported account code amounts to each F-33 survey variable.</w:t>
      </w:r>
    </w:p>
    <w:p w:rsidR="00E23D9B" w:rsidRPr="005A2445" w:rsidRDefault="00E23D9B" w:rsidP="005A2445">
      <w:pPr>
        <w:numPr>
          <w:ilvl w:val="0"/>
          <w:numId w:val="8"/>
        </w:numPr>
        <w:rPr>
          <w:sz w:val="24"/>
          <w:szCs w:val="24"/>
        </w:rPr>
      </w:pPr>
      <w:r>
        <w:rPr>
          <w:sz w:val="24"/>
          <w:szCs w:val="24"/>
        </w:rPr>
        <w:t xml:space="preserve">Long-term debt data are reported for the F-33 survey within a supplemental data file </w:t>
      </w:r>
      <w:r w:rsidR="00834294">
        <w:rPr>
          <w:sz w:val="24"/>
          <w:szCs w:val="24"/>
        </w:rPr>
        <w:t>submitted separately by the state respondent</w:t>
      </w:r>
      <w:r>
        <w:rPr>
          <w:sz w:val="24"/>
          <w:szCs w:val="24"/>
        </w:rPr>
        <w:t xml:space="preserve">. </w:t>
      </w:r>
      <w:r w:rsidR="0076122A">
        <w:rPr>
          <w:sz w:val="24"/>
          <w:szCs w:val="24"/>
        </w:rPr>
        <w:t>To supplement missing debt and debt of questionable quality, the F-33 survey also collects long-term debt directly from Mississippi school districts through supplemental survey forms mailed directly to these districts.</w:t>
      </w:r>
      <w:r>
        <w:rPr>
          <w:sz w:val="24"/>
          <w:szCs w:val="24"/>
        </w:rPr>
        <w:t xml:space="preserve">   </w:t>
      </w:r>
    </w:p>
    <w:p w:rsidR="00AD3FFC" w:rsidRDefault="008B1E3D">
      <w:pPr>
        <w:numPr>
          <w:ilvl w:val="0"/>
          <w:numId w:val="8"/>
        </w:numPr>
        <w:rPr>
          <w:sz w:val="24"/>
          <w:szCs w:val="24"/>
        </w:rPr>
      </w:pPr>
      <w:r>
        <w:rPr>
          <w:sz w:val="24"/>
          <w:szCs w:val="24"/>
        </w:rPr>
        <w:t xml:space="preserve">For the first time, Mississippi was able to </w:t>
      </w:r>
      <w:r w:rsidR="00A5090F">
        <w:rPr>
          <w:sz w:val="24"/>
          <w:szCs w:val="24"/>
        </w:rPr>
        <w:t>report c</w:t>
      </w:r>
      <w:r w:rsidR="00AD3FFC" w:rsidRPr="00D14611">
        <w:rPr>
          <w:sz w:val="24"/>
          <w:szCs w:val="24"/>
        </w:rPr>
        <w:t xml:space="preserve">apital outlay payments for land and existing structures (G15) </w:t>
      </w:r>
      <w:r>
        <w:rPr>
          <w:sz w:val="24"/>
          <w:szCs w:val="24"/>
        </w:rPr>
        <w:t>separately from</w:t>
      </w:r>
      <w:r w:rsidR="00AD3FFC" w:rsidRPr="00D14611">
        <w:rPr>
          <w:sz w:val="24"/>
          <w:szCs w:val="24"/>
        </w:rPr>
        <w:t xml:space="preserve"> construction (F12).</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Missouri</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Default="002946C7">
      <w:pPr>
        <w:numPr>
          <w:ilvl w:val="0"/>
          <w:numId w:val="9"/>
        </w:numPr>
        <w:rPr>
          <w:sz w:val="24"/>
          <w:szCs w:val="24"/>
        </w:rPr>
      </w:pPr>
      <w:r>
        <w:rPr>
          <w:bCs/>
          <w:sz w:val="24"/>
          <w:szCs w:val="24"/>
        </w:rPr>
        <w:t>Missouri’s</w:t>
      </w:r>
      <w:r w:rsidR="00AD3FFC" w:rsidRPr="00D14611">
        <w:rPr>
          <w:sz w:val="24"/>
          <w:szCs w:val="24"/>
        </w:rPr>
        <w:t xml:space="preserve"> Prop</w:t>
      </w:r>
      <w:r w:rsidR="00CE6731">
        <w:rPr>
          <w:sz w:val="24"/>
          <w:szCs w:val="24"/>
        </w:rPr>
        <w:t>os</w:t>
      </w:r>
      <w:r>
        <w:rPr>
          <w:sz w:val="24"/>
          <w:szCs w:val="24"/>
        </w:rPr>
        <w:t>ition C sales tax revenue is</w:t>
      </w:r>
      <w:r w:rsidR="00CE6731">
        <w:rPr>
          <w:sz w:val="24"/>
          <w:szCs w:val="24"/>
        </w:rPr>
        <w:t xml:space="preserve"> reported as NCES Local Revenue, Census State R</w:t>
      </w:r>
      <w:r w:rsidR="00AD3FFC" w:rsidRPr="00D14611">
        <w:rPr>
          <w:sz w:val="24"/>
          <w:szCs w:val="24"/>
        </w:rPr>
        <w:t>evenue (C24) and included in the local revenue subtotal</w:t>
      </w:r>
      <w:r>
        <w:rPr>
          <w:sz w:val="24"/>
          <w:szCs w:val="24"/>
        </w:rPr>
        <w:t xml:space="preserve"> (TLOCREV)</w:t>
      </w:r>
      <w:r w:rsidR="00AD3FFC" w:rsidRPr="00D14611">
        <w:rPr>
          <w:sz w:val="24"/>
          <w:szCs w:val="24"/>
        </w:rPr>
        <w:t xml:space="preserve">. </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Montana</w:t>
      </w:r>
    </w:p>
    <w:p w:rsidR="00AD3FFC" w:rsidRDefault="00AD3FFC">
      <w:pPr>
        <w:ind w:firstLine="720"/>
        <w:rPr>
          <w:sz w:val="24"/>
          <w:szCs w:val="24"/>
        </w:rPr>
      </w:pPr>
      <w:r w:rsidRPr="00D14611">
        <w:rPr>
          <w:b/>
          <w:sz w:val="24"/>
          <w:szCs w:val="24"/>
        </w:rPr>
        <w:t>Fiscal Year:</w:t>
      </w:r>
      <w:r w:rsidRPr="00D14611">
        <w:rPr>
          <w:sz w:val="24"/>
          <w:szCs w:val="24"/>
        </w:rPr>
        <w:t xml:space="preserve"> July 1–June 30</w:t>
      </w:r>
    </w:p>
    <w:p w:rsidR="00B373ED" w:rsidRDefault="00B373ED" w:rsidP="00B373ED">
      <w:pPr>
        <w:ind w:left="720"/>
        <w:rPr>
          <w:sz w:val="24"/>
          <w:szCs w:val="24"/>
        </w:rPr>
      </w:pPr>
      <w:r w:rsidRPr="00D14611">
        <w:rPr>
          <w:b/>
          <w:sz w:val="24"/>
          <w:szCs w:val="24"/>
        </w:rPr>
        <w:t>Notes:</w:t>
      </w:r>
      <w:r w:rsidRPr="00D14611">
        <w:rPr>
          <w:sz w:val="24"/>
          <w:szCs w:val="24"/>
        </w:rPr>
        <w:t xml:space="preserve"> </w:t>
      </w:r>
    </w:p>
    <w:p w:rsidR="008D2012" w:rsidRPr="0048598E" w:rsidRDefault="008D2012" w:rsidP="008D2012">
      <w:pPr>
        <w:numPr>
          <w:ilvl w:val="0"/>
          <w:numId w:val="8"/>
        </w:numPr>
        <w:rPr>
          <w:b/>
          <w:sz w:val="24"/>
          <w:szCs w:val="24"/>
        </w:rPr>
      </w:pPr>
      <w:r>
        <w:rPr>
          <w:sz w:val="24"/>
          <w:szCs w:val="24"/>
        </w:rPr>
        <w:t>The s</w:t>
      </w:r>
      <w:r w:rsidR="00B14718">
        <w:rPr>
          <w:sz w:val="24"/>
          <w:szCs w:val="24"/>
        </w:rPr>
        <w:t xml:space="preserve">tate reports financial data for </w:t>
      </w:r>
      <w:r w:rsidR="00FC147C">
        <w:rPr>
          <w:sz w:val="24"/>
          <w:szCs w:val="24"/>
        </w:rPr>
        <w:t xml:space="preserve">supervisory unions </w:t>
      </w:r>
      <w:r>
        <w:rPr>
          <w:sz w:val="24"/>
          <w:szCs w:val="24"/>
        </w:rPr>
        <w:t xml:space="preserve">within the financial data of the regular school districts they serve. The financial data for </w:t>
      </w:r>
      <w:r w:rsidR="00B14718">
        <w:rPr>
          <w:sz w:val="24"/>
          <w:szCs w:val="24"/>
        </w:rPr>
        <w:t>supervisory unions in Montana</w:t>
      </w:r>
      <w:r w:rsidR="003E048D">
        <w:rPr>
          <w:sz w:val="24"/>
          <w:szCs w:val="24"/>
        </w:rPr>
        <w:t xml:space="preserve"> are reported as “-2” (nonapplicable</w:t>
      </w:r>
      <w:r>
        <w:rPr>
          <w:sz w:val="24"/>
          <w:szCs w:val="24"/>
        </w:rPr>
        <w:t xml:space="preserve">) on the F-33 data file.   </w:t>
      </w:r>
    </w:p>
    <w:p w:rsidR="00C6383E" w:rsidRPr="00D14611" w:rsidRDefault="00C6383E">
      <w:pPr>
        <w:ind w:firstLine="720"/>
        <w:rPr>
          <w:sz w:val="24"/>
          <w:szCs w:val="24"/>
        </w:rPr>
      </w:pPr>
    </w:p>
    <w:p w:rsidR="00AD3FFC" w:rsidRPr="00D14611" w:rsidRDefault="00AD3FFC">
      <w:pPr>
        <w:rPr>
          <w:sz w:val="24"/>
          <w:szCs w:val="24"/>
          <w:u w:val="single"/>
        </w:rPr>
      </w:pPr>
      <w:r w:rsidRPr="00D14611">
        <w:rPr>
          <w:sz w:val="24"/>
          <w:szCs w:val="24"/>
          <w:u w:val="single"/>
        </w:rPr>
        <w:t>Nebraska</w:t>
      </w:r>
    </w:p>
    <w:p w:rsidR="00AD3FFC" w:rsidRPr="00D14611" w:rsidRDefault="00AD3FFC">
      <w:pPr>
        <w:ind w:firstLine="720"/>
        <w:rPr>
          <w:sz w:val="24"/>
          <w:szCs w:val="24"/>
        </w:rPr>
      </w:pPr>
      <w:r w:rsidRPr="00D14611">
        <w:rPr>
          <w:b/>
          <w:sz w:val="24"/>
          <w:szCs w:val="24"/>
        </w:rPr>
        <w:t>Fiscal Year:</w:t>
      </w:r>
      <w:r w:rsidRPr="00D14611">
        <w:rPr>
          <w:sz w:val="24"/>
          <w:szCs w:val="24"/>
        </w:rPr>
        <w:t xml:space="preserve"> September 1–August 31</w:t>
      </w:r>
    </w:p>
    <w:p w:rsidR="00AD3FFC" w:rsidRPr="00D14611" w:rsidRDefault="00AD3FFC">
      <w:pPr>
        <w:rPr>
          <w:sz w:val="24"/>
          <w:szCs w:val="24"/>
          <w:u w:val="single"/>
        </w:rPr>
      </w:pPr>
      <w:r w:rsidRPr="00D14611">
        <w:rPr>
          <w:sz w:val="24"/>
          <w:szCs w:val="24"/>
          <w:u w:val="single"/>
        </w:rPr>
        <w:t>Nevada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Pr="00D14611" w:rsidRDefault="00A5090F">
      <w:pPr>
        <w:numPr>
          <w:ilvl w:val="0"/>
          <w:numId w:val="9"/>
        </w:numPr>
        <w:rPr>
          <w:sz w:val="24"/>
          <w:szCs w:val="24"/>
        </w:rPr>
      </w:pPr>
      <w:r>
        <w:rPr>
          <w:sz w:val="24"/>
          <w:szCs w:val="24"/>
        </w:rPr>
        <w:t>Nevada reported t</w:t>
      </w:r>
      <w:r w:rsidR="00B07E88" w:rsidRPr="00D14611">
        <w:rPr>
          <w:sz w:val="24"/>
          <w:szCs w:val="24"/>
        </w:rPr>
        <w:t xml:space="preserve">he Governmental Services motor vehicle privilege tax and Local School Support sales tax levied by the state </w:t>
      </w:r>
      <w:r w:rsidR="0006339F">
        <w:rPr>
          <w:sz w:val="24"/>
          <w:szCs w:val="24"/>
        </w:rPr>
        <w:t>as NCES Local Revenue, Census State R</w:t>
      </w:r>
      <w:r w:rsidR="00B07E88" w:rsidRPr="00D14611">
        <w:rPr>
          <w:sz w:val="24"/>
          <w:szCs w:val="24"/>
        </w:rPr>
        <w:t xml:space="preserve">evenue (C24) and included </w:t>
      </w:r>
      <w:r>
        <w:rPr>
          <w:sz w:val="24"/>
          <w:szCs w:val="24"/>
        </w:rPr>
        <w:t xml:space="preserve">them </w:t>
      </w:r>
      <w:r w:rsidR="00B07E88" w:rsidRPr="00D14611">
        <w:rPr>
          <w:sz w:val="24"/>
          <w:szCs w:val="24"/>
        </w:rPr>
        <w:t>in the local revenue subtotal</w:t>
      </w:r>
      <w:r w:rsidR="00886770">
        <w:rPr>
          <w:sz w:val="24"/>
          <w:szCs w:val="24"/>
        </w:rPr>
        <w:t xml:space="preserve"> (TLOCREV)</w:t>
      </w:r>
      <w:r w:rsidR="00B07E88" w:rsidRPr="00D14611">
        <w:rPr>
          <w:sz w:val="24"/>
          <w:szCs w:val="24"/>
        </w:rPr>
        <w:t>.</w:t>
      </w:r>
      <w:r w:rsidR="00AD3FFC" w:rsidRPr="00D14611">
        <w:rPr>
          <w:sz w:val="24"/>
          <w:szCs w:val="24"/>
        </w:rPr>
        <w:t xml:space="preserve"> </w:t>
      </w:r>
    </w:p>
    <w:p w:rsidR="004F6699" w:rsidRDefault="004F6699">
      <w:pPr>
        <w:rPr>
          <w:sz w:val="24"/>
          <w:szCs w:val="24"/>
          <w:u w:val="single"/>
        </w:rPr>
      </w:pPr>
    </w:p>
    <w:p w:rsidR="00AD3FFC" w:rsidRPr="00D14611" w:rsidRDefault="00AD3FFC">
      <w:pPr>
        <w:rPr>
          <w:sz w:val="24"/>
          <w:szCs w:val="24"/>
          <w:u w:val="single"/>
        </w:rPr>
      </w:pPr>
      <w:r w:rsidRPr="00D14611">
        <w:rPr>
          <w:sz w:val="24"/>
          <w:szCs w:val="24"/>
          <w:u w:val="single"/>
        </w:rPr>
        <w:t>New Hampshire</w:t>
      </w:r>
    </w:p>
    <w:p w:rsidR="00AD3FFC" w:rsidRPr="00D14611" w:rsidRDefault="00AD3FFC">
      <w:pPr>
        <w:ind w:left="720"/>
        <w:rPr>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sz w:val="24"/>
          <w:szCs w:val="24"/>
        </w:rPr>
      </w:pPr>
      <w:r w:rsidRPr="00D14611">
        <w:rPr>
          <w:b/>
          <w:sz w:val="24"/>
          <w:szCs w:val="24"/>
        </w:rPr>
        <w:t xml:space="preserve">Notes: </w:t>
      </w:r>
    </w:p>
    <w:p w:rsidR="00886770" w:rsidRPr="00844628" w:rsidRDefault="00886770" w:rsidP="00886770">
      <w:pPr>
        <w:numPr>
          <w:ilvl w:val="0"/>
          <w:numId w:val="9"/>
        </w:numPr>
        <w:rPr>
          <w:b/>
          <w:sz w:val="24"/>
          <w:szCs w:val="24"/>
        </w:rPr>
      </w:pPr>
      <w:r>
        <w:rPr>
          <w:sz w:val="24"/>
          <w:szCs w:val="24"/>
        </w:rPr>
        <w:t>The state reports financial data for supervisory unions within the financial data of the regular school districts they serve. The financial data for supervisory unions in N</w:t>
      </w:r>
      <w:r w:rsidR="009D3922">
        <w:rPr>
          <w:sz w:val="24"/>
          <w:szCs w:val="24"/>
        </w:rPr>
        <w:t>ew Hampshire are reported as “-2” (nonapplicable</w:t>
      </w:r>
      <w:r>
        <w:rPr>
          <w:sz w:val="24"/>
          <w:szCs w:val="24"/>
        </w:rPr>
        <w:t xml:space="preserve">) on the F-33 data file.   </w:t>
      </w:r>
    </w:p>
    <w:p w:rsidR="004F6699" w:rsidRDefault="004F6699" w:rsidP="00844628">
      <w:pPr>
        <w:ind w:left="1080"/>
        <w:rPr>
          <w:sz w:val="24"/>
          <w:szCs w:val="24"/>
          <w:u w:val="single"/>
        </w:rPr>
      </w:pPr>
    </w:p>
    <w:p w:rsidR="002966FF" w:rsidRDefault="002966FF">
      <w:pPr>
        <w:rPr>
          <w:sz w:val="24"/>
          <w:szCs w:val="24"/>
          <w:u w:val="single"/>
        </w:rPr>
      </w:pPr>
    </w:p>
    <w:p w:rsidR="002966FF" w:rsidRDefault="002966FF">
      <w:pPr>
        <w:rPr>
          <w:sz w:val="24"/>
          <w:szCs w:val="24"/>
          <w:u w:val="single"/>
        </w:rPr>
      </w:pPr>
    </w:p>
    <w:p w:rsidR="00AD3FFC" w:rsidRPr="00D14611" w:rsidRDefault="00AD3FFC">
      <w:pPr>
        <w:rPr>
          <w:sz w:val="24"/>
          <w:szCs w:val="24"/>
          <w:u w:val="single"/>
        </w:rPr>
      </w:pPr>
      <w:r w:rsidRPr="00D14611">
        <w:rPr>
          <w:sz w:val="24"/>
          <w:szCs w:val="24"/>
          <w:u w:val="single"/>
        </w:rPr>
        <w:t>New Jersey</w:t>
      </w:r>
    </w:p>
    <w:p w:rsidR="00AD3FFC" w:rsidRPr="00D14611" w:rsidRDefault="00AD3FFC">
      <w:pPr>
        <w:ind w:left="720"/>
        <w:rPr>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FA2694" w:rsidRPr="00EB01E2" w:rsidRDefault="009C6D19" w:rsidP="005B7CDE">
      <w:pPr>
        <w:numPr>
          <w:ilvl w:val="0"/>
          <w:numId w:val="9"/>
        </w:numPr>
        <w:rPr>
          <w:sz w:val="24"/>
          <w:szCs w:val="24"/>
        </w:rPr>
      </w:pPr>
      <w:r w:rsidRPr="00CE6749">
        <w:rPr>
          <w:sz w:val="24"/>
          <w:szCs w:val="24"/>
        </w:rPr>
        <w:t>The state reported State Payments on Behalf of the Local Education Agency data.</w:t>
      </w:r>
      <w:r w:rsidR="005B7CDE">
        <w:rPr>
          <w:sz w:val="24"/>
          <w:szCs w:val="24"/>
        </w:rPr>
        <w:t xml:space="preserve"> . The Census Bureau redistributed these data to the corresponding expenditure items for the state.</w:t>
      </w:r>
      <w:r w:rsidRPr="005B7CDE">
        <w:rPr>
          <w:sz w:val="24"/>
          <w:szCs w:val="24"/>
        </w:rPr>
        <w:t xml:space="preserve"> </w:t>
      </w:r>
    </w:p>
    <w:p w:rsidR="00FA2694" w:rsidRPr="00D14611" w:rsidRDefault="00FA2694">
      <w:pPr>
        <w:rPr>
          <w:sz w:val="24"/>
          <w:szCs w:val="24"/>
          <w:u w:val="single"/>
        </w:rPr>
      </w:pPr>
    </w:p>
    <w:p w:rsidR="00AD3FFC" w:rsidRPr="00D14611" w:rsidRDefault="00AD3FFC">
      <w:pPr>
        <w:rPr>
          <w:sz w:val="24"/>
          <w:szCs w:val="24"/>
          <w:u w:val="single"/>
        </w:rPr>
      </w:pPr>
      <w:r w:rsidRPr="00D14611">
        <w:rPr>
          <w:sz w:val="24"/>
          <w:szCs w:val="24"/>
          <w:u w:val="single"/>
        </w:rPr>
        <w:t>New Mexico</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CE6749" w:rsidRDefault="00CE6749">
      <w:pPr>
        <w:rPr>
          <w:sz w:val="24"/>
          <w:szCs w:val="24"/>
          <w:u w:val="single"/>
        </w:rPr>
      </w:pPr>
    </w:p>
    <w:p w:rsidR="00AD3FFC" w:rsidRPr="00D14611" w:rsidRDefault="00AD3FFC">
      <w:pPr>
        <w:rPr>
          <w:sz w:val="24"/>
          <w:szCs w:val="24"/>
          <w:u w:val="single"/>
        </w:rPr>
      </w:pPr>
      <w:r w:rsidRPr="00D14611">
        <w:rPr>
          <w:sz w:val="24"/>
          <w:szCs w:val="24"/>
          <w:u w:val="single"/>
        </w:rPr>
        <w:t>New York</w:t>
      </w:r>
    </w:p>
    <w:p w:rsidR="00AD3FFC" w:rsidRPr="00D14611" w:rsidRDefault="00AD3FFC">
      <w:pPr>
        <w:ind w:left="720"/>
        <w:rPr>
          <w:b/>
          <w:sz w:val="24"/>
          <w:szCs w:val="24"/>
        </w:rPr>
      </w:pPr>
      <w:r w:rsidRPr="00D14611">
        <w:rPr>
          <w:b/>
          <w:sz w:val="24"/>
          <w:szCs w:val="24"/>
        </w:rPr>
        <w:t>Fiscal Year:</w:t>
      </w:r>
      <w:r w:rsidRPr="00D14611">
        <w:rPr>
          <w:sz w:val="24"/>
          <w:szCs w:val="24"/>
        </w:rPr>
        <w:t xml:space="preserve"> July 1–June 30</w:t>
      </w:r>
      <w:r w:rsidRPr="00D14611">
        <w:rPr>
          <w:b/>
          <w:sz w:val="24"/>
          <w:szCs w:val="24"/>
        </w:rPr>
        <w:tab/>
      </w:r>
    </w:p>
    <w:p w:rsidR="00AD3FFC" w:rsidRPr="00D14611" w:rsidRDefault="00AD3FFC">
      <w:pPr>
        <w:rPr>
          <w:sz w:val="24"/>
          <w:szCs w:val="24"/>
        </w:rPr>
      </w:pPr>
      <w:r w:rsidRPr="00D14611">
        <w:rPr>
          <w:b/>
          <w:sz w:val="24"/>
          <w:szCs w:val="24"/>
        </w:rPr>
        <w:tab/>
        <w:t>Notes:</w:t>
      </w:r>
      <w:r w:rsidRPr="00D14611">
        <w:rPr>
          <w:sz w:val="24"/>
          <w:szCs w:val="24"/>
        </w:rPr>
        <w:t xml:space="preserve"> </w:t>
      </w:r>
    </w:p>
    <w:p w:rsidR="00CA6FDD" w:rsidRPr="00CA6FDD" w:rsidRDefault="00CA6FDD" w:rsidP="00CA6FDD">
      <w:pPr>
        <w:numPr>
          <w:ilvl w:val="0"/>
          <w:numId w:val="13"/>
        </w:numPr>
        <w:rPr>
          <w:b/>
          <w:sz w:val="24"/>
          <w:szCs w:val="24"/>
        </w:rPr>
      </w:pPr>
      <w:r>
        <w:rPr>
          <w:sz w:val="24"/>
          <w:szCs w:val="24"/>
        </w:rPr>
        <w:t xml:space="preserve">The state does not report financial data for charter school LEAs. The financial data for charter school LEAs in New York are reported as “-1” (missing) on the F-33 data file.   </w:t>
      </w:r>
    </w:p>
    <w:p w:rsidR="003B5F3C" w:rsidRPr="00844628" w:rsidRDefault="00C1499B" w:rsidP="00C1499B">
      <w:pPr>
        <w:numPr>
          <w:ilvl w:val="0"/>
          <w:numId w:val="13"/>
        </w:numPr>
        <w:rPr>
          <w:b/>
          <w:sz w:val="24"/>
          <w:szCs w:val="24"/>
        </w:rPr>
      </w:pPr>
      <w:r>
        <w:rPr>
          <w:sz w:val="24"/>
          <w:szCs w:val="24"/>
        </w:rPr>
        <w:t>The state reports financial data for Boards of Cooperative Educational Services (BOCES) and other education service agencies within the financial data of the regular school districts they serve. The financial data for these education service agencies are reported as “-2” (nonapplicable) on the F-33 data file.</w:t>
      </w:r>
      <w:r w:rsidR="00C60696">
        <w:rPr>
          <w:sz w:val="24"/>
          <w:szCs w:val="24"/>
        </w:rPr>
        <w:t xml:space="preserve"> </w:t>
      </w:r>
    </w:p>
    <w:p w:rsidR="00C1499B" w:rsidRPr="00EB01E2" w:rsidRDefault="00C1499B" w:rsidP="00C1499B">
      <w:pPr>
        <w:numPr>
          <w:ilvl w:val="0"/>
          <w:numId w:val="13"/>
        </w:numPr>
        <w:rPr>
          <w:b/>
          <w:sz w:val="24"/>
          <w:szCs w:val="24"/>
        </w:rPr>
      </w:pPr>
      <w:r>
        <w:rPr>
          <w:sz w:val="24"/>
          <w:szCs w:val="24"/>
        </w:rPr>
        <w:t xml:space="preserve">The state reports enrollment (V33, MEMBERSCH) and financial data for the New York City Special Schools district (LEAID = 3600135) and the 32 New York City geographic districts within the enrollment and financial data of New York City Public Schools (LEAID = 3620580). The financial data for the New York City Special Schools district and geographic districts are reported as “-2” (nonapplicable) on the F-33 data file.      </w:t>
      </w:r>
    </w:p>
    <w:p w:rsidR="00921054" w:rsidRPr="00D14611" w:rsidRDefault="00A5090F" w:rsidP="00B07E88">
      <w:pPr>
        <w:numPr>
          <w:ilvl w:val="0"/>
          <w:numId w:val="9"/>
        </w:numPr>
        <w:rPr>
          <w:sz w:val="24"/>
          <w:szCs w:val="24"/>
        </w:rPr>
      </w:pPr>
      <w:r>
        <w:rPr>
          <w:sz w:val="24"/>
          <w:szCs w:val="24"/>
        </w:rPr>
        <w:t>T</w:t>
      </w:r>
      <w:r w:rsidR="00777B7D">
        <w:rPr>
          <w:sz w:val="24"/>
          <w:szCs w:val="24"/>
        </w:rPr>
        <w:t>he instructional expenditures for</w:t>
      </w:r>
      <w:r w:rsidRPr="00D14611">
        <w:rPr>
          <w:sz w:val="24"/>
          <w:szCs w:val="24"/>
        </w:rPr>
        <w:t xml:space="preserve"> New York City Public Schools</w:t>
      </w:r>
      <w:r>
        <w:rPr>
          <w:sz w:val="24"/>
          <w:szCs w:val="24"/>
        </w:rPr>
        <w:t xml:space="preserve"> include g</w:t>
      </w:r>
      <w:r w:rsidR="00B07E88" w:rsidRPr="00D14611">
        <w:rPr>
          <w:sz w:val="24"/>
          <w:szCs w:val="24"/>
        </w:rPr>
        <w:t>uidance counselor expenditures</w:t>
      </w:r>
      <w:r w:rsidR="00980DC7">
        <w:rPr>
          <w:sz w:val="24"/>
          <w:szCs w:val="24"/>
        </w:rPr>
        <w:t>.</w:t>
      </w:r>
      <w:r w:rsidR="00B07E88" w:rsidRPr="00D14611">
        <w:rPr>
          <w:sz w:val="24"/>
          <w:szCs w:val="24"/>
        </w:rPr>
        <w:t xml:space="preserve"> </w:t>
      </w:r>
      <w:r w:rsidR="00777B7D">
        <w:rPr>
          <w:sz w:val="24"/>
          <w:szCs w:val="24"/>
        </w:rPr>
        <w:t>This will slightly overstate instructional expenditures and slightly understate pupil support services expenditures for New York City Public Schools.</w:t>
      </w:r>
    </w:p>
    <w:p w:rsidR="00AD3FFC" w:rsidRPr="00D14611" w:rsidRDefault="00AD3FFC">
      <w:pPr>
        <w:rPr>
          <w:sz w:val="24"/>
          <w:szCs w:val="24"/>
          <w:u w:val="single"/>
        </w:rPr>
      </w:pPr>
    </w:p>
    <w:p w:rsidR="00FC6EAF" w:rsidRDefault="00FC6EAF">
      <w:pPr>
        <w:rPr>
          <w:sz w:val="24"/>
          <w:szCs w:val="24"/>
          <w:u w:val="single"/>
        </w:rPr>
      </w:pPr>
    </w:p>
    <w:p w:rsidR="00AD3FFC" w:rsidRPr="00D14611" w:rsidRDefault="00AD3FFC">
      <w:pPr>
        <w:rPr>
          <w:sz w:val="24"/>
          <w:szCs w:val="24"/>
          <w:u w:val="single"/>
        </w:rPr>
      </w:pPr>
      <w:r w:rsidRPr="00D14611">
        <w:rPr>
          <w:sz w:val="24"/>
          <w:szCs w:val="24"/>
          <w:u w:val="single"/>
        </w:rPr>
        <w:t>North Carolina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CE72AA" w:rsidRPr="00D14611" w:rsidRDefault="00AD3FFC" w:rsidP="005A2445">
      <w:pPr>
        <w:ind w:left="720"/>
        <w:rPr>
          <w:sz w:val="24"/>
          <w:szCs w:val="24"/>
        </w:rPr>
      </w:pPr>
      <w:r w:rsidRPr="00D14611">
        <w:rPr>
          <w:b/>
          <w:sz w:val="24"/>
          <w:szCs w:val="24"/>
        </w:rPr>
        <w:t>Notes:</w:t>
      </w:r>
      <w:r w:rsidRPr="00D14611">
        <w:rPr>
          <w:sz w:val="24"/>
          <w:szCs w:val="24"/>
        </w:rPr>
        <w:t xml:space="preserve"> </w:t>
      </w:r>
    </w:p>
    <w:p w:rsidR="00CE72AA" w:rsidRDefault="00CE72AA" w:rsidP="00F40F6D">
      <w:pPr>
        <w:numPr>
          <w:ilvl w:val="0"/>
          <w:numId w:val="9"/>
        </w:numPr>
        <w:rPr>
          <w:sz w:val="24"/>
          <w:szCs w:val="24"/>
        </w:rPr>
      </w:pPr>
      <w:r>
        <w:rPr>
          <w:sz w:val="24"/>
          <w:szCs w:val="24"/>
        </w:rPr>
        <w:t>North Carolina reports F-33 data within the state education agency account codes documented in the North Carolina Department of Public Instruction’s Uniform Chart of Accounts (</w:t>
      </w:r>
      <w:r w:rsidRPr="00CE72AA">
        <w:rPr>
          <w:sz w:val="24"/>
          <w:szCs w:val="24"/>
        </w:rPr>
        <w:t>http://www.ncpublicschools.org/fbs/finance/reporting/</w:t>
      </w:r>
      <w:r>
        <w:rPr>
          <w:sz w:val="24"/>
          <w:szCs w:val="24"/>
        </w:rPr>
        <w:t>). F-33 survey staff crosswalk North Carolina’s reported account code amounts to each F-33 survey variable.</w:t>
      </w:r>
    </w:p>
    <w:p w:rsidR="00CE72AA" w:rsidRPr="005A2445" w:rsidRDefault="00CE72AA" w:rsidP="00F40F6D">
      <w:pPr>
        <w:numPr>
          <w:ilvl w:val="0"/>
          <w:numId w:val="9"/>
        </w:numPr>
        <w:rPr>
          <w:sz w:val="24"/>
          <w:szCs w:val="24"/>
        </w:rPr>
      </w:pPr>
      <w:r>
        <w:rPr>
          <w:sz w:val="24"/>
          <w:szCs w:val="24"/>
        </w:rPr>
        <w:t>Long-term debt data are reported for the F-33 survey within a sup</w:t>
      </w:r>
      <w:r w:rsidR="00C54CCC">
        <w:rPr>
          <w:sz w:val="24"/>
          <w:szCs w:val="24"/>
        </w:rPr>
        <w:t>plemental data file submitted to the Census Bureau by the N</w:t>
      </w:r>
      <w:r w:rsidR="00812ADD">
        <w:rPr>
          <w:sz w:val="24"/>
          <w:szCs w:val="24"/>
        </w:rPr>
        <w:t xml:space="preserve">orth Carolina Department of </w:t>
      </w:r>
      <w:r w:rsidR="00C54CCC">
        <w:rPr>
          <w:sz w:val="24"/>
          <w:szCs w:val="24"/>
        </w:rPr>
        <w:t>State Treasurer</w:t>
      </w:r>
      <w:r>
        <w:rPr>
          <w:sz w:val="24"/>
          <w:szCs w:val="24"/>
        </w:rPr>
        <w:t xml:space="preserve">.    </w:t>
      </w:r>
    </w:p>
    <w:p w:rsidR="00EE5383" w:rsidRDefault="009C6D19" w:rsidP="00EE5383">
      <w:pPr>
        <w:numPr>
          <w:ilvl w:val="0"/>
          <w:numId w:val="9"/>
        </w:numPr>
        <w:rPr>
          <w:sz w:val="24"/>
          <w:szCs w:val="24"/>
        </w:rPr>
      </w:pPr>
      <w:r w:rsidRPr="008D712D">
        <w:rPr>
          <w:sz w:val="24"/>
          <w:szCs w:val="24"/>
        </w:rPr>
        <w:t xml:space="preserve">The state reported State Payments on Behalf of the Local Education Agency data. </w:t>
      </w:r>
    </w:p>
    <w:p w:rsidR="008D712D" w:rsidRPr="008D712D" w:rsidRDefault="008D712D" w:rsidP="008D712D">
      <w:pPr>
        <w:ind w:left="1080"/>
        <w:rPr>
          <w:sz w:val="24"/>
          <w:szCs w:val="24"/>
        </w:rPr>
      </w:pPr>
    </w:p>
    <w:p w:rsidR="002966FF" w:rsidRDefault="002966FF">
      <w:pPr>
        <w:rPr>
          <w:sz w:val="24"/>
          <w:szCs w:val="24"/>
          <w:u w:val="single"/>
        </w:rPr>
      </w:pPr>
    </w:p>
    <w:p w:rsidR="002966FF" w:rsidRDefault="002966FF">
      <w:pPr>
        <w:rPr>
          <w:sz w:val="24"/>
          <w:szCs w:val="24"/>
          <w:u w:val="single"/>
        </w:rPr>
      </w:pPr>
    </w:p>
    <w:p w:rsidR="00AD3FFC" w:rsidRPr="00D14611" w:rsidRDefault="00AD3FFC">
      <w:pPr>
        <w:rPr>
          <w:sz w:val="24"/>
          <w:szCs w:val="24"/>
          <w:u w:val="single"/>
        </w:rPr>
      </w:pPr>
      <w:r w:rsidRPr="00D14611">
        <w:rPr>
          <w:sz w:val="24"/>
          <w:szCs w:val="24"/>
          <w:u w:val="single"/>
        </w:rPr>
        <w:t>North Dakota</w:t>
      </w:r>
    </w:p>
    <w:p w:rsidR="00AD3FFC" w:rsidRDefault="00AD3FFC">
      <w:pPr>
        <w:ind w:firstLine="720"/>
        <w:rPr>
          <w:sz w:val="24"/>
          <w:szCs w:val="24"/>
        </w:rPr>
      </w:pPr>
      <w:r w:rsidRPr="00D14611">
        <w:rPr>
          <w:b/>
          <w:sz w:val="24"/>
          <w:szCs w:val="24"/>
        </w:rPr>
        <w:t>Fiscal Year:</w:t>
      </w:r>
      <w:r w:rsidRPr="00D14611">
        <w:rPr>
          <w:sz w:val="24"/>
          <w:szCs w:val="24"/>
        </w:rPr>
        <w:t xml:space="preserve"> July 1–June 30</w:t>
      </w:r>
    </w:p>
    <w:p w:rsidR="00B373ED" w:rsidRPr="00B373ED" w:rsidRDefault="00B373ED" w:rsidP="00B373ED">
      <w:pPr>
        <w:ind w:left="720"/>
        <w:rPr>
          <w:sz w:val="24"/>
          <w:szCs w:val="24"/>
        </w:rPr>
      </w:pPr>
      <w:r w:rsidRPr="00D14611">
        <w:rPr>
          <w:b/>
          <w:sz w:val="24"/>
          <w:szCs w:val="24"/>
        </w:rPr>
        <w:t>Notes:</w:t>
      </w:r>
      <w:r w:rsidRPr="00D14611">
        <w:rPr>
          <w:sz w:val="24"/>
          <w:szCs w:val="24"/>
        </w:rPr>
        <w:t xml:space="preserve"> </w:t>
      </w:r>
    </w:p>
    <w:p w:rsidR="001E3D69" w:rsidRPr="0080561E" w:rsidRDefault="001E3D69" w:rsidP="001E3D69">
      <w:pPr>
        <w:numPr>
          <w:ilvl w:val="0"/>
          <w:numId w:val="8"/>
        </w:numPr>
        <w:rPr>
          <w:b/>
          <w:sz w:val="24"/>
          <w:szCs w:val="24"/>
        </w:rPr>
      </w:pPr>
      <w:r>
        <w:rPr>
          <w:sz w:val="24"/>
          <w:szCs w:val="24"/>
        </w:rPr>
        <w:t>The state reports financial data for some special education units and other education service agencies that do not report data separately within the financial data of the regular school districts they serve. The financial data for these education service agencies ar</w:t>
      </w:r>
      <w:r w:rsidR="00C1499B">
        <w:rPr>
          <w:sz w:val="24"/>
          <w:szCs w:val="24"/>
        </w:rPr>
        <w:t>e reported as “-2” (nonapplicable</w:t>
      </w:r>
      <w:r>
        <w:rPr>
          <w:sz w:val="24"/>
          <w:szCs w:val="24"/>
        </w:rPr>
        <w:t xml:space="preserve">) on the F-33 data file.   </w:t>
      </w:r>
    </w:p>
    <w:p w:rsidR="00336A3C" w:rsidRPr="0048598E" w:rsidRDefault="00F53FFC" w:rsidP="001E3D69">
      <w:pPr>
        <w:numPr>
          <w:ilvl w:val="0"/>
          <w:numId w:val="8"/>
        </w:numPr>
        <w:rPr>
          <w:b/>
          <w:sz w:val="24"/>
          <w:szCs w:val="24"/>
        </w:rPr>
      </w:pPr>
      <w:r>
        <w:rPr>
          <w:sz w:val="24"/>
          <w:szCs w:val="24"/>
        </w:rPr>
        <w:t xml:space="preserve">State general formula assistance (C01) </w:t>
      </w:r>
      <w:r w:rsidR="00336A3C">
        <w:rPr>
          <w:sz w:val="24"/>
          <w:szCs w:val="24"/>
        </w:rPr>
        <w:t xml:space="preserve"> increased substantially in North Dakota from FY 13 to FY 14 due to the state’s implementation of a revised K-12 funding formula tied to the cost of providing an adequate education. State taxes and state appropriations increased by a few hundred million dollars to fund the </w:t>
      </w:r>
      <w:r>
        <w:rPr>
          <w:sz w:val="24"/>
          <w:szCs w:val="24"/>
        </w:rPr>
        <w:t>newly implemented formula.</w:t>
      </w:r>
    </w:p>
    <w:p w:rsidR="008A0218" w:rsidRDefault="008A0218">
      <w:pPr>
        <w:rPr>
          <w:sz w:val="24"/>
          <w:szCs w:val="24"/>
          <w:u w:val="single"/>
        </w:rPr>
      </w:pPr>
    </w:p>
    <w:p w:rsidR="00AD3FFC" w:rsidRPr="00D14611" w:rsidRDefault="00AD3FFC">
      <w:pPr>
        <w:rPr>
          <w:sz w:val="24"/>
          <w:szCs w:val="24"/>
        </w:rPr>
      </w:pPr>
      <w:r w:rsidRPr="00D14611">
        <w:rPr>
          <w:sz w:val="24"/>
          <w:szCs w:val="24"/>
          <w:u w:val="single"/>
        </w:rPr>
        <w:t>Ohio</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C1499B" w:rsidRDefault="00045595">
      <w:pPr>
        <w:rPr>
          <w:sz w:val="24"/>
          <w:szCs w:val="24"/>
          <w:u w:val="single"/>
        </w:rPr>
      </w:pPr>
      <w:r>
        <w:rPr>
          <w:sz w:val="24"/>
          <w:szCs w:val="24"/>
        </w:rPr>
        <w:t xml:space="preserve">          </w:t>
      </w:r>
    </w:p>
    <w:p w:rsidR="00AD3FFC" w:rsidRPr="00D14611" w:rsidRDefault="00AD3FFC">
      <w:pPr>
        <w:rPr>
          <w:sz w:val="24"/>
          <w:szCs w:val="24"/>
          <w:u w:val="single"/>
        </w:rPr>
      </w:pPr>
      <w:r w:rsidRPr="00D14611">
        <w:rPr>
          <w:sz w:val="24"/>
          <w:szCs w:val="24"/>
          <w:u w:val="single"/>
        </w:rPr>
        <w:t>Oklahoma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0E2172" w:rsidRDefault="00AD3FFC" w:rsidP="000E2172">
      <w:pPr>
        <w:ind w:left="720"/>
        <w:rPr>
          <w:b/>
          <w:sz w:val="24"/>
          <w:szCs w:val="24"/>
        </w:rPr>
      </w:pPr>
      <w:r w:rsidRPr="00D14611">
        <w:rPr>
          <w:b/>
          <w:sz w:val="24"/>
          <w:szCs w:val="24"/>
        </w:rPr>
        <w:t xml:space="preserve">Notes: </w:t>
      </w:r>
    </w:p>
    <w:p w:rsidR="004408EC" w:rsidRPr="004408EC" w:rsidRDefault="004408EC" w:rsidP="00104D6B">
      <w:pPr>
        <w:numPr>
          <w:ilvl w:val="0"/>
          <w:numId w:val="9"/>
        </w:numPr>
        <w:rPr>
          <w:sz w:val="24"/>
          <w:szCs w:val="24"/>
        </w:rPr>
      </w:pPr>
      <w:r>
        <w:rPr>
          <w:sz w:val="24"/>
          <w:szCs w:val="24"/>
        </w:rPr>
        <w:t>The state reported State Payments on Behalf of the Local Education Agency data. The Census Bureau redistributed these data to the corresponding expenditure items for the state.</w:t>
      </w:r>
    </w:p>
    <w:p w:rsidR="00AC27B2" w:rsidRDefault="00C94DD9">
      <w:pPr>
        <w:numPr>
          <w:ilvl w:val="0"/>
          <w:numId w:val="10"/>
        </w:numPr>
        <w:rPr>
          <w:sz w:val="24"/>
        </w:rPr>
      </w:pPr>
      <w:r>
        <w:rPr>
          <w:sz w:val="24"/>
        </w:rPr>
        <w:t>Oklahoma</w:t>
      </w:r>
      <w:r w:rsidR="00A5090F">
        <w:rPr>
          <w:sz w:val="24"/>
        </w:rPr>
        <w:t xml:space="preserve"> reported t</w:t>
      </w:r>
      <w:r w:rsidR="00A208A6" w:rsidRPr="00A208A6">
        <w:rPr>
          <w:sz w:val="24"/>
        </w:rPr>
        <w:t xml:space="preserve">he fiscal data for </w:t>
      </w:r>
      <w:r w:rsidR="00B373ED">
        <w:rPr>
          <w:sz w:val="24"/>
        </w:rPr>
        <w:t>seven</w:t>
      </w:r>
      <w:r w:rsidR="00A208A6" w:rsidRPr="00A208A6">
        <w:rPr>
          <w:sz w:val="24"/>
        </w:rPr>
        <w:t xml:space="preserve"> area vocational-technical districts as single districts on the F-33 file, but reported </w:t>
      </w:r>
      <w:r w:rsidR="007B05E0">
        <w:rPr>
          <w:sz w:val="24"/>
        </w:rPr>
        <w:t xml:space="preserve">them </w:t>
      </w:r>
      <w:r w:rsidR="00A208A6" w:rsidRPr="00A208A6">
        <w:rPr>
          <w:sz w:val="24"/>
        </w:rPr>
        <w:t xml:space="preserve">as multiple districts on the CCD LEA Universe file. Table C-2 </w:t>
      </w:r>
      <w:r w:rsidR="00045595">
        <w:rPr>
          <w:sz w:val="24"/>
        </w:rPr>
        <w:t xml:space="preserve">(below) </w:t>
      </w:r>
      <w:r w:rsidR="00A208A6" w:rsidRPr="00A208A6">
        <w:rPr>
          <w:sz w:val="24"/>
        </w:rPr>
        <w:t>lists these combined districts in the F-33 file and their corresponding component districts in the CCD LEA Universe file.</w:t>
      </w:r>
      <w:r w:rsidR="00AD3FFC" w:rsidRPr="00D14611">
        <w:rPr>
          <w:sz w:val="24"/>
        </w:rPr>
        <w:t xml:space="preserve">  </w:t>
      </w: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F25308" w:rsidRDefault="00F25308" w:rsidP="00B373ED">
      <w:pPr>
        <w:ind w:left="990" w:hanging="990"/>
      </w:pPr>
    </w:p>
    <w:p w:rsidR="00F25308" w:rsidRDefault="00F25308" w:rsidP="00B373ED">
      <w:pPr>
        <w:ind w:left="990" w:hanging="990"/>
      </w:pPr>
    </w:p>
    <w:p w:rsidR="00F25308" w:rsidRDefault="00F25308" w:rsidP="00B373ED">
      <w:pPr>
        <w:ind w:left="990" w:hanging="990"/>
      </w:pPr>
    </w:p>
    <w:p w:rsidR="00F25308" w:rsidRDefault="00F25308" w:rsidP="00B373ED">
      <w:pPr>
        <w:ind w:left="990" w:hanging="990"/>
      </w:pPr>
    </w:p>
    <w:p w:rsidR="00F25308" w:rsidRDefault="00F25308" w:rsidP="00B373ED">
      <w:pPr>
        <w:ind w:left="990" w:hanging="990"/>
      </w:pPr>
    </w:p>
    <w:p w:rsidR="00F25308" w:rsidRDefault="00F25308"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295031" w:rsidRDefault="00295031" w:rsidP="00B373ED">
      <w:pPr>
        <w:ind w:left="990" w:hanging="990"/>
      </w:pPr>
    </w:p>
    <w:p w:rsidR="00F25308" w:rsidRDefault="00F25308" w:rsidP="0080561E">
      <w:pPr>
        <w:tabs>
          <w:tab w:val="left" w:pos="1080"/>
        </w:tabs>
        <w:ind w:left="1080" w:hanging="1080"/>
      </w:pPr>
    </w:p>
    <w:p w:rsidR="00F25308" w:rsidRDefault="00F25308" w:rsidP="0080561E">
      <w:pPr>
        <w:tabs>
          <w:tab w:val="left" w:pos="1080"/>
        </w:tabs>
        <w:ind w:left="1080" w:hanging="1080"/>
      </w:pPr>
    </w:p>
    <w:p w:rsidR="00B373ED" w:rsidRDefault="00B373ED" w:rsidP="0080561E">
      <w:pPr>
        <w:tabs>
          <w:tab w:val="left" w:pos="1080"/>
        </w:tabs>
        <w:ind w:left="1080" w:hanging="1080"/>
      </w:pPr>
      <w:r>
        <w:t>Table C-2.   Oklahoma</w:t>
      </w:r>
      <w:r w:rsidR="00EF20F3">
        <w:t xml:space="preserve"> </w:t>
      </w:r>
      <w:r>
        <w:t xml:space="preserve">combined vocational-technical districts in the F-33 file and the corresponding component </w:t>
      </w:r>
      <w:r w:rsidR="00FC6EAF">
        <w:t xml:space="preserve">                                                              </w:t>
      </w:r>
      <w:r w:rsidRPr="0080561E">
        <w:rPr>
          <w:bCs/>
        </w:rPr>
        <w:t>districts</w:t>
      </w:r>
      <w:r>
        <w:t xml:space="preserve"> in the CCD LEA Universe </w:t>
      </w:r>
      <w:r w:rsidR="00B42C45">
        <w:t xml:space="preserve">Survey </w:t>
      </w:r>
      <w:r>
        <w:t xml:space="preserve">file: Fiscal year </w:t>
      </w:r>
      <w:r w:rsidR="007F1752">
        <w:t>201</w:t>
      </w:r>
      <w:r w:rsidR="00D46E5F">
        <w:t>4</w:t>
      </w:r>
    </w:p>
    <w:tbl>
      <w:tblPr>
        <w:tblW w:w="9540" w:type="dxa"/>
        <w:tblInd w:w="198" w:type="dxa"/>
        <w:tblLayout w:type="fixed"/>
        <w:tblLook w:val="04A0" w:firstRow="1" w:lastRow="0" w:firstColumn="1" w:lastColumn="0" w:noHBand="0" w:noVBand="1"/>
      </w:tblPr>
      <w:tblGrid>
        <w:gridCol w:w="3690"/>
        <w:gridCol w:w="990"/>
        <w:gridCol w:w="236"/>
        <w:gridCol w:w="3634"/>
        <w:gridCol w:w="990"/>
      </w:tblGrid>
      <w:tr w:rsidR="00B373ED" w:rsidTr="00B373ED">
        <w:trPr>
          <w:cantSplit/>
          <w:trHeight w:val="197"/>
        </w:trPr>
        <w:tc>
          <w:tcPr>
            <w:tcW w:w="4680" w:type="dxa"/>
            <w:gridSpan w:val="2"/>
            <w:tcBorders>
              <w:top w:val="single" w:sz="4" w:space="0" w:color="auto"/>
              <w:left w:val="nil"/>
              <w:bottom w:val="single" w:sz="4" w:space="0" w:color="auto"/>
              <w:right w:val="nil"/>
            </w:tcBorders>
            <w:vAlign w:val="bottom"/>
            <w:hideMark/>
          </w:tcPr>
          <w:p w:rsidR="00B373ED" w:rsidRDefault="00B373ED">
            <w:pPr>
              <w:pStyle w:val="BodyTextIndent"/>
              <w:ind w:left="0"/>
              <w:jc w:val="center"/>
              <w:rPr>
                <w:sz w:val="20"/>
              </w:rPr>
            </w:pPr>
            <w:r>
              <w:rPr>
                <w:sz w:val="20"/>
              </w:rPr>
              <w:t>Combined vocational-technical district in the F-33 file</w:t>
            </w:r>
          </w:p>
        </w:tc>
        <w:tc>
          <w:tcPr>
            <w:tcW w:w="236" w:type="dxa"/>
            <w:tcBorders>
              <w:top w:val="single" w:sz="4" w:space="0" w:color="auto"/>
              <w:left w:val="nil"/>
              <w:bottom w:val="nil"/>
              <w:right w:val="nil"/>
            </w:tcBorders>
          </w:tcPr>
          <w:p w:rsidR="00B373ED" w:rsidRDefault="00B373ED">
            <w:pPr>
              <w:pStyle w:val="BodyTextIndent"/>
              <w:ind w:left="0"/>
              <w:jc w:val="center"/>
              <w:rPr>
                <w:sz w:val="20"/>
              </w:rPr>
            </w:pPr>
          </w:p>
        </w:tc>
        <w:tc>
          <w:tcPr>
            <w:tcW w:w="4624" w:type="dxa"/>
            <w:gridSpan w:val="2"/>
            <w:tcBorders>
              <w:top w:val="single" w:sz="4" w:space="0" w:color="auto"/>
              <w:left w:val="nil"/>
              <w:bottom w:val="single" w:sz="4" w:space="0" w:color="auto"/>
              <w:right w:val="nil"/>
            </w:tcBorders>
            <w:hideMark/>
          </w:tcPr>
          <w:p w:rsidR="00B373ED" w:rsidRDefault="00B373ED">
            <w:pPr>
              <w:pStyle w:val="BodyTextIndent"/>
              <w:ind w:left="0"/>
              <w:jc w:val="center"/>
              <w:rPr>
                <w:bCs w:val="0"/>
                <w:sz w:val="20"/>
              </w:rPr>
            </w:pPr>
            <w:r>
              <w:rPr>
                <w:sz w:val="20"/>
              </w:rPr>
              <w:t xml:space="preserve">Corresponding component district in the CCD LEA Universe </w:t>
            </w:r>
            <w:r w:rsidR="00B42C45">
              <w:rPr>
                <w:sz w:val="20"/>
              </w:rPr>
              <w:t xml:space="preserve">Survey </w:t>
            </w:r>
            <w:r>
              <w:rPr>
                <w:sz w:val="20"/>
              </w:rPr>
              <w:t>file</w:t>
            </w:r>
          </w:p>
        </w:tc>
      </w:tr>
      <w:tr w:rsidR="00B373ED" w:rsidTr="00B373ED">
        <w:trPr>
          <w:cantSplit/>
          <w:trHeight w:val="197"/>
        </w:trPr>
        <w:tc>
          <w:tcPr>
            <w:tcW w:w="3690" w:type="dxa"/>
            <w:tcBorders>
              <w:top w:val="single" w:sz="4" w:space="0" w:color="auto"/>
              <w:left w:val="nil"/>
              <w:bottom w:val="single" w:sz="4" w:space="0" w:color="auto"/>
              <w:right w:val="nil"/>
            </w:tcBorders>
            <w:vAlign w:val="bottom"/>
            <w:hideMark/>
          </w:tcPr>
          <w:p w:rsidR="00B373ED" w:rsidRDefault="00B373ED">
            <w:pPr>
              <w:pStyle w:val="BodyTextIndent"/>
              <w:ind w:left="0"/>
              <w:rPr>
                <w:bCs w:val="0"/>
                <w:sz w:val="20"/>
              </w:rPr>
            </w:pPr>
            <w:r>
              <w:rPr>
                <w:bCs w:val="0"/>
                <w:sz w:val="20"/>
              </w:rPr>
              <w:t xml:space="preserve">District name </w:t>
            </w:r>
          </w:p>
        </w:tc>
        <w:tc>
          <w:tcPr>
            <w:tcW w:w="990" w:type="dxa"/>
            <w:tcBorders>
              <w:top w:val="single" w:sz="4" w:space="0" w:color="auto"/>
              <w:left w:val="nil"/>
              <w:bottom w:val="single" w:sz="4" w:space="0" w:color="auto"/>
              <w:right w:val="nil"/>
            </w:tcBorders>
            <w:hideMark/>
          </w:tcPr>
          <w:p w:rsidR="00B373ED" w:rsidRDefault="00B373ED">
            <w:pPr>
              <w:pStyle w:val="BodyTextIndent"/>
              <w:ind w:left="0"/>
              <w:rPr>
                <w:bCs w:val="0"/>
                <w:sz w:val="20"/>
              </w:rPr>
            </w:pPr>
            <w:r>
              <w:rPr>
                <w:bCs w:val="0"/>
                <w:sz w:val="20"/>
              </w:rPr>
              <w:t>LEAID</w:t>
            </w:r>
          </w:p>
        </w:tc>
        <w:tc>
          <w:tcPr>
            <w:tcW w:w="236" w:type="dxa"/>
            <w:tcBorders>
              <w:top w:val="nil"/>
              <w:left w:val="nil"/>
              <w:bottom w:val="single" w:sz="4" w:space="0" w:color="auto"/>
              <w:right w:val="nil"/>
            </w:tcBorders>
          </w:tcPr>
          <w:p w:rsidR="00B373ED" w:rsidRDefault="00B373ED">
            <w:pPr>
              <w:pStyle w:val="BodyTextIndent"/>
              <w:ind w:left="0"/>
              <w:rPr>
                <w:bCs w:val="0"/>
                <w:sz w:val="20"/>
              </w:rPr>
            </w:pPr>
          </w:p>
        </w:tc>
        <w:tc>
          <w:tcPr>
            <w:tcW w:w="3634" w:type="dxa"/>
            <w:tcBorders>
              <w:top w:val="single" w:sz="4" w:space="0" w:color="auto"/>
              <w:left w:val="nil"/>
              <w:bottom w:val="single" w:sz="4" w:space="0" w:color="auto"/>
              <w:right w:val="nil"/>
            </w:tcBorders>
            <w:hideMark/>
          </w:tcPr>
          <w:p w:rsidR="00B373ED" w:rsidRDefault="00B373ED">
            <w:pPr>
              <w:pStyle w:val="BodyTextIndent"/>
              <w:ind w:left="0"/>
              <w:rPr>
                <w:bCs w:val="0"/>
                <w:sz w:val="20"/>
              </w:rPr>
            </w:pPr>
            <w:r>
              <w:rPr>
                <w:bCs w:val="0"/>
                <w:sz w:val="20"/>
              </w:rPr>
              <w:t>District name</w:t>
            </w:r>
          </w:p>
        </w:tc>
        <w:tc>
          <w:tcPr>
            <w:tcW w:w="990" w:type="dxa"/>
            <w:tcBorders>
              <w:top w:val="single" w:sz="4" w:space="0" w:color="auto"/>
              <w:left w:val="nil"/>
              <w:bottom w:val="single" w:sz="4" w:space="0" w:color="auto"/>
              <w:right w:val="nil"/>
            </w:tcBorders>
            <w:hideMark/>
          </w:tcPr>
          <w:p w:rsidR="00B373ED" w:rsidRDefault="00B373ED">
            <w:pPr>
              <w:pStyle w:val="BodyTextIndent"/>
              <w:ind w:left="0"/>
              <w:rPr>
                <w:bCs w:val="0"/>
                <w:sz w:val="20"/>
              </w:rPr>
            </w:pPr>
            <w:r>
              <w:rPr>
                <w:bCs w:val="0"/>
                <w:sz w:val="20"/>
              </w:rPr>
              <w:t>LEAID</w:t>
            </w:r>
          </w:p>
        </w:tc>
      </w:tr>
      <w:tr w:rsidR="00B373ED" w:rsidTr="00B373ED">
        <w:trPr>
          <w:cantSplit/>
        </w:trPr>
        <w:tc>
          <w:tcPr>
            <w:tcW w:w="3690" w:type="dxa"/>
            <w:hideMark/>
          </w:tcPr>
          <w:p w:rsidR="00B373ED" w:rsidRDefault="00B373ED">
            <w:pPr>
              <w:pStyle w:val="BodyTextIndent"/>
              <w:ind w:left="0"/>
              <w:rPr>
                <w:bCs w:val="0"/>
                <w:sz w:val="20"/>
              </w:rPr>
            </w:pPr>
            <w:r>
              <w:rPr>
                <w:bCs w:val="0"/>
                <w:sz w:val="20"/>
              </w:rPr>
              <w:t xml:space="preserve">Canadian Valley - Canadian County </w:t>
            </w:r>
          </w:p>
        </w:tc>
        <w:tc>
          <w:tcPr>
            <w:tcW w:w="990" w:type="dxa"/>
            <w:hideMark/>
          </w:tcPr>
          <w:p w:rsidR="00B373ED" w:rsidRDefault="00B373ED">
            <w:pPr>
              <w:pStyle w:val="BodyTextIndent"/>
              <w:ind w:left="0"/>
              <w:rPr>
                <w:bCs w:val="0"/>
                <w:sz w:val="20"/>
              </w:rPr>
            </w:pPr>
            <w:r>
              <w:rPr>
                <w:bCs w:val="0"/>
                <w:sz w:val="20"/>
              </w:rPr>
              <w:t>4000052</w:t>
            </w: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Canadian Valley - Canadian County</w:t>
            </w:r>
          </w:p>
        </w:tc>
        <w:tc>
          <w:tcPr>
            <w:tcW w:w="990" w:type="dxa"/>
            <w:hideMark/>
          </w:tcPr>
          <w:p w:rsidR="00B373ED" w:rsidRDefault="00B373ED">
            <w:pPr>
              <w:pStyle w:val="BodyTextIndent"/>
              <w:ind w:left="0"/>
              <w:rPr>
                <w:bCs w:val="0"/>
                <w:sz w:val="20"/>
              </w:rPr>
            </w:pPr>
            <w:r>
              <w:rPr>
                <w:bCs w:val="0"/>
                <w:sz w:val="20"/>
              </w:rPr>
              <w:t>4000052</w:t>
            </w:r>
          </w:p>
        </w:tc>
      </w:tr>
      <w:tr w:rsidR="00B373ED" w:rsidTr="00B373ED">
        <w:trPr>
          <w:cantSplit/>
        </w:trPr>
        <w:tc>
          <w:tcPr>
            <w:tcW w:w="3690" w:type="dxa"/>
          </w:tcPr>
          <w:p w:rsidR="00B373ED" w:rsidRDefault="00B373ED">
            <w:pPr>
              <w:pStyle w:val="BodyTextIndent"/>
              <w:ind w:left="0"/>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Canadian Valley - Chickasha</w:t>
            </w:r>
          </w:p>
        </w:tc>
        <w:tc>
          <w:tcPr>
            <w:tcW w:w="990" w:type="dxa"/>
            <w:hideMark/>
          </w:tcPr>
          <w:p w:rsidR="00B373ED" w:rsidRDefault="00B373ED">
            <w:pPr>
              <w:pStyle w:val="BodyTextIndent"/>
              <w:ind w:left="0"/>
              <w:rPr>
                <w:bCs w:val="0"/>
                <w:sz w:val="20"/>
              </w:rPr>
            </w:pPr>
            <w:r>
              <w:rPr>
                <w:bCs w:val="0"/>
                <w:sz w:val="20"/>
              </w:rPr>
              <w:t>4000062</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tcPr>
          <w:p w:rsidR="00B373ED" w:rsidRDefault="00B373ED">
            <w:pPr>
              <w:pStyle w:val="BodyTextIndent"/>
              <w:ind w:left="0"/>
              <w:rPr>
                <w:bCs w:val="0"/>
                <w:sz w:val="20"/>
              </w:rPr>
            </w:pPr>
          </w:p>
        </w:tc>
        <w:tc>
          <w:tcPr>
            <w:tcW w:w="990" w:type="dxa"/>
          </w:tcPr>
          <w:p w:rsidR="00B373ED" w:rsidRDefault="00B373ED">
            <w:pPr>
              <w:pStyle w:val="BodyTextIndent"/>
              <w:ind w:left="0"/>
              <w:rPr>
                <w:bCs w:val="0"/>
                <w:sz w:val="20"/>
              </w:rPr>
            </w:pPr>
          </w:p>
        </w:tc>
      </w:tr>
      <w:tr w:rsidR="00B373ED" w:rsidTr="00B373ED">
        <w:trPr>
          <w:cantSplit/>
        </w:trPr>
        <w:tc>
          <w:tcPr>
            <w:tcW w:w="3690" w:type="dxa"/>
            <w:hideMark/>
          </w:tcPr>
          <w:p w:rsidR="00B373ED" w:rsidRDefault="00B373ED">
            <w:pPr>
              <w:pStyle w:val="BodyTextIndent"/>
              <w:ind w:left="0"/>
              <w:rPr>
                <w:bCs w:val="0"/>
                <w:sz w:val="20"/>
              </w:rPr>
            </w:pPr>
            <w:r>
              <w:rPr>
                <w:bCs w:val="0"/>
                <w:sz w:val="20"/>
              </w:rPr>
              <w:t>Great Plains - Frederick</w:t>
            </w:r>
          </w:p>
        </w:tc>
        <w:tc>
          <w:tcPr>
            <w:tcW w:w="990" w:type="dxa"/>
            <w:hideMark/>
          </w:tcPr>
          <w:p w:rsidR="00B373ED" w:rsidRDefault="00B373ED">
            <w:pPr>
              <w:pStyle w:val="BodyTextIndent"/>
              <w:ind w:left="0"/>
              <w:rPr>
                <w:bCs w:val="0"/>
                <w:sz w:val="20"/>
              </w:rPr>
            </w:pPr>
            <w:r>
              <w:rPr>
                <w:bCs w:val="0"/>
                <w:sz w:val="20"/>
              </w:rPr>
              <w:t>4000091</w:t>
            </w: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Great Plains - Lawton</w:t>
            </w:r>
          </w:p>
        </w:tc>
        <w:tc>
          <w:tcPr>
            <w:tcW w:w="990" w:type="dxa"/>
            <w:hideMark/>
          </w:tcPr>
          <w:p w:rsidR="00B373ED" w:rsidRDefault="00B373ED">
            <w:pPr>
              <w:pStyle w:val="BodyTextIndent"/>
              <w:ind w:left="0"/>
              <w:rPr>
                <w:bCs w:val="0"/>
                <w:sz w:val="20"/>
              </w:rPr>
            </w:pPr>
            <w:r>
              <w:rPr>
                <w:bCs w:val="0"/>
                <w:sz w:val="20"/>
              </w:rPr>
              <w:t>4000057</w:t>
            </w:r>
          </w:p>
        </w:tc>
      </w:tr>
      <w:tr w:rsidR="00B373ED" w:rsidTr="00B373ED">
        <w:trPr>
          <w:cantSplit/>
        </w:trPr>
        <w:tc>
          <w:tcPr>
            <w:tcW w:w="3690" w:type="dxa"/>
          </w:tcPr>
          <w:p w:rsidR="00B373ED" w:rsidRDefault="00B373ED">
            <w:pPr>
              <w:pStyle w:val="BodyTextIndent"/>
              <w:ind w:left="16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Great Plains - Frederick</w:t>
            </w:r>
          </w:p>
        </w:tc>
        <w:tc>
          <w:tcPr>
            <w:tcW w:w="990" w:type="dxa"/>
            <w:hideMark/>
          </w:tcPr>
          <w:p w:rsidR="00B373ED" w:rsidRDefault="00B373ED">
            <w:pPr>
              <w:pStyle w:val="BodyTextIndent"/>
              <w:ind w:left="0"/>
              <w:rPr>
                <w:bCs w:val="0"/>
                <w:sz w:val="20"/>
              </w:rPr>
            </w:pPr>
            <w:r>
              <w:rPr>
                <w:bCs w:val="0"/>
                <w:sz w:val="20"/>
              </w:rPr>
              <w:t>4000091</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tcPr>
          <w:p w:rsidR="00B373ED" w:rsidRDefault="00B373ED">
            <w:pPr>
              <w:pStyle w:val="BodyTextIndent"/>
              <w:ind w:left="0"/>
              <w:rPr>
                <w:bCs w:val="0"/>
                <w:sz w:val="20"/>
              </w:rPr>
            </w:pPr>
          </w:p>
        </w:tc>
        <w:tc>
          <w:tcPr>
            <w:tcW w:w="990" w:type="dxa"/>
          </w:tcPr>
          <w:p w:rsidR="00B373ED" w:rsidRDefault="00B373ED">
            <w:pPr>
              <w:pStyle w:val="BodyTextIndent"/>
              <w:ind w:left="0"/>
              <w:rPr>
                <w:bCs w:val="0"/>
                <w:sz w:val="20"/>
              </w:rPr>
            </w:pPr>
          </w:p>
        </w:tc>
      </w:tr>
      <w:tr w:rsidR="00B373ED" w:rsidTr="00B373ED">
        <w:trPr>
          <w:cantSplit/>
        </w:trPr>
        <w:tc>
          <w:tcPr>
            <w:tcW w:w="3690" w:type="dxa"/>
            <w:hideMark/>
          </w:tcPr>
          <w:p w:rsidR="00B373ED" w:rsidRDefault="00B373ED">
            <w:pPr>
              <w:pStyle w:val="BodyTextIndent"/>
              <w:ind w:left="0"/>
              <w:rPr>
                <w:bCs w:val="0"/>
                <w:sz w:val="20"/>
              </w:rPr>
            </w:pPr>
            <w:r>
              <w:rPr>
                <w:bCs w:val="0"/>
                <w:sz w:val="20"/>
              </w:rPr>
              <w:t>Indian Capital - Stilwell</w:t>
            </w:r>
          </w:p>
        </w:tc>
        <w:tc>
          <w:tcPr>
            <w:tcW w:w="990" w:type="dxa"/>
            <w:hideMark/>
          </w:tcPr>
          <w:p w:rsidR="00B373ED" w:rsidRDefault="00B373ED">
            <w:pPr>
              <w:pStyle w:val="BodyTextIndent"/>
              <w:ind w:left="0"/>
              <w:rPr>
                <w:bCs w:val="0"/>
                <w:sz w:val="20"/>
              </w:rPr>
            </w:pPr>
            <w:r>
              <w:rPr>
                <w:bCs w:val="0"/>
                <w:sz w:val="20"/>
              </w:rPr>
              <w:t>4000047</w:t>
            </w: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Indian Capital - Stilwell</w:t>
            </w:r>
          </w:p>
        </w:tc>
        <w:tc>
          <w:tcPr>
            <w:tcW w:w="990" w:type="dxa"/>
            <w:hideMark/>
          </w:tcPr>
          <w:p w:rsidR="00B373ED" w:rsidRDefault="00B373ED">
            <w:pPr>
              <w:pStyle w:val="BodyTextIndent"/>
              <w:ind w:left="0"/>
              <w:rPr>
                <w:bCs w:val="0"/>
                <w:sz w:val="20"/>
              </w:rPr>
            </w:pPr>
            <w:r>
              <w:rPr>
                <w:bCs w:val="0"/>
                <w:sz w:val="20"/>
              </w:rPr>
              <w:t>4000047</w:t>
            </w:r>
          </w:p>
        </w:tc>
      </w:tr>
      <w:tr w:rsidR="00B373ED" w:rsidTr="00B373ED">
        <w:trPr>
          <w:cantSplit/>
        </w:trPr>
        <w:tc>
          <w:tcPr>
            <w:tcW w:w="3690" w:type="dxa"/>
          </w:tcPr>
          <w:p w:rsidR="00B373ED" w:rsidRDefault="00B373ED">
            <w:pPr>
              <w:pStyle w:val="BodyTextIndent"/>
              <w:ind w:left="0"/>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Indian Capital - Tahlequah</w:t>
            </w:r>
          </w:p>
        </w:tc>
        <w:tc>
          <w:tcPr>
            <w:tcW w:w="990" w:type="dxa"/>
            <w:hideMark/>
          </w:tcPr>
          <w:p w:rsidR="00B373ED" w:rsidRDefault="00B373ED">
            <w:pPr>
              <w:pStyle w:val="BodyTextIndent"/>
              <w:ind w:left="0"/>
              <w:rPr>
                <w:bCs w:val="0"/>
                <w:sz w:val="20"/>
              </w:rPr>
            </w:pPr>
            <w:r>
              <w:rPr>
                <w:bCs w:val="0"/>
                <w:sz w:val="20"/>
              </w:rPr>
              <w:t>4000054</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 xml:space="preserve">Indian Capital </w:t>
            </w:r>
            <w:r w:rsidR="00D77452">
              <w:rPr>
                <w:bCs w:val="0"/>
                <w:sz w:val="20"/>
              </w:rPr>
              <w:t>- Muskogee</w:t>
            </w:r>
          </w:p>
        </w:tc>
        <w:tc>
          <w:tcPr>
            <w:tcW w:w="990" w:type="dxa"/>
            <w:hideMark/>
          </w:tcPr>
          <w:p w:rsidR="00B373ED" w:rsidRDefault="00B373ED">
            <w:pPr>
              <w:pStyle w:val="BodyTextIndent"/>
              <w:ind w:left="0"/>
              <w:rPr>
                <w:bCs w:val="0"/>
                <w:sz w:val="20"/>
              </w:rPr>
            </w:pPr>
            <w:r>
              <w:rPr>
                <w:bCs w:val="0"/>
                <w:sz w:val="20"/>
              </w:rPr>
              <w:t>4000077</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Indian Capital - Sallisaw</w:t>
            </w:r>
          </w:p>
        </w:tc>
        <w:tc>
          <w:tcPr>
            <w:tcW w:w="990" w:type="dxa"/>
            <w:hideMark/>
          </w:tcPr>
          <w:p w:rsidR="00B373ED" w:rsidRDefault="00B373ED">
            <w:pPr>
              <w:pStyle w:val="BodyTextIndent"/>
              <w:ind w:left="0"/>
              <w:rPr>
                <w:bCs w:val="0"/>
                <w:sz w:val="20"/>
              </w:rPr>
            </w:pPr>
            <w:r>
              <w:rPr>
                <w:bCs w:val="0"/>
                <w:sz w:val="20"/>
              </w:rPr>
              <w:t>4000089</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tcPr>
          <w:p w:rsidR="00B373ED" w:rsidRDefault="00B373ED">
            <w:pPr>
              <w:pStyle w:val="BodyTextIndent"/>
              <w:ind w:left="0"/>
              <w:rPr>
                <w:bCs w:val="0"/>
                <w:sz w:val="20"/>
              </w:rPr>
            </w:pPr>
          </w:p>
        </w:tc>
        <w:tc>
          <w:tcPr>
            <w:tcW w:w="990" w:type="dxa"/>
          </w:tcPr>
          <w:p w:rsidR="00B373ED" w:rsidRDefault="00B373ED">
            <w:pPr>
              <w:pStyle w:val="BodyTextIndent"/>
              <w:ind w:left="0"/>
              <w:rPr>
                <w:bCs w:val="0"/>
                <w:sz w:val="20"/>
              </w:rPr>
            </w:pPr>
          </w:p>
        </w:tc>
      </w:tr>
      <w:tr w:rsidR="00B373ED" w:rsidTr="00B373ED">
        <w:trPr>
          <w:cantSplit/>
        </w:trPr>
        <w:tc>
          <w:tcPr>
            <w:tcW w:w="3690" w:type="dxa"/>
            <w:hideMark/>
          </w:tcPr>
          <w:p w:rsidR="00B373ED" w:rsidRDefault="00B373ED">
            <w:pPr>
              <w:pStyle w:val="BodyTextIndent"/>
              <w:ind w:left="0"/>
              <w:rPr>
                <w:bCs w:val="0"/>
                <w:sz w:val="20"/>
              </w:rPr>
            </w:pPr>
            <w:r>
              <w:rPr>
                <w:bCs w:val="0"/>
                <w:sz w:val="20"/>
              </w:rPr>
              <w:t>Kiamichi Technology Center - Atoka</w:t>
            </w:r>
          </w:p>
        </w:tc>
        <w:tc>
          <w:tcPr>
            <w:tcW w:w="990" w:type="dxa"/>
            <w:hideMark/>
          </w:tcPr>
          <w:p w:rsidR="00B373ED" w:rsidRDefault="00B373ED">
            <w:pPr>
              <w:pStyle w:val="BodyTextIndent"/>
              <w:ind w:left="0"/>
              <w:rPr>
                <w:bCs w:val="0"/>
                <w:sz w:val="20"/>
              </w:rPr>
            </w:pPr>
            <w:r>
              <w:rPr>
                <w:bCs w:val="0"/>
                <w:sz w:val="20"/>
              </w:rPr>
              <w:t>4000048</w:t>
            </w: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Kiamichi Technology Center - Atoka</w:t>
            </w:r>
          </w:p>
        </w:tc>
        <w:tc>
          <w:tcPr>
            <w:tcW w:w="990" w:type="dxa"/>
            <w:hideMark/>
          </w:tcPr>
          <w:p w:rsidR="00B373ED" w:rsidRDefault="00B373ED">
            <w:pPr>
              <w:pStyle w:val="BodyTextIndent"/>
              <w:ind w:left="0"/>
              <w:rPr>
                <w:bCs w:val="0"/>
                <w:sz w:val="20"/>
              </w:rPr>
            </w:pPr>
            <w:r>
              <w:rPr>
                <w:bCs w:val="0"/>
                <w:sz w:val="20"/>
              </w:rPr>
              <w:t>4000048</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Kiamichi Technology Center - Durant</w:t>
            </w:r>
          </w:p>
        </w:tc>
        <w:tc>
          <w:tcPr>
            <w:tcW w:w="990" w:type="dxa"/>
            <w:hideMark/>
          </w:tcPr>
          <w:p w:rsidR="00B373ED" w:rsidRDefault="00B373ED">
            <w:pPr>
              <w:pStyle w:val="BodyTextIndent"/>
              <w:ind w:left="0"/>
              <w:rPr>
                <w:bCs w:val="0"/>
                <w:sz w:val="20"/>
              </w:rPr>
            </w:pPr>
            <w:r>
              <w:rPr>
                <w:bCs w:val="0"/>
                <w:sz w:val="20"/>
              </w:rPr>
              <w:t>4000050</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Kiamichi Technology Center - Hugo</w:t>
            </w:r>
          </w:p>
        </w:tc>
        <w:tc>
          <w:tcPr>
            <w:tcW w:w="990" w:type="dxa"/>
            <w:hideMark/>
          </w:tcPr>
          <w:p w:rsidR="00B373ED" w:rsidRDefault="00B373ED">
            <w:pPr>
              <w:pStyle w:val="BodyTextIndent"/>
              <w:ind w:left="0"/>
              <w:rPr>
                <w:bCs w:val="0"/>
                <w:sz w:val="20"/>
              </w:rPr>
            </w:pPr>
            <w:r>
              <w:rPr>
                <w:bCs w:val="0"/>
                <w:sz w:val="20"/>
              </w:rPr>
              <w:t>4000055</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Kiamichi Technology Center - Stigler</w:t>
            </w:r>
          </w:p>
        </w:tc>
        <w:tc>
          <w:tcPr>
            <w:tcW w:w="990" w:type="dxa"/>
            <w:hideMark/>
          </w:tcPr>
          <w:p w:rsidR="00B373ED" w:rsidRDefault="00B373ED">
            <w:pPr>
              <w:pStyle w:val="BodyTextIndent"/>
              <w:ind w:left="0"/>
              <w:rPr>
                <w:bCs w:val="0"/>
                <w:sz w:val="20"/>
              </w:rPr>
            </w:pPr>
            <w:r>
              <w:rPr>
                <w:bCs w:val="0"/>
                <w:sz w:val="20"/>
              </w:rPr>
              <w:t>4000064</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Kiamichi Technology Center - Talihina</w:t>
            </w:r>
          </w:p>
        </w:tc>
        <w:tc>
          <w:tcPr>
            <w:tcW w:w="990" w:type="dxa"/>
            <w:hideMark/>
          </w:tcPr>
          <w:p w:rsidR="00B373ED" w:rsidRDefault="00B373ED">
            <w:pPr>
              <w:pStyle w:val="BodyTextIndent"/>
              <w:ind w:left="0"/>
              <w:rPr>
                <w:bCs w:val="0"/>
                <w:sz w:val="20"/>
              </w:rPr>
            </w:pPr>
            <w:r>
              <w:rPr>
                <w:bCs w:val="0"/>
                <w:sz w:val="20"/>
              </w:rPr>
              <w:t>4000069</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Kiamichi Technology Center - Poteau</w:t>
            </w:r>
          </w:p>
        </w:tc>
        <w:tc>
          <w:tcPr>
            <w:tcW w:w="990" w:type="dxa"/>
            <w:hideMark/>
          </w:tcPr>
          <w:p w:rsidR="00B373ED" w:rsidRDefault="00B373ED">
            <w:pPr>
              <w:pStyle w:val="BodyTextIndent"/>
              <w:ind w:left="0"/>
              <w:rPr>
                <w:bCs w:val="0"/>
                <w:sz w:val="20"/>
              </w:rPr>
            </w:pPr>
            <w:r>
              <w:rPr>
                <w:bCs w:val="0"/>
                <w:sz w:val="20"/>
              </w:rPr>
              <w:t>4000070</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Kiamichi Technology Center - Idabel</w:t>
            </w:r>
          </w:p>
        </w:tc>
        <w:tc>
          <w:tcPr>
            <w:tcW w:w="990" w:type="dxa"/>
            <w:hideMark/>
          </w:tcPr>
          <w:p w:rsidR="00B373ED" w:rsidRDefault="00B373ED">
            <w:pPr>
              <w:pStyle w:val="BodyTextIndent"/>
              <w:ind w:left="0"/>
              <w:rPr>
                <w:bCs w:val="0"/>
                <w:sz w:val="20"/>
              </w:rPr>
            </w:pPr>
            <w:r>
              <w:rPr>
                <w:bCs w:val="0"/>
                <w:sz w:val="20"/>
              </w:rPr>
              <w:t>4000074</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Kiamichi Technology Center - McAlester</w:t>
            </w:r>
          </w:p>
        </w:tc>
        <w:tc>
          <w:tcPr>
            <w:tcW w:w="990" w:type="dxa"/>
            <w:hideMark/>
          </w:tcPr>
          <w:p w:rsidR="00B373ED" w:rsidRDefault="00B373ED">
            <w:pPr>
              <w:pStyle w:val="BodyTextIndent"/>
              <w:ind w:left="0"/>
              <w:rPr>
                <w:bCs w:val="0"/>
                <w:sz w:val="20"/>
              </w:rPr>
            </w:pPr>
            <w:r>
              <w:rPr>
                <w:bCs w:val="0"/>
                <w:sz w:val="20"/>
              </w:rPr>
              <w:t>4000086</w:t>
            </w:r>
          </w:p>
        </w:tc>
      </w:tr>
      <w:tr w:rsidR="00B373ED" w:rsidTr="00B373ED">
        <w:trPr>
          <w:cantSplit/>
        </w:trPr>
        <w:tc>
          <w:tcPr>
            <w:tcW w:w="3690" w:type="dxa"/>
          </w:tcPr>
          <w:p w:rsidR="00B373ED" w:rsidRDefault="00B373ED">
            <w:pPr>
              <w:pStyle w:val="BodyTextIndent"/>
              <w:ind w:left="0"/>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tcPr>
          <w:p w:rsidR="00B373ED" w:rsidRDefault="00B373ED">
            <w:pPr>
              <w:pStyle w:val="BodyTextIndent"/>
              <w:ind w:left="0"/>
              <w:rPr>
                <w:bCs w:val="0"/>
                <w:sz w:val="20"/>
              </w:rPr>
            </w:pPr>
          </w:p>
        </w:tc>
        <w:tc>
          <w:tcPr>
            <w:tcW w:w="990" w:type="dxa"/>
          </w:tcPr>
          <w:p w:rsidR="00B373ED" w:rsidRDefault="00B373ED">
            <w:pPr>
              <w:pStyle w:val="BodyTextIndent"/>
              <w:ind w:left="0"/>
              <w:rPr>
                <w:bCs w:val="0"/>
                <w:sz w:val="20"/>
              </w:rPr>
            </w:pPr>
          </w:p>
        </w:tc>
      </w:tr>
      <w:tr w:rsidR="00B373ED" w:rsidTr="00B373ED">
        <w:trPr>
          <w:cantSplit/>
        </w:trPr>
        <w:tc>
          <w:tcPr>
            <w:tcW w:w="3690" w:type="dxa"/>
            <w:hideMark/>
          </w:tcPr>
          <w:p w:rsidR="00B373ED" w:rsidRDefault="00B373ED">
            <w:pPr>
              <w:pStyle w:val="BodyTextIndent"/>
              <w:ind w:left="0"/>
              <w:rPr>
                <w:bCs w:val="0"/>
                <w:sz w:val="20"/>
              </w:rPr>
            </w:pPr>
            <w:r>
              <w:rPr>
                <w:bCs w:val="0"/>
                <w:sz w:val="20"/>
              </w:rPr>
              <w:t xml:space="preserve">Northeast Technology Center - </w:t>
            </w:r>
            <w:r w:rsidR="009526C3">
              <w:rPr>
                <w:bCs w:val="0"/>
                <w:sz w:val="20"/>
              </w:rPr>
              <w:t>Kansas</w:t>
            </w:r>
          </w:p>
        </w:tc>
        <w:tc>
          <w:tcPr>
            <w:tcW w:w="990" w:type="dxa"/>
            <w:hideMark/>
          </w:tcPr>
          <w:p w:rsidR="00B373ED" w:rsidRDefault="00B373ED">
            <w:pPr>
              <w:pStyle w:val="BodyTextIndent"/>
              <w:ind w:left="0"/>
              <w:rPr>
                <w:bCs w:val="0"/>
                <w:sz w:val="20"/>
              </w:rPr>
            </w:pPr>
            <w:r>
              <w:rPr>
                <w:bCs w:val="0"/>
                <w:sz w:val="20"/>
              </w:rPr>
              <w:t>4000060</w:t>
            </w: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 xml:space="preserve">Northeast Technology Center - </w:t>
            </w:r>
            <w:r w:rsidR="009526C3">
              <w:rPr>
                <w:bCs w:val="0"/>
                <w:sz w:val="20"/>
              </w:rPr>
              <w:t>Kansas</w:t>
            </w:r>
          </w:p>
        </w:tc>
        <w:tc>
          <w:tcPr>
            <w:tcW w:w="990" w:type="dxa"/>
            <w:hideMark/>
          </w:tcPr>
          <w:p w:rsidR="00B373ED" w:rsidRDefault="00B373ED">
            <w:pPr>
              <w:pStyle w:val="BodyTextIndent"/>
              <w:ind w:left="0"/>
              <w:rPr>
                <w:bCs w:val="0"/>
                <w:sz w:val="20"/>
              </w:rPr>
            </w:pPr>
            <w:r>
              <w:rPr>
                <w:bCs w:val="0"/>
                <w:sz w:val="20"/>
              </w:rPr>
              <w:t>4000060</w:t>
            </w:r>
          </w:p>
        </w:tc>
      </w:tr>
      <w:tr w:rsidR="00B373ED" w:rsidTr="00B373ED">
        <w:trPr>
          <w:cantSplit/>
        </w:trPr>
        <w:tc>
          <w:tcPr>
            <w:tcW w:w="3690" w:type="dxa"/>
          </w:tcPr>
          <w:p w:rsidR="00B373ED" w:rsidRDefault="00B373ED">
            <w:pPr>
              <w:pStyle w:val="BodyTextIndent"/>
              <w:ind w:left="16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 xml:space="preserve">Northeast Technology Center - </w:t>
            </w:r>
            <w:r w:rsidR="00A56547">
              <w:rPr>
                <w:bCs w:val="0"/>
                <w:sz w:val="20"/>
              </w:rPr>
              <w:t>Pryor</w:t>
            </w:r>
          </w:p>
        </w:tc>
        <w:tc>
          <w:tcPr>
            <w:tcW w:w="990" w:type="dxa"/>
            <w:hideMark/>
          </w:tcPr>
          <w:p w:rsidR="00B373ED" w:rsidRDefault="00B373ED">
            <w:pPr>
              <w:pStyle w:val="BodyTextIndent"/>
              <w:ind w:left="0"/>
              <w:rPr>
                <w:bCs w:val="0"/>
                <w:sz w:val="20"/>
              </w:rPr>
            </w:pPr>
            <w:r>
              <w:rPr>
                <w:bCs w:val="0"/>
                <w:sz w:val="20"/>
              </w:rPr>
              <w:t>4000072</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Northeast Technology Center</w:t>
            </w:r>
            <w:r w:rsidR="006E0BC3">
              <w:rPr>
                <w:bCs w:val="0"/>
                <w:sz w:val="20"/>
              </w:rPr>
              <w:t xml:space="preserve"> -</w:t>
            </w:r>
            <w:r>
              <w:rPr>
                <w:bCs w:val="0"/>
                <w:sz w:val="20"/>
              </w:rPr>
              <w:t xml:space="preserve"> </w:t>
            </w:r>
            <w:r w:rsidR="00A56547">
              <w:rPr>
                <w:bCs w:val="0"/>
                <w:sz w:val="20"/>
              </w:rPr>
              <w:t>Afton</w:t>
            </w:r>
          </w:p>
          <w:p w:rsidR="006E0BC3" w:rsidRDefault="006E0BC3">
            <w:pPr>
              <w:pStyle w:val="BodyTextIndent"/>
              <w:ind w:left="0"/>
              <w:rPr>
                <w:bCs w:val="0"/>
                <w:sz w:val="20"/>
              </w:rPr>
            </w:pPr>
            <w:r>
              <w:rPr>
                <w:bCs w:val="0"/>
                <w:sz w:val="20"/>
              </w:rPr>
              <w:t>Northeast Technology Center - Claremore</w:t>
            </w:r>
          </w:p>
        </w:tc>
        <w:tc>
          <w:tcPr>
            <w:tcW w:w="990" w:type="dxa"/>
            <w:hideMark/>
          </w:tcPr>
          <w:p w:rsidR="006E0BC3" w:rsidRDefault="00B373ED">
            <w:pPr>
              <w:pStyle w:val="BodyTextIndent"/>
              <w:ind w:left="0"/>
              <w:rPr>
                <w:bCs w:val="0"/>
                <w:sz w:val="20"/>
              </w:rPr>
            </w:pPr>
            <w:r>
              <w:rPr>
                <w:bCs w:val="0"/>
                <w:sz w:val="20"/>
              </w:rPr>
              <w:t>4000083</w:t>
            </w:r>
            <w:r w:rsidR="006E0BC3">
              <w:rPr>
                <w:bCs w:val="0"/>
                <w:sz w:val="20"/>
              </w:rPr>
              <w:t>4000754</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tcPr>
          <w:p w:rsidR="00B373ED" w:rsidRDefault="00B373ED">
            <w:pPr>
              <w:pStyle w:val="BodyTextIndent"/>
              <w:ind w:left="0"/>
              <w:rPr>
                <w:bCs w:val="0"/>
                <w:sz w:val="20"/>
              </w:rPr>
            </w:pPr>
          </w:p>
        </w:tc>
        <w:tc>
          <w:tcPr>
            <w:tcW w:w="990" w:type="dxa"/>
          </w:tcPr>
          <w:p w:rsidR="00B373ED" w:rsidRDefault="00B373ED">
            <w:pPr>
              <w:pStyle w:val="BodyTextIndent"/>
              <w:ind w:left="0"/>
              <w:rPr>
                <w:bCs w:val="0"/>
                <w:sz w:val="20"/>
              </w:rPr>
            </w:pPr>
          </w:p>
        </w:tc>
      </w:tr>
      <w:tr w:rsidR="00B373ED" w:rsidTr="00B373ED">
        <w:trPr>
          <w:cantSplit/>
        </w:trPr>
        <w:tc>
          <w:tcPr>
            <w:tcW w:w="3690" w:type="dxa"/>
            <w:hideMark/>
          </w:tcPr>
          <w:p w:rsidR="00B373ED" w:rsidRDefault="00B373ED">
            <w:pPr>
              <w:pStyle w:val="BodyTextIndent"/>
              <w:ind w:left="-18"/>
              <w:rPr>
                <w:bCs w:val="0"/>
                <w:sz w:val="20"/>
              </w:rPr>
            </w:pPr>
            <w:r>
              <w:rPr>
                <w:bCs w:val="0"/>
                <w:sz w:val="20"/>
              </w:rPr>
              <w:t>Northwest Technology Center - Fairview</w:t>
            </w:r>
          </w:p>
        </w:tc>
        <w:tc>
          <w:tcPr>
            <w:tcW w:w="990" w:type="dxa"/>
            <w:hideMark/>
          </w:tcPr>
          <w:p w:rsidR="00B373ED" w:rsidRDefault="00B373ED">
            <w:pPr>
              <w:pStyle w:val="BodyTextIndent"/>
              <w:ind w:left="0"/>
              <w:rPr>
                <w:bCs w:val="0"/>
                <w:sz w:val="20"/>
              </w:rPr>
            </w:pPr>
            <w:r>
              <w:rPr>
                <w:bCs w:val="0"/>
                <w:sz w:val="20"/>
              </w:rPr>
              <w:t>4000071</w:t>
            </w: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Northwest Technology Center - Fairview</w:t>
            </w:r>
          </w:p>
        </w:tc>
        <w:tc>
          <w:tcPr>
            <w:tcW w:w="990" w:type="dxa"/>
            <w:hideMark/>
          </w:tcPr>
          <w:p w:rsidR="00B373ED" w:rsidRDefault="00B373ED">
            <w:pPr>
              <w:pStyle w:val="BodyTextIndent"/>
              <w:ind w:left="0"/>
              <w:rPr>
                <w:bCs w:val="0"/>
                <w:sz w:val="20"/>
              </w:rPr>
            </w:pPr>
            <w:r>
              <w:rPr>
                <w:bCs w:val="0"/>
                <w:sz w:val="20"/>
              </w:rPr>
              <w:t>4000071</w:t>
            </w:r>
          </w:p>
        </w:tc>
      </w:tr>
      <w:tr w:rsidR="00B373ED" w:rsidTr="00B373ED">
        <w:trPr>
          <w:cantSplit/>
        </w:trPr>
        <w:tc>
          <w:tcPr>
            <w:tcW w:w="3690" w:type="dxa"/>
          </w:tcPr>
          <w:p w:rsidR="00B373ED" w:rsidRDefault="00B373ED">
            <w:pPr>
              <w:pStyle w:val="BodyTextIndent"/>
              <w:ind w:left="16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Northwest Technology Center - Alva</w:t>
            </w:r>
          </w:p>
        </w:tc>
        <w:tc>
          <w:tcPr>
            <w:tcW w:w="990" w:type="dxa"/>
            <w:hideMark/>
          </w:tcPr>
          <w:p w:rsidR="00B373ED" w:rsidRDefault="00B373ED">
            <w:pPr>
              <w:pStyle w:val="BodyTextIndent"/>
              <w:ind w:left="0"/>
              <w:rPr>
                <w:bCs w:val="0"/>
                <w:sz w:val="20"/>
              </w:rPr>
            </w:pPr>
            <w:r>
              <w:rPr>
                <w:bCs w:val="0"/>
                <w:sz w:val="20"/>
              </w:rPr>
              <w:t>4000095</w:t>
            </w:r>
          </w:p>
        </w:tc>
      </w:tr>
      <w:tr w:rsidR="00B373ED" w:rsidTr="00B373ED">
        <w:trPr>
          <w:cantSplit/>
        </w:trPr>
        <w:tc>
          <w:tcPr>
            <w:tcW w:w="3690" w:type="dxa"/>
          </w:tcPr>
          <w:p w:rsidR="00B373ED" w:rsidRDefault="00B373ED">
            <w:pPr>
              <w:pStyle w:val="BodyTextIndent"/>
              <w:ind w:left="522"/>
              <w:rPr>
                <w:bCs w:val="0"/>
                <w:sz w:val="20"/>
              </w:rPr>
            </w:pPr>
          </w:p>
        </w:tc>
        <w:tc>
          <w:tcPr>
            <w:tcW w:w="990" w:type="dxa"/>
          </w:tcPr>
          <w:p w:rsidR="00B373ED" w:rsidRDefault="00B373ED">
            <w:pPr>
              <w:pStyle w:val="BodyTextIndent"/>
              <w:ind w:left="0"/>
              <w:rPr>
                <w:bCs w:val="0"/>
                <w:sz w:val="20"/>
              </w:rPr>
            </w:pPr>
          </w:p>
        </w:tc>
        <w:tc>
          <w:tcPr>
            <w:tcW w:w="236" w:type="dxa"/>
          </w:tcPr>
          <w:p w:rsidR="00B373ED" w:rsidRDefault="00B373ED">
            <w:pPr>
              <w:pStyle w:val="BodyTextIndent"/>
              <w:ind w:left="0"/>
              <w:jc w:val="right"/>
              <w:rPr>
                <w:bCs w:val="0"/>
                <w:sz w:val="20"/>
              </w:rPr>
            </w:pPr>
          </w:p>
        </w:tc>
        <w:tc>
          <w:tcPr>
            <w:tcW w:w="3634" w:type="dxa"/>
          </w:tcPr>
          <w:p w:rsidR="00B373ED" w:rsidRDefault="00B373ED">
            <w:pPr>
              <w:pStyle w:val="BodyTextIndent"/>
              <w:ind w:left="0"/>
              <w:rPr>
                <w:bCs w:val="0"/>
                <w:sz w:val="20"/>
              </w:rPr>
            </w:pPr>
          </w:p>
        </w:tc>
        <w:tc>
          <w:tcPr>
            <w:tcW w:w="990" w:type="dxa"/>
          </w:tcPr>
          <w:p w:rsidR="00B373ED" w:rsidRDefault="00B373ED">
            <w:pPr>
              <w:pStyle w:val="BodyTextIndent"/>
              <w:ind w:left="0"/>
              <w:rPr>
                <w:bCs w:val="0"/>
                <w:sz w:val="20"/>
              </w:rPr>
            </w:pPr>
          </w:p>
        </w:tc>
      </w:tr>
      <w:tr w:rsidR="00B373ED" w:rsidTr="00B373ED">
        <w:trPr>
          <w:cantSplit/>
        </w:trPr>
        <w:tc>
          <w:tcPr>
            <w:tcW w:w="3690" w:type="dxa"/>
            <w:hideMark/>
          </w:tcPr>
          <w:p w:rsidR="00B373ED" w:rsidRDefault="00B373ED">
            <w:pPr>
              <w:pStyle w:val="BodyTextIndent"/>
              <w:ind w:left="0"/>
              <w:rPr>
                <w:bCs w:val="0"/>
                <w:sz w:val="20"/>
              </w:rPr>
            </w:pPr>
            <w:r>
              <w:rPr>
                <w:bCs w:val="0"/>
                <w:sz w:val="20"/>
              </w:rPr>
              <w:t>Western Technology Center - Sayre</w:t>
            </w:r>
          </w:p>
        </w:tc>
        <w:tc>
          <w:tcPr>
            <w:tcW w:w="990" w:type="dxa"/>
            <w:hideMark/>
          </w:tcPr>
          <w:p w:rsidR="00B373ED" w:rsidRDefault="00B373ED">
            <w:pPr>
              <w:pStyle w:val="BodyTextIndent"/>
              <w:ind w:left="0"/>
              <w:rPr>
                <w:bCs w:val="0"/>
                <w:sz w:val="20"/>
              </w:rPr>
            </w:pPr>
            <w:r>
              <w:rPr>
                <w:bCs w:val="0"/>
                <w:sz w:val="20"/>
              </w:rPr>
              <w:t>4000049</w:t>
            </w:r>
          </w:p>
        </w:tc>
        <w:tc>
          <w:tcPr>
            <w:tcW w:w="236" w:type="dxa"/>
          </w:tcPr>
          <w:p w:rsidR="00B373ED" w:rsidRDefault="00B373ED">
            <w:pPr>
              <w:pStyle w:val="BodyTextIndent"/>
              <w:ind w:left="0"/>
              <w:jc w:val="right"/>
              <w:rPr>
                <w:bCs w:val="0"/>
                <w:sz w:val="20"/>
              </w:rPr>
            </w:pPr>
          </w:p>
        </w:tc>
        <w:tc>
          <w:tcPr>
            <w:tcW w:w="3634" w:type="dxa"/>
            <w:hideMark/>
          </w:tcPr>
          <w:p w:rsidR="00B373ED" w:rsidRDefault="00B373ED">
            <w:pPr>
              <w:pStyle w:val="BodyTextIndent"/>
              <w:ind w:left="0"/>
              <w:rPr>
                <w:bCs w:val="0"/>
                <w:sz w:val="20"/>
              </w:rPr>
            </w:pPr>
            <w:r>
              <w:rPr>
                <w:bCs w:val="0"/>
                <w:sz w:val="20"/>
              </w:rPr>
              <w:t>Western Technology Center - Sayre</w:t>
            </w:r>
          </w:p>
        </w:tc>
        <w:tc>
          <w:tcPr>
            <w:tcW w:w="990" w:type="dxa"/>
            <w:hideMark/>
          </w:tcPr>
          <w:p w:rsidR="00B373ED" w:rsidRDefault="00B373ED">
            <w:pPr>
              <w:pStyle w:val="BodyTextIndent"/>
              <w:ind w:left="0"/>
              <w:rPr>
                <w:bCs w:val="0"/>
                <w:sz w:val="20"/>
              </w:rPr>
            </w:pPr>
            <w:r>
              <w:rPr>
                <w:bCs w:val="0"/>
                <w:sz w:val="20"/>
              </w:rPr>
              <w:t>4000049</w:t>
            </w:r>
          </w:p>
        </w:tc>
      </w:tr>
      <w:tr w:rsidR="00B373ED" w:rsidTr="00B373ED">
        <w:trPr>
          <w:cantSplit/>
        </w:trPr>
        <w:tc>
          <w:tcPr>
            <w:tcW w:w="3690" w:type="dxa"/>
            <w:tcBorders>
              <w:top w:val="nil"/>
              <w:left w:val="nil"/>
              <w:bottom w:val="single" w:sz="4" w:space="0" w:color="auto"/>
              <w:right w:val="nil"/>
            </w:tcBorders>
          </w:tcPr>
          <w:p w:rsidR="00B373ED" w:rsidRDefault="00B373ED">
            <w:pPr>
              <w:pStyle w:val="BodyTextIndent"/>
              <w:ind w:left="162"/>
              <w:rPr>
                <w:bCs w:val="0"/>
                <w:sz w:val="20"/>
              </w:rPr>
            </w:pPr>
          </w:p>
        </w:tc>
        <w:tc>
          <w:tcPr>
            <w:tcW w:w="990" w:type="dxa"/>
            <w:tcBorders>
              <w:top w:val="nil"/>
              <w:left w:val="nil"/>
              <w:bottom w:val="single" w:sz="4" w:space="0" w:color="auto"/>
              <w:right w:val="nil"/>
            </w:tcBorders>
          </w:tcPr>
          <w:p w:rsidR="00B373ED" w:rsidRDefault="00B373ED">
            <w:pPr>
              <w:pStyle w:val="BodyTextIndent"/>
              <w:ind w:left="0"/>
              <w:rPr>
                <w:bCs w:val="0"/>
                <w:sz w:val="20"/>
              </w:rPr>
            </w:pPr>
          </w:p>
        </w:tc>
        <w:tc>
          <w:tcPr>
            <w:tcW w:w="236" w:type="dxa"/>
            <w:tcBorders>
              <w:top w:val="nil"/>
              <w:left w:val="nil"/>
              <w:bottom w:val="single" w:sz="4" w:space="0" w:color="auto"/>
              <w:right w:val="nil"/>
            </w:tcBorders>
          </w:tcPr>
          <w:p w:rsidR="00B373ED" w:rsidRDefault="00B373ED">
            <w:pPr>
              <w:pStyle w:val="BodyTextIndent"/>
              <w:ind w:left="0"/>
              <w:jc w:val="right"/>
              <w:rPr>
                <w:bCs w:val="0"/>
                <w:sz w:val="20"/>
              </w:rPr>
            </w:pPr>
          </w:p>
        </w:tc>
        <w:tc>
          <w:tcPr>
            <w:tcW w:w="3634" w:type="dxa"/>
            <w:tcBorders>
              <w:top w:val="nil"/>
              <w:left w:val="nil"/>
              <w:bottom w:val="single" w:sz="4" w:space="0" w:color="auto"/>
              <w:right w:val="nil"/>
            </w:tcBorders>
            <w:hideMark/>
          </w:tcPr>
          <w:p w:rsidR="00B373ED" w:rsidRDefault="00B373ED">
            <w:pPr>
              <w:pStyle w:val="BodyTextIndent"/>
              <w:ind w:left="0"/>
              <w:rPr>
                <w:bCs w:val="0"/>
                <w:sz w:val="20"/>
              </w:rPr>
            </w:pPr>
            <w:r>
              <w:rPr>
                <w:bCs w:val="0"/>
                <w:sz w:val="20"/>
              </w:rPr>
              <w:t>Western Technology Center - Burns Flat</w:t>
            </w:r>
          </w:p>
        </w:tc>
        <w:tc>
          <w:tcPr>
            <w:tcW w:w="990" w:type="dxa"/>
            <w:tcBorders>
              <w:top w:val="nil"/>
              <w:left w:val="nil"/>
              <w:bottom w:val="single" w:sz="4" w:space="0" w:color="auto"/>
              <w:right w:val="nil"/>
            </w:tcBorders>
            <w:hideMark/>
          </w:tcPr>
          <w:p w:rsidR="00B373ED" w:rsidRDefault="00B373ED">
            <w:pPr>
              <w:pStyle w:val="BodyTextIndent"/>
              <w:ind w:left="0"/>
              <w:rPr>
                <w:bCs w:val="0"/>
                <w:sz w:val="20"/>
              </w:rPr>
            </w:pPr>
            <w:r>
              <w:rPr>
                <w:bCs w:val="0"/>
                <w:sz w:val="20"/>
              </w:rPr>
              <w:t>4000094</w:t>
            </w:r>
          </w:p>
        </w:tc>
      </w:tr>
    </w:tbl>
    <w:p w:rsidR="00B373ED" w:rsidRDefault="00B373ED" w:rsidP="00B373ED">
      <w:pPr>
        <w:pStyle w:val="BodyTextIndent2"/>
        <w:ind w:left="90" w:firstLine="0"/>
      </w:pPr>
      <w:r>
        <w:t xml:space="preserve">SOURCE: U.S. Department of Education, National Center for Education Statistics, Common Core of Data (CCD), “School District Finance Survey (F-33),” fiscal year </w:t>
      </w:r>
      <w:r w:rsidR="007F1752">
        <w:t>201</w:t>
      </w:r>
      <w:r w:rsidR="00841E6C">
        <w:t>4</w:t>
      </w:r>
      <w:r>
        <w:t xml:space="preserve">, </w:t>
      </w:r>
      <w:r w:rsidR="00600F1D">
        <w:t>Provisional</w:t>
      </w:r>
      <w:r w:rsidR="00B42C45">
        <w:t xml:space="preserve"> </w:t>
      </w:r>
      <w:r>
        <w:t>Version 1a</w:t>
      </w:r>
      <w:r>
        <w:rPr>
          <w:bCs/>
        </w:rPr>
        <w:t>;</w:t>
      </w:r>
      <w:r>
        <w:rPr>
          <w:b/>
          <w:bCs/>
        </w:rPr>
        <w:t xml:space="preserve"> </w:t>
      </w:r>
      <w:r>
        <w:t xml:space="preserve">“Local Education Agency Universe Survey,” school year </w:t>
      </w:r>
      <w:r w:rsidR="007F1752">
        <w:t>201</w:t>
      </w:r>
      <w:r w:rsidR="00D46E5F">
        <w:t>3</w:t>
      </w:r>
      <w:r>
        <w:t>–</w:t>
      </w:r>
      <w:r w:rsidR="007F1752">
        <w:t>1</w:t>
      </w:r>
      <w:r w:rsidR="00D46E5F">
        <w:t>4</w:t>
      </w:r>
      <w:r>
        <w:t xml:space="preserve">, </w:t>
      </w:r>
      <w:r w:rsidR="00B42C45">
        <w:t xml:space="preserve">Provisional </w:t>
      </w:r>
      <w:r>
        <w:t xml:space="preserve">Version </w:t>
      </w:r>
      <w:r w:rsidR="00E96F68">
        <w:t>1a</w:t>
      </w:r>
      <w:r>
        <w:t xml:space="preserve">. </w:t>
      </w:r>
    </w:p>
    <w:p w:rsidR="00F30D29" w:rsidRDefault="00F30D29" w:rsidP="00F30D29">
      <w:pPr>
        <w:rPr>
          <w:sz w:val="24"/>
        </w:rPr>
      </w:pPr>
    </w:p>
    <w:p w:rsidR="00EF7182" w:rsidRPr="00D14611" w:rsidRDefault="00EF7182" w:rsidP="00EF7182">
      <w:pPr>
        <w:pStyle w:val="BodyTextIndent"/>
        <w:ind w:left="0"/>
        <w:rPr>
          <w:szCs w:val="24"/>
          <w:u w:val="single"/>
        </w:rPr>
      </w:pPr>
      <w:r w:rsidRPr="00D14611">
        <w:rPr>
          <w:szCs w:val="24"/>
          <w:u w:val="single"/>
        </w:rPr>
        <w:t>Oregon</w:t>
      </w:r>
    </w:p>
    <w:p w:rsidR="00EF7182" w:rsidRPr="00D14611" w:rsidRDefault="00EF7182" w:rsidP="00EF7182">
      <w:pPr>
        <w:ind w:left="720"/>
        <w:rPr>
          <w:sz w:val="24"/>
          <w:szCs w:val="24"/>
        </w:rPr>
      </w:pPr>
      <w:r w:rsidRPr="00D14611">
        <w:rPr>
          <w:b/>
          <w:sz w:val="24"/>
          <w:szCs w:val="24"/>
        </w:rPr>
        <w:t>Fiscal Year:</w:t>
      </w:r>
      <w:r w:rsidRPr="00D14611">
        <w:rPr>
          <w:sz w:val="24"/>
          <w:szCs w:val="24"/>
        </w:rPr>
        <w:t xml:space="preserve"> July 1–June 30</w:t>
      </w:r>
    </w:p>
    <w:p w:rsidR="00E74B2B" w:rsidRDefault="00E74B2B" w:rsidP="00EF7182">
      <w:pPr>
        <w:rPr>
          <w:sz w:val="24"/>
          <w:szCs w:val="24"/>
          <w:u w:val="single"/>
        </w:rPr>
      </w:pPr>
    </w:p>
    <w:p w:rsidR="00EF7182" w:rsidRPr="00D14611" w:rsidRDefault="00EF7182" w:rsidP="00EF7182">
      <w:pPr>
        <w:rPr>
          <w:sz w:val="24"/>
          <w:szCs w:val="24"/>
          <w:u w:val="single"/>
        </w:rPr>
      </w:pPr>
      <w:r w:rsidRPr="00D14611">
        <w:rPr>
          <w:sz w:val="24"/>
          <w:szCs w:val="24"/>
          <w:u w:val="single"/>
        </w:rPr>
        <w:t>Pennsylvania</w:t>
      </w:r>
    </w:p>
    <w:p w:rsidR="00EF7182" w:rsidRDefault="00EF7182" w:rsidP="00EF7182">
      <w:pPr>
        <w:ind w:firstLine="720"/>
        <w:rPr>
          <w:sz w:val="24"/>
          <w:szCs w:val="24"/>
        </w:rPr>
      </w:pPr>
      <w:r w:rsidRPr="00D14611">
        <w:rPr>
          <w:b/>
          <w:sz w:val="24"/>
          <w:szCs w:val="24"/>
        </w:rPr>
        <w:t>Fiscal Year:</w:t>
      </w:r>
      <w:r w:rsidRPr="00D14611">
        <w:rPr>
          <w:sz w:val="24"/>
          <w:szCs w:val="24"/>
        </w:rPr>
        <w:t xml:space="preserve"> July 1–June 30</w:t>
      </w:r>
    </w:p>
    <w:p w:rsidR="00425A38" w:rsidRPr="00D14611" w:rsidRDefault="00425A38" w:rsidP="00425A38">
      <w:pPr>
        <w:ind w:left="720"/>
        <w:rPr>
          <w:b/>
          <w:sz w:val="24"/>
          <w:szCs w:val="24"/>
        </w:rPr>
      </w:pPr>
      <w:r w:rsidRPr="00D14611">
        <w:rPr>
          <w:b/>
          <w:sz w:val="24"/>
          <w:szCs w:val="24"/>
        </w:rPr>
        <w:t xml:space="preserve">Notes: </w:t>
      </w:r>
    </w:p>
    <w:p w:rsidR="00425A38" w:rsidRPr="00844628" w:rsidRDefault="00425A38" w:rsidP="00425A38">
      <w:pPr>
        <w:numPr>
          <w:ilvl w:val="0"/>
          <w:numId w:val="8"/>
        </w:numPr>
        <w:rPr>
          <w:b/>
          <w:sz w:val="24"/>
          <w:szCs w:val="24"/>
        </w:rPr>
      </w:pPr>
      <w:r>
        <w:rPr>
          <w:sz w:val="24"/>
          <w:szCs w:val="24"/>
        </w:rPr>
        <w:t>The state reports financial data for some career and technology centers and other education service agencies within the financial data of the regular school districts they serve. The financial data for these education serv</w:t>
      </w:r>
      <w:r w:rsidR="00E74B2B">
        <w:rPr>
          <w:sz w:val="24"/>
          <w:szCs w:val="24"/>
        </w:rPr>
        <w:t>ice agencies are reported as “-2” (nonapplicable</w:t>
      </w:r>
      <w:r>
        <w:rPr>
          <w:sz w:val="24"/>
          <w:szCs w:val="24"/>
        </w:rPr>
        <w:t xml:space="preserve">) on the F-33 data file.   </w:t>
      </w:r>
    </w:p>
    <w:p w:rsidR="00F25308" w:rsidRPr="00F40F6D" w:rsidRDefault="00F25308" w:rsidP="00F40F6D">
      <w:pPr>
        <w:ind w:left="1080"/>
        <w:rPr>
          <w:b/>
          <w:sz w:val="24"/>
          <w:szCs w:val="24"/>
        </w:rPr>
      </w:pPr>
    </w:p>
    <w:p w:rsidR="00F25308" w:rsidRPr="00F40F6D" w:rsidRDefault="00F25308" w:rsidP="00F40F6D">
      <w:pPr>
        <w:ind w:left="1080"/>
        <w:rPr>
          <w:b/>
          <w:sz w:val="24"/>
          <w:szCs w:val="24"/>
        </w:rPr>
      </w:pPr>
    </w:p>
    <w:p w:rsidR="00FA717E" w:rsidRPr="00F40F6D" w:rsidRDefault="005C1471" w:rsidP="00425A38">
      <w:pPr>
        <w:numPr>
          <w:ilvl w:val="0"/>
          <w:numId w:val="8"/>
        </w:numPr>
        <w:rPr>
          <w:b/>
          <w:sz w:val="24"/>
          <w:szCs w:val="24"/>
        </w:rPr>
      </w:pPr>
      <w:r>
        <w:rPr>
          <w:sz w:val="24"/>
          <w:szCs w:val="24"/>
        </w:rPr>
        <w:t>As of FY 13</w:t>
      </w:r>
      <w:r w:rsidR="00FA717E">
        <w:rPr>
          <w:sz w:val="24"/>
          <w:szCs w:val="24"/>
        </w:rPr>
        <w:t>,</w:t>
      </w:r>
      <w:r w:rsidR="00822037">
        <w:rPr>
          <w:sz w:val="24"/>
          <w:szCs w:val="24"/>
        </w:rPr>
        <w:t xml:space="preserve"> Pennsylvania </w:t>
      </w:r>
      <w:r>
        <w:rPr>
          <w:sz w:val="24"/>
          <w:szCs w:val="24"/>
        </w:rPr>
        <w:t>is</w:t>
      </w:r>
      <w:r w:rsidR="00822037">
        <w:rPr>
          <w:sz w:val="24"/>
          <w:szCs w:val="24"/>
        </w:rPr>
        <w:t xml:space="preserve"> able to report</w:t>
      </w:r>
      <w:r w:rsidR="00FA717E">
        <w:rPr>
          <w:sz w:val="24"/>
          <w:szCs w:val="24"/>
        </w:rPr>
        <w:t xml:space="preserve"> payments to charter schools (V92) </w:t>
      </w:r>
      <w:r w:rsidR="00822037">
        <w:rPr>
          <w:sz w:val="24"/>
          <w:szCs w:val="24"/>
        </w:rPr>
        <w:t xml:space="preserve">separately. </w:t>
      </w:r>
      <w:r>
        <w:rPr>
          <w:sz w:val="24"/>
          <w:szCs w:val="24"/>
        </w:rPr>
        <w:t xml:space="preserve">This may result in a relative decrease </w:t>
      </w:r>
      <w:r w:rsidR="00186646">
        <w:rPr>
          <w:sz w:val="24"/>
          <w:szCs w:val="24"/>
        </w:rPr>
        <w:t xml:space="preserve">in total instruction (E13), total current expenditure (TCURELSC), and total expenditure (TOTALEXP) per pupil amounts as these amounts were not reported in previous years. </w:t>
      </w:r>
    </w:p>
    <w:p w:rsidR="00F25308" w:rsidRPr="00D14611" w:rsidRDefault="00F25308" w:rsidP="00F40F6D">
      <w:pPr>
        <w:ind w:left="1080"/>
        <w:rPr>
          <w:b/>
          <w:sz w:val="24"/>
          <w:szCs w:val="24"/>
        </w:rPr>
      </w:pPr>
    </w:p>
    <w:p w:rsidR="00EF7182" w:rsidRPr="00D14611" w:rsidRDefault="00EF7182" w:rsidP="00EF7182">
      <w:pPr>
        <w:rPr>
          <w:sz w:val="24"/>
          <w:szCs w:val="24"/>
          <w:u w:val="single"/>
        </w:rPr>
      </w:pPr>
      <w:r w:rsidRPr="00D14611">
        <w:rPr>
          <w:sz w:val="24"/>
          <w:szCs w:val="24"/>
          <w:u w:val="single"/>
        </w:rPr>
        <w:t>Rhode Island</w:t>
      </w:r>
    </w:p>
    <w:p w:rsidR="00EF7182" w:rsidRPr="00D14611" w:rsidRDefault="00EF7182" w:rsidP="00EF7182">
      <w:pPr>
        <w:ind w:left="720"/>
        <w:rPr>
          <w:b/>
          <w:sz w:val="24"/>
          <w:szCs w:val="24"/>
        </w:rPr>
      </w:pPr>
      <w:r w:rsidRPr="00D14611">
        <w:rPr>
          <w:b/>
          <w:sz w:val="24"/>
          <w:szCs w:val="24"/>
        </w:rPr>
        <w:t xml:space="preserve">Fiscal Year: </w:t>
      </w:r>
      <w:r w:rsidRPr="00D14611">
        <w:rPr>
          <w:sz w:val="24"/>
          <w:szCs w:val="24"/>
        </w:rPr>
        <w:t>July 1–June 30</w:t>
      </w:r>
    </w:p>
    <w:p w:rsidR="00EF7182" w:rsidRPr="00D14611" w:rsidRDefault="00EF7182" w:rsidP="00EF7182">
      <w:pPr>
        <w:ind w:left="720"/>
        <w:rPr>
          <w:b/>
          <w:sz w:val="24"/>
          <w:szCs w:val="24"/>
        </w:rPr>
      </w:pPr>
      <w:r w:rsidRPr="00D14611">
        <w:rPr>
          <w:b/>
          <w:sz w:val="24"/>
          <w:szCs w:val="24"/>
        </w:rPr>
        <w:t xml:space="preserve">Notes: </w:t>
      </w:r>
    </w:p>
    <w:p w:rsidR="00EF7182" w:rsidRPr="00D14611" w:rsidRDefault="009C6D19" w:rsidP="00EF7182">
      <w:pPr>
        <w:numPr>
          <w:ilvl w:val="0"/>
          <w:numId w:val="11"/>
        </w:numPr>
        <w:rPr>
          <w:sz w:val="24"/>
          <w:szCs w:val="24"/>
        </w:rPr>
      </w:pPr>
      <w:bookmarkStart w:id="1" w:name="OLE_LINK1"/>
      <w:r>
        <w:rPr>
          <w:sz w:val="24"/>
          <w:szCs w:val="24"/>
        </w:rPr>
        <w:t xml:space="preserve">The state reported State Payments on Behalf of the Local Education Agency data. </w:t>
      </w:r>
      <w:r w:rsidR="00A5090F">
        <w:rPr>
          <w:sz w:val="24"/>
          <w:szCs w:val="24"/>
        </w:rPr>
        <w:t>The Census Bureau redistributed these data to the corresponding expenditure items for the state.</w:t>
      </w:r>
    </w:p>
    <w:bookmarkEnd w:id="1"/>
    <w:p w:rsidR="00EF7182" w:rsidRDefault="00EF7182" w:rsidP="00B07E88">
      <w:pPr>
        <w:rPr>
          <w:sz w:val="24"/>
        </w:rPr>
      </w:pPr>
    </w:p>
    <w:p w:rsidR="00EF7182" w:rsidRPr="00D14611" w:rsidRDefault="00EF7182" w:rsidP="00EF7182">
      <w:pPr>
        <w:rPr>
          <w:sz w:val="24"/>
          <w:szCs w:val="24"/>
          <w:u w:val="single"/>
        </w:rPr>
      </w:pPr>
      <w:r w:rsidRPr="00D14611">
        <w:rPr>
          <w:sz w:val="24"/>
          <w:szCs w:val="24"/>
          <w:u w:val="single"/>
        </w:rPr>
        <w:t>South Carolina</w:t>
      </w:r>
    </w:p>
    <w:p w:rsidR="00EF7182" w:rsidRPr="00D14611" w:rsidRDefault="00EF7182" w:rsidP="00EF7182">
      <w:pPr>
        <w:ind w:left="720"/>
        <w:rPr>
          <w:b/>
          <w:sz w:val="24"/>
          <w:szCs w:val="24"/>
        </w:rPr>
      </w:pPr>
      <w:r w:rsidRPr="00D14611">
        <w:rPr>
          <w:b/>
          <w:sz w:val="24"/>
          <w:szCs w:val="24"/>
        </w:rPr>
        <w:t xml:space="preserve">Fiscal Year: </w:t>
      </w:r>
      <w:r w:rsidRPr="00D14611">
        <w:rPr>
          <w:sz w:val="24"/>
          <w:szCs w:val="24"/>
        </w:rPr>
        <w:t>July 1–June 30</w:t>
      </w:r>
    </w:p>
    <w:p w:rsidR="00EF7182" w:rsidRPr="00D14611" w:rsidRDefault="00EF7182" w:rsidP="00EF7182">
      <w:pPr>
        <w:ind w:left="720"/>
        <w:rPr>
          <w:b/>
          <w:sz w:val="24"/>
          <w:szCs w:val="24"/>
        </w:rPr>
      </w:pPr>
      <w:r w:rsidRPr="00D14611">
        <w:rPr>
          <w:b/>
          <w:sz w:val="24"/>
          <w:szCs w:val="24"/>
        </w:rPr>
        <w:t xml:space="preserve">Notes: </w:t>
      </w:r>
    </w:p>
    <w:p w:rsidR="00EF7182" w:rsidRPr="00D14611" w:rsidRDefault="009C6D19" w:rsidP="00EF7182">
      <w:pPr>
        <w:numPr>
          <w:ilvl w:val="0"/>
          <w:numId w:val="11"/>
        </w:numPr>
        <w:rPr>
          <w:sz w:val="24"/>
          <w:szCs w:val="24"/>
        </w:rPr>
      </w:pPr>
      <w:r>
        <w:rPr>
          <w:sz w:val="24"/>
          <w:szCs w:val="24"/>
        </w:rPr>
        <w:t xml:space="preserve">The state reported State Payments on Behalf of the Local Education Agency data. </w:t>
      </w:r>
      <w:r w:rsidR="00A5090F">
        <w:rPr>
          <w:sz w:val="24"/>
          <w:szCs w:val="24"/>
        </w:rPr>
        <w:t>The Census Bureau redistributed these data to the corresponding expenditure items for the state.</w:t>
      </w:r>
    </w:p>
    <w:p w:rsidR="00A5090F" w:rsidRDefault="00A5090F" w:rsidP="000B4A06">
      <w:pPr>
        <w:ind w:left="990" w:hanging="990"/>
        <w:rPr>
          <w:sz w:val="24"/>
        </w:rPr>
      </w:pPr>
    </w:p>
    <w:p w:rsidR="00AD3FFC" w:rsidRPr="00D14611" w:rsidRDefault="00AD3FFC">
      <w:pPr>
        <w:rPr>
          <w:sz w:val="24"/>
          <w:szCs w:val="24"/>
          <w:u w:val="single"/>
        </w:rPr>
      </w:pPr>
      <w:r w:rsidRPr="00D14611">
        <w:rPr>
          <w:sz w:val="24"/>
          <w:szCs w:val="24"/>
          <w:u w:val="single"/>
        </w:rPr>
        <w:t>South Dakota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Default="00360CDF">
      <w:pPr>
        <w:numPr>
          <w:ilvl w:val="0"/>
          <w:numId w:val="11"/>
        </w:numPr>
        <w:rPr>
          <w:sz w:val="24"/>
          <w:szCs w:val="24"/>
        </w:rPr>
      </w:pPr>
      <w:r>
        <w:rPr>
          <w:sz w:val="24"/>
          <w:szCs w:val="24"/>
        </w:rPr>
        <w:t>The state reported c</w:t>
      </w:r>
      <w:r w:rsidR="00AD3FFC" w:rsidRPr="00D14611">
        <w:rPr>
          <w:sz w:val="24"/>
          <w:szCs w:val="24"/>
        </w:rPr>
        <w:t>apital outlay payments for land and existing structures (G15) under construction (F12).</w:t>
      </w:r>
    </w:p>
    <w:p w:rsidR="00587D36" w:rsidRPr="00587D36" w:rsidRDefault="00587D36" w:rsidP="00587D36">
      <w:pPr>
        <w:numPr>
          <w:ilvl w:val="0"/>
          <w:numId w:val="11"/>
        </w:numPr>
        <w:rPr>
          <w:sz w:val="24"/>
          <w:szCs w:val="24"/>
        </w:rPr>
      </w:pPr>
      <w:r>
        <w:rPr>
          <w:sz w:val="24"/>
          <w:szCs w:val="24"/>
        </w:rPr>
        <w:t>South Dakota school districts do not derive revenues from the sale or rental of textbooks (A11).</w:t>
      </w:r>
    </w:p>
    <w:p w:rsidR="00604651" w:rsidRPr="00604651" w:rsidRDefault="00604651" w:rsidP="00604651">
      <w:pPr>
        <w:numPr>
          <w:ilvl w:val="0"/>
          <w:numId w:val="11"/>
        </w:numPr>
        <w:rPr>
          <w:b/>
          <w:sz w:val="24"/>
          <w:szCs w:val="24"/>
        </w:rPr>
      </w:pPr>
      <w:r>
        <w:rPr>
          <w:sz w:val="24"/>
          <w:szCs w:val="24"/>
        </w:rPr>
        <w:t xml:space="preserve">The state reports financial data for education cooperatives and other education service agencies within the financial data of the regular school districts they serve. The financial data for these education service agencies </w:t>
      </w:r>
      <w:r w:rsidR="00E74B2B">
        <w:rPr>
          <w:sz w:val="24"/>
          <w:szCs w:val="24"/>
        </w:rPr>
        <w:t>are reported as “-2” (nonapplicable</w:t>
      </w:r>
      <w:r>
        <w:rPr>
          <w:sz w:val="24"/>
          <w:szCs w:val="24"/>
        </w:rPr>
        <w:t xml:space="preserve">) on the F-33 data file.   </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Tennessee</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Texas</w:t>
      </w:r>
    </w:p>
    <w:p w:rsidR="00AD3FFC" w:rsidRPr="00D14611" w:rsidRDefault="00AD3FFC">
      <w:pPr>
        <w:ind w:firstLine="720"/>
        <w:rPr>
          <w:b/>
          <w:sz w:val="24"/>
          <w:szCs w:val="24"/>
        </w:rPr>
      </w:pPr>
      <w:r w:rsidRPr="00D14611">
        <w:rPr>
          <w:b/>
          <w:sz w:val="24"/>
          <w:szCs w:val="24"/>
        </w:rPr>
        <w:t xml:space="preserve">Fiscal Year: </w:t>
      </w:r>
      <w:r w:rsidRPr="00D14611">
        <w:rPr>
          <w:sz w:val="24"/>
          <w:szCs w:val="24"/>
        </w:rPr>
        <w:t>September 1–August 31</w:t>
      </w:r>
    </w:p>
    <w:p w:rsidR="00AD3FFC" w:rsidRPr="00D14611" w:rsidRDefault="00AD3FFC">
      <w:pPr>
        <w:ind w:firstLine="720"/>
        <w:rPr>
          <w:b/>
          <w:sz w:val="24"/>
          <w:szCs w:val="24"/>
        </w:rPr>
      </w:pPr>
      <w:r w:rsidRPr="00D14611">
        <w:rPr>
          <w:b/>
          <w:sz w:val="24"/>
          <w:szCs w:val="24"/>
        </w:rPr>
        <w:t>Notes:</w:t>
      </w:r>
    </w:p>
    <w:p w:rsidR="00AD3FFC" w:rsidRDefault="009C6D19">
      <w:pPr>
        <w:numPr>
          <w:ilvl w:val="0"/>
          <w:numId w:val="12"/>
        </w:numPr>
        <w:rPr>
          <w:sz w:val="24"/>
          <w:szCs w:val="24"/>
        </w:rPr>
      </w:pPr>
      <w:r>
        <w:rPr>
          <w:sz w:val="24"/>
          <w:szCs w:val="24"/>
        </w:rPr>
        <w:t xml:space="preserve">The state reported the State Payments on Behalf of the Local Education Agency data. </w:t>
      </w:r>
      <w:r w:rsidR="00360CDF">
        <w:rPr>
          <w:sz w:val="24"/>
          <w:szCs w:val="24"/>
        </w:rPr>
        <w:t>The Census Bureau redistributed these data to the corresponding expenditure items for the state.</w:t>
      </w:r>
    </w:p>
    <w:p w:rsidR="00E74B2B" w:rsidRDefault="00E74B2B">
      <w:pPr>
        <w:rPr>
          <w:sz w:val="24"/>
          <w:szCs w:val="24"/>
          <w:u w:val="single"/>
        </w:rPr>
      </w:pPr>
    </w:p>
    <w:p w:rsidR="00AD3FFC" w:rsidRPr="00D14611" w:rsidRDefault="00AD3FFC">
      <w:pPr>
        <w:rPr>
          <w:sz w:val="24"/>
          <w:szCs w:val="24"/>
          <w:u w:val="single"/>
        </w:rPr>
      </w:pPr>
      <w:r w:rsidRPr="00D14611">
        <w:rPr>
          <w:sz w:val="24"/>
          <w:szCs w:val="24"/>
          <w:u w:val="single"/>
        </w:rPr>
        <w:t>Utah</w:t>
      </w:r>
    </w:p>
    <w:p w:rsidR="00AD3FFC" w:rsidRPr="00D14611" w:rsidRDefault="00AD3FFC">
      <w:pPr>
        <w:ind w:left="720"/>
        <w:rPr>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A21AE" w:rsidRDefault="00AD3FFC" w:rsidP="00F40F6D">
      <w:pPr>
        <w:pStyle w:val="BodyTextIndent2"/>
        <w:numPr>
          <w:ilvl w:val="0"/>
          <w:numId w:val="12"/>
        </w:numPr>
      </w:pPr>
      <w:r w:rsidRPr="00D14611">
        <w:rPr>
          <w:sz w:val="24"/>
          <w:szCs w:val="24"/>
        </w:rPr>
        <w:t xml:space="preserve">Because </w:t>
      </w:r>
      <w:r w:rsidR="00360CDF">
        <w:rPr>
          <w:sz w:val="24"/>
          <w:szCs w:val="24"/>
        </w:rPr>
        <w:t xml:space="preserve">the state cannot isolate </w:t>
      </w:r>
      <w:r w:rsidRPr="00D14611">
        <w:rPr>
          <w:sz w:val="24"/>
          <w:szCs w:val="24"/>
        </w:rPr>
        <w:t>adult education in expenditure data, instruction and support services data may be slightly inflated.</w:t>
      </w:r>
    </w:p>
    <w:p w:rsidR="00AD3FFC" w:rsidRPr="00D14611" w:rsidRDefault="00AD3FFC">
      <w:pPr>
        <w:rPr>
          <w:sz w:val="24"/>
          <w:szCs w:val="24"/>
          <w:u w:val="single"/>
        </w:rPr>
      </w:pPr>
      <w:r w:rsidRPr="00D14611">
        <w:rPr>
          <w:sz w:val="24"/>
          <w:szCs w:val="24"/>
          <w:u w:val="single"/>
        </w:rPr>
        <w:t>Vermont</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AD3FFC" w:rsidRPr="00D14611" w:rsidRDefault="00AD3FFC">
      <w:pPr>
        <w:ind w:firstLine="720"/>
        <w:rPr>
          <w:sz w:val="24"/>
          <w:szCs w:val="24"/>
        </w:rPr>
      </w:pPr>
      <w:r w:rsidRPr="00D14611">
        <w:rPr>
          <w:b/>
          <w:sz w:val="24"/>
          <w:szCs w:val="24"/>
        </w:rPr>
        <w:t>Notes:</w:t>
      </w:r>
    </w:p>
    <w:p w:rsidR="00AD3FFC" w:rsidRDefault="009C6D19">
      <w:pPr>
        <w:numPr>
          <w:ilvl w:val="0"/>
          <w:numId w:val="12"/>
        </w:numPr>
        <w:rPr>
          <w:sz w:val="24"/>
          <w:szCs w:val="24"/>
        </w:rPr>
      </w:pPr>
      <w:r>
        <w:rPr>
          <w:sz w:val="24"/>
          <w:szCs w:val="24"/>
        </w:rPr>
        <w:t xml:space="preserve">The state reported State Payments on Behalf of the Local Education Agency data. </w:t>
      </w:r>
      <w:r w:rsidR="00360CDF">
        <w:rPr>
          <w:sz w:val="24"/>
          <w:szCs w:val="24"/>
        </w:rPr>
        <w:t>The Census Bureau redistributed these data to the corresponding expenditure items for the state.</w:t>
      </w:r>
    </w:p>
    <w:p w:rsidR="004B6FEB" w:rsidRPr="00886770" w:rsidRDefault="004B6FEB" w:rsidP="004B6FEB">
      <w:pPr>
        <w:numPr>
          <w:ilvl w:val="0"/>
          <w:numId w:val="12"/>
        </w:numPr>
        <w:rPr>
          <w:b/>
          <w:sz w:val="24"/>
          <w:szCs w:val="24"/>
        </w:rPr>
      </w:pPr>
      <w:r>
        <w:rPr>
          <w:sz w:val="24"/>
          <w:szCs w:val="24"/>
        </w:rPr>
        <w:t xml:space="preserve">The state reports financial data for </w:t>
      </w:r>
      <w:r w:rsidR="00682D53">
        <w:rPr>
          <w:sz w:val="24"/>
          <w:szCs w:val="24"/>
        </w:rPr>
        <w:t xml:space="preserve">some </w:t>
      </w:r>
      <w:r>
        <w:rPr>
          <w:sz w:val="24"/>
          <w:szCs w:val="24"/>
        </w:rPr>
        <w:t xml:space="preserve">supervisory unions within the financial data of the regular school districts they serve. The financial data for </w:t>
      </w:r>
      <w:r w:rsidR="00682D53">
        <w:rPr>
          <w:sz w:val="24"/>
          <w:szCs w:val="24"/>
        </w:rPr>
        <w:t xml:space="preserve">these </w:t>
      </w:r>
      <w:r>
        <w:rPr>
          <w:sz w:val="24"/>
          <w:szCs w:val="24"/>
        </w:rPr>
        <w:t>supervisory union</w:t>
      </w:r>
      <w:r w:rsidR="001A5F5C">
        <w:rPr>
          <w:sz w:val="24"/>
          <w:szCs w:val="24"/>
        </w:rPr>
        <w:t>s in Vermont are reported as “-2” (nonapplicable</w:t>
      </w:r>
      <w:r>
        <w:rPr>
          <w:sz w:val="24"/>
          <w:szCs w:val="24"/>
        </w:rPr>
        <w:t xml:space="preserve">) on the F-33 data file.   </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Virginia</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811C70" w:rsidRPr="00D14611" w:rsidRDefault="00811C70" w:rsidP="00811C70">
      <w:pPr>
        <w:ind w:firstLine="720"/>
        <w:rPr>
          <w:sz w:val="24"/>
          <w:szCs w:val="24"/>
        </w:rPr>
      </w:pPr>
      <w:r w:rsidRPr="00D14611">
        <w:rPr>
          <w:b/>
          <w:sz w:val="24"/>
          <w:szCs w:val="24"/>
        </w:rPr>
        <w:t>Notes:</w:t>
      </w:r>
    </w:p>
    <w:p w:rsidR="00811C70" w:rsidRPr="00104D6B" w:rsidRDefault="00811C70" w:rsidP="00811C70">
      <w:pPr>
        <w:numPr>
          <w:ilvl w:val="0"/>
          <w:numId w:val="13"/>
        </w:numPr>
        <w:rPr>
          <w:b/>
          <w:sz w:val="24"/>
          <w:szCs w:val="24"/>
        </w:rPr>
      </w:pPr>
      <w:r>
        <w:rPr>
          <w:sz w:val="24"/>
          <w:szCs w:val="24"/>
        </w:rPr>
        <w:t>The state reports financial data for vocational-technical centers and other education service agencies within the financial data of the regular school districts they serve. The financial data for these education service agencies are reported as “-2” (nonapplicable) on the F-33 data file.</w:t>
      </w:r>
    </w:p>
    <w:p w:rsidR="00F973FE" w:rsidRPr="00104D6B" w:rsidRDefault="00F973FE" w:rsidP="00F973FE">
      <w:pPr>
        <w:numPr>
          <w:ilvl w:val="0"/>
          <w:numId w:val="13"/>
        </w:numPr>
        <w:rPr>
          <w:sz w:val="24"/>
          <w:szCs w:val="24"/>
        </w:rPr>
      </w:pPr>
      <w:r>
        <w:rPr>
          <w:sz w:val="24"/>
          <w:szCs w:val="24"/>
        </w:rPr>
        <w:t>Virginia school districts do not receive district activity revenues (A13).</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Washington</w:t>
      </w:r>
    </w:p>
    <w:p w:rsidR="00AD3FFC" w:rsidRDefault="00AD3FFC">
      <w:pPr>
        <w:ind w:firstLine="720"/>
        <w:rPr>
          <w:sz w:val="24"/>
          <w:szCs w:val="24"/>
        </w:rPr>
      </w:pPr>
      <w:r w:rsidRPr="00D14611">
        <w:rPr>
          <w:b/>
          <w:sz w:val="24"/>
          <w:szCs w:val="24"/>
        </w:rPr>
        <w:t>Fiscal Year:</w:t>
      </w:r>
      <w:r w:rsidRPr="00D14611">
        <w:rPr>
          <w:sz w:val="24"/>
          <w:szCs w:val="24"/>
        </w:rPr>
        <w:t xml:space="preserve"> </w:t>
      </w:r>
      <w:r w:rsidR="00E60A08">
        <w:rPr>
          <w:sz w:val="24"/>
          <w:szCs w:val="24"/>
        </w:rPr>
        <w:t>September</w:t>
      </w:r>
      <w:r w:rsidR="00E60A08" w:rsidRPr="00D14611">
        <w:rPr>
          <w:sz w:val="24"/>
          <w:szCs w:val="24"/>
        </w:rPr>
        <w:t xml:space="preserve"> </w:t>
      </w:r>
      <w:r w:rsidRPr="00D14611">
        <w:rPr>
          <w:sz w:val="24"/>
          <w:szCs w:val="24"/>
        </w:rPr>
        <w:t>1–</w:t>
      </w:r>
      <w:r w:rsidR="00E60A08">
        <w:rPr>
          <w:sz w:val="24"/>
          <w:szCs w:val="24"/>
        </w:rPr>
        <w:t>August</w:t>
      </w:r>
      <w:r w:rsidR="00E60A08" w:rsidRPr="00D14611">
        <w:rPr>
          <w:sz w:val="24"/>
          <w:szCs w:val="24"/>
        </w:rPr>
        <w:t xml:space="preserve"> </w:t>
      </w:r>
      <w:r w:rsidR="00B542BC" w:rsidRPr="00D14611">
        <w:rPr>
          <w:sz w:val="24"/>
          <w:szCs w:val="24"/>
        </w:rPr>
        <w:t>3</w:t>
      </w:r>
      <w:r w:rsidR="00B542BC">
        <w:rPr>
          <w:sz w:val="24"/>
          <w:szCs w:val="24"/>
        </w:rPr>
        <w:t>1</w:t>
      </w:r>
    </w:p>
    <w:p w:rsidR="00295031" w:rsidRPr="00104D6B" w:rsidRDefault="00295031" w:rsidP="00104D6B">
      <w:pPr>
        <w:ind w:left="1080"/>
        <w:rPr>
          <w:b/>
          <w:sz w:val="24"/>
          <w:szCs w:val="24"/>
        </w:rPr>
      </w:pPr>
    </w:p>
    <w:p w:rsidR="00AD3FFC" w:rsidRPr="00D14611" w:rsidRDefault="00AD3FFC">
      <w:pPr>
        <w:rPr>
          <w:sz w:val="24"/>
          <w:szCs w:val="24"/>
          <w:u w:val="single"/>
        </w:rPr>
      </w:pPr>
      <w:r w:rsidRPr="00D14611">
        <w:rPr>
          <w:sz w:val="24"/>
          <w:szCs w:val="24"/>
          <w:u w:val="single"/>
        </w:rPr>
        <w:t>West Virginia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rPr>
          <w:sz w:val="24"/>
          <w:szCs w:val="24"/>
        </w:rPr>
      </w:pPr>
      <w:r w:rsidRPr="00D14611">
        <w:rPr>
          <w:b/>
          <w:sz w:val="24"/>
          <w:szCs w:val="24"/>
        </w:rPr>
        <w:tab/>
        <w:t>Notes:</w:t>
      </w:r>
    </w:p>
    <w:p w:rsidR="00AD3FFC" w:rsidRPr="00CD3F69" w:rsidRDefault="009C6D19" w:rsidP="00EB01E2">
      <w:pPr>
        <w:ind w:left="1080"/>
        <w:rPr>
          <w:sz w:val="24"/>
          <w:szCs w:val="24"/>
        </w:rPr>
      </w:pPr>
      <w:r>
        <w:rPr>
          <w:sz w:val="24"/>
          <w:szCs w:val="24"/>
        </w:rPr>
        <w:t xml:space="preserve">The state reported State Payments on Behalf of the Local Education Agency data. </w:t>
      </w:r>
      <w:r w:rsidR="00360CDF">
        <w:rPr>
          <w:sz w:val="24"/>
          <w:szCs w:val="24"/>
        </w:rPr>
        <w:t>The Census Bureau redistributed these data to the corresponding expenditure items for the state.</w:t>
      </w:r>
    </w:p>
    <w:p w:rsidR="00AA21AE" w:rsidRDefault="00AA21AE">
      <w:pPr>
        <w:rPr>
          <w:sz w:val="24"/>
          <w:szCs w:val="24"/>
          <w:u w:val="single"/>
        </w:rPr>
      </w:pPr>
    </w:p>
    <w:p w:rsidR="00AD3FFC" w:rsidRPr="00D14611" w:rsidRDefault="00AD3FFC">
      <w:pPr>
        <w:rPr>
          <w:sz w:val="24"/>
          <w:szCs w:val="24"/>
          <w:u w:val="single"/>
        </w:rPr>
      </w:pPr>
      <w:r w:rsidRPr="00D14611">
        <w:rPr>
          <w:sz w:val="24"/>
          <w:szCs w:val="24"/>
          <w:u w:val="single"/>
        </w:rPr>
        <w:t>Wisconsin</w:t>
      </w:r>
    </w:p>
    <w:p w:rsidR="00AD3FFC" w:rsidRPr="00D14611" w:rsidRDefault="00AD3FFC">
      <w:pPr>
        <w:rPr>
          <w:b/>
          <w:sz w:val="24"/>
          <w:szCs w:val="24"/>
        </w:rPr>
      </w:pPr>
      <w:r w:rsidRPr="00D14611">
        <w:rPr>
          <w:b/>
          <w:sz w:val="24"/>
          <w:szCs w:val="24"/>
        </w:rPr>
        <w:tab/>
        <w:t xml:space="preserve">Fiscal Year: </w:t>
      </w:r>
      <w:r w:rsidRPr="00D14611">
        <w:rPr>
          <w:sz w:val="24"/>
          <w:szCs w:val="24"/>
        </w:rPr>
        <w:t>July 1–June 30</w:t>
      </w:r>
    </w:p>
    <w:p w:rsidR="00AD3FFC" w:rsidRPr="00D14611" w:rsidRDefault="00AD3FFC">
      <w:pPr>
        <w:rPr>
          <w:b/>
          <w:sz w:val="24"/>
          <w:szCs w:val="24"/>
        </w:rPr>
      </w:pPr>
      <w:r w:rsidRPr="00D14611">
        <w:rPr>
          <w:b/>
          <w:sz w:val="24"/>
          <w:szCs w:val="24"/>
        </w:rPr>
        <w:tab/>
        <w:t>Notes:</w:t>
      </w:r>
    </w:p>
    <w:p w:rsidR="001E5A2E" w:rsidRPr="001E5A2E" w:rsidRDefault="003D5D50" w:rsidP="00EB01E2">
      <w:pPr>
        <w:numPr>
          <w:ilvl w:val="0"/>
          <w:numId w:val="12"/>
        </w:numPr>
        <w:rPr>
          <w:b/>
          <w:sz w:val="24"/>
          <w:szCs w:val="24"/>
        </w:rPr>
      </w:pPr>
      <w:r>
        <w:rPr>
          <w:sz w:val="24"/>
          <w:szCs w:val="24"/>
        </w:rPr>
        <w:t xml:space="preserve">The state does not report financial data for charter school LEAs. The financial data for charter school LEAs in Wisconsin are reported as “-1” (missing) on the F-33 data file.   </w:t>
      </w:r>
    </w:p>
    <w:p w:rsidR="004B5F41" w:rsidRPr="004B5F41" w:rsidRDefault="004B5F41" w:rsidP="004B5F41">
      <w:pPr>
        <w:numPr>
          <w:ilvl w:val="0"/>
          <w:numId w:val="12"/>
        </w:numPr>
        <w:rPr>
          <w:b/>
          <w:sz w:val="24"/>
          <w:szCs w:val="24"/>
        </w:rPr>
      </w:pPr>
      <w:r>
        <w:rPr>
          <w:sz w:val="24"/>
          <w:szCs w:val="24"/>
        </w:rPr>
        <w:t>The state reports financial data for education cooperatives and other education service agencies within the financial data of the regular school districts they serve. The financial data for these education serv</w:t>
      </w:r>
      <w:r w:rsidR="00811C70">
        <w:rPr>
          <w:sz w:val="24"/>
          <w:szCs w:val="24"/>
        </w:rPr>
        <w:t>ice agencies are reported as “-2” (nonapplicable</w:t>
      </w:r>
      <w:r>
        <w:rPr>
          <w:sz w:val="24"/>
          <w:szCs w:val="24"/>
        </w:rPr>
        <w:t xml:space="preserve">) on the F-33 data file.   </w:t>
      </w:r>
    </w:p>
    <w:p w:rsidR="00AD3FFC" w:rsidRDefault="00AD3FFC">
      <w:pPr>
        <w:pStyle w:val="BodyTextIndent2"/>
        <w:numPr>
          <w:ilvl w:val="0"/>
          <w:numId w:val="12"/>
        </w:numPr>
        <w:rPr>
          <w:sz w:val="24"/>
          <w:szCs w:val="24"/>
        </w:rPr>
      </w:pPr>
      <w:r w:rsidRPr="00D14611">
        <w:rPr>
          <w:sz w:val="24"/>
          <w:szCs w:val="24"/>
        </w:rPr>
        <w:t>Because adult education cannot be isolated in expenditure data, instruction and support services data may be slightly inflated.</w:t>
      </w:r>
    </w:p>
    <w:p w:rsidR="00D92B29" w:rsidRPr="00D14611" w:rsidRDefault="00DF6DDF" w:rsidP="00D92B29">
      <w:pPr>
        <w:numPr>
          <w:ilvl w:val="0"/>
          <w:numId w:val="12"/>
        </w:numPr>
        <w:rPr>
          <w:sz w:val="24"/>
          <w:szCs w:val="24"/>
        </w:rPr>
      </w:pPr>
      <w:r>
        <w:rPr>
          <w:sz w:val="24"/>
          <w:szCs w:val="24"/>
        </w:rPr>
        <w:t>Wisconsin reported revenues from the state’s School Levy Tax Credit property tax relief program</w:t>
      </w:r>
      <w:r w:rsidR="00D92B29" w:rsidRPr="00D14611">
        <w:rPr>
          <w:sz w:val="24"/>
          <w:szCs w:val="24"/>
        </w:rPr>
        <w:t xml:space="preserve"> </w:t>
      </w:r>
      <w:r w:rsidR="00D92B29">
        <w:rPr>
          <w:sz w:val="24"/>
          <w:szCs w:val="24"/>
        </w:rPr>
        <w:t>as NCES Local Revenue, Census State R</w:t>
      </w:r>
      <w:r w:rsidR="00D92B29" w:rsidRPr="00D14611">
        <w:rPr>
          <w:sz w:val="24"/>
          <w:szCs w:val="24"/>
        </w:rPr>
        <w:t xml:space="preserve">evenue (C24) and included </w:t>
      </w:r>
      <w:r w:rsidR="00D92B29">
        <w:rPr>
          <w:sz w:val="24"/>
          <w:szCs w:val="24"/>
        </w:rPr>
        <w:t xml:space="preserve">them </w:t>
      </w:r>
      <w:r w:rsidR="00D92B29" w:rsidRPr="00D14611">
        <w:rPr>
          <w:sz w:val="24"/>
          <w:szCs w:val="24"/>
        </w:rPr>
        <w:t>in the local revenue subtotal</w:t>
      </w:r>
      <w:r w:rsidR="00D92B29">
        <w:rPr>
          <w:sz w:val="24"/>
          <w:szCs w:val="24"/>
        </w:rPr>
        <w:t xml:space="preserve"> (TLOCREV)</w:t>
      </w:r>
      <w:r w:rsidR="00D92B29" w:rsidRPr="00D14611">
        <w:rPr>
          <w:sz w:val="24"/>
          <w:szCs w:val="24"/>
        </w:rPr>
        <w:t xml:space="preserve">. </w:t>
      </w:r>
    </w:p>
    <w:p w:rsidR="00D92B29" w:rsidRDefault="00D92B29" w:rsidP="0080561E">
      <w:pPr>
        <w:pStyle w:val="BodyTextIndent2"/>
        <w:rPr>
          <w:sz w:val="24"/>
          <w:szCs w:val="24"/>
        </w:rPr>
      </w:pPr>
    </w:p>
    <w:p w:rsidR="00683DD0" w:rsidRDefault="00683DD0">
      <w:pPr>
        <w:rPr>
          <w:sz w:val="24"/>
          <w:szCs w:val="24"/>
          <w:u w:val="single"/>
        </w:rPr>
      </w:pPr>
    </w:p>
    <w:p w:rsidR="00AD3FFC" w:rsidRPr="00D14611" w:rsidRDefault="00AD3FFC">
      <w:pPr>
        <w:rPr>
          <w:sz w:val="24"/>
          <w:szCs w:val="24"/>
          <w:u w:val="single"/>
        </w:rPr>
      </w:pPr>
      <w:r w:rsidRPr="00D14611">
        <w:rPr>
          <w:sz w:val="24"/>
          <w:szCs w:val="24"/>
          <w:u w:val="single"/>
        </w:rPr>
        <w:t>Wyoming</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811C70" w:rsidRPr="00D14611" w:rsidRDefault="00811C70" w:rsidP="00811C70">
      <w:pPr>
        <w:pStyle w:val="BodyTextIndent2"/>
        <w:numPr>
          <w:ilvl w:val="0"/>
          <w:numId w:val="12"/>
        </w:numPr>
        <w:rPr>
          <w:sz w:val="24"/>
          <w:szCs w:val="24"/>
        </w:rPr>
      </w:pPr>
      <w:r>
        <w:rPr>
          <w:sz w:val="24"/>
          <w:szCs w:val="24"/>
        </w:rPr>
        <w:t>Because the state does not report prekindergarten fiscal data, prekindergarten enrollments were subtracted from the enrollments (V33, MEMBERSCH) reported on the F-33 data file to make those enrollments consistent with the reported fiscal data.</w:t>
      </w:r>
    </w:p>
    <w:p w:rsidR="00AD3FFC" w:rsidRPr="00D14611" w:rsidRDefault="00AD3FFC">
      <w:pPr>
        <w:pStyle w:val="FootnoteText"/>
        <w:rPr>
          <w:sz w:val="24"/>
          <w:szCs w:val="24"/>
        </w:rPr>
      </w:pPr>
    </w:p>
    <w:sectPr w:rsidR="00AD3FFC" w:rsidRPr="00D14611" w:rsidSect="004B6A44">
      <w:headerReference w:type="default" r:id="rId9"/>
      <w:footerReference w:type="default" r:id="rId10"/>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6FF" w:rsidRDefault="002966FF">
      <w:r>
        <w:separator/>
      </w:r>
    </w:p>
  </w:endnote>
  <w:endnote w:type="continuationSeparator" w:id="0">
    <w:p w:rsidR="002966FF" w:rsidRDefault="0029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6FF" w:rsidRPr="001669BF" w:rsidRDefault="002966FF">
    <w:pPr>
      <w:pStyle w:val="Footer"/>
      <w:jc w:val="center"/>
      <w:rPr>
        <w:sz w:val="24"/>
        <w:szCs w:val="24"/>
      </w:rPr>
    </w:pPr>
    <w:r w:rsidRPr="001669BF">
      <w:rPr>
        <w:sz w:val="24"/>
        <w:szCs w:val="24"/>
      </w:rPr>
      <w:t>C-</w:t>
    </w:r>
    <w:r w:rsidRPr="001669BF">
      <w:rPr>
        <w:sz w:val="24"/>
        <w:szCs w:val="24"/>
      </w:rPr>
      <w:fldChar w:fldCharType="begin"/>
    </w:r>
    <w:r w:rsidRPr="001669BF">
      <w:rPr>
        <w:sz w:val="24"/>
        <w:szCs w:val="24"/>
      </w:rPr>
      <w:instrText xml:space="preserve"> PAGE   \* MERGEFORMAT </w:instrText>
    </w:r>
    <w:r w:rsidRPr="001669BF">
      <w:rPr>
        <w:sz w:val="24"/>
        <w:szCs w:val="24"/>
      </w:rPr>
      <w:fldChar w:fldCharType="separate"/>
    </w:r>
    <w:r w:rsidR="008C1B9F">
      <w:rPr>
        <w:noProof/>
        <w:sz w:val="24"/>
        <w:szCs w:val="24"/>
      </w:rPr>
      <w:t>2</w:t>
    </w:r>
    <w:r w:rsidRPr="001669BF">
      <w:rPr>
        <w:sz w:val="24"/>
        <w:szCs w:val="24"/>
      </w:rPr>
      <w:fldChar w:fldCharType="end"/>
    </w:r>
  </w:p>
  <w:p w:rsidR="002966FF" w:rsidRPr="001669BF" w:rsidRDefault="002966FF" w:rsidP="001669BF">
    <w:pPr>
      <w:pStyle w:val="Footer"/>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6FF" w:rsidRDefault="002966FF">
      <w:r>
        <w:separator/>
      </w:r>
    </w:p>
  </w:footnote>
  <w:footnote w:type="continuationSeparator" w:id="0">
    <w:p w:rsidR="002966FF" w:rsidRDefault="002966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6FF" w:rsidRDefault="002966FF">
    <w:pPr>
      <w:pStyle w:val="Header"/>
      <w:framePr w:wrap="around" w:vAnchor="text" w:hAnchor="margin" w:xAlign="right" w:y="1"/>
      <w:rPr>
        <w:rStyle w:val="PageNumber"/>
      </w:rPr>
    </w:pPr>
  </w:p>
  <w:p w:rsidR="002966FF" w:rsidRPr="001669BF" w:rsidRDefault="002966FF" w:rsidP="001669BF">
    <w:pPr>
      <w:pStyle w:val="Header"/>
      <w:ind w:right="360"/>
      <w:jc w:val="center"/>
      <w:rPr>
        <w:sz w:val="28"/>
      </w:rPr>
    </w:pPr>
    <w:r>
      <w:rPr>
        <w:sz w:val="28"/>
      </w:rPr>
      <w:t>Appendix C—State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C4ACF"/>
    <w:multiLevelType w:val="hybridMultilevel"/>
    <w:tmpl w:val="54E2D9F6"/>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C1499D"/>
    <w:multiLevelType w:val="hybridMultilevel"/>
    <w:tmpl w:val="BC4AFEA8"/>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226035"/>
    <w:multiLevelType w:val="hybridMultilevel"/>
    <w:tmpl w:val="4C8050CA"/>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7E6C3A"/>
    <w:multiLevelType w:val="hybridMultilevel"/>
    <w:tmpl w:val="3C88A962"/>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D57D37"/>
    <w:multiLevelType w:val="hybridMultilevel"/>
    <w:tmpl w:val="A09E6916"/>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D642AD"/>
    <w:multiLevelType w:val="hybridMultilevel"/>
    <w:tmpl w:val="39F831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6D813FE"/>
    <w:multiLevelType w:val="hybridMultilevel"/>
    <w:tmpl w:val="3B1E4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AA0206"/>
    <w:multiLevelType w:val="hybridMultilevel"/>
    <w:tmpl w:val="D6AC2746"/>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DD217A"/>
    <w:multiLevelType w:val="hybridMultilevel"/>
    <w:tmpl w:val="D7184C58"/>
    <w:lvl w:ilvl="0" w:tplc="0C5476BA">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936"/>
        </w:tabs>
        <w:ind w:left="936" w:hanging="360"/>
      </w:pPr>
      <w:rPr>
        <w:rFonts w:ascii="Courier New" w:hAnsi="Courier New" w:cs="Courier New"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Courier New"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Courier New"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9">
    <w:nsid w:val="6CA71A24"/>
    <w:multiLevelType w:val="hybridMultilevel"/>
    <w:tmpl w:val="186E7956"/>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F57341A"/>
    <w:multiLevelType w:val="hybridMultilevel"/>
    <w:tmpl w:val="27CC30DC"/>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FD20BB0"/>
    <w:multiLevelType w:val="hybridMultilevel"/>
    <w:tmpl w:val="7C927460"/>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1A34ADA"/>
    <w:multiLevelType w:val="hybridMultilevel"/>
    <w:tmpl w:val="859E9B42"/>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B624ED"/>
    <w:multiLevelType w:val="hybridMultilevel"/>
    <w:tmpl w:val="86ECB698"/>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CFE63BF"/>
    <w:multiLevelType w:val="hybridMultilevel"/>
    <w:tmpl w:val="B0AC27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
  </w:num>
  <w:num w:numId="3">
    <w:abstractNumId w:val="12"/>
  </w:num>
  <w:num w:numId="4">
    <w:abstractNumId w:val="10"/>
  </w:num>
  <w:num w:numId="5">
    <w:abstractNumId w:val="9"/>
  </w:num>
  <w:num w:numId="6">
    <w:abstractNumId w:val="1"/>
  </w:num>
  <w:num w:numId="7">
    <w:abstractNumId w:val="13"/>
  </w:num>
  <w:num w:numId="8">
    <w:abstractNumId w:val="4"/>
  </w:num>
  <w:num w:numId="9">
    <w:abstractNumId w:val="11"/>
  </w:num>
  <w:num w:numId="10">
    <w:abstractNumId w:val="0"/>
  </w:num>
  <w:num w:numId="11">
    <w:abstractNumId w:val="3"/>
  </w:num>
  <w:num w:numId="12">
    <w:abstractNumId w:val="7"/>
  </w:num>
  <w:num w:numId="13">
    <w:abstractNumId w:val="5"/>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768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C8"/>
    <w:rsid w:val="0001204B"/>
    <w:rsid w:val="00023129"/>
    <w:rsid w:val="0002564B"/>
    <w:rsid w:val="00030715"/>
    <w:rsid w:val="0003430F"/>
    <w:rsid w:val="00034EF3"/>
    <w:rsid w:val="000374BB"/>
    <w:rsid w:val="00045595"/>
    <w:rsid w:val="000603F4"/>
    <w:rsid w:val="0006339F"/>
    <w:rsid w:val="0006782E"/>
    <w:rsid w:val="00072861"/>
    <w:rsid w:val="000860B6"/>
    <w:rsid w:val="000B4A06"/>
    <w:rsid w:val="000C3ED4"/>
    <w:rsid w:val="000E2172"/>
    <w:rsid w:val="000E3F81"/>
    <w:rsid w:val="000E4F2A"/>
    <w:rsid w:val="001033E5"/>
    <w:rsid w:val="001040F4"/>
    <w:rsid w:val="00104D6B"/>
    <w:rsid w:val="0010759D"/>
    <w:rsid w:val="0010786F"/>
    <w:rsid w:val="001105E3"/>
    <w:rsid w:val="00114DBE"/>
    <w:rsid w:val="00115B0A"/>
    <w:rsid w:val="00135DFE"/>
    <w:rsid w:val="00146DBD"/>
    <w:rsid w:val="00153649"/>
    <w:rsid w:val="00154641"/>
    <w:rsid w:val="00156099"/>
    <w:rsid w:val="001669BF"/>
    <w:rsid w:val="001713FE"/>
    <w:rsid w:val="00177532"/>
    <w:rsid w:val="00177C05"/>
    <w:rsid w:val="00185C9F"/>
    <w:rsid w:val="00186646"/>
    <w:rsid w:val="00191059"/>
    <w:rsid w:val="0019794E"/>
    <w:rsid w:val="001A536B"/>
    <w:rsid w:val="001A5F5C"/>
    <w:rsid w:val="001B0014"/>
    <w:rsid w:val="001C780A"/>
    <w:rsid w:val="001D1D43"/>
    <w:rsid w:val="001E3D69"/>
    <w:rsid w:val="001E5A2E"/>
    <w:rsid w:val="001F0FD8"/>
    <w:rsid w:val="00204204"/>
    <w:rsid w:val="00206C35"/>
    <w:rsid w:val="00207B3C"/>
    <w:rsid w:val="00210A51"/>
    <w:rsid w:val="00216F65"/>
    <w:rsid w:val="00227666"/>
    <w:rsid w:val="00227C42"/>
    <w:rsid w:val="00232094"/>
    <w:rsid w:val="00237857"/>
    <w:rsid w:val="002448A2"/>
    <w:rsid w:val="00246C37"/>
    <w:rsid w:val="00252CF8"/>
    <w:rsid w:val="00262ED2"/>
    <w:rsid w:val="00273BC2"/>
    <w:rsid w:val="00276449"/>
    <w:rsid w:val="00280646"/>
    <w:rsid w:val="002946C7"/>
    <w:rsid w:val="00295031"/>
    <w:rsid w:val="002966FF"/>
    <w:rsid w:val="002A7D30"/>
    <w:rsid w:val="002B1CDE"/>
    <w:rsid w:val="002B39DB"/>
    <w:rsid w:val="002B53BF"/>
    <w:rsid w:val="002C0501"/>
    <w:rsid w:val="002C6A27"/>
    <w:rsid w:val="002D21BB"/>
    <w:rsid w:val="002D42CF"/>
    <w:rsid w:val="002E008E"/>
    <w:rsid w:val="002E69E5"/>
    <w:rsid w:val="002F4946"/>
    <w:rsid w:val="002F5837"/>
    <w:rsid w:val="00302E65"/>
    <w:rsid w:val="00307048"/>
    <w:rsid w:val="00314DE7"/>
    <w:rsid w:val="003354EE"/>
    <w:rsid w:val="00336A3C"/>
    <w:rsid w:val="003378DD"/>
    <w:rsid w:val="00337E12"/>
    <w:rsid w:val="003419CE"/>
    <w:rsid w:val="00342688"/>
    <w:rsid w:val="00346371"/>
    <w:rsid w:val="003576AF"/>
    <w:rsid w:val="00360CDF"/>
    <w:rsid w:val="003643FD"/>
    <w:rsid w:val="003647EC"/>
    <w:rsid w:val="0036649D"/>
    <w:rsid w:val="003672CA"/>
    <w:rsid w:val="0037073B"/>
    <w:rsid w:val="0037161F"/>
    <w:rsid w:val="003719DF"/>
    <w:rsid w:val="0038340E"/>
    <w:rsid w:val="00386A2E"/>
    <w:rsid w:val="00390C6B"/>
    <w:rsid w:val="003A1FFE"/>
    <w:rsid w:val="003B5F3C"/>
    <w:rsid w:val="003C15BF"/>
    <w:rsid w:val="003C4C69"/>
    <w:rsid w:val="003D29B1"/>
    <w:rsid w:val="003D5D50"/>
    <w:rsid w:val="003D7C58"/>
    <w:rsid w:val="003E048D"/>
    <w:rsid w:val="0041610F"/>
    <w:rsid w:val="00416180"/>
    <w:rsid w:val="0042002C"/>
    <w:rsid w:val="004237C1"/>
    <w:rsid w:val="00424303"/>
    <w:rsid w:val="00425A38"/>
    <w:rsid w:val="00437066"/>
    <w:rsid w:val="00440071"/>
    <w:rsid w:val="004408EC"/>
    <w:rsid w:val="0044105F"/>
    <w:rsid w:val="0045136D"/>
    <w:rsid w:val="004560CD"/>
    <w:rsid w:val="00457B1A"/>
    <w:rsid w:val="0046108A"/>
    <w:rsid w:val="004773B4"/>
    <w:rsid w:val="00480F80"/>
    <w:rsid w:val="00482290"/>
    <w:rsid w:val="00483321"/>
    <w:rsid w:val="0048598E"/>
    <w:rsid w:val="004A32B0"/>
    <w:rsid w:val="004A34D6"/>
    <w:rsid w:val="004A3AA6"/>
    <w:rsid w:val="004B4AA8"/>
    <w:rsid w:val="004B5F41"/>
    <w:rsid w:val="004B6A44"/>
    <w:rsid w:val="004B6FEB"/>
    <w:rsid w:val="004D6576"/>
    <w:rsid w:val="004E2305"/>
    <w:rsid w:val="004E6482"/>
    <w:rsid w:val="004E6FC6"/>
    <w:rsid w:val="004F5528"/>
    <w:rsid w:val="004F6699"/>
    <w:rsid w:val="00541C95"/>
    <w:rsid w:val="005423AB"/>
    <w:rsid w:val="00561050"/>
    <w:rsid w:val="00565E6F"/>
    <w:rsid w:val="00574998"/>
    <w:rsid w:val="00577F1E"/>
    <w:rsid w:val="00584B9F"/>
    <w:rsid w:val="00587D36"/>
    <w:rsid w:val="005945DA"/>
    <w:rsid w:val="00597CFE"/>
    <w:rsid w:val="005A2445"/>
    <w:rsid w:val="005B7607"/>
    <w:rsid w:val="005B7CDE"/>
    <w:rsid w:val="005C1471"/>
    <w:rsid w:val="005C309B"/>
    <w:rsid w:val="005D018B"/>
    <w:rsid w:val="005D7A8F"/>
    <w:rsid w:val="005E4755"/>
    <w:rsid w:val="005E6588"/>
    <w:rsid w:val="00600F1D"/>
    <w:rsid w:val="00604651"/>
    <w:rsid w:val="00613DBC"/>
    <w:rsid w:val="00616E06"/>
    <w:rsid w:val="006428C8"/>
    <w:rsid w:val="00651FA3"/>
    <w:rsid w:val="00653655"/>
    <w:rsid w:val="006568BE"/>
    <w:rsid w:val="0066044D"/>
    <w:rsid w:val="006701AA"/>
    <w:rsid w:val="00673711"/>
    <w:rsid w:val="00682D53"/>
    <w:rsid w:val="00683DD0"/>
    <w:rsid w:val="006935E5"/>
    <w:rsid w:val="006958AD"/>
    <w:rsid w:val="0069708B"/>
    <w:rsid w:val="006A0E6A"/>
    <w:rsid w:val="006A200F"/>
    <w:rsid w:val="006A3DEA"/>
    <w:rsid w:val="006B183B"/>
    <w:rsid w:val="006B5435"/>
    <w:rsid w:val="006B6A3F"/>
    <w:rsid w:val="006D03AB"/>
    <w:rsid w:val="006D248B"/>
    <w:rsid w:val="006D56EC"/>
    <w:rsid w:val="006D7236"/>
    <w:rsid w:val="006E0BC3"/>
    <w:rsid w:val="006F1618"/>
    <w:rsid w:val="00701254"/>
    <w:rsid w:val="00734CAB"/>
    <w:rsid w:val="0074461D"/>
    <w:rsid w:val="0075030B"/>
    <w:rsid w:val="0076118E"/>
    <w:rsid w:val="0076122A"/>
    <w:rsid w:val="007714E3"/>
    <w:rsid w:val="00777B7D"/>
    <w:rsid w:val="0078163B"/>
    <w:rsid w:val="0078277B"/>
    <w:rsid w:val="00783780"/>
    <w:rsid w:val="007921DD"/>
    <w:rsid w:val="007B05E0"/>
    <w:rsid w:val="007C42F5"/>
    <w:rsid w:val="007D2312"/>
    <w:rsid w:val="007E0BBF"/>
    <w:rsid w:val="007E2FD5"/>
    <w:rsid w:val="007F1752"/>
    <w:rsid w:val="007F1FE2"/>
    <w:rsid w:val="007F7810"/>
    <w:rsid w:val="0080561E"/>
    <w:rsid w:val="00805E3F"/>
    <w:rsid w:val="00810F98"/>
    <w:rsid w:val="00811C70"/>
    <w:rsid w:val="00812ADD"/>
    <w:rsid w:val="00813314"/>
    <w:rsid w:val="00814A08"/>
    <w:rsid w:val="00822037"/>
    <w:rsid w:val="00824D19"/>
    <w:rsid w:val="008257D5"/>
    <w:rsid w:val="0082725E"/>
    <w:rsid w:val="00833AD7"/>
    <w:rsid w:val="00834294"/>
    <w:rsid w:val="00841E6C"/>
    <w:rsid w:val="00844628"/>
    <w:rsid w:val="00846815"/>
    <w:rsid w:val="00847177"/>
    <w:rsid w:val="00855288"/>
    <w:rsid w:val="0087255E"/>
    <w:rsid w:val="00875DEA"/>
    <w:rsid w:val="00884521"/>
    <w:rsid w:val="00884CA3"/>
    <w:rsid w:val="00884FA1"/>
    <w:rsid w:val="00886770"/>
    <w:rsid w:val="00890E88"/>
    <w:rsid w:val="008972E1"/>
    <w:rsid w:val="008A0218"/>
    <w:rsid w:val="008A1066"/>
    <w:rsid w:val="008A5F41"/>
    <w:rsid w:val="008B1E3D"/>
    <w:rsid w:val="008B4E9F"/>
    <w:rsid w:val="008C1B9F"/>
    <w:rsid w:val="008C4371"/>
    <w:rsid w:val="008D1502"/>
    <w:rsid w:val="008D2012"/>
    <w:rsid w:val="008D6D71"/>
    <w:rsid w:val="008D712D"/>
    <w:rsid w:val="008E3D07"/>
    <w:rsid w:val="008E7886"/>
    <w:rsid w:val="00902193"/>
    <w:rsid w:val="00905360"/>
    <w:rsid w:val="00910CFC"/>
    <w:rsid w:val="00914575"/>
    <w:rsid w:val="00921054"/>
    <w:rsid w:val="009257FF"/>
    <w:rsid w:val="00926698"/>
    <w:rsid w:val="009267C8"/>
    <w:rsid w:val="009335F4"/>
    <w:rsid w:val="00936C3F"/>
    <w:rsid w:val="009420AB"/>
    <w:rsid w:val="009526C3"/>
    <w:rsid w:val="00953672"/>
    <w:rsid w:val="00960546"/>
    <w:rsid w:val="0096233B"/>
    <w:rsid w:val="0097691E"/>
    <w:rsid w:val="00980DC7"/>
    <w:rsid w:val="0098365F"/>
    <w:rsid w:val="009875C0"/>
    <w:rsid w:val="00991987"/>
    <w:rsid w:val="009A3F4F"/>
    <w:rsid w:val="009A6A2F"/>
    <w:rsid w:val="009B03E7"/>
    <w:rsid w:val="009B56AD"/>
    <w:rsid w:val="009B61F8"/>
    <w:rsid w:val="009C6D19"/>
    <w:rsid w:val="009D2923"/>
    <w:rsid w:val="009D3922"/>
    <w:rsid w:val="009D539C"/>
    <w:rsid w:val="009D5A2A"/>
    <w:rsid w:val="009D5C16"/>
    <w:rsid w:val="009E0384"/>
    <w:rsid w:val="009E6BA9"/>
    <w:rsid w:val="009F04B7"/>
    <w:rsid w:val="009F3FCE"/>
    <w:rsid w:val="00A07699"/>
    <w:rsid w:val="00A158B5"/>
    <w:rsid w:val="00A17925"/>
    <w:rsid w:val="00A208A6"/>
    <w:rsid w:val="00A20A08"/>
    <w:rsid w:val="00A41877"/>
    <w:rsid w:val="00A44216"/>
    <w:rsid w:val="00A5090F"/>
    <w:rsid w:val="00A56547"/>
    <w:rsid w:val="00A65A57"/>
    <w:rsid w:val="00A71B43"/>
    <w:rsid w:val="00A72371"/>
    <w:rsid w:val="00A72B76"/>
    <w:rsid w:val="00A72D6A"/>
    <w:rsid w:val="00A76573"/>
    <w:rsid w:val="00A801BA"/>
    <w:rsid w:val="00A95FA7"/>
    <w:rsid w:val="00A97F00"/>
    <w:rsid w:val="00AA0B75"/>
    <w:rsid w:val="00AA2139"/>
    <w:rsid w:val="00AA21AE"/>
    <w:rsid w:val="00AA27BF"/>
    <w:rsid w:val="00AB18F5"/>
    <w:rsid w:val="00AC27B2"/>
    <w:rsid w:val="00AD3FFC"/>
    <w:rsid w:val="00AD5025"/>
    <w:rsid w:val="00AE50A7"/>
    <w:rsid w:val="00B0334D"/>
    <w:rsid w:val="00B07E88"/>
    <w:rsid w:val="00B14718"/>
    <w:rsid w:val="00B15D84"/>
    <w:rsid w:val="00B16E27"/>
    <w:rsid w:val="00B17F6F"/>
    <w:rsid w:val="00B27EA4"/>
    <w:rsid w:val="00B34CAF"/>
    <w:rsid w:val="00B373ED"/>
    <w:rsid w:val="00B42C45"/>
    <w:rsid w:val="00B42EAC"/>
    <w:rsid w:val="00B542BC"/>
    <w:rsid w:val="00B569F1"/>
    <w:rsid w:val="00B61450"/>
    <w:rsid w:val="00B65558"/>
    <w:rsid w:val="00B7496B"/>
    <w:rsid w:val="00B75DE0"/>
    <w:rsid w:val="00B8225F"/>
    <w:rsid w:val="00B8670F"/>
    <w:rsid w:val="00B92950"/>
    <w:rsid w:val="00B97239"/>
    <w:rsid w:val="00BA644E"/>
    <w:rsid w:val="00BB0971"/>
    <w:rsid w:val="00BB6111"/>
    <w:rsid w:val="00BB70AA"/>
    <w:rsid w:val="00BC31D7"/>
    <w:rsid w:val="00BD2D74"/>
    <w:rsid w:val="00BD745F"/>
    <w:rsid w:val="00BE4CAB"/>
    <w:rsid w:val="00BF11C5"/>
    <w:rsid w:val="00C03C3E"/>
    <w:rsid w:val="00C07303"/>
    <w:rsid w:val="00C12B9F"/>
    <w:rsid w:val="00C1499B"/>
    <w:rsid w:val="00C14B60"/>
    <w:rsid w:val="00C26AB9"/>
    <w:rsid w:val="00C26FC9"/>
    <w:rsid w:val="00C35EF9"/>
    <w:rsid w:val="00C43510"/>
    <w:rsid w:val="00C43C9C"/>
    <w:rsid w:val="00C44525"/>
    <w:rsid w:val="00C5247F"/>
    <w:rsid w:val="00C54101"/>
    <w:rsid w:val="00C54CCC"/>
    <w:rsid w:val="00C57548"/>
    <w:rsid w:val="00C60696"/>
    <w:rsid w:val="00C62550"/>
    <w:rsid w:val="00C6383E"/>
    <w:rsid w:val="00C7118B"/>
    <w:rsid w:val="00C7666E"/>
    <w:rsid w:val="00C80EAF"/>
    <w:rsid w:val="00C8341A"/>
    <w:rsid w:val="00C873B7"/>
    <w:rsid w:val="00C947FC"/>
    <w:rsid w:val="00C94DD9"/>
    <w:rsid w:val="00C95C0F"/>
    <w:rsid w:val="00CA506D"/>
    <w:rsid w:val="00CA6FDD"/>
    <w:rsid w:val="00CB7782"/>
    <w:rsid w:val="00CC1D23"/>
    <w:rsid w:val="00CD30D5"/>
    <w:rsid w:val="00CD3468"/>
    <w:rsid w:val="00CD3F69"/>
    <w:rsid w:val="00CE0A29"/>
    <w:rsid w:val="00CE6731"/>
    <w:rsid w:val="00CE6749"/>
    <w:rsid w:val="00CE68B7"/>
    <w:rsid w:val="00CE72AA"/>
    <w:rsid w:val="00CE79E0"/>
    <w:rsid w:val="00CF4E7C"/>
    <w:rsid w:val="00CF7D59"/>
    <w:rsid w:val="00D0272E"/>
    <w:rsid w:val="00D14611"/>
    <w:rsid w:val="00D14E49"/>
    <w:rsid w:val="00D2444D"/>
    <w:rsid w:val="00D337CA"/>
    <w:rsid w:val="00D46E5F"/>
    <w:rsid w:val="00D557D7"/>
    <w:rsid w:val="00D57E64"/>
    <w:rsid w:val="00D642A8"/>
    <w:rsid w:val="00D674AC"/>
    <w:rsid w:val="00D703C0"/>
    <w:rsid w:val="00D75A8C"/>
    <w:rsid w:val="00D77452"/>
    <w:rsid w:val="00D806BC"/>
    <w:rsid w:val="00D92B29"/>
    <w:rsid w:val="00D946D0"/>
    <w:rsid w:val="00DA3C3D"/>
    <w:rsid w:val="00DA71A8"/>
    <w:rsid w:val="00DB15D5"/>
    <w:rsid w:val="00DC0201"/>
    <w:rsid w:val="00DC41E8"/>
    <w:rsid w:val="00DE0D23"/>
    <w:rsid w:val="00DE2448"/>
    <w:rsid w:val="00DF5E23"/>
    <w:rsid w:val="00DF6DDF"/>
    <w:rsid w:val="00E01854"/>
    <w:rsid w:val="00E17CB1"/>
    <w:rsid w:val="00E23D9B"/>
    <w:rsid w:val="00E25FFC"/>
    <w:rsid w:val="00E37C68"/>
    <w:rsid w:val="00E43F2B"/>
    <w:rsid w:val="00E50324"/>
    <w:rsid w:val="00E50F92"/>
    <w:rsid w:val="00E60A08"/>
    <w:rsid w:val="00E61412"/>
    <w:rsid w:val="00E62AA8"/>
    <w:rsid w:val="00E64191"/>
    <w:rsid w:val="00E67FE1"/>
    <w:rsid w:val="00E71CC3"/>
    <w:rsid w:val="00E74366"/>
    <w:rsid w:val="00E74B2B"/>
    <w:rsid w:val="00E84BF6"/>
    <w:rsid w:val="00E96F68"/>
    <w:rsid w:val="00EB01E2"/>
    <w:rsid w:val="00EE056B"/>
    <w:rsid w:val="00EE5383"/>
    <w:rsid w:val="00EF16B4"/>
    <w:rsid w:val="00EF20F3"/>
    <w:rsid w:val="00EF7182"/>
    <w:rsid w:val="00F073B7"/>
    <w:rsid w:val="00F1510D"/>
    <w:rsid w:val="00F15BEB"/>
    <w:rsid w:val="00F25308"/>
    <w:rsid w:val="00F30D29"/>
    <w:rsid w:val="00F379E3"/>
    <w:rsid w:val="00F40F6D"/>
    <w:rsid w:val="00F50BB7"/>
    <w:rsid w:val="00F53FFC"/>
    <w:rsid w:val="00F62B12"/>
    <w:rsid w:val="00F72BF2"/>
    <w:rsid w:val="00F973FE"/>
    <w:rsid w:val="00FA1443"/>
    <w:rsid w:val="00FA2272"/>
    <w:rsid w:val="00FA2694"/>
    <w:rsid w:val="00FA2A2E"/>
    <w:rsid w:val="00FA4695"/>
    <w:rsid w:val="00FA717E"/>
    <w:rsid w:val="00FC147C"/>
    <w:rsid w:val="00FC6EAF"/>
    <w:rsid w:val="00FE10CB"/>
    <w:rsid w:val="00FF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3960"/>
      </w:tabs>
      <w:outlineLvl w:val="0"/>
    </w:pPr>
    <w:rPr>
      <w:b/>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ind w:firstLine="720"/>
      <w:outlineLvl w:val="3"/>
    </w:pPr>
    <w:rPr>
      <w:b/>
      <w:sz w:val="24"/>
    </w:rPr>
  </w:style>
  <w:style w:type="paragraph" w:styleId="Heading5">
    <w:name w:val="heading 5"/>
    <w:basedOn w:val="Normal"/>
    <w:next w:val="Normal"/>
    <w:qFormat/>
    <w:pPr>
      <w:keepNext/>
      <w:ind w:firstLine="720"/>
      <w:outlineLvl w:val="4"/>
    </w:pPr>
    <w:rPr>
      <w:sz w:val="24"/>
    </w:rPr>
  </w:style>
  <w:style w:type="paragraph" w:styleId="Heading6">
    <w:name w:val="heading 6"/>
    <w:basedOn w:val="Normal"/>
    <w:next w:val="Normal"/>
    <w:qFormat/>
    <w:pPr>
      <w:keepNext/>
      <w:jc w:val="center"/>
      <w:outlineLvl w:val="5"/>
    </w:pPr>
    <w:rPr>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Pr>
      <w:b/>
      <w:sz w:val="16"/>
    </w:rPr>
  </w:style>
  <w:style w:type="paragraph" w:styleId="BodyText3">
    <w:name w:val="Body Text 3"/>
    <w:basedOn w:val="Normal"/>
    <w:pPr>
      <w:tabs>
        <w:tab w:val="left" w:pos="720"/>
        <w:tab w:val="left" w:pos="1080"/>
      </w:tabs>
    </w:pPr>
    <w:rPr>
      <w:sz w:val="24"/>
    </w:r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Footer">
    <w:name w:val="footer"/>
    <w:basedOn w:val="Normal"/>
    <w:link w:val="FooterChar"/>
    <w:uiPriority w:val="99"/>
    <w:pPr>
      <w:tabs>
        <w:tab w:val="center" w:pos="4320"/>
        <w:tab w:val="right" w:pos="8640"/>
      </w:tabs>
    </w:pPr>
  </w:style>
  <w:style w:type="character" w:customStyle="1" w:styleId="Hypertext">
    <w:name w:val="Hypertext"/>
    <w:rPr>
      <w:color w:val="0000FF"/>
      <w:u w:val="single"/>
    </w:rPr>
  </w:style>
  <w:style w:type="paragraph" w:styleId="BodyTextIndent">
    <w:name w:val="Body Text Indent"/>
    <w:basedOn w:val="Normal"/>
    <w:link w:val="BodyTextIndentChar"/>
    <w:pPr>
      <w:ind w:left="720"/>
    </w:pPr>
    <w:rPr>
      <w:bCs/>
      <w:sz w:val="24"/>
    </w:rPr>
  </w:style>
  <w:style w:type="paragraph" w:styleId="TOC1">
    <w:name w:val="toc 1"/>
    <w:basedOn w:val="Normal"/>
    <w:next w:val="Normal"/>
    <w:autoRedefine/>
    <w:semiHidden/>
    <w:rPr>
      <w:sz w:val="24"/>
    </w:rPr>
  </w:style>
  <w:style w:type="paragraph" w:styleId="TOC2">
    <w:name w:val="toc 2"/>
    <w:basedOn w:val="Normal"/>
    <w:next w:val="Normal"/>
    <w:autoRedefine/>
    <w:semiHidden/>
    <w:pPr>
      <w:ind w:left="200"/>
    </w:pPr>
    <w:rPr>
      <w:sz w:val="24"/>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pPr>
      <w:jc w:val="center"/>
    </w:pPr>
    <w:rPr>
      <w:b/>
      <w:u w:val="single"/>
    </w:rPr>
  </w:style>
  <w:style w:type="paragraph" w:styleId="PlainText">
    <w:name w:val="Plain Text"/>
    <w:basedOn w:val="Normal"/>
    <w:rPr>
      <w:rFonts w:ascii="Courier New" w:hAnsi="Courier New" w:cs="Courier New"/>
    </w:rPr>
  </w:style>
  <w:style w:type="paragraph" w:styleId="BodyTextIndent2">
    <w:name w:val="Body Text Indent 2"/>
    <w:basedOn w:val="Normal"/>
    <w:link w:val="BodyTextIndent2Char"/>
    <w:pPr>
      <w:ind w:left="810" w:hanging="90"/>
    </w:pPr>
  </w:style>
  <w:style w:type="paragraph" w:styleId="BodyTextIndent3">
    <w:name w:val="Body Text Indent 3"/>
    <w:basedOn w:val="Normal"/>
    <w:pPr>
      <w:ind w:left="720"/>
    </w:pPr>
  </w:style>
  <w:style w:type="paragraph" w:styleId="Caption">
    <w:name w:val="caption"/>
    <w:basedOn w:val="Normal"/>
    <w:next w:val="Normal"/>
    <w:qFormat/>
    <w:rPr>
      <w:b/>
      <w:bCs/>
    </w:r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1669BF"/>
  </w:style>
  <w:style w:type="paragraph" w:styleId="CommentSubject">
    <w:name w:val="annotation subject"/>
    <w:basedOn w:val="CommentText"/>
    <w:next w:val="CommentText"/>
    <w:link w:val="CommentSubjectChar"/>
    <w:rsid w:val="00C44525"/>
    <w:rPr>
      <w:b/>
      <w:bCs/>
    </w:rPr>
  </w:style>
  <w:style w:type="character" w:customStyle="1" w:styleId="CommentTextChar">
    <w:name w:val="Comment Text Char"/>
    <w:basedOn w:val="DefaultParagraphFont"/>
    <w:link w:val="CommentText"/>
    <w:semiHidden/>
    <w:rsid w:val="00C44525"/>
  </w:style>
  <w:style w:type="character" w:customStyle="1" w:styleId="CommentSubjectChar">
    <w:name w:val="Comment Subject Char"/>
    <w:basedOn w:val="CommentTextChar"/>
    <w:link w:val="CommentSubject"/>
    <w:rsid w:val="00C44525"/>
  </w:style>
  <w:style w:type="character" w:customStyle="1" w:styleId="BodyTextIndentChar">
    <w:name w:val="Body Text Indent Char"/>
    <w:link w:val="BodyTextIndent"/>
    <w:rsid w:val="00034EF3"/>
    <w:rPr>
      <w:bCs/>
      <w:sz w:val="24"/>
    </w:rPr>
  </w:style>
  <w:style w:type="paragraph" w:styleId="Revision">
    <w:name w:val="Revision"/>
    <w:hidden/>
    <w:uiPriority w:val="99"/>
    <w:semiHidden/>
    <w:rsid w:val="00813314"/>
  </w:style>
  <w:style w:type="character" w:customStyle="1" w:styleId="BodyTextIndent2Char">
    <w:name w:val="Body Text Indent 2 Char"/>
    <w:basedOn w:val="DefaultParagraphFont"/>
    <w:link w:val="BodyTextIndent2"/>
    <w:rsid w:val="00B373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3960"/>
      </w:tabs>
      <w:outlineLvl w:val="0"/>
    </w:pPr>
    <w:rPr>
      <w:b/>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ind w:firstLine="720"/>
      <w:outlineLvl w:val="3"/>
    </w:pPr>
    <w:rPr>
      <w:b/>
      <w:sz w:val="24"/>
    </w:rPr>
  </w:style>
  <w:style w:type="paragraph" w:styleId="Heading5">
    <w:name w:val="heading 5"/>
    <w:basedOn w:val="Normal"/>
    <w:next w:val="Normal"/>
    <w:qFormat/>
    <w:pPr>
      <w:keepNext/>
      <w:ind w:firstLine="720"/>
      <w:outlineLvl w:val="4"/>
    </w:pPr>
    <w:rPr>
      <w:sz w:val="24"/>
    </w:rPr>
  </w:style>
  <w:style w:type="paragraph" w:styleId="Heading6">
    <w:name w:val="heading 6"/>
    <w:basedOn w:val="Normal"/>
    <w:next w:val="Normal"/>
    <w:qFormat/>
    <w:pPr>
      <w:keepNext/>
      <w:jc w:val="center"/>
      <w:outlineLvl w:val="5"/>
    </w:pPr>
    <w:rPr>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Pr>
      <w:b/>
      <w:sz w:val="16"/>
    </w:rPr>
  </w:style>
  <w:style w:type="paragraph" w:styleId="BodyText3">
    <w:name w:val="Body Text 3"/>
    <w:basedOn w:val="Normal"/>
    <w:pPr>
      <w:tabs>
        <w:tab w:val="left" w:pos="720"/>
        <w:tab w:val="left" w:pos="1080"/>
      </w:tabs>
    </w:pPr>
    <w:rPr>
      <w:sz w:val="24"/>
    </w:r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Footer">
    <w:name w:val="footer"/>
    <w:basedOn w:val="Normal"/>
    <w:link w:val="FooterChar"/>
    <w:uiPriority w:val="99"/>
    <w:pPr>
      <w:tabs>
        <w:tab w:val="center" w:pos="4320"/>
        <w:tab w:val="right" w:pos="8640"/>
      </w:tabs>
    </w:pPr>
  </w:style>
  <w:style w:type="character" w:customStyle="1" w:styleId="Hypertext">
    <w:name w:val="Hypertext"/>
    <w:rPr>
      <w:color w:val="0000FF"/>
      <w:u w:val="single"/>
    </w:rPr>
  </w:style>
  <w:style w:type="paragraph" w:styleId="BodyTextIndent">
    <w:name w:val="Body Text Indent"/>
    <w:basedOn w:val="Normal"/>
    <w:link w:val="BodyTextIndentChar"/>
    <w:pPr>
      <w:ind w:left="720"/>
    </w:pPr>
    <w:rPr>
      <w:bCs/>
      <w:sz w:val="24"/>
    </w:rPr>
  </w:style>
  <w:style w:type="paragraph" w:styleId="TOC1">
    <w:name w:val="toc 1"/>
    <w:basedOn w:val="Normal"/>
    <w:next w:val="Normal"/>
    <w:autoRedefine/>
    <w:semiHidden/>
    <w:rPr>
      <w:sz w:val="24"/>
    </w:rPr>
  </w:style>
  <w:style w:type="paragraph" w:styleId="TOC2">
    <w:name w:val="toc 2"/>
    <w:basedOn w:val="Normal"/>
    <w:next w:val="Normal"/>
    <w:autoRedefine/>
    <w:semiHidden/>
    <w:pPr>
      <w:ind w:left="200"/>
    </w:pPr>
    <w:rPr>
      <w:sz w:val="24"/>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pPr>
      <w:jc w:val="center"/>
    </w:pPr>
    <w:rPr>
      <w:b/>
      <w:u w:val="single"/>
    </w:rPr>
  </w:style>
  <w:style w:type="paragraph" w:styleId="PlainText">
    <w:name w:val="Plain Text"/>
    <w:basedOn w:val="Normal"/>
    <w:rPr>
      <w:rFonts w:ascii="Courier New" w:hAnsi="Courier New" w:cs="Courier New"/>
    </w:rPr>
  </w:style>
  <w:style w:type="paragraph" w:styleId="BodyTextIndent2">
    <w:name w:val="Body Text Indent 2"/>
    <w:basedOn w:val="Normal"/>
    <w:link w:val="BodyTextIndent2Char"/>
    <w:pPr>
      <w:ind w:left="810" w:hanging="90"/>
    </w:pPr>
  </w:style>
  <w:style w:type="paragraph" w:styleId="BodyTextIndent3">
    <w:name w:val="Body Text Indent 3"/>
    <w:basedOn w:val="Normal"/>
    <w:pPr>
      <w:ind w:left="720"/>
    </w:pPr>
  </w:style>
  <w:style w:type="paragraph" w:styleId="Caption">
    <w:name w:val="caption"/>
    <w:basedOn w:val="Normal"/>
    <w:next w:val="Normal"/>
    <w:qFormat/>
    <w:rPr>
      <w:b/>
      <w:bCs/>
    </w:r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1669BF"/>
  </w:style>
  <w:style w:type="paragraph" w:styleId="CommentSubject">
    <w:name w:val="annotation subject"/>
    <w:basedOn w:val="CommentText"/>
    <w:next w:val="CommentText"/>
    <w:link w:val="CommentSubjectChar"/>
    <w:rsid w:val="00C44525"/>
    <w:rPr>
      <w:b/>
      <w:bCs/>
    </w:rPr>
  </w:style>
  <w:style w:type="character" w:customStyle="1" w:styleId="CommentTextChar">
    <w:name w:val="Comment Text Char"/>
    <w:basedOn w:val="DefaultParagraphFont"/>
    <w:link w:val="CommentText"/>
    <w:semiHidden/>
    <w:rsid w:val="00C44525"/>
  </w:style>
  <w:style w:type="character" w:customStyle="1" w:styleId="CommentSubjectChar">
    <w:name w:val="Comment Subject Char"/>
    <w:basedOn w:val="CommentTextChar"/>
    <w:link w:val="CommentSubject"/>
    <w:rsid w:val="00C44525"/>
  </w:style>
  <w:style w:type="character" w:customStyle="1" w:styleId="BodyTextIndentChar">
    <w:name w:val="Body Text Indent Char"/>
    <w:link w:val="BodyTextIndent"/>
    <w:rsid w:val="00034EF3"/>
    <w:rPr>
      <w:bCs/>
      <w:sz w:val="24"/>
    </w:rPr>
  </w:style>
  <w:style w:type="paragraph" w:styleId="Revision">
    <w:name w:val="Revision"/>
    <w:hidden/>
    <w:uiPriority w:val="99"/>
    <w:semiHidden/>
    <w:rsid w:val="00813314"/>
  </w:style>
  <w:style w:type="character" w:customStyle="1" w:styleId="BodyTextIndent2Char">
    <w:name w:val="Body Text Indent 2 Char"/>
    <w:basedOn w:val="DefaultParagraphFont"/>
    <w:link w:val="BodyTextIndent2"/>
    <w:rsid w:val="00B37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6646">
      <w:bodyDiv w:val="1"/>
      <w:marLeft w:val="0"/>
      <w:marRight w:val="0"/>
      <w:marTop w:val="0"/>
      <w:marBottom w:val="0"/>
      <w:divBdr>
        <w:top w:val="none" w:sz="0" w:space="0" w:color="auto"/>
        <w:left w:val="none" w:sz="0" w:space="0" w:color="auto"/>
        <w:bottom w:val="none" w:sz="0" w:space="0" w:color="auto"/>
        <w:right w:val="none" w:sz="0" w:space="0" w:color="auto"/>
      </w:divBdr>
    </w:div>
    <w:div w:id="1576361032">
      <w:bodyDiv w:val="1"/>
      <w:marLeft w:val="0"/>
      <w:marRight w:val="0"/>
      <w:marTop w:val="0"/>
      <w:marBottom w:val="0"/>
      <w:divBdr>
        <w:top w:val="none" w:sz="0" w:space="0" w:color="auto"/>
        <w:left w:val="none" w:sz="0" w:space="0" w:color="auto"/>
        <w:bottom w:val="none" w:sz="0" w:space="0" w:color="auto"/>
        <w:right w:val="none" w:sz="0" w:space="0" w:color="auto"/>
      </w:divBdr>
    </w:div>
    <w:div w:id="179170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02856-309C-4EA3-9E2E-79931D27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3720</Words>
  <Characters>21208</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US Department of Education</vt:lpstr>
    </vt:vector>
  </TitlesOfParts>
  <Company>Bureau of the Census</Company>
  <LinksUpToDate>false</LinksUpToDate>
  <CharactersWithSpaces>24879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Department of Education</dc:title>
  <dc:creator>Governments Division</dc:creator>
  <cp:lastModifiedBy>Cornman, Stephen</cp:lastModifiedBy>
  <cp:revision>2</cp:revision>
  <cp:lastPrinted>2013-11-07T22:03:00Z</cp:lastPrinted>
  <dcterms:created xsi:type="dcterms:W3CDTF">2017-02-15T19:24:00Z</dcterms:created>
  <dcterms:modified xsi:type="dcterms:W3CDTF">2017-02-15T19:24:00Z</dcterms:modified>
</cp:coreProperties>
</file>