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88" w:beforeAutospacing="0" w:after="288" w:afterAutospacing="0" w:line="288" w:lineRule="atLeast"/>
        <w:ind w:left="0" w:right="288"/>
        <w:rPr>
          <w:rFonts w:hint="default" w:ascii="sans-serif" w:hAnsi="sans-serif" w:eastAsia="sans-serif" w:cs="sans-serif"/>
          <w:b w:val="0"/>
          <w:bCs w:val="0"/>
          <w:color w:val="1F1F1F"/>
          <w:sz w:val="19"/>
          <w:szCs w:val="19"/>
        </w:rPr>
      </w:pPr>
      <w:r>
        <w:rPr>
          <w:rStyle w:val="5"/>
          <w:rFonts w:hint="default" w:ascii="sans-serif" w:hAnsi="sans-serif" w:eastAsia="sans-serif" w:cs="sans-serif"/>
          <w:b w:val="0"/>
          <w:bCs w:val="0"/>
          <w:color w:val="1F1F1F"/>
          <w:sz w:val="19"/>
          <w:szCs w:val="19"/>
          <w:bdr w:val="none" w:color="1F1F1F" w:sz="0" w:space="0"/>
          <w:lang w:val="en-US"/>
        </w:rPr>
        <w:t xml:space="preserve">Modern </w:t>
      </w:r>
      <w:r>
        <w:rPr>
          <w:rStyle w:val="5"/>
          <w:rFonts w:hint="default" w:ascii="sans-serif" w:hAnsi="sans-serif" w:eastAsia="sans-serif" w:cs="sans-serif"/>
          <w:b w:val="0"/>
          <w:bCs w:val="0"/>
          <w:color w:val="1F1F1F"/>
          <w:sz w:val="19"/>
          <w:szCs w:val="19"/>
          <w:bdr w:val="none" w:color="1F1F1F" w:sz="0" w:space="0"/>
        </w:rPr>
        <w:t>e-learning platforms face challenges</w:t>
      </w:r>
      <w:r>
        <w:rPr>
          <w:rFonts w:hint="default" w:ascii="sans-serif" w:hAnsi="sans-serif" w:eastAsia="sans-serif" w:cs="sans-serif"/>
          <w:b w:val="0"/>
          <w:bCs w:val="0"/>
          <w:color w:val="1F1F1F"/>
          <w:sz w:val="19"/>
          <w:szCs w:val="19"/>
          <w:bdr w:val="none" w:color="1F1F1F" w:sz="0" w:space="0"/>
        </w:rPr>
        <w:t xml:space="preserve"> due to the  discrepancies between traditional </w:t>
      </w:r>
      <w:r>
        <w:rPr>
          <w:rFonts w:hint="default" w:ascii="sans-serif" w:hAnsi="sans-serif" w:eastAsia="sans-serif" w:cs="sans-serif"/>
          <w:b w:val="0"/>
          <w:bCs w:val="0"/>
          <w:color w:val="1F1F1F"/>
          <w:sz w:val="19"/>
          <w:szCs w:val="19"/>
          <w:bdr w:val="none" w:color="1F1F1F" w:sz="0" w:space="0"/>
          <w:lang w:val="en-US"/>
        </w:rPr>
        <w:t xml:space="preserve">pedagogical </w:t>
      </w:r>
      <w:r>
        <w:rPr>
          <w:rFonts w:hint="default" w:ascii="sans-serif" w:hAnsi="sans-serif" w:eastAsia="sans-serif" w:cs="sans-serif"/>
          <w:b w:val="0"/>
          <w:bCs w:val="0"/>
          <w:color w:val="1F1F1F"/>
          <w:sz w:val="19"/>
          <w:szCs w:val="19"/>
          <w:bdr w:val="none" w:color="1F1F1F" w:sz="0" w:space="0"/>
        </w:rPr>
        <w:t xml:space="preserve">approaches and the online learning environment. </w:t>
      </w:r>
      <w:r>
        <w:rPr>
          <w:rFonts w:hint="default" w:ascii="sans-serif" w:hAnsi="sans-serif" w:eastAsia="sans-serif"/>
          <w:b w:val="0"/>
          <w:bCs w:val="0"/>
          <w:color w:val="1F1F1F"/>
          <w:sz w:val="19"/>
          <w:szCs w:val="19"/>
          <w:bdr w:val="none" w:color="1F1F1F" w:sz="0" w:space="0"/>
        </w:rPr>
        <w:t>Currently, there exists a trend towards simplifying the transfer of traditional teaching methods into digital spaces</w:t>
      </w:r>
      <w:r>
        <w:rPr>
          <w:rFonts w:hint="default" w:ascii="sans-serif" w:hAnsi="sans-serif" w:eastAsia="sans-serif" w:cs="sans-serif"/>
          <w:b w:val="0"/>
          <w:bCs w:val="0"/>
          <w:color w:val="1F1F1F"/>
          <w:sz w:val="19"/>
          <w:szCs w:val="19"/>
          <w:bdr w:val="none" w:color="1F1F1F" w:sz="0" w:space="0"/>
        </w:rPr>
        <w:t>, prioritizing convenience and accessibility in line with the fast-paced nature of modern "cyber culture" (Reeder, 2004).</w:t>
      </w:r>
    </w:p>
    <w:p>
      <w:pPr>
        <w:pStyle w:val="4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88" w:beforeAutospacing="0" w:after="288" w:afterAutospacing="0" w:line="288" w:lineRule="atLeast"/>
        <w:ind w:left="0" w:right="288"/>
        <w:rPr>
          <w:rFonts w:hint="default" w:ascii="sans-serif" w:hAnsi="sans-serif" w:eastAsia="sans-serif" w:cs="sans-serif"/>
          <w:b w:val="0"/>
          <w:bCs w:val="0"/>
          <w:color w:val="1F1F1F"/>
          <w:sz w:val="19"/>
          <w:szCs w:val="19"/>
        </w:rPr>
      </w:pPr>
      <w:r>
        <w:rPr>
          <w:rFonts w:hint="default" w:ascii="sans-serif" w:hAnsi="sans-serif" w:eastAsia="sans-serif" w:cs="sans-serif"/>
          <w:b w:val="0"/>
          <w:bCs w:val="0"/>
          <w:color w:val="1F1F1F"/>
          <w:sz w:val="19"/>
          <w:szCs w:val="19"/>
          <w:bdr w:val="none" w:color="1F1F1F" w:sz="0" w:space="0"/>
        </w:rPr>
        <w:t xml:space="preserve">However, concerns arise that this simplistic </w:t>
      </w:r>
      <w:r>
        <w:rPr>
          <w:rFonts w:hint="default" w:ascii="sans-serif" w:hAnsi="sans-serif" w:eastAsia="sans-serif"/>
          <w:b w:val="0"/>
          <w:bCs w:val="0"/>
          <w:color w:val="1F1F1F"/>
          <w:sz w:val="19"/>
          <w:szCs w:val="19"/>
          <w:bdr w:val="none" w:color="1F1F1F" w:sz="0" w:space="0"/>
        </w:rPr>
        <w:t>adaptation of traditional teaching methodologies into online settings may not fully leverage the potential of digital platforms</w:t>
      </w:r>
      <w:r>
        <w:rPr>
          <w:rFonts w:hint="default" w:ascii="sans-serif" w:hAnsi="sans-serif" w:eastAsia="sans-serif" w:cs="sans-serif"/>
          <w:b w:val="0"/>
          <w:bCs w:val="0"/>
          <w:color w:val="1F1F1F"/>
          <w:sz w:val="19"/>
          <w:szCs w:val="19"/>
          <w:bdr w:val="none" w:color="1F1F1F" w:sz="0" w:space="0"/>
        </w:rPr>
        <w:t>. Burd and Buchman (2004) highlight the potential mismatch between the prescribed minimum engagement level for online instructors (daily discussion board visits) and the expectations fostered by a culture valuing constant connectivity and immediate feedback.</w:t>
      </w:r>
    </w:p>
    <w:p>
      <w:pPr>
        <w:pStyle w:val="4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88" w:beforeAutospacing="0" w:after="288" w:afterAutospacing="0" w:line="288" w:lineRule="atLeast"/>
        <w:ind w:left="0" w:right="288"/>
        <w:rPr>
          <w:rFonts w:hint="default" w:ascii="sans-serif" w:hAnsi="sans-serif" w:eastAsia="sans-serif" w:cs="sans-serif"/>
          <w:b w:val="0"/>
          <w:bCs w:val="0"/>
          <w:color w:val="1F1F1F"/>
          <w:sz w:val="19"/>
          <w:szCs w:val="19"/>
        </w:rPr>
      </w:pPr>
      <w:r>
        <w:rPr>
          <w:rFonts w:hint="default" w:ascii="sans-serif" w:hAnsi="sans-serif" w:eastAsia="sans-serif"/>
          <w:b w:val="0"/>
          <w:bCs w:val="0"/>
          <w:color w:val="1F1F1F"/>
          <w:sz w:val="19"/>
          <w:szCs w:val="19"/>
          <w:bdr w:val="none" w:color="1F1F1F" w:sz="0" w:space="0"/>
        </w:rPr>
        <w:t xml:space="preserve">Some scholars propose that instructors should </w:t>
      </w:r>
      <w:bookmarkStart w:id="0" w:name="_GoBack"/>
      <w:bookmarkEnd w:id="0"/>
      <w:r>
        <w:rPr>
          <w:rFonts w:hint="default" w:ascii="sans-serif" w:hAnsi="sans-serif" w:eastAsia="sans-serif"/>
          <w:b w:val="0"/>
          <w:bCs w:val="0"/>
          <w:color w:val="1F1F1F"/>
          <w:sz w:val="19"/>
          <w:szCs w:val="19"/>
          <w:bdr w:val="none" w:color="1F1F1F" w:sz="0" w:space="0"/>
        </w:rPr>
        <w:t>maintain a robust presence on online platforms</w:t>
      </w:r>
      <w:r>
        <w:rPr>
          <w:rFonts w:hint="default" w:ascii="sans-serif" w:hAnsi="sans-serif" w:eastAsia="sans-serif" w:cs="sans-serif"/>
          <w:b w:val="0"/>
          <w:bCs w:val="0"/>
          <w:color w:val="1F1F1F"/>
          <w:sz w:val="19"/>
          <w:szCs w:val="19"/>
          <w:bdr w:val="none" w:color="1F1F1F" w:sz="0" w:space="0"/>
        </w:rPr>
        <w:t>,</w:t>
      </w:r>
      <w:r>
        <w:rPr>
          <w:rFonts w:hint="default" w:ascii="sans-serif" w:hAnsi="sans-serif" w:eastAsia="sans-serif"/>
          <w:b w:val="0"/>
          <w:bCs w:val="0"/>
          <w:color w:val="1F1F1F"/>
          <w:sz w:val="19"/>
          <w:szCs w:val="19"/>
          <w:bdr w:val="none" w:color="1F1F1F" w:sz="0" w:space="0"/>
        </w:rPr>
        <w:t xml:space="preserve"> to actively guide discussions, provide timely feedback, and prevent student disengagement</w:t>
      </w:r>
      <w:r>
        <w:rPr>
          <w:rFonts w:hint="default" w:ascii="sans-serif" w:hAnsi="sans-serif" w:eastAsia="sans-serif"/>
          <w:b w:val="0"/>
          <w:bCs w:val="0"/>
          <w:color w:val="1F1F1F"/>
          <w:sz w:val="19"/>
          <w:szCs w:val="19"/>
          <w:bdr w:val="none" w:color="1F1F1F" w:sz="0" w:space="0"/>
          <w:lang w:val="en-US"/>
        </w:rPr>
        <w:t>.</w:t>
      </w:r>
      <w:r>
        <w:rPr>
          <w:rFonts w:hint="default" w:ascii="sans-serif" w:hAnsi="sans-serif" w:eastAsia="sans-serif" w:cs="sans-serif"/>
          <w:b w:val="0"/>
          <w:bCs w:val="0"/>
          <w:color w:val="1F1F1F"/>
          <w:sz w:val="19"/>
          <w:szCs w:val="19"/>
          <w:bdr w:val="none" w:color="1F1F1F" w:sz="0" w:space="0"/>
        </w:rPr>
        <w:t xml:space="preserve">This perspective emphasizes the </w:t>
      </w:r>
      <w:r>
        <w:rPr>
          <w:rFonts w:hint="default" w:ascii="sans-serif" w:hAnsi="sans-serif" w:eastAsia="sans-serif" w:cs="sans-serif"/>
          <w:b w:val="0"/>
          <w:bCs w:val="0"/>
          <w:color w:val="1F1F1F"/>
          <w:sz w:val="19"/>
          <w:szCs w:val="19"/>
          <w:bdr w:val="none" w:color="1F1F1F" w:sz="0" w:space="0"/>
          <w:lang w:val="en-US"/>
        </w:rPr>
        <w:t xml:space="preserve">need </w:t>
      </w:r>
      <w:r>
        <w:rPr>
          <w:rFonts w:hint="default" w:ascii="sans-serif" w:hAnsi="sans-serif" w:eastAsia="sans-serif" w:cs="sans-serif"/>
          <w:b w:val="0"/>
          <w:bCs w:val="0"/>
          <w:color w:val="1F1F1F"/>
          <w:sz w:val="19"/>
          <w:szCs w:val="19"/>
          <w:bdr w:val="none" w:color="1F1F1F" w:sz="0" w:space="0"/>
        </w:rPr>
        <w:t>f</w:t>
      </w:r>
      <w:r>
        <w:rPr>
          <w:rFonts w:hint="default" w:ascii="sans-serif" w:hAnsi="sans-serif" w:eastAsia="sans-serif" w:cs="sans-serif"/>
          <w:b w:val="0"/>
          <w:bCs w:val="0"/>
          <w:color w:val="1F1F1F"/>
          <w:sz w:val="19"/>
          <w:szCs w:val="19"/>
          <w:bdr w:val="none" w:color="1F1F1F" w:sz="0" w:space="0"/>
          <w:lang w:val="en-US"/>
        </w:rPr>
        <w:t>or</w:t>
      </w:r>
      <w:r>
        <w:rPr>
          <w:rFonts w:hint="default" w:ascii="sans-serif" w:hAnsi="sans-serif" w:eastAsia="sans-serif" w:cs="sans-serif"/>
          <w:b w:val="0"/>
          <w:bCs w:val="0"/>
          <w:color w:val="1F1F1F"/>
          <w:sz w:val="19"/>
          <w:szCs w:val="19"/>
          <w:bdr w:val="none" w:color="1F1F1F" w:sz="0" w:space="0"/>
        </w:rPr>
        <w:t xml:space="preserve"> an immersive and interactive learning environment that capitalizes on modern technology to cultivate innovative teaching and learning experiences.</w:t>
      </w:r>
    </w:p>
    <w:p>
      <w:pPr>
        <w:pStyle w:val="4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88" w:beforeAutospacing="0" w:after="288" w:afterAutospacing="0" w:line="288" w:lineRule="atLeast"/>
        <w:ind w:left="0" w:right="288"/>
        <w:rPr>
          <w:rFonts w:hint="default" w:ascii="sans-serif" w:hAnsi="sans-serif" w:eastAsia="sans-serif" w:cs="sans-serif"/>
          <w:b w:val="0"/>
          <w:bCs w:val="0"/>
          <w:color w:val="1F1F1F"/>
          <w:sz w:val="19"/>
          <w:szCs w:val="19"/>
        </w:rPr>
      </w:pPr>
      <w:r>
        <w:rPr>
          <w:rStyle w:val="5"/>
          <w:rFonts w:hint="default" w:ascii="sans-serif" w:hAnsi="sans-serif" w:eastAsia="sans-serif" w:cs="sans-serif"/>
          <w:b w:val="0"/>
          <w:bCs w:val="0"/>
          <w:color w:val="1F1F1F"/>
          <w:sz w:val="19"/>
          <w:szCs w:val="19"/>
          <w:bdr w:val="none" w:color="1F1F1F" w:sz="0" w:space="0"/>
        </w:rPr>
        <w:t>In conclusion, while current e-learning platforms strive to simplify existing educational paradigms for online consumption, there is a growing consensus that this approach might be limiting.</w:t>
      </w:r>
      <w:r>
        <w:rPr>
          <w:rFonts w:hint="default" w:ascii="sans-serif" w:hAnsi="sans-serif" w:eastAsia="sans-serif" w:cs="sans-serif"/>
          <w:b w:val="0"/>
          <w:bCs w:val="0"/>
          <w:color w:val="1F1F1F"/>
          <w:sz w:val="19"/>
          <w:szCs w:val="19"/>
          <w:bdr w:val="none" w:color="1F1F1F" w:sz="0" w:space="0"/>
        </w:rPr>
        <w:t xml:space="preserve"> The proposed interactive e-learning platform aligns with this call for more sophisticated environments that leverage technological advancements to enhance pedagogical practices.</w:t>
      </w:r>
    </w:p>
    <w:p>
      <w:pPr>
        <w:rPr>
          <w:b w:val="0"/>
          <w:bCs w:val="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6A3A4F"/>
    <w:rsid w:val="116A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2024-01-31T23:15:00Z</dcterms:created>
  <dc:creator>niico</dc:creator>
  <cp:lastModifiedBy>Chris</cp:lastModifiedBy>
  <dcterms:modified xsi:type="dcterms:W3CDTF">2024-01-31T23:25:25Z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2CEE5B66123B4948860C160AB61E4C4D_11</vt:lpwstr>
  </property>
</Properties>
</file>