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7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0" w:type="dxa"/>
          <w:right w:w="0" w:type="dxa"/>
        </w:tblCellMar>
        <w:tblLook w:val="04A0" w:firstRow="1" w:lastRow="0" w:firstColumn="1" w:lastColumn="0" w:noHBand="0" w:noVBand="1"/>
      </w:tblPr>
      <w:tblGrid>
        <w:gridCol w:w="5000"/>
        <w:gridCol w:w="4740"/>
      </w:tblGrid>
      <w:tr w:rsidR="005C7CC5" w14:paraId="68A00669" w14:textId="77777777">
        <w:tc>
          <w:tcPr>
            <w:tcW w:w="5000" w:type="dxa"/>
            <w:vAlign w:val="bottom"/>
          </w:tcPr>
          <w:p w14:paraId="6C2DB77E" w14:textId="77777777" w:rsidR="005C7CC5" w:rsidRDefault="00000000">
            <w:r>
              <w:rPr>
                <w:noProof/>
              </w:rPr>
              <w:drawing>
                <wp:inline distT="0" distB="0" distL="0" distR="0" wp14:anchorId="13065488" wp14:editId="74E5992E">
                  <wp:extent cx="1066800" cy="409575"/>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066800" cy="409575"/>
                          </a:xfrm>
                          <a:prstGeom prst="rect">
                            <a:avLst/>
                          </a:prstGeom>
                        </pic:spPr>
                      </pic:pic>
                    </a:graphicData>
                  </a:graphic>
                </wp:inline>
              </w:drawing>
            </w:r>
          </w:p>
        </w:tc>
        <w:tc>
          <w:tcPr>
            <w:tcW w:w="4740" w:type="dxa"/>
            <w:vAlign w:val="bottom"/>
          </w:tcPr>
          <w:p w14:paraId="30E552A3" w14:textId="74700D2E" w:rsidR="005C7CC5" w:rsidRDefault="005C7CC5">
            <w:pPr>
              <w:jc w:val="right"/>
            </w:pPr>
          </w:p>
        </w:tc>
      </w:tr>
    </w:tbl>
    <w:p w14:paraId="5E22EA1F" w14:textId="77777777" w:rsidR="005C7CC5" w:rsidRDefault="005C7CC5">
      <w:pPr>
        <w:pBdr>
          <w:bottom w:val="single" w:sz="8" w:space="1" w:color="00498F"/>
        </w:pBdr>
        <w:spacing w:before="120" w:after="60" w:line="20" w:lineRule="exact"/>
      </w:pPr>
    </w:p>
    <w:tbl>
      <w:tblPr>
        <w:tblW w:w="97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top w:w="260" w:type="dxa"/>
          <w:left w:w="260" w:type="dxa"/>
          <w:bottom w:w="260" w:type="dxa"/>
          <w:right w:w="260" w:type="dxa"/>
        </w:tblCellMar>
        <w:tblLook w:val="04A0" w:firstRow="1" w:lastRow="0" w:firstColumn="1" w:lastColumn="0" w:noHBand="0" w:noVBand="1"/>
      </w:tblPr>
      <w:tblGrid>
        <w:gridCol w:w="9740"/>
      </w:tblGrid>
      <w:tr w:rsidR="005C7CC5" w14:paraId="3D6766BB" w14:textId="77777777">
        <w:tc>
          <w:tcPr>
            <w:tcW w:w="9740" w:type="dxa"/>
            <w:shd w:val="clear" w:color="auto" w:fill="00498F"/>
          </w:tcPr>
          <w:p w14:paraId="7C7C8A63" w14:textId="77777777" w:rsidR="005C7CC5" w:rsidRDefault="00000000">
            <w:pPr>
              <w:spacing w:after="60" w:line="300" w:lineRule="auto"/>
            </w:pPr>
            <w:r>
              <w:rPr>
                <w:rFonts w:eastAsia="Calibri"/>
                <w:b/>
                <w:bCs/>
                <w:color w:val="FFFFFF"/>
                <w:sz w:val="34"/>
                <w:szCs w:val="34"/>
              </w:rPr>
              <w:t>Research Briefing</w:t>
            </w:r>
          </w:p>
          <w:p w14:paraId="50D60414" w14:textId="77777777" w:rsidR="005C7CC5" w:rsidRDefault="00000000">
            <w:pPr>
              <w:spacing w:line="260" w:lineRule="auto"/>
            </w:pPr>
            <w:r>
              <w:rPr>
                <w:rFonts w:eastAsia="Calibri"/>
                <w:color w:val="A8CBEA"/>
              </w:rPr>
              <w:t>ASEAN–China AI Cooperation: Where the ASEAN Foundation Can Contribute</w:t>
            </w:r>
          </w:p>
        </w:tc>
      </w:tr>
    </w:tbl>
    <w:p w14:paraId="42DCEA40" w14:textId="77777777" w:rsidR="005C7CC5" w:rsidRDefault="005C7CC5">
      <w:pPr>
        <w:spacing w:after="240"/>
      </w:pPr>
    </w:p>
    <w:tbl>
      <w:tblPr>
        <w:tblW w:w="9740" w:type="dxa"/>
        <w:tblBorders>
          <w:top w:val="single" w:sz="4" w:space="0" w:color="C3D6E8"/>
          <w:left w:val="single" w:sz="4" w:space="0" w:color="C3D6E8"/>
          <w:bottom w:val="single" w:sz="4" w:space="0" w:color="C3D6E8"/>
          <w:right w:val="single" w:sz="4" w:space="0" w:color="C3D6E8"/>
          <w:insideH w:val="single" w:sz="4" w:space="0" w:color="C3D6E8"/>
          <w:insideV w:val="single" w:sz="4" w:space="0" w:color="C3D6E8"/>
        </w:tblBorders>
        <w:tblCellMar>
          <w:top w:w="90" w:type="dxa"/>
          <w:left w:w="106" w:type="dxa"/>
          <w:bottom w:w="90" w:type="dxa"/>
          <w:right w:w="106" w:type="dxa"/>
        </w:tblCellMar>
        <w:tblLook w:val="04A0" w:firstRow="1" w:lastRow="0" w:firstColumn="1" w:lastColumn="0" w:noHBand="0" w:noVBand="1"/>
      </w:tblPr>
      <w:tblGrid>
        <w:gridCol w:w="2392"/>
        <w:gridCol w:w="7348"/>
      </w:tblGrid>
      <w:tr>
        <w:trPr>
          <w:cantSplit/>
        </w:trPr>
        <w:tc>
          <w:tcPr>
            <w:tcW w:w="2392" w:type="dxa"/>
            <w:shd w:val="clear" w:color="auto" w:fill="EAF1F8"/>
          </w:tcPr>
          <w:p>
            <w:pPr>
              <w:spacing w:line="276" w:lineRule="auto"/>
            </w:pPr>
            <w:r>
              <w:rPr>
                <w:rFonts w:eastAsia="Calibri"/>
                <w:b/>
                <w:bCs/>
              </w:rPr>
              <w:t>Subject</w:t>
            </w:r>
          </w:p>
        </w:tc>
        <w:tc>
          <w:tcPr>
            <w:tcW w:w="7348" w:type="dxa"/>
          </w:tcPr>
          <w:p>
            <w:pPr>
              <w:spacing w:line="276" w:lineRule="auto"/>
            </w:pPr>
            <w:r>
              <w:rPr>
                <w:rFonts w:eastAsia="Calibri"/>
              </w:rPr>
              <w:t>ASEAN–China AI cooperation, by AI layer, and where the ASEAN Foundation’s AI programmes (AI Ready ASEAN and AIM ASEAN) can contribute</w:t>
            </w:r>
          </w:p>
        </w:tc>
      </w:tr>
      <w:tr>
        <w:trPr>
          <w:cantSplit/>
        </w:trPr>
        <w:tc>
          <w:tcPr>
            <w:tcW w:w="2392" w:type="dxa"/>
            <w:shd w:val="clear" w:color="auto" w:fill="EAF1F8"/>
          </w:tcPr>
          <w:p>
            <w:pPr>
              <w:spacing w:line="276" w:lineRule="auto"/>
            </w:pPr>
            <w:r>
              <w:rPr>
                <w:rFonts w:eastAsia="Calibri"/>
                <w:b/>
                <w:bCs/>
              </w:rPr>
              <w:t>Purpose</w:t>
            </w:r>
          </w:p>
        </w:tc>
        <w:tc>
          <w:tcPr>
            <w:tcW w:w="7348" w:type="dxa"/>
          </w:tcPr>
          <w:p>
            <w:pPr>
              <w:spacing w:line="276" w:lineRule="auto"/>
            </w:pPr>
            <w:r>
              <w:rPr>
                <w:rFonts w:eastAsia="Calibri"/>
              </w:rPr>
              <w:t>Background for the ASEAN Foundation’s mission to China in October 2026, and the basis for the talking points for the CIIS roundtable</w:t>
            </w:r>
          </w:p>
        </w:tc>
      </w:tr>
      <w:tr>
        <w:trPr>
          <w:cantSplit/>
        </w:trPr>
        <w:tc>
          <w:tcPr>
            <w:tcW w:w="2392" w:type="dxa"/>
            <w:shd w:val="clear" w:color="auto" w:fill="EAF1F8"/>
          </w:tcPr>
          <w:p>
            <w:pPr>
              <w:spacing w:line="276" w:lineRule="auto"/>
            </w:pPr>
            <w:r>
              <w:rPr>
                <w:rFonts w:eastAsia="Calibri"/>
                <w:b/>
                <w:bCs/>
              </w:rPr>
              <w:t>Date</w:t>
            </w:r>
          </w:p>
        </w:tc>
        <w:tc>
          <w:tcPr>
            <w:tcW w:w="7348" w:type="dxa"/>
          </w:tcPr>
          <w:p>
            <w:pPr>
              <w:spacing w:line="276" w:lineRule="auto"/>
            </w:pPr>
            <w:r>
              <w:rPr>
                <w:rFonts w:eastAsia="Calibri"/>
              </w:rPr>
              <w:t>14 October 2026</w:t>
            </w:r>
          </w:p>
        </w:tc>
      </w:tr>
      <w:tr>
        <w:trPr>
          <w:cantSplit/>
        </w:trPr>
        <w:tc>
          <w:tcPr>
            <w:tcW w:w="2392" w:type="dxa"/>
            <w:shd w:val="clear" w:color="auto" w:fill="EAF1F8"/>
          </w:tcPr>
          <w:p>
            <w:pPr>
              <w:spacing w:line="276" w:lineRule="auto"/>
            </w:pPr>
            <w:r>
              <w:rPr>
                <w:rFonts w:eastAsia="Calibri"/>
                <w:b/>
                <w:bCs/>
              </w:rPr>
              <w:t>Sources</w:t>
            </w:r>
          </w:p>
        </w:tc>
        <w:tc>
          <w:tcPr>
            <w:tcW w:w="7348" w:type="dxa"/>
          </w:tcPr>
          <w:p>
            <w:pPr>
              <w:spacing w:line="276" w:lineRule="auto"/>
            </w:pPr>
            <w:r>
              <w:rPr>
                <w:rFonts w:eastAsia="Calibri"/>
              </w:rPr>
              <w:t>Official documents, press releases and media reports published up to 14 October 2026, and the local implementing partner’s two internal reports on the Singapore National Policy Convening</w:t>
            </w:r>
          </w:p>
        </w:tc>
      </w:tr>
    </w:tbl>
    <w:p>
      <w:pPr>
        <w:keepNext/>
        <w:spacing w:before="240" w:after="160" w:line="300" w:lineRule="auto"/>
      </w:pPr>
      <w:r>
        <w:rPr>
          <w:rFonts w:eastAsia="Calibri"/>
          <w:b/>
          <w:bCs/>
          <w:color w:val="00498F"/>
          <w:sz w:val="26"/>
          <w:szCs w:val="26"/>
        </w:rPr>
        <w:t>Summary</w:t>
      </w:r>
    </w:p>
    <w:p>
      <w:pPr>
        <w:spacing w:after="120" w:line="336" w:lineRule="auto"/>
        <w:jc w:val="both"/>
      </w:pPr>
      <w:r>
        <w:rPr>
          <w:rFonts w:eastAsia="Calibri"/>
          <w:b/>
          <w:bCs/>
        </w:rPr>
        <w:t>Recommendation</w:t>
      </w:r>
      <w:r>
        <w:rPr>
          <w:rFonts w:eastAsia="Calibri"/>
        </w:rPr>
        <w:t xml:space="preserve">: In ASEAN–China AI cooperation, the ASEAN Foundation's place is with the people and businesses that use AI, and above all with </w:t>
      </w:r>
      <w:r>
        <w:rPr>
          <w:rFonts w:eastAsia="Calibri"/>
          <w:b/>
          <w:bCs/>
        </w:rPr>
        <w:t>the stage at which training turns into actual use</w:t>
      </w:r>
      <w:r>
        <w:rPr>
          <w:rFonts w:eastAsia="Calibri"/>
        </w:rPr>
        <w:t>. The MSME track is the first priority for this visit. The Foundation should open with the CIIS roundtable remarks (A3) and put forward the three key summaries of the Singapore local implementing partner's (LIP) final report: linking training to implementation, building AI-bilingual teams, and measuring responsible use and business outcomes. The teacher track (C1) follows once it is confirmed whether China's Smart Education includes teachers and SOM-ED has been informed. Whatever the option, the Foundation must first confirm what its funders will allow. The next decision point is the Manila Summit in November 2026.</w:t>
      </w:r>
    </w:p>
    <w:p>
      <w:pPr>
        <w:pStyle w:val="a4"/>
        <w:numPr>
          <w:ilvl w:val="0"/>
          <w:numId w:val="3"/>
        </w:numPr>
        <w:spacing w:after="60" w:line="336" w:lineRule="auto"/>
        <w:jc w:val="both"/>
      </w:pPr>
      <w:r>
        <w:rPr>
          <w:rFonts w:eastAsia="Calibri"/>
          <w:b/>
          <w:bCs/>
        </w:rPr>
        <w:t>ASEAN–China AI cooperation now covers almost every AI layer</w:t>
      </w:r>
      <w:r>
        <w:rPr>
          <w:rFonts w:eastAsia="Calibri"/>
        </w:rPr>
        <w:t>: governance (the ministerial roundtable on AI and the September 2026 initiative on AI ethics and safety), industrial application (the China–ASEAN AI Industry Innovation Centre in Beijing and the AI Application Cooperation Centre in Nanning), talent (the Ministry of Science and Technology's three-year plan and 5,000 AI training and seminar opportunities for developing countries; ASEAN's share not confirmed) and language and data. Talent programmes, however, are presented only as numbers; how use after training is supported and measured has not been made public.</w:t>
      </w:r>
    </w:p>
    <w:p>
      <w:pPr>
        <w:pStyle w:val="a4"/>
        <w:numPr>
          <w:ilvl w:val="0"/>
          <w:numId w:val="3"/>
        </w:numPr>
        <w:spacing w:after="60" w:line="336" w:lineRule="auto"/>
        <w:jc w:val="both"/>
      </w:pPr>
      <w:r>
        <w:rPr>
          <w:rFonts w:eastAsia="Calibri"/>
          <w:b/>
          <w:bCs/>
        </w:rPr>
        <w:t>The gaps are the people who use AI and the stage after training.</w:t>
      </w:r>
      <w:r>
        <w:rPr>
          <w:rFonts w:eastAsia="Calibri"/>
        </w:rPr>
        <w:t xml:space="preserve"> No ASEAN-led, technology-neutral AI capacity programme for teachers, citizens or MSMEs is linked to the cooperation. Some 72.4 per cent of students and 70.5 per cent of educators have never taken an AI course. The Singapore Convening found that even where policy support is strong, help tends to break off between awareness, experimentation, implementation and scaling. Singapore's 2025 AI adoption rate was 23.4 per cent for SMEs and 70.4 per cent for other firms (IMDA).</w:t>
      </w:r>
    </w:p>
    <w:p>
      <w:pPr>
        <w:pStyle w:val="a4"/>
        <w:numPr>
          <w:ilvl w:val="0"/>
          <w:numId w:val="3"/>
        </w:numPr>
        <w:spacing w:after="120" w:line="336" w:lineRule="auto"/>
        <w:jc w:val="both"/>
      </w:pPr>
      <w:r>
        <w:rPr>
          <w:rFonts w:eastAsia="Calibri"/>
          <w:b/>
          <w:bCs/>
        </w:rPr>
        <w:t>The Foundation has the assets for this stage</w:t>
      </w:r>
      <w:r>
        <w:rPr>
          <w:rFonts w:eastAsia="Calibri"/>
        </w:rPr>
        <w:t>: a delivery network (more than 3,000 Master Trainers and local partners), evidence (the AI readiness research and the Convening records) and a role its Singapore partner has recommended (a common pathway after training, common outcome indicators and regional case exchange; subject to agreement). The most persuasive argument pairs supply-side AI safety measures, such as model testing, with a demand-side one: users' capacity to use AI responsibly.</w:t>
      </w:r>
    </w:p>
    <w:p>
      <w:pPr>
        <w:keepNext/>
        <w:spacing w:before="240" w:after="160" w:line="300" w:lineRule="auto"/>
      </w:pPr>
      <w:r>
        <w:rPr>
          <w:rFonts w:eastAsia="Calibri"/>
          <w:b/>
          <w:bCs/>
          <w:color w:val="00498F"/>
          <w:sz w:val="26"/>
          <w:szCs w:val="26"/>
        </w:rPr>
        <w:t>1. Purpose and Scope</w:t>
      </w:r>
    </w:p>
    <w:p>
      <w:pPr>
        <w:spacing w:after="120" w:line="336" w:lineRule="auto"/>
        <w:jc w:val="both"/>
      </w:pPr>
      <w:r>
        <w:rPr>
          <w:rFonts w:eastAsia="Calibri"/>
        </w:rPr>
        <w:t>This paper maps ASEAN–China AI cooperation by AI layer and examines where, by what route and under what conditions the ASEAN Foundation's AI programmes (AI Ready ASEAN and AIM ASEAN) can contribute.</w:t>
      </w:r>
    </w:p>
    <w:p>
      <w:pPr>
        <w:pStyle w:val="a4"/>
        <w:numPr>
          <w:ilvl w:val="0"/>
          <w:numId w:val="2"/>
        </w:numPr>
        <w:spacing w:after="60" w:line="336" w:lineRule="auto"/>
        <w:jc w:val="both"/>
      </w:pPr>
      <w:r>
        <w:rPr>
          <w:rFonts w:eastAsia="Calibri"/>
          <w:b/>
          <w:bCs/>
        </w:rPr>
        <w:t>Key questions</w:t>
      </w:r>
      <w:r>
        <w:rPr>
          <w:rFonts w:eastAsia="Calibri"/>
        </w:rPr>
        <w:t>: (1) How far has ASEAN–China AI cooperation progressed, and at which layers? (2) Does the cooperation address the capabilities of people and businesses that use AI, and particularly use after training? (3) Which of the Foundation's AI assets can it offer, and on what conditions?</w:t>
      </w:r>
    </w:p>
    <w:p>
      <w:pPr>
        <w:pStyle w:val="a4"/>
        <w:numPr>
          <w:ilvl w:val="0"/>
          <w:numId w:val="2"/>
        </w:numPr>
        <w:spacing w:after="60" w:line="336" w:lineRule="auto"/>
        <w:jc w:val="both"/>
      </w:pPr>
      <w:r>
        <w:rPr>
          <w:rFonts w:eastAsia="Calibri"/>
          <w:b/>
          <w:bCs/>
        </w:rPr>
        <w:t>Scope</w:t>
      </w:r>
      <w:r>
        <w:rPr>
          <w:rFonts w:eastAsia="Calibri"/>
        </w:rPr>
        <w:t>: The paper covers only agreements, institutions and programmes directly related to AI. Trade (ACFTA 3.0) and general digital and education cooperation are mentioned only insofar as they concern AI.</w:t>
      </w:r>
    </w:p>
    <w:p>
      <w:pPr>
        <w:pStyle w:val="a4"/>
        <w:numPr>
          <w:ilvl w:val="0"/>
          <w:numId w:val="2"/>
        </w:numPr>
        <w:spacing w:after="60" w:line="336" w:lineRule="auto"/>
        <w:jc w:val="both"/>
      </w:pPr>
      <w:r>
        <w:rPr>
          <w:rFonts w:eastAsia="Calibri"/>
          <w:b/>
          <w:bCs/>
        </w:rPr>
        <w:t>Sources</w:t>
      </w:r>
      <w:r>
        <w:rPr>
          <w:rFonts w:eastAsia="Calibri"/>
        </w:rPr>
        <w:t>: Official documents, press releases and media reports published up to 14 October 2026, supplemented by two internal reports from the local implementing partner of the Singapore National Policy Convening (review notes and the final report). The extent to which the internal reports may be disclosed is to be confirmed before they are cited externally. Closed-door consultations are not reflected.</w:t>
      </w:r>
    </w:p>
    <w:p>
      <w:pPr>
        <w:pStyle w:val="a4"/>
        <w:numPr>
          <w:ilvl w:val="0"/>
          <w:numId w:val="2"/>
        </w:numPr>
        <w:spacing w:after="60" w:line="336" w:lineRule="auto"/>
        <w:jc w:val="both"/>
      </w:pPr>
      <w:r>
        <w:rPr>
          <w:rFonts w:eastAsia="Calibri"/>
          <w:b/>
          <w:bCs/>
        </w:rPr>
        <w:t>Limits of assessment</w:t>
      </w:r>
      <w:r>
        <w:rPr>
          <w:rFonts w:eastAsia="Calibri"/>
        </w:rPr>
        <w:t>: In the text, "not confirmed" means "not found in public sources"; it does not prove absence.</w:t>
      </w:r>
    </w:p>
    <w:p>
      <w:pPr>
        <w:pStyle w:val="a4"/>
        <w:numPr>
          <w:ilvl w:val="0"/>
          <w:numId w:val="2"/>
        </w:numPr>
        <w:spacing w:after="120" w:line="336" w:lineRule="auto"/>
        <w:jc w:val="both"/>
      </w:pPr>
      <w:r>
        <w:rPr>
          <w:rFonts w:eastAsia="Calibri"/>
          <w:b/>
          <w:bCs/>
        </w:rPr>
        <w:t>Notation</w:t>
      </w:r>
      <w:r>
        <w:rPr>
          <w:rFonts w:eastAsia="Calibri"/>
        </w:rPr>
        <w:t xml:space="preserve">: Confirmed facts are distinguished from interpretation. Interpretations are marked </w:t>
      </w:r>
      <w:r>
        <w:rPr>
          <w:rFonts w:eastAsia="Calibri"/>
          <w:b/>
          <w:bCs/>
          <w:color w:val="0F63A8"/>
        </w:rPr>
        <w:t>[Assessment]</w:t>
      </w:r>
      <w:r>
        <w:rPr>
          <w:rFonts w:eastAsia="Calibri"/>
        </w:rPr>
        <w:t>, and anything that could not be established from sources is identified as such in the text.</w:t>
      </w:r>
    </w:p>
    <w:p>
      <w:pPr>
        <w:spacing w:after="120" w:line="336" w:lineRule="auto"/>
        <w:jc w:val="both"/>
      </w:pPr>
      <w:r>
        <w:rPr>
          <w:rFonts w:eastAsia="Calibri"/>
        </w:rPr>
        <w:t>This paper is background material for the ASEAN Foundation's mission to China in October 2026 and provides the rationale for the CIIS roundtable talking points (a separate document).</w:t>
      </w:r>
    </w:p>
    <w:p>
      <w:pPr>
        <w:keepNext/>
        <w:spacing w:before="240" w:after="160" w:line="300" w:lineRule="auto"/>
      </w:pPr>
      <w:r>
        <w:rPr>
          <w:rFonts w:eastAsia="Calibri"/>
          <w:b/>
          <w:bCs/>
          <w:color w:val="00498F"/>
          <w:sz w:val="26"/>
          <w:szCs w:val="26"/>
        </w:rPr>
        <w:t>2. The ASEAN Foundation's AI Programmes</w:t>
      </w:r>
    </w:p>
    <w:p>
      <w:pPr>
        <w:spacing w:after="120" w:line="336" w:lineRule="auto"/>
        <w:jc w:val="both"/>
      </w:pPr>
      <w:r>
        <w:rPr>
          <w:rFonts w:eastAsia="Calibri"/>
        </w:rPr>
        <w:t>The Foundation's AI programmes rest on two pillars: AI Ready ASEAN focuses on people's AI literacy, and AIM ASEAN on AI adoption by MSMEs. Both are linked to the AI Opportunity Fund: Asia-Pacific (supported by Google.org and the ADB), which is run by AVPN.</w:t>
      </w:r>
    </w:p>
    <w:p>
      <w:pPr>
        <w:keepNext/>
        <w:spacing w:before="220" w:after="110" w:line="300" w:lineRule="auto"/>
      </w:pPr>
      <w:r>
        <w:rPr>
          <w:rFonts w:eastAsia="Calibri"/>
          <w:b/>
          <w:bCs/>
          <w:color w:val="0F63A8"/>
          <w:sz w:val="22"/>
          <w:szCs w:val="22"/>
        </w:rPr>
        <w:t>2.1 AI Ready ASEAN: AI Literacy</w:t>
      </w:r>
    </w:p>
    <w:p>
      <w:pPr>
        <w:spacing w:after="120" w:line="336" w:lineRule="auto"/>
        <w:jc w:val="both"/>
      </w:pPr>
      <w:r>
        <w:rPr>
          <w:rFonts w:eastAsia="Calibri"/>
        </w:rPr>
        <w:t>With its move to Phase 2 in September 2026, AI Ready ASEAN changed character: from an AI awareness-raising programme to an applied AI education programme endorsed by the ASEAN education sector.</w:t>
      </w:r>
    </w:p>
    <w:tbl>
      <w:tblPr>
        <w:tblW w:w="9740" w:type="dxa"/>
        <w:tblBorders>
          <w:top w:val="single" w:sz="4" w:space="0" w:color="C3D6E8"/>
          <w:left w:val="single" w:sz="4" w:space="0" w:color="C3D6E8"/>
          <w:bottom w:val="single" w:sz="4" w:space="0" w:color="C3D6E8"/>
          <w:right w:val="single" w:sz="4" w:space="0" w:color="C3D6E8"/>
          <w:insideH w:val="single" w:sz="4" w:space="0" w:color="C3D6E8"/>
          <w:insideV w:val="single" w:sz="4" w:space="0" w:color="C3D6E8"/>
        </w:tblBorders>
        <w:tblLayout w:type="fixed"/>
        <w:tblCellMar>
          <w:top w:w="90" w:type="dxa"/>
          <w:left w:w="106" w:type="dxa"/>
          <w:bottom w:w="90" w:type="dxa"/>
          <w:right w:w="106" w:type="dxa"/>
        </w:tblCellMar>
        <w:tblLook w:val="04A0" w:firstRow="1" w:lastRow="0" w:firstColumn="1" w:lastColumn="0" w:noHBand="0" w:noVBand="1"/>
      </w:tblPr>
      <w:tblGrid>
        <w:gridCol w:w="1690"/>
        <w:gridCol w:w="3546"/>
        <w:gridCol w:w="4504"/>
      </w:tblGrid>
      <w:tr>
        <w:trPr>
          <w:tblHeader/>
        </w:trPr>
        <w:tc>
          <w:tcPr>
            <w:tcW w:w="1690" w:type="dxa"/>
            <w:shd w:val="clear" w:color="auto" w:fill="00498F"/>
          </w:tcPr>
          <w:p>
            <w:pPr>
              <w:spacing w:line="276" w:lineRule="auto"/>
            </w:pPr>
            <w:r>
              <w:rPr>
                <w:rFonts w:eastAsia="Calibri"/>
                <w:b/>
                <w:bCs/>
                <w:color w:val="FFFFFF"/>
              </w:rPr>
              <w:t>Dimension</w:t>
            </w:r>
          </w:p>
        </w:tc>
        <w:tc>
          <w:tcPr>
            <w:tcW w:w="3546" w:type="dxa"/>
            <w:shd w:val="clear" w:color="auto" w:fill="00498F"/>
          </w:tcPr>
          <w:p>
            <w:pPr>
              <w:spacing w:line="276" w:lineRule="auto"/>
            </w:pPr>
            <w:r>
              <w:rPr>
                <w:rFonts w:eastAsia="Calibri"/>
                <w:b/>
                <w:bCs/>
                <w:color w:val="FFFFFF"/>
              </w:rPr>
              <w:t>Phase 1</w:t>
            </w:r>
          </w:p>
        </w:tc>
        <w:tc>
          <w:tcPr>
            <w:tcW w:w="4504" w:type="dxa"/>
            <w:shd w:val="clear" w:color="auto" w:fill="00498F"/>
          </w:tcPr>
          <w:p>
            <w:pPr>
              <w:spacing w:line="276" w:lineRule="auto"/>
            </w:pPr>
            <w:r>
              <w:rPr>
                <w:rFonts w:eastAsia="Calibri"/>
                <w:b/>
                <w:bCs/>
                <w:color w:val="FFFFFF"/>
              </w:rPr>
              <w:t>Phase 2</w:t>
            </w:r>
          </w:p>
        </w:tc>
      </w:tr>
      <w:tr>
        <w:trPr>
          <w:cantSplit/>
        </w:trPr>
        <w:tc>
          <w:tcPr>
            <w:tcW w:w="1690" w:type="dxa"/>
          </w:tcPr>
          <w:p>
            <w:pPr>
              <w:spacing w:line="276" w:lineRule="auto"/>
            </w:pPr>
            <w:r>
              <w:rPr>
                <w:rFonts w:eastAsia="Calibri"/>
              </w:rPr>
              <w:t>Period</w:t>
            </w:r>
          </w:p>
        </w:tc>
        <w:tc>
          <w:tcPr>
            <w:tcW w:w="3546" w:type="dxa"/>
          </w:tcPr>
          <w:p>
            <w:pPr>
              <w:spacing w:line="276" w:lineRule="auto"/>
            </w:pPr>
            <w:r>
              <w:rPr>
                <w:rFonts w:eastAsia="Calibri"/>
              </w:rPr>
              <w:t>Launched October 2024</w:t>
            </w:r>
          </w:p>
        </w:tc>
        <w:tc>
          <w:tcPr>
            <w:tcW w:w="4504" w:type="dxa"/>
          </w:tcPr>
          <w:p>
            <w:pPr>
              <w:spacing w:line="276" w:lineRule="auto"/>
            </w:pPr>
            <w:r>
              <w:rPr>
                <w:rFonts w:eastAsia="Calibri"/>
              </w:rPr>
              <w:t>Announced September 2026; runs to the end of 2028</w:t>
            </w:r>
          </w:p>
        </w:tc>
      </w:tr>
      <w:tr>
        <w:trPr>
          <w:cantSplit/>
        </w:trPr>
        <w:tc>
          <w:tcPr>
            <w:tcW w:w="1690" w:type="dxa"/>
          </w:tcPr>
          <w:p>
            <w:pPr>
              <w:spacing w:line="276" w:lineRule="auto"/>
            </w:pPr>
            <w:r>
              <w:rPr>
                <w:rFonts w:eastAsia="Calibri"/>
              </w:rPr>
              <w:t>Funding</w:t>
            </w:r>
          </w:p>
        </w:tc>
        <w:tc>
          <w:tcPr>
            <w:tcW w:w="3546" w:type="dxa"/>
          </w:tcPr>
          <w:p>
            <w:pPr>
              <w:spacing w:line="276" w:lineRule="auto"/>
            </w:pPr>
            <w:r>
              <w:rPr>
                <w:rFonts w:eastAsia="Calibri"/>
              </w:rPr>
              <w:t>US$5 million from Google.org</w:t>
            </w:r>
          </w:p>
        </w:tc>
        <w:tc>
          <w:tcPr>
            <w:tcW w:w="4504" w:type="dxa"/>
          </w:tcPr>
          <w:p>
            <w:pPr>
              <w:spacing w:line="276" w:lineRule="auto"/>
            </w:pPr>
            <w:r>
              <w:rPr>
                <w:rFonts w:eastAsia="Calibri"/>
              </w:rPr>
              <w:t>AI Opportunity Fund: Asia-Pacific; Phase 2 allocation not confirmed in public sources</w:t>
            </w:r>
          </w:p>
        </w:tc>
      </w:tr>
      <w:tr>
        <w:trPr>
          <w:cantSplit/>
        </w:trPr>
        <w:tc>
          <w:tcPr>
            <w:tcW w:w="1690" w:type="dxa"/>
          </w:tcPr>
          <w:p>
            <w:pPr>
              <w:spacing w:line="276" w:lineRule="auto"/>
            </w:pPr>
            <w:r>
              <w:rPr>
                <w:rFonts w:eastAsia="Calibri"/>
              </w:rPr>
              <w:t>Target groups</w:t>
            </w:r>
          </w:p>
        </w:tc>
        <w:tc>
          <w:tcPr>
            <w:tcW w:w="3546" w:type="dxa"/>
          </w:tcPr>
          <w:p>
            <w:pPr>
              <w:spacing w:line="276" w:lineRule="auto"/>
            </w:pPr>
            <w:r>
              <w:rPr>
                <w:rFonts w:eastAsia="Calibri"/>
              </w:rPr>
              <w:t>Young people, educators, parents and vulnerable groups</w:t>
            </w:r>
          </w:p>
        </w:tc>
        <w:tc>
          <w:tcPr>
            <w:tcW w:w="4504" w:type="dxa"/>
          </w:tcPr>
          <w:p>
            <w:pPr>
              <w:spacing w:line="276" w:lineRule="auto"/>
            </w:pPr>
            <w:r>
              <w:rPr>
                <w:rFonts w:eastAsia="Calibri"/>
              </w:rPr>
              <w:t>K-12 teachers, university students and academic staff</w:t>
            </w:r>
          </w:p>
        </w:tc>
      </w:tr>
      <w:tr>
        <w:trPr>
          <w:cantSplit/>
        </w:trPr>
        <w:tc>
          <w:tcPr>
            <w:tcW w:w="1690" w:type="dxa"/>
          </w:tcPr>
          <w:p>
            <w:pPr>
              <w:spacing w:line="276" w:lineRule="auto"/>
            </w:pPr>
            <w:r>
              <w:rPr>
                <w:rFonts w:eastAsia="Calibri"/>
              </w:rPr>
              <w:t>AI skills target</w:t>
            </w:r>
          </w:p>
        </w:tc>
        <w:tc>
          <w:tcPr>
            <w:tcW w:w="3546" w:type="dxa"/>
          </w:tcPr>
          <w:p>
            <w:pPr>
              <w:spacing w:line="276" w:lineRule="auto"/>
            </w:pPr>
            <w:r>
              <w:rPr>
                <w:rFonts w:eastAsia="Calibri"/>
              </w:rPr>
              <w:t>Foundational AI literacy, including responsible use, for 5.5 million people</w:t>
            </w:r>
          </w:p>
        </w:tc>
        <w:tc>
          <w:tcPr>
            <w:tcW w:w="4504" w:type="dxa"/>
          </w:tcPr>
          <w:p>
            <w:pPr>
              <w:spacing w:line="276" w:lineRule="auto"/>
            </w:pPr>
            <w:r>
              <w:rPr>
                <w:rFonts w:eastAsia="Calibri"/>
              </w:rPr>
              <w:t>Applied AI skills (for teaching, research and work) for more than 1.7 million people</w:t>
            </w:r>
          </w:p>
        </w:tc>
      </w:tr>
      <w:tr>
        <w:trPr>
          <w:cantSplit/>
        </w:trPr>
        <w:tc>
          <w:tcPr>
            <w:tcW w:w="1690" w:type="dxa"/>
          </w:tcPr>
          <w:p>
            <w:pPr>
              <w:spacing w:line="276" w:lineRule="auto"/>
            </w:pPr>
            <w:r>
              <w:rPr>
                <w:rFonts w:eastAsia="Calibri"/>
              </w:rPr>
              <w:t>Results</w:t>
            </w:r>
          </w:p>
        </w:tc>
        <w:tc>
          <w:tcPr>
            <w:tcW w:w="3546" w:type="dxa"/>
          </w:tcPr>
          <w:p>
            <w:pPr>
              <w:spacing w:line="276" w:lineRule="auto"/>
            </w:pPr>
            <w:r>
              <w:rPr>
                <w:rFonts w:eastAsia="Calibri"/>
              </w:rPr>
              <w:t>Reach: more than 5 million; Master Trainers: more than 3,000; in-depth course completion: more than 100,000 (February 2026)</w:t>
            </w:r>
          </w:p>
        </w:tc>
        <w:tc>
          <w:tcPr>
            <w:tcW w:w="4504" w:type="dxa"/>
          </w:tcPr>
          <w:p>
            <w:pPr>
              <w:spacing w:line="276" w:lineRule="auto"/>
            </w:pPr>
            <w:r>
              <w:rPr>
                <w:rFonts w:eastAsia="Calibri"/>
              </w:rPr>
              <w:t>Launch stage</w:t>
            </w:r>
          </w:p>
        </w:tc>
      </w:tr>
      <w:tr>
        <w:trPr>
          <w:cantSplit/>
        </w:trPr>
        <w:tc>
          <w:tcPr>
            <w:tcW w:w="1690" w:type="dxa"/>
          </w:tcPr>
          <w:p>
            <w:pPr>
              <w:spacing w:line="276" w:lineRule="auto"/>
            </w:pPr>
            <w:r>
              <w:rPr>
                <w:rFonts w:eastAsia="Calibri"/>
              </w:rPr>
              <w:t>Institutional status</w:t>
            </w:r>
          </w:p>
        </w:tc>
        <w:tc>
          <w:tcPr>
            <w:tcW w:w="3546" w:type="dxa"/>
          </w:tcPr>
          <w:p>
            <w:pPr>
              <w:spacing w:line="276" w:lineRule="auto"/>
            </w:pPr>
            <w:r>
              <w:rPr>
                <w:rFonts w:eastAsia="Calibri"/>
              </w:rPr>
              <w:t>Foundation programme</w:t>
            </w:r>
          </w:p>
        </w:tc>
        <w:tc>
          <w:tcPr>
            <w:tcW w:w="4504" w:type="dxa"/>
          </w:tcPr>
          <w:p>
            <w:pPr>
              <w:spacing w:line="276" w:lineRule="auto"/>
            </w:pPr>
            <w:r>
              <w:rPr>
                <w:rFonts w:eastAsia="Calibri"/>
              </w:rPr>
              <w:t>Endorsed by the 21st ASEAN Senior Officials Meeting on Education (SOM-ED, September 2026); implementation coordinated with member states' ministries of education</w:t>
            </w:r>
          </w:p>
        </w:tc>
      </w:tr>
    </w:tbl>
    <w:p>
      <w:pPr>
        <w:spacing w:after="60" w:line="120" w:lineRule="auto"/>
      </w:pPr>
    </w:p>
    <w:p>
      <w:pPr>
        <w:keepNext/>
        <w:spacing w:before="220" w:after="110" w:line="300" w:lineRule="auto"/>
      </w:pPr>
      <w:r>
        <w:rPr>
          <w:rFonts w:eastAsia="Calibri"/>
          <w:b/>
          <w:bCs/>
          <w:color w:val="0F63A8"/>
          <w:sz w:val="22"/>
          <w:szCs w:val="22"/>
        </w:rPr>
        <w:t>2.2 AIM ASEAN: AI Adoption by MSMEs</w:t>
      </w:r>
    </w:p>
    <w:p>
      <w:pPr>
        <w:spacing w:after="120" w:line="336" w:lineRule="auto"/>
        <w:jc w:val="both"/>
      </w:pPr>
      <w:r>
        <w:rPr>
          <w:rFonts w:eastAsia="Calibri"/>
        </w:rPr>
        <w:t>AIM ASEAN (AI for MSME Advancement in ASEAN) helps MSMEs put AI to practical use in their operations. Where the industrial application of AI is under discussion, it provides a direct evidence base.</w:t>
      </w:r>
    </w:p>
    <w:tbl>
      <w:tblPr>
        <w:tblW w:w="9740" w:type="dxa"/>
        <w:tblBorders>
          <w:top w:val="single" w:sz="4" w:space="0" w:color="C3D6E8"/>
          <w:left w:val="single" w:sz="4" w:space="0" w:color="C3D6E8"/>
          <w:bottom w:val="single" w:sz="4" w:space="0" w:color="C3D6E8"/>
          <w:right w:val="single" w:sz="4" w:space="0" w:color="C3D6E8"/>
          <w:insideH w:val="single" w:sz="4" w:space="0" w:color="C3D6E8"/>
          <w:insideV w:val="single" w:sz="4" w:space="0" w:color="C3D6E8"/>
        </w:tblBorders>
        <w:tblLayout w:type="fixed"/>
        <w:tblCellMar>
          <w:top w:w="90" w:type="dxa"/>
          <w:left w:w="106" w:type="dxa"/>
          <w:bottom w:w="90" w:type="dxa"/>
          <w:right w:w="106" w:type="dxa"/>
        </w:tblCellMar>
        <w:tblLook w:val="04A0" w:firstRow="1" w:lastRow="0" w:firstColumn="1" w:lastColumn="0" w:noHBand="0" w:noVBand="1"/>
      </w:tblPr>
      <w:tblGrid>
        <w:gridCol w:w="1250"/>
        <w:gridCol w:w="8490"/>
      </w:tblGrid>
      <w:tr>
        <w:trPr>
          <w:tblHeader/>
        </w:trPr>
        <w:tc>
          <w:tcPr>
            <w:tcW w:w="1250" w:type="dxa"/>
            <w:shd w:val="clear" w:color="auto" w:fill="00498F"/>
          </w:tcPr>
          <w:p>
            <w:pPr>
              <w:spacing w:line="276" w:lineRule="auto"/>
            </w:pPr>
            <w:r>
              <w:rPr>
                <w:rFonts w:eastAsia="Calibri"/>
                <w:b/>
                <w:bCs/>
                <w:color w:val="FFFFFF"/>
              </w:rPr>
              <w:t>Item</w:t>
            </w:r>
          </w:p>
        </w:tc>
        <w:tc>
          <w:tcPr>
            <w:tcW w:w="8490" w:type="dxa"/>
            <w:shd w:val="clear" w:color="auto" w:fill="00498F"/>
          </w:tcPr>
          <w:p>
            <w:pPr>
              <w:spacing w:line="276" w:lineRule="auto"/>
            </w:pPr>
            <w:r>
              <w:rPr>
                <w:rFonts w:eastAsia="Calibri"/>
                <w:b/>
                <w:bCs/>
                <w:color w:val="FFFFFF"/>
              </w:rPr>
              <w:t>Details</w:t>
            </w:r>
          </w:p>
        </w:tc>
      </w:tr>
      <w:tr>
        <w:trPr>
          <w:cantSplit/>
        </w:trPr>
        <w:tc>
          <w:tcPr>
            <w:tcW w:w="1250" w:type="dxa"/>
          </w:tcPr>
          <w:p>
            <w:pPr>
              <w:spacing w:line="276" w:lineRule="auto"/>
            </w:pPr>
            <w:r>
              <w:rPr>
                <w:rFonts w:eastAsia="Calibri"/>
              </w:rPr>
              <w:t>Structure</w:t>
            </w:r>
          </w:p>
        </w:tc>
        <w:tc>
          <w:tcPr>
            <w:tcW w:w="8490" w:type="dxa"/>
          </w:tcPr>
          <w:p>
            <w:pPr>
              <w:spacing w:line="276" w:lineRule="auto"/>
            </w:pPr>
            <w:r>
              <w:rPr>
                <w:rFonts w:eastAsia="Calibri"/>
              </w:rPr>
              <w:t>Led by the ASEAN Foundation (regional implementing organisation), with AVPN as partner. Draws on the AI Opportunity Fund: Asia-Pacific (supported by Google.org and the ADB). Endorsed by the ASEAN Coordinating Committee on MSMEs (ACCMSME); the date of endorsement and the supporting document are not confirmed in public sources</w:t>
            </w:r>
          </w:p>
        </w:tc>
      </w:tr>
      <w:tr>
        <w:trPr>
          <w:cantSplit/>
        </w:trPr>
        <w:tc>
          <w:tcPr>
            <w:tcW w:w="1250" w:type="dxa"/>
          </w:tcPr>
          <w:p>
            <w:pPr>
              <w:spacing w:line="276" w:lineRule="auto"/>
            </w:pPr>
            <w:r>
              <w:rPr>
                <w:rFonts w:eastAsia="Calibri"/>
              </w:rPr>
              <w:t>Scale</w:t>
            </w:r>
          </w:p>
        </w:tc>
        <w:tc>
          <w:tcPr>
            <w:tcW w:w="8490" w:type="dxa"/>
          </w:tcPr>
          <w:p>
            <w:pPr>
              <w:spacing w:line="276" w:lineRule="auto"/>
            </w:pPr>
            <w:r>
              <w:rPr>
                <w:rFonts w:eastAsia="Calibri"/>
              </w:rPr>
              <w:t>Two-year programme targeting 100,000 MSMEs across the region, according to the report of the Singapore local implementing partner (LIP); how this relates to the figure of 120,000 given in other sources is not confirmed. Nine local partners announced in October 2025</w:t>
            </w:r>
          </w:p>
        </w:tc>
      </w:tr>
      <w:tr>
        <w:trPr>
          <w:cantSplit/>
        </w:trPr>
        <w:tc>
          <w:tcPr>
            <w:tcW w:w="1250" w:type="dxa"/>
          </w:tcPr>
          <w:p>
            <w:pPr>
              <w:spacing w:line="276" w:lineRule="auto"/>
            </w:pPr>
            <w:r>
              <w:rPr>
                <w:rFonts w:eastAsia="Calibri"/>
              </w:rPr>
              <w:t>AI training content</w:t>
            </w:r>
          </w:p>
        </w:tc>
        <w:tc>
          <w:tcPr>
            <w:tcW w:w="8490" w:type="dxa"/>
          </w:tcPr>
          <w:p>
            <w:pPr>
              <w:spacing w:line="276" w:lineRule="auto"/>
            </w:pPr>
            <w:r>
              <w:rPr>
                <w:rFonts w:eastAsia="Calibri"/>
              </w:rPr>
              <w:t>Practical AI for operational efficiency, online sales and financial management</w:t>
            </w:r>
          </w:p>
        </w:tc>
      </w:tr>
      <w:tr>
        <w:trPr>
          <w:cantSplit/>
        </w:trPr>
        <w:tc>
          <w:tcPr>
            <w:tcW w:w="1250" w:type="dxa"/>
          </w:tcPr>
          <w:p>
            <w:pPr>
              <w:spacing w:line="276" w:lineRule="auto"/>
            </w:pPr>
            <w:r>
              <w:rPr>
                <w:rFonts w:eastAsia="Calibri"/>
              </w:rPr>
              <w:t>Policy dialogue</w:t>
            </w:r>
          </w:p>
        </w:tc>
        <w:tc>
          <w:tcPr>
            <w:tcW w:w="8490" w:type="dxa"/>
          </w:tcPr>
          <w:p>
            <w:pPr>
              <w:spacing w:line="276" w:lineRule="auto"/>
            </w:pPr>
            <w:r>
              <w:rPr>
                <w:rFonts w:eastAsia="Calibri"/>
              </w:rPr>
              <w:t>Planned: 10 national roundtables (National Policy Convenings) and one regional policy meeting. Held: the Philippines (7 May 2026), Indonesia (8 July 2026) and Singapore (15 September 2026)</w:t>
            </w:r>
          </w:p>
        </w:tc>
      </w:tr>
      <w:tr>
        <w:trPr>
          <w:cantSplit/>
        </w:trPr>
        <w:tc>
          <w:tcPr>
            <w:tcW w:w="1250" w:type="dxa"/>
          </w:tcPr>
          <w:p>
            <w:pPr>
              <w:spacing w:line="276" w:lineRule="auto"/>
            </w:pPr>
            <w:r>
              <w:rPr>
                <w:rFonts w:eastAsia="Calibri"/>
              </w:rPr>
              <w:t>Results</w:t>
            </w:r>
          </w:p>
        </w:tc>
        <w:tc>
          <w:tcPr>
            <w:tcW w:w="8490" w:type="dxa"/>
          </w:tcPr>
          <w:p>
            <w:pPr>
              <w:spacing w:line="276" w:lineRule="auto"/>
            </w:pPr>
            <w:r>
              <w:rPr>
                <w:rFonts w:eastAsia="Calibri"/>
              </w:rPr>
              <w:t>Indonesia: 16,037 MSMEs reached (32 provinces; women made up 62.2 per cent of participants; July 2026; preliminary count by the local partner). Singapore: more than 1,500 reached (target: 3,000; count as of July 2026). Regional cumulative total not published. The Singapore LIP report notes that such figures are not evidence of sustained business integration</w:t>
            </w:r>
          </w:p>
        </w:tc>
      </w:tr>
    </w:tbl>
    <w:p>
      <w:pPr>
        <w:spacing w:after="60" w:line="120" w:lineRule="auto"/>
      </w:pPr>
    </w:p>
    <w:p>
      <w:pPr>
        <w:keepNext/>
        <w:spacing w:before="220" w:after="110" w:line="300" w:lineRule="auto"/>
      </w:pPr>
      <w:r>
        <w:rPr>
          <w:rFonts w:eastAsia="Calibri"/>
          <w:b/>
          <w:bCs/>
          <w:color w:val="0F63A8"/>
          <w:sz w:val="22"/>
          <w:szCs w:val="22"/>
        </w:rPr>
        <w:t>2.3 AI Assets: Delivery, Content and Evidence</w:t>
      </w:r>
    </w:p>
    <w:p>
      <w:pPr>
        <w:spacing w:after="120" w:line="336" w:lineRule="auto"/>
        <w:jc w:val="both"/>
      </w:pPr>
      <w:r>
        <w:rPr>
          <w:rFonts w:eastAsia="Calibri"/>
        </w:rPr>
        <w:t>Three AI assets underpin the Foundation's contribution. Of these, the scarcest in discussions of AI cooperation is the third: field data on AI readiness.</w:t>
      </w:r>
    </w:p>
    <w:p>
      <w:pPr>
        <w:pStyle w:val="a4"/>
        <w:numPr>
          <w:ilvl w:val="0"/>
          <w:numId w:val="4"/>
        </w:numPr>
        <w:spacing w:after="60" w:line="336" w:lineRule="auto"/>
        <w:jc w:val="both"/>
      </w:pPr>
      <w:r>
        <w:rPr>
          <w:rFonts w:eastAsia="Calibri"/>
          <w:b/>
          <w:bCs/>
        </w:rPr>
        <w:t>Delivery (AI trainer network)</w:t>
      </w:r>
      <w:r>
        <w:rPr>
          <w:rFonts w:eastAsia="Calibri"/>
        </w:rPr>
        <w:t>: Under AI Ready ASEAN, more than 3,000 Master Trainers and a local implementing partner (LIP) in each member state; under AIM ASEAN, nine local partners. These are the channels that carry AI training all the way to schools, local communities and small businesses.</w:t>
      </w:r>
    </w:p>
    <w:p>
      <w:pPr>
        <w:pStyle w:val="a4"/>
        <w:numPr>
          <w:ilvl w:val="0"/>
          <w:numId w:val="4"/>
        </w:numPr>
        <w:spacing w:after="60" w:line="336" w:lineRule="auto"/>
        <w:jc w:val="both"/>
      </w:pPr>
      <w:r>
        <w:rPr>
          <w:rFonts w:eastAsia="Calibri"/>
          <w:b/>
          <w:bCs/>
        </w:rPr>
        <w:t>Content (including AI Class ASEAN)</w:t>
      </w:r>
      <w:r>
        <w:rPr>
          <w:rFonts w:eastAsia="Calibri"/>
        </w:rPr>
        <w:t>: AI Class ASEAN, a free AI learning platform, was launched in August 2025. It offers 25 topics and 70 modules in member states' languages, including modules on AI ethics, privacy and misinformation, and features an AI chatbot and real-time translation. Sources differ on the number of languages supported: the announcement gives 10, the platform lists 9. Under AIM ASEAN, local partners develop AI training courses for MSMEs in each country.</w:t>
      </w:r>
    </w:p>
    <w:p>
      <w:pPr>
        <w:pStyle w:val="a4"/>
        <w:numPr>
          <w:ilvl w:val="0"/>
          <w:numId w:val="4"/>
        </w:numPr>
        <w:spacing w:after="120" w:line="336" w:lineRule="auto"/>
        <w:jc w:val="both"/>
      </w:pPr>
      <w:r>
        <w:rPr>
          <w:rFonts w:eastAsia="Calibri"/>
          <w:b/>
          <w:bCs/>
        </w:rPr>
        <w:t>Evidence (AI readiness data)</w:t>
      </w:r>
      <w:r>
        <w:rPr>
          <w:rFonts w:eastAsia="Calibri"/>
        </w:rPr>
        <w:t>: AI Ready ASEAN Research (2026) found that 72.4 per cent of students and 70.5 per cent of educators had never taken an AI course. Educators' measured AI literacy fell short of their confidence, while students overestimated their own skills. Institutional readiness was lowest, and the urban–rural gap was also pronounced. On the MSME side, the National Policy Convenings in Singapore and Indonesia pointed to a gap between awareness and use of AI, uncertainty about where to start and where to apply it, a shortage of 'AI-bilingual' talent, and gaps in digital and financial literacy. For Singapore, the local implementing partner's internal report sets out structured findings (see 2.4).</w:t>
      </w:r>
    </w:p>
    <w:p>
      <w:pPr>
        <w:spacing w:after="120" w:line="336" w:lineRule="auto"/>
        <w:jc w:val="both"/>
      </w:pPr>
      <w:r>
        <w:rPr>
          <w:rFonts w:eastAsia="Calibri"/>
          <w:b/>
          <w:bCs/>
          <w:color w:val="0F63A8"/>
        </w:rPr>
        <w:t>[Assessment]</w:t>
      </w:r>
      <w:r>
        <w:rPr>
          <w:rFonts w:eastAsia="Calibri"/>
        </w:rPr>
        <w:t xml:space="preserve"> The Foundation is one of the few institutions to hold both kinds of evidence: research that measures the AI readiness of teachers and students, and field records of the barriers MSMEs face in adopting AI, gathered through policy dialogues in member states. It can therefore put forward evidence on what AI cooperation programmes should teach, and to whom.</w:t>
      </w:r>
    </w:p>
    <w:p>
      <w:pPr>
        <w:keepNext/>
        <w:spacing w:before="220" w:after="110" w:line="300" w:lineRule="auto"/>
      </w:pPr>
      <w:r>
        <w:rPr>
          <w:rFonts w:eastAsia="Calibri"/>
          <w:b/>
          <w:bCs/>
          <w:color w:val="0F63A8"/>
          <w:sz w:val="22"/>
          <w:szCs w:val="22"/>
        </w:rPr>
        <w:t>2.4 The Singapore National Policy Convening: What It Showed</w:t>
      </w:r>
    </w:p>
    <w:p>
      <w:pPr>
        <w:spacing w:after="120" w:line="336" w:lineRule="auto"/>
        <w:jc w:val="both"/>
      </w:pPr>
      <w:r>
        <w:rPr>
          <w:rFonts w:eastAsia="Calibri"/>
        </w:rPr>
        <w:t>Of AIM ASEAN's policy dialogues, the Singapore Convening on 15 September 2026 is one whose outcomes have been systematically documented in an internal report. The summary below draws on the review notes of the local implementing partner, Project Asia Data (BlackStorm Group), and on its final report (internal material; submission date of the final version not yet fixed). Ilan Asqolani delivered the closing remarks for the Foundation.</w:t>
      </w:r>
    </w:p>
    <w:tbl>
      <w:tblPr>
        <w:tblW w:w="9740" w:type="dxa"/>
        <w:tblBorders>
          <w:top w:val="single" w:sz="4" w:space="0" w:color="C3D6E8"/>
          <w:left w:val="single" w:sz="4" w:space="0" w:color="C3D6E8"/>
          <w:bottom w:val="single" w:sz="4" w:space="0" w:color="C3D6E8"/>
          <w:right w:val="single" w:sz="4" w:space="0" w:color="C3D6E8"/>
          <w:insideH w:val="single" w:sz="4" w:space="0" w:color="C3D6E8"/>
          <w:insideV w:val="single" w:sz="4" w:space="0" w:color="C3D6E8"/>
        </w:tblBorders>
        <w:tblLayout w:type="fixed"/>
        <w:tblCellMar>
          <w:top w:w="90" w:type="dxa"/>
          <w:left w:w="106" w:type="dxa"/>
          <w:bottom w:w="90" w:type="dxa"/>
          <w:right w:w="106" w:type="dxa"/>
        </w:tblCellMar>
        <w:tblLook w:val="04A0" w:firstRow="1" w:lastRow="0" w:firstColumn="1" w:lastColumn="0" w:noHBand="0" w:noVBand="1"/>
      </w:tblPr>
      <w:tblGrid>
        <w:gridCol w:w="1910"/>
        <w:gridCol w:w="7830"/>
      </w:tblGrid>
      <w:tr>
        <w:trPr>
          <w:tblHeader/>
        </w:trPr>
        <w:tc>
          <w:tcPr>
            <w:tcW w:w="1910" w:type="dxa"/>
            <w:shd w:val="clear" w:color="auto" w:fill="00498F"/>
          </w:tcPr>
          <w:p>
            <w:pPr>
              <w:spacing w:line="276" w:lineRule="auto"/>
            </w:pPr>
            <w:r>
              <w:rPr>
                <w:rFonts w:eastAsia="Calibri"/>
                <w:b/>
                <w:bCs/>
                <w:color w:val="FFFFFF"/>
              </w:rPr>
              <w:t>Item</w:t>
            </w:r>
          </w:p>
        </w:tc>
        <w:tc>
          <w:tcPr>
            <w:tcW w:w="7830" w:type="dxa"/>
            <w:shd w:val="clear" w:color="auto" w:fill="00498F"/>
          </w:tcPr>
          <w:p>
            <w:pPr>
              <w:spacing w:line="276" w:lineRule="auto"/>
            </w:pPr>
            <w:r>
              <w:rPr>
                <w:rFonts w:eastAsia="Calibri"/>
                <w:b/>
                <w:bCs/>
                <w:color w:val="FFFFFF"/>
              </w:rPr>
              <w:t>Details</w:t>
            </w:r>
          </w:p>
        </w:tc>
      </w:tr>
      <w:tr>
        <w:trPr>
          <w:cantSplit/>
        </w:trPr>
        <w:tc>
          <w:tcPr>
            <w:tcW w:w="1910" w:type="dxa"/>
          </w:tcPr>
          <w:p>
            <w:pPr>
              <w:spacing w:line="276" w:lineRule="auto"/>
            </w:pPr>
            <w:r>
              <w:rPr>
                <w:rFonts w:eastAsia="Calibri"/>
              </w:rPr>
              <w:t>Overview</w:t>
            </w:r>
          </w:p>
        </w:tc>
        <w:tc>
          <w:tcPr>
            <w:tcW w:w="7830" w:type="dxa"/>
          </w:tcPr>
          <w:p>
            <w:pPr>
              <w:spacing w:line="276" w:lineRule="auto"/>
            </w:pPr>
            <w:r>
              <w:rPr>
                <w:rFonts w:eastAsia="Calibri"/>
              </w:rPr>
              <w:t>Singapore Polytechnic Convention Centre; by invitation only; 189 registered participants. Held in collaboration with Singapore Polytechnic, the ASEAN Foundation (regional implementing organisation) and programme partners Google.org, AVPN and the ADB. Participants came from government and regional bodies (Enterprise Singapore, the ASEAN Secretariat), industry (ASME), education and talent institutions (Singapore Polytechnic, SGInnovate), and technology and practitioner communities (Singapore AI Association, The AI Capitol)</w:t>
            </w:r>
          </w:p>
        </w:tc>
      </w:tr>
      <w:tr>
        <w:trPr>
          <w:cantSplit/>
        </w:trPr>
        <w:tc>
          <w:tcPr>
            <w:tcW w:w="1910" w:type="dxa"/>
          </w:tcPr>
          <w:p>
            <w:pPr>
              <w:spacing w:line="276" w:lineRule="auto"/>
            </w:pPr>
            <w:r>
              <w:rPr>
                <w:rFonts w:eastAsia="Calibri"/>
              </w:rPr>
              <w:t>Key summaries</w:t>
            </w:r>
          </w:p>
        </w:tc>
        <w:tc>
          <w:tcPr>
            <w:tcW w:w="7830" w:type="dxa"/>
          </w:tcPr>
          <w:p>
            <w:pPr>
              <w:spacing w:line="276" w:lineRule="auto"/>
            </w:pPr>
            <w:r>
              <w:rPr>
                <w:rFonts w:eastAsia="Calibri"/>
              </w:rPr>
              <w:t>① Link training to implementation ② Build AI-bilingual teams ③ Measure responsible use and business outcomes</w:t>
            </w:r>
          </w:p>
        </w:tc>
      </w:tr>
      <w:tr>
        <w:trPr>
          <w:cantSplit/>
        </w:trPr>
        <w:tc>
          <w:tcPr>
            <w:tcW w:w="1910" w:type="dxa"/>
          </w:tcPr>
          <w:p>
            <w:pPr>
              <w:spacing w:line="276" w:lineRule="auto"/>
            </w:pPr>
            <w:r>
              <w:rPr>
                <w:rFonts w:eastAsia="Calibri"/>
              </w:rPr>
              <w:t>Diagnosis</w:t>
            </w:r>
          </w:p>
        </w:tc>
        <w:tc>
          <w:tcPr>
            <w:tcW w:w="7830" w:type="dxa"/>
          </w:tcPr>
          <w:p>
            <w:pPr>
              <w:spacing w:line="276" w:lineRule="auto"/>
            </w:pPr>
            <w:r>
              <w:rPr>
                <w:rFonts w:eastAsia="Calibri"/>
              </w:rPr>
              <w:t>Access to tools is not the same as business integration. Readiness comprises clarity of leadership, usable data, suitable workflows, staff capability and the capacity to evaluate outcomes. The core gap lies between a strong policy and support environment and MSMEs' ability to integrate AI into their day-to-day operations; support breaks off between the stages of awareness, experimentation, implementation and scaling</w:t>
            </w:r>
          </w:p>
        </w:tc>
      </w:tr>
      <w:tr>
        <w:trPr>
          <w:cantSplit/>
        </w:trPr>
        <w:tc>
          <w:tcPr>
            <w:tcW w:w="1910" w:type="dxa"/>
          </w:tcPr>
          <w:p>
            <w:pPr>
              <w:spacing w:line="276" w:lineRule="auto"/>
            </w:pPr>
            <w:r>
              <w:rPr>
                <w:rFonts w:eastAsia="Calibri"/>
              </w:rPr>
              <w:t>Barriers</w:t>
            </w:r>
          </w:p>
        </w:tc>
        <w:tc>
          <w:tcPr>
            <w:tcW w:w="7830" w:type="dxa"/>
          </w:tcPr>
          <w:p>
            <w:pPr>
              <w:spacing w:line="276" w:lineRule="auto"/>
            </w:pPr>
            <w:r>
              <w:rPr>
                <w:rFonts w:eastAsia="Calibri"/>
              </w:rPr>
              <w:t>Uncertainty about why to invest and where to use AI; fragmented data; lack of in-house capability; the opportunity cost of failed experiments; total costs beyond subscription fees (learning time, data preparation, systems integration, cybersecurity, change management); rapid model change; staff anxiety and competition with large firms for talent; privacy, security and data sovereignty. Micro enterprises are especially constrained by time, technology literacy and experimentation budgets</w:t>
            </w:r>
          </w:p>
        </w:tc>
      </w:tr>
      <w:tr>
        <w:trPr>
          <w:cantSplit/>
        </w:trPr>
        <w:tc>
          <w:tcPr>
            <w:tcW w:w="1910" w:type="dxa"/>
          </w:tcPr>
          <w:p>
            <w:pPr>
              <w:spacing w:line="276" w:lineRule="auto"/>
            </w:pPr>
            <w:r>
              <w:rPr>
                <w:rFonts w:eastAsia="Calibri"/>
              </w:rPr>
              <w:t>Technology choices</w:t>
            </w:r>
          </w:p>
        </w:tc>
        <w:tc>
          <w:tcPr>
            <w:tcW w:w="7830" w:type="dxa"/>
          </w:tcPr>
          <w:p>
            <w:pPr>
              <w:spacing w:line="276" w:lineRule="auto"/>
            </w:pPr>
            <w:r>
              <w:rPr>
                <w:rFonts w:eastAsia="Calibri"/>
              </w:rPr>
              <w:t>Local and open-source models were raised where data control matters, and familiar commercial tools as a way of lowering barriers to entry; there was no universal preference for any one type of model. It was also pointed out that the number of agents deployed is not a measure of value</w:t>
            </w:r>
          </w:p>
        </w:tc>
      </w:tr>
      <w:tr>
        <w:trPr>
          <w:cantSplit/>
        </w:trPr>
        <w:tc>
          <w:tcPr>
            <w:tcW w:w="1910" w:type="dxa"/>
          </w:tcPr>
          <w:p>
            <w:pPr>
              <w:spacing w:line="276" w:lineRule="auto"/>
            </w:pPr>
            <w:r>
              <w:rPr>
                <w:rFonts w:eastAsia="Calibri"/>
              </w:rPr>
              <w:t>Preliminary policy directions</w:t>
            </w:r>
          </w:p>
        </w:tc>
        <w:tc>
          <w:tcPr>
            <w:tcW w:w="7830" w:type="dxa"/>
          </w:tcPr>
          <w:p>
            <w:pPr>
              <w:spacing w:line="276" w:lineRule="auto"/>
            </w:pPr>
            <w:r>
              <w:rPr>
                <w:rFonts w:eastAsia="Calibri"/>
              </w:rPr>
              <w:t>Linking capacity building to deployment; treating workforce transition as part of adoption; proportionate and responsible experimentation; measuring sustained use and business value; delivery through trusted networks. These are not new funding commitments or formal policy decisions</w:t>
            </w:r>
          </w:p>
        </w:tc>
      </w:tr>
      <w:tr>
        <w:trPr>
          <w:cantSplit/>
        </w:trPr>
        <w:tc>
          <w:tcPr>
            <w:tcW w:w="1910" w:type="dxa"/>
          </w:tcPr>
          <w:p>
            <w:pPr>
              <w:spacing w:line="276" w:lineRule="auto"/>
            </w:pPr>
            <w:r>
              <w:rPr>
                <w:rFonts w:eastAsia="Calibri"/>
              </w:rPr>
              <w:t>Implications for ASEAN</w:t>
            </w:r>
          </w:p>
        </w:tc>
        <w:tc>
          <w:tcPr>
            <w:tcW w:w="7830" w:type="dxa"/>
          </w:tcPr>
          <w:p>
            <w:pPr>
              <w:spacing w:line="276" w:lineRule="auto"/>
            </w:pPr>
            <w:r>
              <w:rPr>
                <w:rFonts w:eastAsia="Calibri"/>
              </w:rPr>
              <w:t>The awareness–implementation gap is an ecosystem problem. Workforce capability and responsible use must go hand in hand with technology. Regional learning must allow for adaptation to individual markets. A phased pathway of awareness → low-risk adoption → process transformation could serve as a common direction, with case exchanges covering the business problem, data requirements, costs, workforce change, risks and results. The closing remarks linked AIM ASEAN to the ASEAN Economic Community Strategic Plan 2030 and the Strategic Action Plan on MSME Development 2026–2030</w:t>
            </w:r>
          </w:p>
        </w:tc>
      </w:tr>
      <w:tr>
        <w:trPr>
          <w:cantSplit/>
        </w:trPr>
        <w:tc>
          <w:tcPr>
            <w:tcW w:w="1910" w:type="dxa"/>
          </w:tcPr>
          <w:p>
            <w:pPr>
              <w:spacing w:line="276" w:lineRule="auto"/>
            </w:pPr>
            <w:r>
              <w:rPr>
                <w:rFonts w:eastAsia="Calibri"/>
              </w:rPr>
              <w:t>Recommendations to the Foundation</w:t>
            </w:r>
          </w:p>
        </w:tc>
        <w:tc>
          <w:tcPr>
            <w:tcW w:w="7830" w:type="dxa"/>
          </w:tcPr>
          <w:p>
            <w:pPr>
              <w:spacing w:line="276" w:lineRule="auto"/>
            </w:pPr>
            <w:r>
              <w:rPr>
                <w:rFonts w:eastAsia="Calibri"/>
              </w:rPr>
              <w:t>A common 'after training' pathway for local partners to adapt; case exchanges that include barriers to implementation; templates for data readiness, responsible use and outcome tracking. In regional reporting, distinguish reach, business integration and verified outcomes. Recognise the diversity of MSMEs, such as rural businesses and entrepreneurs with disabilities, and do not assume that every business needs AI for every function</w:t>
            </w:r>
          </w:p>
        </w:tc>
      </w:tr>
      <w:tr>
        <w:trPr>
          <w:cantSplit/>
        </w:trPr>
        <w:tc>
          <w:tcPr>
            <w:tcW w:w="1910" w:type="dxa"/>
          </w:tcPr>
          <w:p>
            <w:pPr>
              <w:spacing w:line="276" w:lineRule="auto"/>
            </w:pPr>
            <w:r>
              <w:rPr>
                <w:rFonts w:eastAsia="Calibri"/>
              </w:rPr>
              <w:t>Next steps (proposed)</w:t>
            </w:r>
          </w:p>
        </w:tc>
        <w:tc>
          <w:tcPr>
            <w:tcW w:w="7830" w:type="dxa"/>
          </w:tcPr>
          <w:p>
            <w:pPr>
              <w:spacing w:line="276" w:lineRule="auto"/>
            </w:pPr>
            <w:r>
              <w:rPr>
                <w:rFonts w:eastAsia="Calibri"/>
              </w:rPr>
              <w:t>Mapping training-to-implementation pathways (October–November 2026); tracking sustained use and exchanging cases (baseline Q4 2026, review Q1 2027; support requested from the Foundation: common outcome indicators and a regional sharing channel); clinics and peer learning after training; sector-specific training (manufacturing, wholesale, logistics). All are conditional on partner agreement</w:t>
            </w:r>
          </w:p>
        </w:tc>
      </w:tr>
    </w:tbl>
    <w:p>
      <w:pPr>
        <w:spacing w:after="60" w:line="120" w:lineRule="auto"/>
      </w:pPr>
    </w:p>
    <w:p>
      <w:pPr>
        <w:spacing w:after="120" w:line="336" w:lineRule="auto"/>
        <w:jc w:val="both"/>
      </w:pPr>
      <w:r>
        <w:rPr>
          <w:rFonts w:eastAsia="Calibri"/>
          <w:b/>
          <w:bCs/>
          <w:color w:val="0F63A8"/>
        </w:rPr>
        <w:t>[Assessment]</w:t>
      </w:r>
      <w:r>
        <w:rPr>
          <w:rFonts w:eastAsia="Calibri"/>
        </w:rPr>
        <w:t xml:space="preserve"> These findings matter for three reasons. First, they document from the field that, even in an ecosystem with strong policy and support, the bottleneck lies 'after training'. Second, the role the Foundation would play (a common pathway, outcome indicators, case exchanges) is set out in the partner's recommendations (subject to agreement), so the contribution it would offer the Chinese side is not an abstract proposal but builds on follow-up work the partner has already proposed. Third, the record that there was no single preference for any type of model provides field evidence for the principle of technology neutrality. As the report itself points out, however, Singapore has a strong institutional ecosystem and is geographically small. Any generalisation must also draw on results from other countries, such as Indonesia.</w:t>
      </w:r>
    </w:p>
    <w:p>
      <w:pPr>
        <w:keepNext/>
        <w:spacing w:before="240" w:after="160" w:line="300" w:lineRule="auto"/>
      </w:pPr>
      <w:r>
        <w:rPr>
          <w:rFonts w:eastAsia="Calibri"/>
          <w:b/>
          <w:bCs/>
          <w:color w:val="00498F"/>
          <w:sz w:val="26"/>
          <w:szCs w:val="26"/>
        </w:rPr>
        <w:t>3. The Structure of ASEAN–China AI Cooperation</w:t>
      </w:r>
    </w:p>
    <w:p>
      <w:pPr>
        <w:spacing w:after="120" w:line="336" w:lineRule="auto"/>
        <w:jc w:val="both"/>
      </w:pPr>
      <w:r>
        <w:rPr>
          <w:rFonts w:eastAsia="Calibri"/>
        </w:rPr>
        <w:t>Within two years of the October 2024 Joint Statement, ASEAN–China AI cooperation has put institutions and programmes in place at almost every AI layer. China's channels, however, are divided among ministries and local governments, and the details of the AI talent programmes and the ethics and safety initiative have yet to be made public.</w:t>
      </w:r>
    </w:p>
    <w:p>
      <w:pPr>
        <w:keepNext/>
        <w:spacing w:before="220" w:after="110" w:line="300" w:lineRule="auto"/>
      </w:pPr>
      <w:r>
        <w:rPr>
          <w:rFonts w:eastAsia="Calibri"/>
          <w:b/>
          <w:bCs/>
          <w:color w:val="0F63A8"/>
          <w:sz w:val="22"/>
          <w:szCs w:val="22"/>
        </w:rPr>
        <w:t>3.1 Timeline: Key Moments in AI Cooperation</w:t>
      </w:r>
    </w:p>
    <w:tbl>
      <w:tblPr>
        <w:tblW w:w="9740" w:type="dxa"/>
        <w:tblBorders>
          <w:top w:val="single" w:sz="4" w:space="0" w:color="C3D6E8"/>
          <w:left w:val="single" w:sz="4" w:space="0" w:color="C3D6E8"/>
          <w:bottom w:val="single" w:sz="4" w:space="0" w:color="C3D6E8"/>
          <w:right w:val="single" w:sz="4" w:space="0" w:color="C3D6E8"/>
          <w:insideH w:val="single" w:sz="4" w:space="0" w:color="C3D6E8"/>
          <w:insideV w:val="single" w:sz="4" w:space="0" w:color="C3D6E8"/>
        </w:tblBorders>
        <w:tblLayout w:type="fixed"/>
        <w:tblCellMar>
          <w:top w:w="90" w:type="dxa"/>
          <w:left w:w="106" w:type="dxa"/>
          <w:bottom w:w="90" w:type="dxa"/>
          <w:right w:w="106" w:type="dxa"/>
        </w:tblCellMar>
        <w:tblLook w:val="04A0" w:firstRow="1" w:lastRow="0" w:firstColumn="1" w:lastColumn="0" w:noHBand="0" w:noVBand="1"/>
      </w:tblPr>
      <w:tblGrid>
        <w:gridCol w:w="900"/>
        <w:gridCol w:w="3455"/>
        <w:gridCol w:w="5385"/>
      </w:tblGrid>
      <w:tr>
        <w:trPr>
          <w:tblHeader/>
        </w:trPr>
        <w:tc>
          <w:tcPr>
            <w:tcW w:w="900" w:type="dxa"/>
            <w:shd w:val="clear" w:color="auto" w:fill="00498F"/>
          </w:tcPr>
          <w:p>
            <w:pPr>
              <w:spacing w:line="276" w:lineRule="auto"/>
            </w:pPr>
            <w:r>
              <w:rPr>
                <w:rFonts w:eastAsia="Calibri"/>
                <w:b/>
                <w:bCs/>
                <w:color w:val="FFFFFF"/>
              </w:rPr>
              <w:t>Date</w:t>
            </w:r>
          </w:p>
        </w:tc>
        <w:tc>
          <w:tcPr>
            <w:tcW w:w="3455" w:type="dxa"/>
            <w:shd w:val="clear" w:color="auto" w:fill="00498F"/>
          </w:tcPr>
          <w:p>
            <w:pPr>
              <w:spacing w:line="276" w:lineRule="auto"/>
            </w:pPr>
            <w:r>
              <w:rPr>
                <w:rFonts w:eastAsia="Calibri"/>
                <w:b/>
                <w:bCs/>
                <w:color w:val="FFFFFF"/>
              </w:rPr>
              <w:t>Event</w:t>
            </w:r>
          </w:p>
        </w:tc>
        <w:tc>
          <w:tcPr>
            <w:tcW w:w="5385" w:type="dxa"/>
            <w:shd w:val="clear" w:color="auto" w:fill="00498F"/>
          </w:tcPr>
          <w:p>
            <w:pPr>
              <w:spacing w:line="276" w:lineRule="auto"/>
            </w:pPr>
            <w:r>
              <w:rPr>
                <w:rFonts w:eastAsia="Calibri"/>
                <w:b/>
                <w:bCs/>
                <w:color w:val="FFFFFF"/>
              </w:rPr>
              <w:t>AI-related content</w:t>
            </w:r>
          </w:p>
        </w:tc>
      </w:tr>
      <w:tr>
        <w:trPr>
          <w:cantSplit/>
        </w:trPr>
        <w:tc>
          <w:tcPr>
            <w:tcW w:w="900" w:type="dxa"/>
          </w:tcPr>
          <w:p>
            <w:pPr>
              <w:spacing w:line="276" w:lineRule="auto"/>
            </w:pPr>
            <w:r>
              <w:rPr>
                <w:rFonts w:eastAsia="Calibri"/>
              </w:rPr>
              <w:t>Oct 2024</w:t>
            </w:r>
          </w:p>
        </w:tc>
        <w:tc>
          <w:tcPr>
            <w:tcW w:w="3455" w:type="dxa"/>
          </w:tcPr>
          <w:p>
            <w:pPr>
              <w:spacing w:line="276" w:lineRule="auto"/>
            </w:pPr>
            <w:r>
              <w:rPr>
                <w:rFonts w:eastAsia="Calibri"/>
              </w:rPr>
              <w:t xml:space="preserve">27th ASEAN–China Summit (Vientiane); </w:t>
            </w:r>
            <w:hyperlink r:id="rIdGen1" w:history="1">
              <w:r>
                <w:rPr>
                  <w:rStyle w:val="a5"/>
                  <w:rFonts w:eastAsia="Calibri"/>
                </w:rPr>
                <w:t>Joint Statement on a sustainable and inclusive digital ecosystem</w:t>
              </w:r>
            </w:hyperlink>
          </w:p>
        </w:tc>
        <w:tc>
          <w:tcPr>
            <w:tcW w:w="5385" w:type="dxa"/>
          </w:tcPr>
          <w:p>
            <w:pPr>
              <w:spacing w:line="276" w:lineRule="auto"/>
            </w:pPr>
            <w:r>
              <w:rPr>
                <w:rFonts w:eastAsia="Calibri"/>
              </w:rPr>
              <w:t>Explicitly provides for the exchange of best practices on AI principles, development, safety and governance. The starting point for leaders-level AI cooperation</w:t>
            </w:r>
          </w:p>
        </w:tc>
      </w:tr>
      <w:tr>
        <w:trPr>
          <w:cantSplit/>
        </w:trPr>
        <w:tc>
          <w:tcPr>
            <w:tcW w:w="900" w:type="dxa"/>
          </w:tcPr>
          <w:p>
            <w:pPr>
              <w:spacing w:line="276" w:lineRule="auto"/>
            </w:pPr>
            <w:r>
              <w:rPr>
                <w:rFonts w:eastAsia="Calibri"/>
              </w:rPr>
              <w:t>Dec 2024</w:t>
            </w:r>
          </w:p>
        </w:tc>
        <w:tc>
          <w:tcPr>
            <w:tcW w:w="3455" w:type="dxa"/>
          </w:tcPr>
          <w:p>
            <w:pPr>
              <w:spacing w:line="276" w:lineRule="auto"/>
            </w:pPr>
            <w:r>
              <w:rPr>
                <w:rFonts w:eastAsia="Calibri"/>
              </w:rPr>
              <w:t>CIIS–Cambodian ECOSOCC AI symposium (Phnom Penh); CIIS–CAICT report on AI cooperation</w:t>
            </w:r>
          </w:p>
        </w:tc>
        <w:tc>
          <w:tcPr>
            <w:tcW w:w="5385" w:type="dxa"/>
          </w:tcPr>
          <w:p>
            <w:pPr>
              <w:spacing w:line="276" w:lineRule="auto"/>
            </w:pPr>
            <w:r>
              <w:rPr>
                <w:rFonts w:eastAsia="Calibri"/>
              </w:rPr>
              <w:t>Start of an ASEAN AI track by the institute affiliated with China's Ministry of Foreign Affairs. Proposals cover infrastructure, AI application and innovation ecosystems, and governance dialogue</w:t>
            </w:r>
          </w:p>
        </w:tc>
      </w:tr>
      <w:tr>
        <w:trPr>
          <w:cantSplit/>
        </w:trPr>
        <w:tc>
          <w:tcPr>
            <w:tcW w:w="900" w:type="dxa"/>
          </w:tcPr>
          <w:p>
            <w:pPr>
              <w:spacing w:line="276" w:lineRule="auto"/>
            </w:pPr>
            <w:r>
              <w:rPr>
                <w:rFonts w:eastAsia="Calibri"/>
              </w:rPr>
              <w:t>Sep 2025</w:t>
            </w:r>
          </w:p>
        </w:tc>
        <w:tc>
          <w:tcPr>
            <w:tcW w:w="3455" w:type="dxa"/>
          </w:tcPr>
          <w:p>
            <w:pPr>
              <w:spacing w:line="276" w:lineRule="auto"/>
            </w:pPr>
            <w:r>
              <w:rPr>
                <w:rFonts w:eastAsia="Calibri"/>
              </w:rPr>
              <w:t>1st China–ASEAN ministerial roundtable on AI (Nanning; National Development and Reform Commission and Guangxi)</w:t>
            </w:r>
          </w:p>
        </w:tc>
        <w:tc>
          <w:tcPr>
            <w:tcW w:w="5385" w:type="dxa"/>
          </w:tcPr>
          <w:p>
            <w:pPr>
              <w:spacing w:line="276" w:lineRule="auto"/>
            </w:pPr>
            <w:r>
              <w:rPr>
                <w:rFonts w:eastAsia="Calibri"/>
              </w:rPr>
              <w:t>Groundbreaking for the China–ASEAN AI Application Cooperation Centre (Nanning); announcement of the Lao national language model, China–Lao PDR and China–Cambodia AI standards, and an ASEAN AI open-source community</w:t>
            </w:r>
          </w:p>
        </w:tc>
      </w:tr>
      <w:tr>
        <w:trPr>
          <w:cantSplit/>
        </w:trPr>
        <w:tc>
          <w:tcPr>
            <w:tcW w:w="900" w:type="dxa"/>
          </w:tcPr>
          <w:p>
            <w:pPr>
              <w:spacing w:line="276" w:lineRule="auto"/>
            </w:pPr>
            <w:r>
              <w:rPr>
                <w:rFonts w:eastAsia="Calibri"/>
              </w:rPr>
              <w:t>Sep 2025</w:t>
            </w:r>
          </w:p>
        </w:tc>
        <w:tc>
          <w:tcPr>
            <w:tcW w:w="3455" w:type="dxa"/>
          </w:tcPr>
          <w:p>
            <w:pPr>
              <w:spacing w:line="276" w:lineRule="auto"/>
            </w:pPr>
            <w:r>
              <w:rPr>
                <w:rFonts w:eastAsia="Calibri"/>
              </w:rPr>
              <w:t>Chinese Ministry of Science and Technology's three-year action plan on AI capacity building for ASEAN (2025–2027)</w:t>
            </w:r>
          </w:p>
        </w:tc>
        <w:tc>
          <w:tcPr>
            <w:tcW w:w="5385" w:type="dxa"/>
          </w:tcPr>
          <w:p>
            <w:pPr>
              <w:spacing w:line="276" w:lineRule="auto"/>
            </w:pPr>
            <w:r>
              <w:rPr>
                <w:rFonts w:eastAsia="Calibri"/>
              </w:rPr>
              <w:t>AI capacity building, talent exchanges, joint laboratories</w:t>
            </w:r>
          </w:p>
        </w:tc>
      </w:tr>
      <w:tr>
        <w:trPr>
          <w:cantSplit/>
        </w:trPr>
        <w:tc>
          <w:tcPr>
            <w:tcW w:w="900" w:type="dxa"/>
          </w:tcPr>
          <w:p>
            <w:pPr>
              <w:spacing w:line="276" w:lineRule="auto"/>
            </w:pPr>
            <w:r>
              <w:rPr>
                <w:rFonts w:eastAsia="Calibri"/>
              </w:rPr>
              <w:t>Dec 2025</w:t>
            </w:r>
          </w:p>
        </w:tc>
        <w:tc>
          <w:tcPr>
            <w:tcW w:w="3455" w:type="dxa"/>
          </w:tcPr>
          <w:p>
            <w:pPr>
              <w:spacing w:line="276" w:lineRule="auto"/>
            </w:pPr>
            <w:r>
              <w:rPr>
                <w:rFonts w:eastAsia="Calibri"/>
              </w:rPr>
              <w:t>CIIS–ISEAS joint AI symposium (Singapore)</w:t>
            </w:r>
          </w:p>
        </w:tc>
        <w:tc>
          <w:tcPr>
            <w:tcW w:w="5385" w:type="dxa"/>
          </w:tcPr>
          <w:p>
            <w:pPr>
              <w:spacing w:line="276" w:lineRule="auto"/>
            </w:pPr>
            <w:r>
              <w:rPr>
                <w:rFonts w:eastAsia="Calibri"/>
              </w:rPr>
              <w:t>Fair and responsible AI, cross-border data, AI and jobs</w:t>
            </w:r>
          </w:p>
        </w:tc>
      </w:tr>
      <w:tr>
        <w:trPr>
          <w:cantSplit/>
        </w:trPr>
        <w:tc>
          <w:tcPr>
            <w:tcW w:w="900" w:type="dxa"/>
          </w:tcPr>
          <w:p>
            <w:pPr>
              <w:spacing w:line="276" w:lineRule="auto"/>
            </w:pPr>
            <w:r>
              <w:rPr>
                <w:rFonts w:eastAsia="Calibri"/>
              </w:rPr>
              <w:t>Jan 2026</w:t>
            </w:r>
          </w:p>
        </w:tc>
        <w:tc>
          <w:tcPr>
            <w:tcW w:w="3455" w:type="dxa"/>
          </w:tcPr>
          <w:p>
            <w:pPr>
              <w:spacing w:line="276" w:lineRule="auto"/>
            </w:pPr>
            <w:r>
              <w:rPr>
                <w:rFonts w:eastAsia="Calibri"/>
              </w:rPr>
              <w:t>Consultations with China at the 6th ASEAN Digital Ministers' Meeting (ADGMIN, Hanoi)</w:t>
            </w:r>
          </w:p>
        </w:tc>
        <w:tc>
          <w:tcPr>
            <w:tcW w:w="5385" w:type="dxa"/>
          </w:tcPr>
          <w:p>
            <w:pPr>
              <w:spacing w:line="276" w:lineRule="auto"/>
            </w:pPr>
            <w:r>
              <w:rPr>
                <w:rFonts w:eastAsia="Calibri"/>
              </w:rPr>
              <w:t>Establishment of the China–ASEAN AI Industry Innovation Centre (Beijing) and the Digital Academy announced. The action plan (2026–2030) covers digital talent, open-source AI and AI security governance</w:t>
            </w:r>
          </w:p>
        </w:tc>
      </w:tr>
      <w:tr>
        <w:trPr>
          <w:cantSplit/>
        </w:trPr>
        <w:tc>
          <w:tcPr>
            <w:tcW w:w="900" w:type="dxa"/>
          </w:tcPr>
          <w:p>
            <w:pPr>
              <w:spacing w:line="276" w:lineRule="auto"/>
            </w:pPr>
            <w:r>
              <w:rPr>
                <w:rFonts w:eastAsia="Calibri"/>
              </w:rPr>
              <w:t>May 2026</w:t>
            </w:r>
          </w:p>
        </w:tc>
        <w:tc>
          <w:tcPr>
            <w:tcW w:w="3455" w:type="dxa"/>
          </w:tcPr>
          <w:p>
            <w:pPr>
              <w:spacing w:line="276" w:lineRule="auto"/>
            </w:pPr>
            <w:hyperlink r:id="rIdGen2" w:history="1">
              <w:r>
                <w:rPr>
                  <w:rStyle w:val="a5"/>
                  <w:rFonts w:eastAsia="Calibri"/>
                </w:rPr>
                <w:t>Launch of the China–ASEAN AI Industry Innovation Centre (Beijing)</w:t>
              </w:r>
            </w:hyperlink>
            <w:r>
              <w:rPr>
                <w:rFonts w:eastAsia="Calibri"/>
              </w:rPr>
              <w:t xml:space="preserve"> (24 May)</w:t>
            </w:r>
          </w:p>
        </w:tc>
        <w:tc>
          <w:tcPr>
            <w:tcW w:w="5385" w:type="dxa"/>
          </w:tcPr>
          <w:p>
            <w:pPr>
              <w:spacing w:line="276" w:lineRule="auto"/>
            </w:pPr>
            <w:r>
              <w:rPr>
                <w:rFonts w:eastAsia="Calibri"/>
              </w:rPr>
              <w:t>Four tasks: industrial application of large models, standards and governance tools, regional capacity building, and intelligent infrastructure. ASEAN Secretary-General: AI training for ASEAN officials, company staff and international students</w:t>
            </w:r>
          </w:p>
        </w:tc>
      </w:tr>
      <w:tr>
        <w:trPr>
          <w:cantSplit/>
        </w:trPr>
        <w:tc>
          <w:tcPr>
            <w:tcW w:w="900" w:type="dxa"/>
          </w:tcPr>
          <w:p>
            <w:pPr>
              <w:spacing w:line="276" w:lineRule="auto"/>
            </w:pPr>
            <w:r>
              <w:rPr>
                <w:rFonts w:eastAsia="Calibri"/>
              </w:rPr>
              <w:t>Jul 2026</w:t>
            </w:r>
          </w:p>
        </w:tc>
        <w:tc>
          <w:tcPr>
            <w:tcW w:w="3455" w:type="dxa"/>
          </w:tcPr>
          <w:p>
            <w:pPr>
              <w:spacing w:line="276" w:lineRule="auto"/>
            </w:pPr>
            <w:r>
              <w:rPr>
                <w:rFonts w:eastAsia="Calibri"/>
              </w:rPr>
              <w:t>ASEAN–China Foreign Ministers' Meeting (Manila, 22 July)</w:t>
            </w:r>
          </w:p>
        </w:tc>
        <w:tc>
          <w:tcPr>
            <w:tcW w:w="5385" w:type="dxa"/>
          </w:tcPr>
          <w:p>
            <w:pPr>
              <w:spacing w:line="276" w:lineRule="auto"/>
            </w:pPr>
            <w:r>
              <w:rPr>
                <w:rFonts w:eastAsia="Calibri"/>
              </w:rPr>
              <w:t>The meeting 'noted' the proposal for a 2027 'ASEAN-China AI Cooperation Year'. Who made the proposal is not confirmed in public sources</w:t>
            </w:r>
          </w:p>
        </w:tc>
      </w:tr>
      <w:tr>
        <w:trPr>
          <w:cantSplit/>
        </w:trPr>
        <w:tc>
          <w:tcPr>
            <w:tcW w:w="900" w:type="dxa"/>
          </w:tcPr>
          <w:p>
            <w:pPr>
              <w:spacing w:line="276" w:lineRule="auto"/>
            </w:pPr>
            <w:r>
              <w:rPr>
                <w:rFonts w:eastAsia="Calibri"/>
              </w:rPr>
              <w:t>Jul 2026</w:t>
            </w:r>
          </w:p>
        </w:tc>
        <w:tc>
          <w:tcPr>
            <w:tcW w:w="3455" w:type="dxa"/>
          </w:tcPr>
          <w:p>
            <w:pPr>
              <w:spacing w:line="276" w:lineRule="auto"/>
            </w:pPr>
            <w:r>
              <w:rPr>
                <w:rFonts w:eastAsia="Calibri"/>
              </w:rPr>
              <w:t>Xi Jinping's opening speech at WAIC (17 July); agreement establishing the World AI Cooperation Organization (WAICO)</w:t>
            </w:r>
          </w:p>
        </w:tc>
        <w:tc>
          <w:tcPr>
            <w:tcW w:w="5385" w:type="dxa"/>
          </w:tcPr>
          <w:p>
            <w:pPr>
              <w:spacing w:line="276" w:lineRule="auto"/>
            </w:pPr>
            <w:r>
              <w:rPr>
                <w:rFonts w:eastAsia="Calibri"/>
              </w:rPr>
              <w:t>5,000 AI training and seminar opportunities for developing countries over five years; plans for AI application cooperation centres with ASEAN and others. WAICO: signed by 29 countries, headquartered in Shanghai</w:t>
            </w:r>
          </w:p>
        </w:tc>
      </w:tr>
      <w:tr>
        <w:trPr>
          <w:cantSplit/>
        </w:trPr>
        <w:tc>
          <w:tcPr>
            <w:tcW w:w="900" w:type="dxa"/>
          </w:tcPr>
          <w:p>
            <w:pPr>
              <w:spacing w:line="276" w:lineRule="auto"/>
            </w:pPr>
            <w:r>
              <w:rPr>
                <w:rFonts w:eastAsia="Calibri"/>
              </w:rPr>
              <w:t>Late Jul 2026</w:t>
            </w:r>
          </w:p>
        </w:tc>
        <w:tc>
          <w:tcPr>
            <w:tcW w:w="3455" w:type="dxa"/>
          </w:tcPr>
          <w:p>
            <w:pPr>
              <w:spacing w:line="276" w:lineRule="auto"/>
            </w:pPr>
            <w:r>
              <w:rPr>
                <w:rFonts w:eastAsia="Calibri"/>
              </w:rPr>
              <w:t>China–ASEAN Education Cooperation Week (Guiyang)</w:t>
            </w:r>
          </w:p>
        </w:tc>
        <w:tc>
          <w:tcPr>
            <w:tcW w:w="5385" w:type="dxa"/>
          </w:tcPr>
          <w:p>
            <w:pPr>
              <w:spacing w:line="276" w:lineRule="auto"/>
            </w:pPr>
            <w:r>
              <w:rPr>
                <w:rFonts w:eastAsia="Calibri"/>
              </w:rPr>
              <w:t>Smart Education Capacity Building Project launched. Linked to China's 'AI+Education' action plan; details not disclosed</w:t>
            </w:r>
          </w:p>
        </w:tc>
      </w:tr>
      <w:tr>
        <w:trPr>
          <w:cantSplit/>
        </w:trPr>
        <w:tc>
          <w:tcPr>
            <w:tcW w:w="900" w:type="dxa"/>
          </w:tcPr>
          <w:p>
            <w:pPr>
              <w:spacing w:line="276" w:lineRule="auto"/>
            </w:pPr>
            <w:r>
              <w:rPr>
                <w:rFonts w:eastAsia="Calibri"/>
              </w:rPr>
              <w:t>Sep 2026</w:t>
            </w:r>
          </w:p>
        </w:tc>
        <w:tc>
          <w:tcPr>
            <w:tcW w:w="3455" w:type="dxa"/>
          </w:tcPr>
          <w:p>
            <w:pPr>
              <w:spacing w:line="276" w:lineRule="auto"/>
            </w:pPr>
            <w:r>
              <w:rPr>
                <w:rFonts w:eastAsia="Calibri"/>
              </w:rPr>
              <w:t>2nd ministerial roundtable on AI (Nanning, 17 September); opening of the Guangxi branch of the China–ASEAN AI Industry Innovation Centre (Beijing)</w:t>
            </w:r>
          </w:p>
        </w:tc>
        <w:tc>
          <w:tcPr>
            <w:tcW w:w="5385" w:type="dxa"/>
          </w:tcPr>
          <w:p>
            <w:pPr>
              <w:spacing w:line="276" w:lineRule="auto"/>
            </w:pPr>
            <w:r>
              <w:rPr>
                <w:rFonts w:eastAsia="Calibri"/>
              </w:rPr>
              <w:t>AI ethics and safety cooperation initiative for ASEAN announced (details not disclosed); casebook of 31 AI cooperation cases. Viet Nam proposed AI governance dialogue, safe AI research and testing, and human resource development</w:t>
            </w:r>
          </w:p>
        </w:tc>
      </w:tr>
      <w:tr>
        <w:trPr>
          <w:cantSplit/>
        </w:trPr>
        <w:tc>
          <w:tcPr>
            <w:tcW w:w="900" w:type="dxa"/>
          </w:tcPr>
          <w:p>
            <w:pPr>
              <w:spacing w:line="276" w:lineRule="auto"/>
            </w:pPr>
            <w:r>
              <w:rPr>
                <w:rFonts w:eastAsia="Calibri"/>
              </w:rPr>
              <w:t>Oct 2026</w:t>
            </w:r>
          </w:p>
        </w:tc>
        <w:tc>
          <w:tcPr>
            <w:tcW w:w="3455" w:type="dxa"/>
          </w:tcPr>
          <w:p>
            <w:pPr>
              <w:spacing w:line="276" w:lineRule="auto"/>
            </w:pPr>
            <w:r>
              <w:rPr>
                <w:rFonts w:eastAsia="Calibri"/>
              </w:rPr>
              <w:t>CIIS China–ASEAN AI governance roundtable (during the ASEAN Foundation mission)</w:t>
            </w:r>
          </w:p>
        </w:tc>
        <w:tc>
          <w:tcPr>
            <w:tcW w:w="5385" w:type="dxa"/>
          </w:tcPr>
          <w:p>
            <w:pPr>
              <w:spacing w:line="276" w:lineRule="auto"/>
            </w:pPr>
            <w:r>
              <w:rPr>
                <w:rFonts w:eastAsia="Calibri"/>
              </w:rPr>
              <w:t>Ilan Asqolani scheduled to speak in Session 2, 'Strengthening AI Capacity and Empowering Industries across China and ASEAN'. Date and time to be confirmed once the agenda is circulated</w:t>
            </w:r>
          </w:p>
        </w:tc>
      </w:tr>
    </w:tbl>
    <w:p>
      <w:pPr>
        <w:spacing w:after="60" w:line="120" w:lineRule="auto"/>
      </w:pPr>
    </w:p>
    <w:p>
      <w:pPr>
        <w:keepNext/>
        <w:spacing w:before="220" w:after="110" w:line="300" w:lineRule="auto"/>
      </w:pPr>
      <w:r>
        <w:rPr>
          <w:rFonts w:eastAsia="Calibri"/>
          <w:b/>
          <w:bCs/>
          <w:color w:val="0F63A8"/>
          <w:sz w:val="22"/>
          <w:szCs w:val="22"/>
        </w:rPr>
        <w:t>3.2 Map by AI Layer</w:t>
      </w:r>
    </w:p>
    <w:tbl>
      <w:tblPr>
        <w:tblW w:w="9740" w:type="dxa"/>
        <w:tblBorders>
          <w:top w:val="single" w:sz="4" w:space="0" w:color="C3D6E8"/>
          <w:left w:val="single" w:sz="4" w:space="0" w:color="C3D6E8"/>
          <w:bottom w:val="single" w:sz="4" w:space="0" w:color="C3D6E8"/>
          <w:right w:val="single" w:sz="4" w:space="0" w:color="C3D6E8"/>
          <w:insideH w:val="single" w:sz="4" w:space="0" w:color="C3D6E8"/>
          <w:insideV w:val="single" w:sz="4" w:space="0" w:color="C3D6E8"/>
        </w:tblBorders>
        <w:tblLayout w:type="fixed"/>
        <w:tblCellMar>
          <w:top w:w="90" w:type="dxa"/>
          <w:left w:w="106" w:type="dxa"/>
          <w:bottom w:w="90" w:type="dxa"/>
          <w:right w:w="106" w:type="dxa"/>
        </w:tblCellMar>
        <w:tblLook w:val="04A0" w:firstRow="1" w:lastRow="0" w:firstColumn="1" w:lastColumn="0" w:noHBand="0" w:noVBand="1"/>
      </w:tblPr>
      <w:tblGrid>
        <w:gridCol w:w="1632"/>
        <w:gridCol w:w="2212"/>
        <w:gridCol w:w="2752"/>
        <w:gridCol w:w="1512"/>
        <w:gridCol w:w="1632"/>
      </w:tblGrid>
      <w:tr>
        <w:trPr>
          <w:tblHeader/>
        </w:trPr>
        <w:tc>
          <w:tcPr>
            <w:tcW w:w="1632" w:type="dxa"/>
            <w:shd w:val="clear" w:color="auto" w:fill="00498F"/>
          </w:tcPr>
          <w:p>
            <w:pPr>
              <w:spacing w:line="276" w:lineRule="auto"/>
            </w:pPr>
            <w:r>
              <w:rPr>
                <w:rFonts w:eastAsia="Calibri"/>
                <w:b/>
                <w:bCs/>
                <w:color w:val="FFFFFF"/>
                <w:sz w:val="17"/>
                <w:szCs w:val="17"/>
              </w:rPr>
              <w:t>AI layer</w:t>
            </w:r>
          </w:p>
        </w:tc>
        <w:tc>
          <w:tcPr>
            <w:tcW w:w="2212" w:type="dxa"/>
            <w:shd w:val="clear" w:color="auto" w:fill="00498F"/>
          </w:tcPr>
          <w:p>
            <w:pPr>
              <w:spacing w:line="276" w:lineRule="auto"/>
            </w:pPr>
            <w:r>
              <w:rPr>
                <w:rFonts w:eastAsia="Calibri"/>
                <w:b/>
                <w:bCs/>
                <w:color w:val="FFFFFF"/>
                <w:sz w:val="17"/>
                <w:szCs w:val="17"/>
              </w:rPr>
              <w:t>ASEAN's own frameworks</w:t>
            </w:r>
          </w:p>
        </w:tc>
        <w:tc>
          <w:tcPr>
            <w:tcW w:w="2752" w:type="dxa"/>
            <w:shd w:val="clear" w:color="auto" w:fill="00498F"/>
          </w:tcPr>
          <w:p>
            <w:pPr>
              <w:spacing w:line="276" w:lineRule="auto"/>
            </w:pPr>
            <w:r>
              <w:rPr>
                <w:rFonts w:eastAsia="Calibri"/>
                <w:b/>
                <w:bCs/>
                <w:color w:val="FFFFFF"/>
                <w:sz w:val="17"/>
                <w:szCs w:val="17"/>
              </w:rPr>
              <w:t>ASEAN–China cooperation</w:t>
            </w:r>
          </w:p>
        </w:tc>
        <w:tc>
          <w:tcPr>
            <w:tcW w:w="1512" w:type="dxa"/>
            <w:shd w:val="clear" w:color="auto" w:fill="00498F"/>
          </w:tcPr>
          <w:p>
            <w:pPr>
              <w:spacing w:line="276" w:lineRule="auto"/>
            </w:pPr>
            <w:r>
              <w:rPr>
                <w:rFonts w:eastAsia="Calibri"/>
                <w:b/>
                <w:bCs/>
                <w:color w:val="FFFFFF"/>
                <w:sz w:val="17"/>
                <w:szCs w:val="17"/>
              </w:rPr>
              <w:t>Chinese lead body</w:t>
            </w:r>
          </w:p>
        </w:tc>
        <w:tc>
          <w:tcPr>
            <w:tcW w:w="1632" w:type="dxa"/>
            <w:shd w:val="clear" w:color="auto" w:fill="00498F"/>
          </w:tcPr>
          <w:p>
            <w:pPr>
              <w:spacing w:line="276" w:lineRule="auto"/>
            </w:pPr>
            <w:r>
              <w:rPr>
                <w:rFonts w:eastAsia="Calibri"/>
                <w:b/>
                <w:bCs/>
                <w:color w:val="FFFFFF"/>
                <w:sz w:val="17"/>
                <w:szCs w:val="17"/>
              </w:rPr>
              <w:t>Foundation entry points</w:t>
            </w:r>
          </w:p>
        </w:tc>
      </w:tr>
      <w:tr>
        <w:trPr>
          <w:cantSplit/>
        </w:trPr>
        <w:tc>
          <w:tcPr>
            <w:tcW w:w="1632" w:type="dxa"/>
          </w:tcPr>
          <w:p>
            <w:pPr>
              <w:spacing w:line="276" w:lineRule="auto"/>
            </w:pPr>
            <w:r>
              <w:rPr>
                <w:rFonts w:eastAsia="Calibri"/>
                <w:sz w:val="17"/>
                <w:szCs w:val="17"/>
              </w:rPr>
              <w:t>Governance and safety</w:t>
            </w:r>
          </w:p>
        </w:tc>
        <w:tc>
          <w:tcPr>
            <w:tcW w:w="2212" w:type="dxa"/>
          </w:tcPr>
          <w:p>
            <w:pPr>
              <w:spacing w:line="276" w:lineRule="auto"/>
            </w:pPr>
            <w:r>
              <w:rPr>
                <w:rFonts w:eastAsia="Calibri"/>
                <w:sz w:val="17"/>
                <w:szCs w:val="17"/>
              </w:rPr>
              <w:t>ASEAN Guide on AI Governance and Ethics (2024) and Expanded ASEAN Guide on AI Governance and Ethics: Generative AI (2025); ASEAN Responsible AI Roadmap 2025–2030; Working Group on AI Governance (WG-AI); ASEAN AI Safe</w:t>
            </w:r>
          </w:p>
        </w:tc>
        <w:tc>
          <w:tcPr>
            <w:tcW w:w="2752" w:type="dxa"/>
          </w:tcPr>
          <w:p>
            <w:pPr>
              <w:spacing w:line="276" w:lineRule="auto"/>
            </w:pPr>
            <w:r>
              <w:rPr>
                <w:rFonts w:eastAsia="Calibri"/>
                <w:sz w:val="17"/>
                <w:szCs w:val="17"/>
              </w:rPr>
              <w:t>Ministerial roundtable on AI; AI ethics and safety cooperation initiative (September 2026); CIIS roundtable</w:t>
            </w:r>
          </w:p>
        </w:tc>
        <w:tc>
          <w:tcPr>
            <w:tcW w:w="1512" w:type="dxa"/>
          </w:tcPr>
          <w:p>
            <w:pPr>
              <w:spacing w:line="276" w:lineRule="auto"/>
            </w:pPr>
            <w:r>
              <w:rPr>
                <w:rFonts w:eastAsia="Calibri"/>
                <w:sz w:val="17"/>
                <w:szCs w:val="17"/>
              </w:rPr>
              <w:t>National Development and Reform Commission (NDRC) and Guangxi; Ministry of Foreign Affairs and CIIS</w:t>
            </w:r>
          </w:p>
        </w:tc>
        <w:tc>
          <w:tcPr>
            <w:tcW w:w="1632" w:type="dxa"/>
          </w:tcPr>
          <w:p>
            <w:pPr>
              <w:spacing w:line="276" w:lineRule="auto"/>
            </w:pPr>
            <w:r>
              <w:rPr>
                <w:rFonts w:eastAsia="Calibri"/>
                <w:sz w:val="17"/>
                <w:szCs w:val="17"/>
              </w:rPr>
              <w:t>Education in responsible AI use (ethics and disinformation modules)</w:t>
            </w:r>
          </w:p>
        </w:tc>
      </w:tr>
      <w:tr>
        <w:trPr>
          <w:cantSplit/>
        </w:trPr>
        <w:tc>
          <w:tcPr>
            <w:tcW w:w="1632" w:type="dxa"/>
          </w:tcPr>
          <w:p>
            <w:pPr>
              <w:spacing w:line="276" w:lineRule="auto"/>
            </w:pPr>
            <w:r>
              <w:rPr>
                <w:rFonts w:eastAsia="Calibri"/>
                <w:sz w:val="17"/>
                <w:szCs w:val="17"/>
              </w:rPr>
              <w:t>Industrial application</w:t>
            </w:r>
          </w:p>
        </w:tc>
        <w:tc>
          <w:tcPr>
            <w:tcW w:w="2212" w:type="dxa"/>
          </w:tcPr>
          <w:p>
            <w:pPr>
              <w:spacing w:line="276" w:lineRule="auto"/>
            </w:pPr>
            <w:r>
              <w:rPr>
                <w:rFonts w:eastAsia="Calibri"/>
                <w:sz w:val="17"/>
                <w:szCs w:val="17"/>
              </w:rPr>
              <w:t>ASEAN Digital Masterplan 2030; declaration on 'AI-driven MSME growth' being pursued by the Philippine Chairmanship</w:t>
            </w:r>
          </w:p>
        </w:tc>
        <w:tc>
          <w:tcPr>
            <w:tcW w:w="2752" w:type="dxa"/>
          </w:tcPr>
          <w:p>
            <w:pPr>
              <w:spacing w:line="276" w:lineRule="auto"/>
            </w:pPr>
            <w:r>
              <w:rPr>
                <w:rFonts w:eastAsia="Calibri"/>
                <w:sz w:val="17"/>
                <w:szCs w:val="17"/>
              </w:rPr>
              <w:t>China–ASEAN AI Industry Innovation Centre (Beijing) and its Guangxi branch; China–ASEAN AI Application Cooperation Centre (Nanning), with offices in Viet Nam, Lao PDR and Malaysia; casebook of 31 cases</w:t>
            </w:r>
          </w:p>
        </w:tc>
        <w:tc>
          <w:tcPr>
            <w:tcW w:w="1512" w:type="dxa"/>
          </w:tcPr>
          <w:p>
            <w:pPr>
              <w:spacing w:line="276" w:lineRule="auto"/>
            </w:pPr>
            <w:r>
              <w:rPr>
                <w:rFonts w:eastAsia="Calibri"/>
                <w:sz w:val="17"/>
                <w:szCs w:val="17"/>
              </w:rPr>
              <w:t>Ministry of Industry and Information Technology (MIIT); NDRC and Guangxi</w:t>
            </w:r>
          </w:p>
        </w:tc>
        <w:tc>
          <w:tcPr>
            <w:tcW w:w="1632" w:type="dxa"/>
          </w:tcPr>
          <w:p>
            <w:pPr>
              <w:spacing w:line="276" w:lineRule="auto"/>
            </w:pPr>
            <w:r>
              <w:rPr>
                <w:rFonts w:eastAsia="Calibri"/>
                <w:sz w:val="17"/>
                <w:szCs w:val="17"/>
              </w:rPr>
              <w:t>AIM ASEAN (AI adoption by MSMEs)</w:t>
            </w:r>
          </w:p>
        </w:tc>
      </w:tr>
      <w:tr>
        <w:trPr>
          <w:cantSplit/>
        </w:trPr>
        <w:tc>
          <w:tcPr>
            <w:tcW w:w="1632" w:type="dxa"/>
          </w:tcPr>
          <w:p>
            <w:pPr>
              <w:spacing w:line="276" w:lineRule="auto"/>
            </w:pPr>
            <w:r>
              <w:rPr>
                <w:rFonts w:eastAsia="Calibri"/>
                <w:sz w:val="17"/>
                <w:szCs w:val="17"/>
              </w:rPr>
              <w:t>Talent and capacity</w:t>
            </w:r>
          </w:p>
        </w:tc>
        <w:tc>
          <w:tcPr>
            <w:tcW w:w="2212" w:type="dxa"/>
          </w:tcPr>
          <w:p>
            <w:pPr>
              <w:spacing w:line="276" w:lineRule="auto"/>
            </w:pPr>
            <w:r>
              <w:rPr>
                <w:rFonts w:eastAsia="Calibri"/>
                <w:sz w:val="17"/>
                <w:szCs w:val="17"/>
              </w:rPr>
              <w:t>Hanoi Digital Declaration (future digital workforce)</w:t>
            </w:r>
          </w:p>
        </w:tc>
        <w:tc>
          <w:tcPr>
            <w:tcW w:w="2752" w:type="dxa"/>
          </w:tcPr>
          <w:p>
            <w:pPr>
              <w:spacing w:line="276" w:lineRule="auto"/>
            </w:pPr>
            <w:r>
              <w:rPr>
                <w:rFonts w:eastAsia="Calibri"/>
                <w:sz w:val="17"/>
                <w:szCs w:val="17"/>
              </w:rPr>
              <w:t>Ministry of Science and Technology's three-year plan; training at the China–ASEAN AI Industry Innovation Centre (Beijing); 5,000 AI training and seminar opportunities (open to all developing countries; ASEAN allocation not confirmed); Digital Academy; Smart Education (AI+Education)</w:t>
            </w:r>
          </w:p>
        </w:tc>
        <w:tc>
          <w:tcPr>
            <w:tcW w:w="1512" w:type="dxa"/>
          </w:tcPr>
          <w:p>
            <w:pPr>
              <w:spacing w:line="276" w:lineRule="auto"/>
            </w:pPr>
            <w:r>
              <w:rPr>
                <w:rFonts w:eastAsia="Calibri"/>
                <w:sz w:val="17"/>
                <w:szCs w:val="17"/>
              </w:rPr>
              <w:t>Ministry of Foreign Affairs; Ministry of Science and Technology; MIIT; Ministry of Education</w:t>
            </w:r>
          </w:p>
        </w:tc>
        <w:tc>
          <w:tcPr>
            <w:tcW w:w="1632" w:type="dxa"/>
          </w:tcPr>
          <w:p>
            <w:pPr>
              <w:spacing w:line="276" w:lineRule="auto"/>
            </w:pPr>
            <w:r>
              <w:rPr>
                <w:rFonts w:eastAsia="Calibri"/>
                <w:sz w:val="17"/>
                <w:szCs w:val="17"/>
              </w:rPr>
              <w:t>AI Ready ASEAN (teachers and students); Master Trainer</w:t>
            </w:r>
          </w:p>
        </w:tc>
      </w:tr>
      <w:tr>
        <w:trPr>
          <w:cantSplit/>
        </w:trPr>
        <w:tc>
          <w:tcPr>
            <w:tcW w:w="1632" w:type="dxa"/>
          </w:tcPr>
          <w:p>
            <w:pPr>
              <w:spacing w:line="276" w:lineRule="auto"/>
            </w:pPr>
            <w:r>
              <w:rPr>
                <w:rFonts w:eastAsia="Calibri"/>
                <w:sz w:val="17"/>
                <w:szCs w:val="17"/>
              </w:rPr>
              <w:t>Language, data and open source</w:t>
            </w:r>
          </w:p>
        </w:tc>
        <w:tc>
          <w:tcPr>
            <w:tcW w:w="2212" w:type="dxa"/>
          </w:tcPr>
          <w:p>
            <w:pPr>
              <w:spacing w:line="276" w:lineRule="auto"/>
            </w:pPr>
            <w:r>
              <w:rPr>
                <w:rFonts w:eastAsia="Calibri"/>
                <w:sz w:val="17"/>
                <w:szCs w:val="17"/>
              </w:rPr>
              <w:t>Regional language models (e.g. Singapore's SEA-LION, covering 11 regional languages)</w:t>
            </w:r>
          </w:p>
        </w:tc>
        <w:tc>
          <w:tcPr>
            <w:tcW w:w="2752" w:type="dxa"/>
          </w:tcPr>
          <w:p>
            <w:pPr>
              <w:spacing w:line="276" w:lineRule="auto"/>
            </w:pPr>
            <w:r>
              <w:rPr>
                <w:rFonts w:eastAsia="Calibri"/>
                <w:sz w:val="17"/>
                <w:szCs w:val="17"/>
              </w:rPr>
              <w:t>Lao national language model; ASEAN AI open-source community; open-source AI in the action plan</w:t>
            </w:r>
          </w:p>
        </w:tc>
        <w:tc>
          <w:tcPr>
            <w:tcW w:w="1512" w:type="dxa"/>
          </w:tcPr>
          <w:p>
            <w:pPr>
              <w:spacing w:line="276" w:lineRule="auto"/>
            </w:pPr>
            <w:r>
              <w:rPr>
                <w:rFonts w:eastAsia="Calibri"/>
                <w:sz w:val="17"/>
                <w:szCs w:val="17"/>
              </w:rPr>
              <w:t>NDRC and Guangxi; MIIT</w:t>
            </w:r>
          </w:p>
        </w:tc>
        <w:tc>
          <w:tcPr>
            <w:tcW w:w="1632" w:type="dxa"/>
          </w:tcPr>
          <w:p>
            <w:pPr>
              <w:spacing w:line="276" w:lineRule="auto"/>
            </w:pPr>
            <w:r>
              <w:rPr>
                <w:rFonts w:eastAsia="Calibri"/>
                <w:sz w:val="17"/>
                <w:szCs w:val="17"/>
              </w:rPr>
              <w:t>Local-language AI content and terminology in AI Class ASEAN</w:t>
            </w:r>
          </w:p>
        </w:tc>
      </w:tr>
      <w:tr>
        <w:trPr>
          <w:cantSplit/>
        </w:trPr>
        <w:tc>
          <w:tcPr>
            <w:tcW w:w="1632" w:type="dxa"/>
          </w:tcPr>
          <w:p>
            <w:pPr>
              <w:spacing w:line="276" w:lineRule="auto"/>
            </w:pPr>
            <w:r>
              <w:rPr>
                <w:rFonts w:eastAsia="Calibri"/>
                <w:sz w:val="17"/>
                <w:szCs w:val="17"/>
              </w:rPr>
              <w:t>Infrastructure and computing</w:t>
            </w:r>
          </w:p>
        </w:tc>
        <w:tc>
          <w:tcPr>
            <w:tcW w:w="2212" w:type="dxa"/>
          </w:tcPr>
          <w:p>
            <w:pPr>
              <w:spacing w:line="276" w:lineRule="auto"/>
            </w:pPr>
            <w:r>
              <w:rPr>
                <w:rFonts w:eastAsia="Calibri"/>
                <w:sz w:val="17"/>
                <w:szCs w:val="17"/>
              </w:rPr>
              <w:t>ASEAN Digital Masterplan 2030 (digital infrastructure)</w:t>
            </w:r>
          </w:p>
        </w:tc>
        <w:tc>
          <w:tcPr>
            <w:tcW w:w="2752" w:type="dxa"/>
          </w:tcPr>
          <w:p>
            <w:pPr>
              <w:spacing w:line="276" w:lineRule="auto"/>
            </w:pPr>
            <w:r>
              <w:rPr>
                <w:rFonts w:eastAsia="Calibri"/>
                <w:sz w:val="17"/>
                <w:szCs w:val="17"/>
              </w:rPr>
              <w:t>Joint development of intelligent infrastructure through the China–ASEAN AI Industry Innovation Centre (Beijing)</w:t>
            </w:r>
          </w:p>
        </w:tc>
        <w:tc>
          <w:tcPr>
            <w:tcW w:w="1512" w:type="dxa"/>
          </w:tcPr>
          <w:p>
            <w:pPr>
              <w:spacing w:line="276" w:lineRule="auto"/>
            </w:pPr>
            <w:r>
              <w:rPr>
                <w:rFonts w:eastAsia="Calibri"/>
                <w:sz w:val="17"/>
                <w:szCs w:val="17"/>
              </w:rPr>
              <w:t>MIIT</w:t>
            </w:r>
          </w:p>
        </w:tc>
        <w:tc>
          <w:tcPr>
            <w:tcW w:w="1632" w:type="dxa"/>
          </w:tcPr>
          <w:p>
            <w:pPr>
              <w:spacing w:line="276" w:lineRule="auto"/>
            </w:pPr>
            <w:r>
              <w:rPr>
                <w:rFonts w:eastAsia="Calibri"/>
                <w:sz w:val="17"/>
                <w:szCs w:val="17"/>
              </w:rPr>
              <w:t>—</w:t>
            </w:r>
          </w:p>
        </w:tc>
      </w:tr>
    </w:tbl>
    <w:p>
      <w:pPr>
        <w:spacing w:after="60" w:line="120" w:lineRule="auto"/>
      </w:pPr>
    </w:p>
    <w:p>
      <w:pPr>
        <w:spacing w:after="120" w:line="336" w:lineRule="auto"/>
        <w:jc w:val="both"/>
      </w:pPr>
      <w:r>
        <w:rPr>
          <w:rFonts w:eastAsia="Calibri"/>
          <w:b/>
          <w:bCs/>
          <w:color w:val="0F63A8"/>
        </w:rPr>
        <w:t>[Assessment]</w:t>
      </w:r>
      <w:r>
        <w:rPr>
          <w:rFonts w:eastAsia="Calibri"/>
        </w:rPr>
        <w:t xml:space="preserve"> Four points stand out from this map.</w:t>
      </w:r>
    </w:p>
    <w:p>
      <w:pPr>
        <w:pStyle w:val="a4"/>
        <w:numPr>
          <w:ilvl w:val="0"/>
          <w:numId w:val="5"/>
        </w:numPr>
        <w:spacing w:after="60" w:line="336" w:lineRule="auto"/>
        <w:jc w:val="both"/>
      </w:pPr>
      <w:r>
        <w:rPr>
          <w:rFonts w:eastAsia="Calibri"/>
          <w:b/>
          <w:bCs/>
        </w:rPr>
        <w:t>China offers AI as a package.</w:t>
      </w:r>
      <w:r>
        <w:rPr>
          <w:rFonts w:eastAsia="Calibri"/>
        </w:rPr>
        <w:t xml:space="preserve"> It puts everything on the table at once, from infrastructure through industrial application and talent to standards and norms. ASEAN has its governance documents in place, but platforms on the Chinese side lead most of the implementation.</w:t>
      </w:r>
    </w:p>
    <w:p>
      <w:pPr>
        <w:pStyle w:val="a4"/>
        <w:numPr>
          <w:ilvl w:val="0"/>
          <w:numId w:val="5"/>
        </w:numPr>
        <w:spacing w:after="60" w:line="336" w:lineRule="auto"/>
        <w:jc w:val="both"/>
      </w:pPr>
      <w:r>
        <w:rPr>
          <w:rFonts w:eastAsia="Calibri"/>
          <w:b/>
          <w:bCs/>
        </w:rPr>
        <w:t>The gap is 'the people who use AI'.</w:t>
      </w:r>
      <w:r>
        <w:rPr>
          <w:rFonts w:eastAsia="Calibri"/>
        </w:rPr>
        <w:t xml:space="preserve"> Talent programmes centre on officials, engineers and international students. For teachers, citizens and MSMEs, there are only courses run by Chinese companies and platforms, plus Smart Education, whose target audience has not been disclosed; no ASEAN-led, technology-neutral AI capacity programme is linked to the cooperation. How participants will be supported in applying AI after training, and how outcomes will be measured, have not been disclosed either. The Foundation's two programmes sit in this gap.</w:t>
      </w:r>
    </w:p>
    <w:p>
      <w:pPr>
        <w:pStyle w:val="a4"/>
        <w:numPr>
          <w:ilvl w:val="0"/>
          <w:numId w:val="5"/>
        </w:numPr>
        <w:spacing w:after="60" w:line="336" w:lineRule="auto"/>
        <w:jc w:val="both"/>
      </w:pPr>
      <w:r>
        <w:rPr>
          <w:rFonts w:eastAsia="Calibri"/>
          <w:b/>
          <w:bCs/>
        </w:rPr>
        <w:t>In the governance and safety layer, the Foundation's contribution is 'user-side safety'.</w:t>
      </w:r>
      <w:r>
        <w:rPr>
          <w:rFonts w:eastAsia="Calibri"/>
        </w:rPr>
        <w:t xml:space="preserve"> It pairs supply-side measures, such as model testing and standards, with a demand-side one: the ability to understand AI and use it critically. The CIIS roundtable (Track 1.5) is a venue for making this case in the Foundation's own voice. As CIIS sits under China's Ministry of Foreign Affairs, remarks should be prepared on the assumption that they will be passed on to the Chinese government.</w:t>
      </w:r>
    </w:p>
    <w:p>
      <w:pPr>
        <w:pStyle w:val="a4"/>
        <w:numPr>
          <w:ilvl w:val="0"/>
          <w:numId w:val="5"/>
        </w:numPr>
        <w:spacing w:after="120" w:line="336" w:lineRule="auto"/>
        <w:jc w:val="both"/>
      </w:pPr>
      <w:r>
        <w:rPr>
          <w:rFonts w:eastAsia="Calibri"/>
          <w:b/>
          <w:bCs/>
        </w:rPr>
        <w:t>Now is the design stage.</w:t>
      </w:r>
      <w:r>
        <w:rPr>
          <w:rFonts w:eastAsia="Calibri"/>
        </w:rPr>
        <w:t xml:space="preserve"> Details of the AI ethics and safety initiative, the training courses at the China–ASEAN AI Industry Innovation Centre (Beijing) and Smart Education have yet to be made public. The next decision point is the November 2026 Summit and whether the 2027 ASEAN–China Year of AI Cooperation is adopted. If it is, both sides will be looking for AI cooperation deliverables for 2027.</w:t>
      </w:r>
    </w:p>
    <w:p>
      <w:pPr>
        <w:keepNext/>
        <w:spacing w:before="220" w:after="110" w:line="300" w:lineRule="auto"/>
      </w:pPr>
      <w:r>
        <w:rPr>
          <w:rFonts w:eastAsia="Calibri"/>
          <w:b/>
          <w:bCs/>
          <w:color w:val="0F63A8"/>
          <w:sz w:val="22"/>
          <w:szCs w:val="22"/>
        </w:rPr>
        <w:t>3.3 Background: The Two Sides' AI Strategies</w:t>
      </w:r>
    </w:p>
    <w:p>
      <w:pPr>
        <w:spacing w:after="120" w:line="336" w:lineRule="auto"/>
        <w:jc w:val="both"/>
      </w:pPr>
      <w:r>
        <w:rPr>
          <w:rFonts w:eastAsia="Calibri"/>
          <w:b/>
          <w:bCs/>
        </w:rPr>
        <w:t>ASEAN: non-binding AI governance and phased implementation.</w:t>
      </w:r>
      <w:r>
        <w:rPr>
          <w:rFonts w:eastAsia="Calibri"/>
        </w:rPr>
        <w:t xml:space="preserve"> The pillars are the ASEAN Guide on AI Governance and Ethics (February 2024), the Expanded ASEAN Guide on AI Governance and Ethics: Generative AI (January 2025), the ASEAN </w:t>
      </w:r>
      <w:hyperlink r:id="rIdGen3" w:history="1">
        <w:r>
          <w:rPr>
            <w:rStyle w:val="a5"/>
            <w:rFonts w:eastAsia="Calibri"/>
          </w:rPr>
          <w:t>Responsible AI Roadmap 2025–2030</w:t>
        </w:r>
      </w:hyperlink>
      <w:r>
        <w:rPr>
          <w:rFonts w:eastAsia="Calibri"/>
        </w:rPr>
        <w:t xml:space="preserve"> (adopted March 2025), WG-AI and ASEAN AI Safe (Leaders' Declaration, October 2025; secretariat in Kuala Lumpur). In the </w:t>
      </w:r>
      <w:hyperlink r:id="rIdGen4" w:history="1">
        <w:r>
          <w:rPr>
            <w:rStyle w:val="a5"/>
            <w:rFonts w:eastAsia="Calibri"/>
          </w:rPr>
          <w:t>Hanoi Digital Declaration</w:t>
        </w:r>
      </w:hyperlink>
      <w:r>
        <w:rPr>
          <w:rFonts w:eastAsia="Calibri"/>
        </w:rPr>
        <w:t xml:space="preserve"> of January 2026, ASEAN agreed on AI policy harmonisation and collective safety through WG-AI and ASEAN AI Safe. All of these are non-binding, and member states implement them at their own pace. ASEAN AI Safe is an internal ASEAN mechanism, not an ASEAN–China cooperation programme.</w:t>
      </w:r>
    </w:p>
    <w:p>
      <w:pPr>
        <w:spacing w:after="120" w:line="336" w:lineRule="auto"/>
        <w:jc w:val="both"/>
      </w:pPr>
      <w:r>
        <w:rPr>
          <w:rFonts w:eastAsia="Calibri"/>
          <w:b/>
          <w:bCs/>
        </w:rPr>
        <w:t>China: AI capacity building as a pillar of its diplomacy towards developing countries.</w:t>
      </w:r>
      <w:r>
        <w:rPr>
          <w:rFonts w:eastAsia="Calibri"/>
        </w:rPr>
        <w:t xml:space="preserve"> In its </w:t>
      </w:r>
      <w:hyperlink r:id="rIdGen5" w:history="1">
        <w:r>
          <w:rPr>
            <w:rStyle w:val="a5"/>
            <w:rFonts w:eastAsia="Calibri"/>
          </w:rPr>
          <w:t>AI Capacity-Building Action Plan for Good and for All</w:t>
        </w:r>
      </w:hyperlink>
      <w:r>
        <w:rPr>
          <w:rFonts w:eastAsia="Calibri"/>
        </w:rPr>
        <w:t xml:space="preserve"> (September 2024), China set out five goals: infrastructure, industry (AI+), talent development, data and safety. It followed with the Global AI Governance Action Plan in July 2025 and, in July 2026, the establishment of WAICO and 5,000 AI training opportunities. An ISEAS analysis identifies three channels for China–ASEAN AI exchanges: research centres and laboratories, policy forums, and training programmes. East Asia Forum (July 2026) argues that ASEAN should strike a balance by sourcing from multiple AI ecosystems and investing in its own capabilities.</w:t>
      </w:r>
    </w:p>
    <w:p>
      <w:pPr>
        <w:spacing w:after="120" w:line="336" w:lineRule="auto"/>
        <w:jc w:val="both"/>
      </w:pPr>
      <w:r>
        <w:rPr>
          <w:rFonts w:eastAsia="Calibri"/>
          <w:b/>
          <w:bCs/>
          <w:color w:val="0F63A8"/>
        </w:rPr>
        <w:t>[Assessment]</w:t>
      </w:r>
      <w:r>
        <w:rPr>
          <w:rFonts w:eastAsia="Calibri"/>
        </w:rPr>
        <w:t xml:space="preserve"> For China, AI capacity building is an instrument tied to spreading its AI industry and standards. When ASEAN bodies contribute, they should therefore settle first what is off the table (learner data, lock-in to a particular AI platform), as much as what they put on it. By foregrounding alignment with ASEAN's non-binding AI governance frameworks, they can contribute while ASEAN retains the lead in the cooperation.</w:t>
      </w:r>
    </w:p>
    <w:p>
      <w:pPr>
        <w:keepNext/>
        <w:spacing w:before="240" w:after="160" w:line="300" w:lineRule="auto"/>
      </w:pPr>
      <w:r>
        <w:rPr>
          <w:rFonts w:eastAsia="Calibri"/>
          <w:b/>
          <w:bCs/>
          <w:color w:val="00498F"/>
          <w:sz w:val="26"/>
          <w:szCs w:val="26"/>
        </w:rPr>
        <w:t>4. Gap Analysis: Who Cannot Use AI, and Where Support Breaks Off</w:t>
      </w:r>
    </w:p>
    <w:p>
      <w:pPr>
        <w:spacing w:after="120" w:line="336" w:lineRule="auto"/>
        <w:jc w:val="both"/>
      </w:pPr>
      <w:r>
        <w:rPr>
          <w:rFonts w:eastAsia="Calibri"/>
        </w:rPr>
        <w:t>ASEAN–China AI cooperation programmes are weighted towards building AI (models and standards) and deploying it (infrastructure and industrial applications). Programmes aimed at those who use AI, namely AI literacy for teachers and citizens and AI adoption capacity for MSMEs, could not be found in public sources. This group is not, however, an 'empty space': Chinese companies and platforms already provide AI education. Defined precisely, the gap is 'a space where ASEAN-led, technology-neutral public goods for AI capacity are not linked to the cooperation'. A second gap overlaps with this one: the stretch between receiving training and applying AI in real work (see 4.2).</w:t>
      </w:r>
    </w:p>
    <w:p>
      <w:pPr>
        <w:keepNext/>
        <w:spacing w:before="220" w:after="110" w:line="300" w:lineRule="auto"/>
      </w:pPr>
      <w:r>
        <w:rPr>
          <w:rFonts w:eastAsia="Calibri"/>
          <w:b/>
          <w:bCs/>
          <w:color w:val="0F63A8"/>
          <w:sz w:val="22"/>
          <w:szCs w:val="22"/>
        </w:rPr>
        <w:t>4.1 AI Capacity by Target Group</w:t>
      </w:r>
    </w:p>
    <w:tbl>
      <w:tblPr>
        <w:tblW w:w="9740" w:type="dxa"/>
        <w:tblBorders>
          <w:top w:val="single" w:sz="4" w:space="0" w:color="C3D6E8"/>
          <w:left w:val="single" w:sz="4" w:space="0" w:color="C3D6E8"/>
          <w:bottom w:val="single" w:sz="4" w:space="0" w:color="C3D6E8"/>
          <w:right w:val="single" w:sz="4" w:space="0" w:color="C3D6E8"/>
          <w:insideH w:val="single" w:sz="4" w:space="0" w:color="C3D6E8"/>
          <w:insideV w:val="single" w:sz="4" w:space="0" w:color="C3D6E8"/>
        </w:tblBorders>
        <w:tblLayout w:type="fixed"/>
        <w:tblCellMar>
          <w:top w:w="90" w:type="dxa"/>
          <w:left w:w="106" w:type="dxa"/>
          <w:bottom w:w="90" w:type="dxa"/>
          <w:right w:w="106" w:type="dxa"/>
        </w:tblCellMar>
        <w:tblLook w:val="04A0" w:firstRow="1" w:lastRow="0" w:firstColumn="1" w:lastColumn="0" w:noHBand="0" w:noVBand="1"/>
      </w:tblPr>
      <w:tblGrid>
        <w:gridCol w:w="1338"/>
        <w:gridCol w:w="1987"/>
        <w:gridCol w:w="3365"/>
        <w:gridCol w:w="1436"/>
        <w:gridCol w:w="1614"/>
      </w:tblGrid>
      <w:tr>
        <w:trPr>
          <w:tblHeader/>
        </w:trPr>
        <w:tc>
          <w:tcPr>
            <w:tcW w:w="1338" w:type="dxa"/>
            <w:shd w:val="clear" w:color="auto" w:fill="00498F"/>
          </w:tcPr>
          <w:p>
            <w:pPr>
              <w:spacing w:line="276" w:lineRule="auto"/>
            </w:pPr>
            <w:r>
              <w:rPr>
                <w:rFonts w:eastAsia="Calibri"/>
                <w:b/>
                <w:bCs/>
                <w:color w:val="FFFFFF"/>
                <w:sz w:val="17"/>
                <w:szCs w:val="17"/>
              </w:rPr>
              <w:t>Target group</w:t>
            </w:r>
          </w:p>
        </w:tc>
        <w:tc>
          <w:tcPr>
            <w:tcW w:w="1987" w:type="dxa"/>
            <w:shd w:val="clear" w:color="auto" w:fill="00498F"/>
          </w:tcPr>
          <w:p>
            <w:pPr>
              <w:spacing w:line="276" w:lineRule="auto"/>
            </w:pPr>
            <w:r>
              <w:rPr>
                <w:rFonts w:eastAsia="Calibri"/>
                <w:b/>
                <w:bCs/>
                <w:color w:val="FFFFFF"/>
                <w:sz w:val="17"/>
                <w:szCs w:val="17"/>
              </w:rPr>
              <w:t>AI capacity needed</w:t>
            </w:r>
          </w:p>
        </w:tc>
        <w:tc>
          <w:tcPr>
            <w:tcW w:w="3365" w:type="dxa"/>
            <w:shd w:val="clear" w:color="auto" w:fill="00498F"/>
          </w:tcPr>
          <w:p>
            <w:pPr>
              <w:spacing w:line="276" w:lineRule="auto"/>
            </w:pPr>
            <w:r>
              <w:rPr>
                <w:rFonts w:eastAsia="Calibri"/>
                <w:b/>
                <w:bCs/>
                <w:color w:val="FFFFFF"/>
                <w:sz w:val="17"/>
                <w:szCs w:val="17"/>
              </w:rPr>
              <w:t>ASEAN–China official track</w:t>
            </w:r>
          </w:p>
        </w:tc>
        <w:tc>
          <w:tcPr>
            <w:tcW w:w="1436" w:type="dxa"/>
            <w:shd w:val="clear" w:color="auto" w:fill="00498F"/>
          </w:tcPr>
          <w:p>
            <w:pPr>
              <w:spacing w:line="276" w:lineRule="auto"/>
            </w:pPr>
            <w:r>
              <w:rPr>
                <w:rFonts w:eastAsia="Calibri"/>
                <w:b/>
                <w:bCs/>
                <w:color w:val="FFFFFF"/>
                <w:sz w:val="17"/>
                <w:szCs w:val="17"/>
              </w:rPr>
              <w:t>Chinese company and local government channels</w:t>
            </w:r>
          </w:p>
        </w:tc>
        <w:tc>
          <w:tcPr>
            <w:tcW w:w="1614" w:type="dxa"/>
            <w:shd w:val="clear" w:color="auto" w:fill="00498F"/>
          </w:tcPr>
          <w:p>
            <w:pPr>
              <w:spacing w:line="276" w:lineRule="auto"/>
            </w:pPr>
            <w:r>
              <w:rPr>
                <w:rFonts w:eastAsia="Calibri"/>
                <w:b/>
                <w:bCs/>
                <w:color w:val="FFFFFF"/>
                <w:sz w:val="17"/>
                <w:szCs w:val="17"/>
              </w:rPr>
              <w:t>Foundation AI programmes</w:t>
            </w:r>
          </w:p>
        </w:tc>
      </w:tr>
      <w:tr>
        <w:trPr>
          <w:cantSplit/>
        </w:trPr>
        <w:tc>
          <w:tcPr>
            <w:tcW w:w="1338" w:type="dxa"/>
          </w:tcPr>
          <w:p>
            <w:pPr>
              <w:spacing w:line="276" w:lineRule="auto"/>
            </w:pPr>
            <w:r>
              <w:rPr>
                <w:rFonts w:eastAsia="Calibri"/>
                <w:sz w:val="17"/>
                <w:szCs w:val="17"/>
              </w:rPr>
              <w:t>Policy officials</w:t>
            </w:r>
          </w:p>
        </w:tc>
        <w:tc>
          <w:tcPr>
            <w:tcW w:w="1987" w:type="dxa"/>
          </w:tcPr>
          <w:p>
            <w:pPr>
              <w:spacing w:line="276" w:lineRule="auto"/>
            </w:pPr>
            <w:r>
              <w:rPr>
                <w:rFonts w:eastAsia="Calibri"/>
                <w:sz w:val="17"/>
                <w:szCs w:val="17"/>
              </w:rPr>
              <w:t>Designing AI policy; understanding governance standards</w:t>
            </w:r>
          </w:p>
        </w:tc>
        <w:tc>
          <w:tcPr>
            <w:tcW w:w="3365" w:type="dxa"/>
          </w:tcPr>
          <w:p>
            <w:pPr>
              <w:spacing w:line="276" w:lineRule="auto"/>
            </w:pPr>
            <w:r>
              <w:rPr>
                <w:rFonts w:eastAsia="Calibri"/>
                <w:sz w:val="17"/>
                <w:szCs w:val="17"/>
              </w:rPr>
              <w:t>China–ASEAN AI Industry Innovation Centre (Beijing) training; Ministry of Science and Technology three-year plan; 5,000 AI training sessions and seminars (open to all developing countries; ASEAN allocation not confirmed)</w:t>
            </w:r>
          </w:p>
        </w:tc>
        <w:tc>
          <w:tcPr>
            <w:tcW w:w="1436" w:type="dxa"/>
          </w:tcPr>
          <w:p>
            <w:pPr>
              <w:spacing w:line="276" w:lineRule="auto"/>
            </w:pPr>
            <w:r>
              <w:rPr>
                <w:rFonts w:eastAsia="Calibri"/>
                <w:sz w:val="17"/>
                <w:szCs w:val="17"/>
              </w:rPr>
              <w:t>—</w:t>
            </w:r>
          </w:p>
        </w:tc>
        <w:tc>
          <w:tcPr>
            <w:tcW w:w="1614" w:type="dxa"/>
          </w:tcPr>
          <w:p>
            <w:pPr>
              <w:spacing w:line="276" w:lineRule="auto"/>
            </w:pPr>
            <w:r>
              <w:rPr>
                <w:rFonts w:eastAsia="Calibri"/>
                <w:sz w:val="17"/>
                <w:szCs w:val="17"/>
              </w:rPr>
              <w:t>—</w:t>
            </w:r>
          </w:p>
        </w:tc>
      </w:tr>
      <w:tr>
        <w:trPr>
          <w:cantSplit/>
        </w:trPr>
        <w:tc>
          <w:tcPr>
            <w:tcW w:w="1338" w:type="dxa"/>
          </w:tcPr>
          <w:p>
            <w:pPr>
              <w:spacing w:line="276" w:lineRule="auto"/>
            </w:pPr>
            <w:r>
              <w:rPr>
                <w:rFonts w:eastAsia="Calibri"/>
                <w:sz w:val="17"/>
                <w:szCs w:val="17"/>
              </w:rPr>
              <w:t>AI engineers and industrial workforce</w:t>
            </w:r>
          </w:p>
        </w:tc>
        <w:tc>
          <w:tcPr>
            <w:tcW w:w="1987" w:type="dxa"/>
          </w:tcPr>
          <w:p>
            <w:pPr>
              <w:spacing w:line="276" w:lineRule="auto"/>
            </w:pPr>
            <w:r>
              <w:rPr>
                <w:rFonts w:eastAsia="Calibri"/>
                <w:sz w:val="17"/>
                <w:szCs w:val="17"/>
              </w:rPr>
              <w:t>Developing and deploying models; applying AI in industry</w:t>
            </w:r>
          </w:p>
        </w:tc>
        <w:tc>
          <w:tcPr>
            <w:tcW w:w="3365" w:type="dxa"/>
          </w:tcPr>
          <w:p>
            <w:pPr>
              <w:spacing w:line="276" w:lineRule="auto"/>
            </w:pPr>
            <w:r>
              <w:rPr>
                <w:rFonts w:eastAsia="Calibri"/>
                <w:sz w:val="17"/>
                <w:szCs w:val="17"/>
              </w:rPr>
              <w:t>China–ASEAN AI Industry Innovation Centre (Beijing) training; company matchmaking at the China–ASEAN AI Application Cooperation Centre (Nanning); Digital Academy scholarships</w:t>
            </w:r>
          </w:p>
        </w:tc>
        <w:tc>
          <w:tcPr>
            <w:tcW w:w="1436" w:type="dxa"/>
          </w:tcPr>
          <w:p>
            <w:pPr>
              <w:spacing w:line="276" w:lineRule="auto"/>
            </w:pPr>
            <w:r>
              <w:rPr>
                <w:rFonts w:eastAsia="Calibri"/>
                <w:sz w:val="17"/>
                <w:szCs w:val="17"/>
              </w:rPr>
              <w:t>Company-specific job training</w:t>
            </w:r>
          </w:p>
        </w:tc>
        <w:tc>
          <w:tcPr>
            <w:tcW w:w="1614" w:type="dxa"/>
          </w:tcPr>
          <w:p>
            <w:pPr>
              <w:spacing w:line="276" w:lineRule="auto"/>
            </w:pPr>
            <w:r>
              <w:rPr>
                <w:rFonts w:eastAsia="Calibri"/>
                <w:sz w:val="17"/>
                <w:szCs w:val="17"/>
              </w:rPr>
              <w:t>—</w:t>
            </w:r>
          </w:p>
        </w:tc>
      </w:tr>
      <w:tr>
        <w:trPr>
          <w:cantSplit/>
        </w:trPr>
        <w:tc>
          <w:tcPr>
            <w:tcW w:w="1338" w:type="dxa"/>
          </w:tcPr>
          <w:p>
            <w:pPr>
              <w:spacing w:line="276" w:lineRule="auto"/>
            </w:pPr>
            <w:r>
              <w:rPr>
                <w:rFonts w:eastAsia="Calibri"/>
                <w:sz w:val="17"/>
                <w:szCs w:val="17"/>
              </w:rPr>
              <w:t>MSMEs and small business owners</w:t>
            </w:r>
          </w:p>
        </w:tc>
        <w:tc>
          <w:tcPr>
            <w:tcW w:w="1987" w:type="dxa"/>
          </w:tcPr>
          <w:p>
            <w:pPr>
              <w:spacing w:line="276" w:lineRule="auto"/>
            </w:pPr>
            <w:r>
              <w:rPr>
                <w:rFonts w:eastAsia="Calibri"/>
                <w:sz w:val="17"/>
                <w:szCs w:val="17"/>
              </w:rPr>
              <w:t>Choosing and using AI tools for work; responding to AI scams</w:t>
            </w:r>
          </w:p>
        </w:tc>
        <w:tc>
          <w:tcPr>
            <w:tcW w:w="3365" w:type="dxa"/>
          </w:tcPr>
          <w:p>
            <w:pPr>
              <w:spacing w:line="276" w:lineRule="auto"/>
            </w:pPr>
            <w:r>
              <w:rPr>
                <w:rFonts w:eastAsia="Calibri"/>
                <w:sz w:val="17"/>
                <w:szCs w:val="17"/>
              </w:rPr>
              <w:t>MSME-specific AI training not confirmed</w:t>
            </w:r>
          </w:p>
        </w:tc>
        <w:tc>
          <w:tcPr>
            <w:tcW w:w="1436" w:type="dxa"/>
          </w:tcPr>
          <w:p>
            <w:pPr>
              <w:spacing w:line="276" w:lineRule="auto"/>
            </w:pPr>
            <w:r>
              <w:rPr>
                <w:rFonts w:eastAsia="Calibri"/>
                <w:sz w:val="17"/>
                <w:szCs w:val="17"/>
              </w:rPr>
              <w:t>Guangxi 'AI+Cross-border E-commerce' competition; platform-specific seller training</w:t>
            </w:r>
          </w:p>
        </w:tc>
        <w:tc>
          <w:tcPr>
            <w:tcW w:w="1614" w:type="dxa"/>
          </w:tcPr>
          <w:p>
            <w:pPr>
              <w:spacing w:line="276" w:lineRule="auto"/>
            </w:pPr>
            <w:r>
              <w:rPr>
                <w:rFonts w:eastAsia="Calibri"/>
                <w:sz w:val="17"/>
                <w:szCs w:val="17"/>
              </w:rPr>
              <w:t>AIM ASEAN (target of 100,000 businesses, delivered through local partners)</w:t>
            </w:r>
          </w:p>
        </w:tc>
      </w:tr>
      <w:tr>
        <w:trPr>
          <w:cantSplit/>
        </w:trPr>
        <w:tc>
          <w:tcPr>
            <w:tcW w:w="1338" w:type="dxa"/>
          </w:tcPr>
          <w:p>
            <w:pPr>
              <w:spacing w:line="276" w:lineRule="auto"/>
            </w:pPr>
            <w:r>
              <w:rPr>
                <w:rFonts w:eastAsia="Calibri"/>
                <w:sz w:val="17"/>
                <w:szCs w:val="17"/>
              </w:rPr>
              <w:t>University students and academic staff</w:t>
            </w:r>
          </w:p>
        </w:tc>
        <w:tc>
          <w:tcPr>
            <w:tcW w:w="1987" w:type="dxa"/>
          </w:tcPr>
          <w:p>
            <w:pPr>
              <w:spacing w:line="276" w:lineRule="auto"/>
            </w:pPr>
            <w:r>
              <w:rPr>
                <w:rFonts w:eastAsia="Calibri"/>
                <w:sz w:val="17"/>
                <w:szCs w:val="17"/>
              </w:rPr>
              <w:t>Using AI in study and research</w:t>
            </w:r>
          </w:p>
        </w:tc>
        <w:tc>
          <w:tcPr>
            <w:tcW w:w="3365" w:type="dxa"/>
          </w:tcPr>
          <w:p>
            <w:pPr>
              <w:spacing w:line="276" w:lineRule="auto"/>
            </w:pPr>
            <w:r>
              <w:rPr>
                <w:rFonts w:eastAsia="Calibri"/>
                <w:sz w:val="17"/>
                <w:szCs w:val="17"/>
              </w:rPr>
              <w:t>Digital Academy scholarships; tailored inter-university courses</w:t>
            </w:r>
          </w:p>
        </w:tc>
        <w:tc>
          <w:tcPr>
            <w:tcW w:w="1436" w:type="dxa"/>
          </w:tcPr>
          <w:p>
            <w:pPr>
              <w:spacing w:line="276" w:lineRule="auto"/>
            </w:pPr>
            <w:r>
              <w:rPr>
                <w:rFonts w:eastAsia="Calibri"/>
                <w:sz w:val="17"/>
                <w:szCs w:val="17"/>
              </w:rPr>
              <w:t>Huawei Seeds for the Future</w:t>
            </w:r>
          </w:p>
        </w:tc>
        <w:tc>
          <w:tcPr>
            <w:tcW w:w="1614" w:type="dxa"/>
          </w:tcPr>
          <w:p>
            <w:pPr>
              <w:spacing w:line="276" w:lineRule="auto"/>
            </w:pPr>
            <w:r>
              <w:rPr>
                <w:rFonts w:eastAsia="Calibri"/>
                <w:sz w:val="17"/>
                <w:szCs w:val="17"/>
              </w:rPr>
              <w:t>AI Ready ASEAN Phase 2</w:t>
            </w:r>
          </w:p>
        </w:tc>
      </w:tr>
      <w:tr>
        <w:trPr>
          <w:cantSplit/>
        </w:trPr>
        <w:tc>
          <w:tcPr>
            <w:tcW w:w="1338" w:type="dxa"/>
          </w:tcPr>
          <w:p>
            <w:pPr>
              <w:spacing w:line="276" w:lineRule="auto"/>
            </w:pPr>
            <w:r>
              <w:rPr>
                <w:rFonts w:eastAsia="Calibri"/>
                <w:sz w:val="17"/>
                <w:szCs w:val="17"/>
              </w:rPr>
              <w:t>Teachers</w:t>
            </w:r>
          </w:p>
        </w:tc>
        <w:tc>
          <w:tcPr>
            <w:tcW w:w="1987" w:type="dxa"/>
          </w:tcPr>
          <w:p>
            <w:pPr>
              <w:spacing w:line="276" w:lineRule="auto"/>
            </w:pPr>
            <w:r>
              <w:rPr>
                <w:rFonts w:eastAsia="Calibri"/>
                <w:sz w:val="17"/>
                <w:szCs w:val="17"/>
              </w:rPr>
              <w:t>Using AI in the classroom; teaching AI ethics</w:t>
            </w:r>
          </w:p>
        </w:tc>
        <w:tc>
          <w:tcPr>
            <w:tcW w:w="3365" w:type="dxa"/>
          </w:tcPr>
          <w:p>
            <w:pPr>
              <w:spacing w:line="276" w:lineRule="auto"/>
            </w:pPr>
            <w:r>
              <w:rPr>
                <w:rFonts w:eastAsia="Calibri"/>
                <w:sz w:val="17"/>
                <w:szCs w:val="17"/>
              </w:rPr>
              <w:t>Smart Education programme (linked to 'AI+Education'; target groups and content not made public)</w:t>
            </w:r>
          </w:p>
        </w:tc>
        <w:tc>
          <w:tcPr>
            <w:tcW w:w="1436" w:type="dxa"/>
          </w:tcPr>
          <w:p>
            <w:pPr>
              <w:spacing w:line="276" w:lineRule="auto"/>
            </w:pPr>
            <w:r>
              <w:rPr>
                <w:rFonts w:eastAsia="Calibri"/>
                <w:sz w:val="17"/>
                <w:szCs w:val="17"/>
              </w:rPr>
              <w:t>—</w:t>
            </w:r>
          </w:p>
        </w:tc>
        <w:tc>
          <w:tcPr>
            <w:tcW w:w="1614" w:type="dxa"/>
          </w:tcPr>
          <w:p>
            <w:pPr>
              <w:spacing w:line="276" w:lineRule="auto"/>
            </w:pPr>
            <w:r>
              <w:rPr>
                <w:rFonts w:eastAsia="Calibri"/>
                <w:sz w:val="17"/>
                <w:szCs w:val="17"/>
              </w:rPr>
              <w:t>AI Ready ASEAN Phase 2: K-12 teachers (core); Phase 1: educators</w:t>
            </w:r>
          </w:p>
        </w:tc>
      </w:tr>
      <w:tr>
        <w:trPr>
          <w:cantSplit/>
        </w:trPr>
        <w:tc>
          <w:tcPr>
            <w:tcW w:w="1338" w:type="dxa"/>
          </w:tcPr>
          <w:p>
            <w:pPr>
              <w:spacing w:line="276" w:lineRule="auto"/>
            </w:pPr>
            <w:r>
              <w:rPr>
                <w:rFonts w:eastAsia="Calibri"/>
                <w:sz w:val="17"/>
                <w:szCs w:val="17"/>
              </w:rPr>
              <w:t>Parents and ordinary citizens</w:t>
            </w:r>
          </w:p>
        </w:tc>
        <w:tc>
          <w:tcPr>
            <w:tcW w:w="1987" w:type="dxa"/>
          </w:tcPr>
          <w:p>
            <w:pPr>
              <w:spacing w:line="276" w:lineRule="auto"/>
            </w:pPr>
            <w:r>
              <w:rPr>
                <w:rFonts w:eastAsia="Calibri"/>
                <w:sz w:val="17"/>
                <w:szCs w:val="17"/>
              </w:rPr>
              <w:t>Understanding generative AI; identifying disinformation and deepfakes</w:t>
            </w:r>
          </w:p>
        </w:tc>
        <w:tc>
          <w:tcPr>
            <w:tcW w:w="3365" w:type="dxa"/>
          </w:tcPr>
          <w:p>
            <w:pPr>
              <w:spacing w:line="276" w:lineRule="auto"/>
            </w:pPr>
            <w:r>
              <w:rPr>
                <w:rFonts w:eastAsia="Calibri"/>
                <w:sz w:val="17"/>
                <w:szCs w:val="17"/>
              </w:rPr>
              <w:t>Not confirmed</w:t>
            </w:r>
          </w:p>
        </w:tc>
        <w:tc>
          <w:tcPr>
            <w:tcW w:w="1436" w:type="dxa"/>
          </w:tcPr>
          <w:p>
            <w:pPr>
              <w:spacing w:line="276" w:lineRule="auto"/>
            </w:pPr>
            <w:r>
              <w:rPr>
                <w:rFonts w:eastAsia="Calibri"/>
                <w:sz w:val="17"/>
                <w:szCs w:val="17"/>
              </w:rPr>
              <w:t>—</w:t>
            </w:r>
          </w:p>
        </w:tc>
        <w:tc>
          <w:tcPr>
            <w:tcW w:w="1614" w:type="dxa"/>
          </w:tcPr>
          <w:p>
            <w:pPr>
              <w:spacing w:line="276" w:lineRule="auto"/>
            </w:pPr>
            <w:r>
              <w:rPr>
                <w:rFonts w:eastAsia="Calibri"/>
                <w:sz w:val="17"/>
                <w:szCs w:val="17"/>
              </w:rPr>
              <w:t>AI Ready ASEAN Phase 1; AI Class ASEAN (free, in local languages)</w:t>
            </w:r>
          </w:p>
        </w:tc>
      </w:tr>
      <w:tr>
        <w:trPr>
          <w:cantSplit/>
        </w:trPr>
        <w:tc>
          <w:tcPr>
            <w:tcW w:w="1338" w:type="dxa"/>
          </w:tcPr>
          <w:p>
            <w:pPr>
              <w:spacing w:line="276" w:lineRule="auto"/>
            </w:pPr>
            <w:r>
              <w:rPr>
                <w:rFonts w:eastAsia="Calibri"/>
                <w:sz w:val="17"/>
                <w:szCs w:val="17"/>
              </w:rPr>
              <w:t>Rural and vulnerable communities</w:t>
            </w:r>
          </w:p>
        </w:tc>
        <w:tc>
          <w:tcPr>
            <w:tcW w:w="1987" w:type="dxa"/>
          </w:tcPr>
          <w:p>
            <w:pPr>
              <w:spacing w:line="276" w:lineRule="auto"/>
            </w:pPr>
            <w:r>
              <w:rPr>
                <w:rFonts w:eastAsia="Calibri"/>
                <w:sz w:val="17"/>
                <w:szCs w:val="17"/>
              </w:rPr>
              <w:t>Basic AI literacy and access</w:t>
            </w:r>
          </w:p>
        </w:tc>
        <w:tc>
          <w:tcPr>
            <w:tcW w:w="3365" w:type="dxa"/>
          </w:tcPr>
          <w:p>
            <w:pPr>
              <w:spacing w:line="276" w:lineRule="auto"/>
            </w:pPr>
            <w:r>
              <w:rPr>
                <w:rFonts w:eastAsia="Calibri"/>
                <w:sz w:val="17"/>
                <w:szCs w:val="17"/>
              </w:rPr>
              <w:t>Farmers' digital capacity in the joint statement on smart agriculture (at the level of principle)</w:t>
            </w:r>
          </w:p>
        </w:tc>
        <w:tc>
          <w:tcPr>
            <w:tcW w:w="1436" w:type="dxa"/>
          </w:tcPr>
          <w:p>
            <w:pPr>
              <w:spacing w:line="276" w:lineRule="auto"/>
            </w:pPr>
            <w:r>
              <w:rPr>
                <w:rFonts w:eastAsia="Calibri"/>
                <w:sz w:val="17"/>
                <w:szCs w:val="17"/>
              </w:rPr>
              <w:t>Huawei TECH4ALL and others; Southeast Asian AI literacy cases not confirmed</w:t>
            </w:r>
          </w:p>
        </w:tc>
        <w:tc>
          <w:tcPr>
            <w:tcW w:w="1614" w:type="dxa"/>
          </w:tcPr>
          <w:p>
            <w:pPr>
              <w:spacing w:line="276" w:lineRule="auto"/>
            </w:pPr>
            <w:r>
              <w:rPr>
                <w:rFonts w:eastAsia="Calibri"/>
                <w:sz w:val="17"/>
                <w:szCs w:val="17"/>
              </w:rPr>
              <w:t>AI Ready ASEAN Phase 1 (via LIPs)</w:t>
            </w:r>
          </w:p>
        </w:tc>
      </w:tr>
    </w:tbl>
    <w:p>
      <w:pPr>
        <w:spacing w:after="60" w:line="120" w:lineRule="auto"/>
      </w:pPr>
    </w:p>
    <w:p>
      <w:pPr>
        <w:keepNext/>
        <w:spacing w:before="220" w:after="110" w:line="300" w:lineRule="auto"/>
      </w:pPr>
      <w:r>
        <w:rPr>
          <w:rFonts w:eastAsia="Calibri"/>
          <w:b/>
          <w:bCs/>
          <w:color w:val="0F63A8"/>
          <w:sz w:val="22"/>
          <w:szCs w:val="22"/>
        </w:rPr>
        <w:t>4.2 Where It Breaks Off: The Gap after Training</w:t>
      </w:r>
    </w:p>
    <w:p>
      <w:pPr>
        <w:spacing w:after="120" w:line="336" w:lineRule="auto"/>
        <w:jc w:val="both"/>
      </w:pPr>
      <w:r>
        <w:rPr>
          <w:rFonts w:eastAsia="Calibri"/>
        </w:rPr>
        <w:t>The Singapore Convening viewed MSME adoption of AI as passing through the stages of awareness, experimentation, implementation and scaling, and found that support breaks off between them (see 2.4). Mapping current ASEAN–China cooperation and Foundation entry points against each stage gives the following picture.</w:t>
      </w:r>
    </w:p>
    <w:tbl>
      <w:tblPr>
        <w:tblW w:w="9740" w:type="dxa"/>
        <w:tblBorders>
          <w:top w:val="single" w:sz="4" w:space="0" w:color="C3D6E8"/>
          <w:left w:val="single" w:sz="4" w:space="0" w:color="C3D6E8"/>
          <w:bottom w:val="single" w:sz="4" w:space="0" w:color="C3D6E8"/>
          <w:right w:val="single" w:sz="4" w:space="0" w:color="C3D6E8"/>
          <w:insideH w:val="single" w:sz="4" w:space="0" w:color="C3D6E8"/>
          <w:insideV w:val="single" w:sz="4" w:space="0" w:color="C3D6E8"/>
        </w:tblBorders>
        <w:tblLayout w:type="fixed"/>
        <w:tblCellMar>
          <w:top w:w="90" w:type="dxa"/>
          <w:left w:w="106" w:type="dxa"/>
          <w:bottom w:w="90" w:type="dxa"/>
          <w:right w:w="106" w:type="dxa"/>
        </w:tblCellMar>
        <w:tblLook w:val="04A0" w:firstRow="1" w:lastRow="0" w:firstColumn="1" w:lastColumn="0" w:noHBand="0" w:noVBand="1"/>
      </w:tblPr>
      <w:tblGrid>
        <w:gridCol w:w="1730"/>
        <w:gridCol w:w="1891"/>
        <w:gridCol w:w="2111"/>
        <w:gridCol w:w="2198"/>
        <w:gridCol w:w="1810"/>
      </w:tblGrid>
      <w:tr>
        <w:trPr>
          <w:tblHeader/>
        </w:trPr>
        <w:tc>
          <w:tcPr>
            <w:tcW w:w="1730" w:type="dxa"/>
            <w:shd w:val="clear" w:color="auto" w:fill="00498F"/>
          </w:tcPr>
          <w:p>
            <w:pPr>
              <w:spacing w:line="276" w:lineRule="auto"/>
            </w:pPr>
            <w:r>
              <w:rPr>
                <w:rFonts w:eastAsia="Calibri"/>
                <w:b/>
                <w:bCs/>
                <w:color w:val="FFFFFF"/>
                <w:sz w:val="17"/>
                <w:szCs w:val="17"/>
              </w:rPr>
              <w:t>Stage</w:t>
            </w:r>
          </w:p>
        </w:tc>
        <w:tc>
          <w:tcPr>
            <w:tcW w:w="1891" w:type="dxa"/>
            <w:shd w:val="clear" w:color="auto" w:fill="00498F"/>
          </w:tcPr>
          <w:p>
            <w:pPr>
              <w:spacing w:line="276" w:lineRule="auto"/>
            </w:pPr>
            <w:r>
              <w:rPr>
                <w:rFonts w:eastAsia="Calibri"/>
                <w:b/>
                <w:bCs/>
                <w:color w:val="FFFFFF"/>
                <w:sz w:val="17"/>
                <w:szCs w:val="17"/>
              </w:rPr>
              <w:t>Barriers identified in Singapore</w:t>
            </w:r>
          </w:p>
        </w:tc>
        <w:tc>
          <w:tcPr>
            <w:tcW w:w="2111" w:type="dxa"/>
            <w:shd w:val="clear" w:color="auto" w:fill="00498F"/>
          </w:tcPr>
          <w:p>
            <w:pPr>
              <w:spacing w:line="276" w:lineRule="auto"/>
            </w:pPr>
            <w:r>
              <w:rPr>
                <w:rFonts w:eastAsia="Calibri"/>
                <w:b/>
                <w:bCs/>
                <w:color w:val="FFFFFF"/>
                <w:sz w:val="17"/>
                <w:szCs w:val="17"/>
              </w:rPr>
              <w:t>Support needed (the report's policy directions)</w:t>
            </w:r>
          </w:p>
        </w:tc>
        <w:tc>
          <w:tcPr>
            <w:tcW w:w="2198" w:type="dxa"/>
            <w:shd w:val="clear" w:color="auto" w:fill="00498F"/>
          </w:tcPr>
          <w:p>
            <w:pPr>
              <w:spacing w:line="276" w:lineRule="auto"/>
            </w:pPr>
            <w:r>
              <w:rPr>
                <w:rFonts w:eastAsia="Calibri"/>
                <w:b/>
                <w:bCs/>
                <w:color w:val="FFFFFF"/>
                <w:sz w:val="17"/>
                <w:szCs w:val="17"/>
              </w:rPr>
              <w:t>ASEAN–China cooperation today</w:t>
            </w:r>
          </w:p>
        </w:tc>
        <w:tc>
          <w:tcPr>
            <w:tcW w:w="1810" w:type="dxa"/>
            <w:shd w:val="clear" w:color="auto" w:fill="00498F"/>
          </w:tcPr>
          <w:p>
            <w:pPr>
              <w:spacing w:line="276" w:lineRule="auto"/>
            </w:pPr>
            <w:r>
              <w:rPr>
                <w:rFonts w:eastAsia="Calibri"/>
                <w:b/>
                <w:bCs/>
                <w:color w:val="FFFFFF"/>
                <w:sz w:val="17"/>
                <w:szCs w:val="17"/>
              </w:rPr>
              <w:t>Foundation entry points</w:t>
            </w:r>
          </w:p>
        </w:tc>
      </w:tr>
      <w:tr>
        <w:trPr>
          <w:cantSplit/>
        </w:trPr>
        <w:tc>
          <w:tcPr>
            <w:tcW w:w="1730" w:type="dxa"/>
          </w:tcPr>
          <w:p>
            <w:pPr>
              <w:spacing w:line="276" w:lineRule="auto"/>
            </w:pPr>
            <w:r>
              <w:rPr>
                <w:rFonts w:eastAsia="Calibri"/>
                <w:sz w:val="17"/>
                <w:szCs w:val="17"/>
              </w:rPr>
              <w:t>Awareness</w:t>
            </w:r>
          </w:p>
        </w:tc>
        <w:tc>
          <w:tcPr>
            <w:tcW w:w="1891" w:type="dxa"/>
          </w:tcPr>
          <w:p>
            <w:pPr>
              <w:spacing w:line="276" w:lineRule="auto"/>
            </w:pPr>
            <w:r>
              <w:rPr>
                <w:rFonts w:eastAsia="Calibri"/>
                <w:sz w:val="17"/>
                <w:szCs w:val="17"/>
              </w:rPr>
              <w:t>Experience of using chatbots mistaken for readiness; unclear case for investment</w:t>
            </w:r>
          </w:p>
        </w:tc>
        <w:tc>
          <w:tcPr>
            <w:tcW w:w="2111" w:type="dxa"/>
          </w:tcPr>
          <w:p>
            <w:pPr>
              <w:spacing w:line="276" w:lineRule="auto"/>
            </w:pPr>
            <w:r>
              <w:rPr>
                <w:rFonts w:eastAsia="Calibri"/>
                <w:sz w:val="17"/>
                <w:szCs w:val="17"/>
              </w:rPr>
              <w:t>Sector-specific demonstrations that start from business problems</w:t>
            </w:r>
          </w:p>
        </w:tc>
        <w:tc>
          <w:tcPr>
            <w:tcW w:w="2198" w:type="dxa"/>
          </w:tcPr>
          <w:p>
            <w:pPr>
              <w:spacing w:line="276" w:lineRule="auto"/>
            </w:pPr>
            <w:r>
              <w:rPr>
                <w:rFonts w:eastAsia="Calibri"/>
                <w:sz w:val="17"/>
                <w:szCs w:val="17"/>
              </w:rPr>
              <w:t>Training and seminars: the 5,000 sessions and China–ASEAN AI Industry Innovation Centre (Beijing) training; Digital Academy scholarships</w:t>
            </w:r>
          </w:p>
        </w:tc>
        <w:tc>
          <w:tcPr>
            <w:tcW w:w="1810" w:type="dxa"/>
          </w:tcPr>
          <w:p>
            <w:pPr>
              <w:spacing w:line="276" w:lineRule="auto"/>
            </w:pPr>
            <w:r>
              <w:rPr>
                <w:rFonts w:eastAsia="Calibri"/>
                <w:sz w:val="17"/>
                <w:szCs w:val="17"/>
              </w:rPr>
              <w:t>AI Class ASEAN; AIM ASEAN introductory courses</w:t>
            </w:r>
          </w:p>
        </w:tc>
      </w:tr>
      <w:tr>
        <w:trPr>
          <w:cantSplit/>
        </w:trPr>
        <w:tc>
          <w:tcPr>
            <w:tcW w:w="1730" w:type="dxa"/>
          </w:tcPr>
          <w:p>
            <w:pPr>
              <w:spacing w:line="276" w:lineRule="auto"/>
            </w:pPr>
            <w:r>
              <w:rPr>
                <w:rFonts w:eastAsia="Calibri"/>
                <w:sz w:val="17"/>
                <w:szCs w:val="17"/>
              </w:rPr>
              <w:t>Experimentation</w:t>
            </w:r>
          </w:p>
        </w:tc>
        <w:tc>
          <w:tcPr>
            <w:tcW w:w="1891" w:type="dxa"/>
          </w:tcPr>
          <w:p>
            <w:pPr>
              <w:spacing w:line="276" w:lineRule="auto"/>
            </w:pPr>
            <w:r>
              <w:rPr>
                <w:rFonts w:eastAsia="Calibri"/>
                <w:sz w:val="17"/>
                <w:szCs w:val="17"/>
              </w:rPr>
              <w:t>Uncertain use cases; fragmented data; opportunity cost of failure</w:t>
            </w:r>
          </w:p>
        </w:tc>
        <w:tc>
          <w:tcPr>
            <w:tcW w:w="2111" w:type="dxa"/>
          </w:tcPr>
          <w:p>
            <w:pPr>
              <w:spacing w:line="276" w:lineRule="auto"/>
            </w:pPr>
            <w:r>
              <w:rPr>
                <w:rFonts w:eastAsia="Calibri"/>
                <w:sz w:val="17"/>
                <w:szCs w:val="17"/>
              </w:rPr>
              <w:t>Low-risk pilots using synthetic data and ready-made workflows; estimating total costs</w:t>
            </w:r>
          </w:p>
        </w:tc>
        <w:tc>
          <w:tcPr>
            <w:tcW w:w="2198" w:type="dxa"/>
          </w:tcPr>
          <w:p>
            <w:pPr>
              <w:spacing w:line="276" w:lineRule="auto"/>
            </w:pPr>
            <w:r>
              <w:rPr>
                <w:rFonts w:eastAsia="Calibri"/>
                <w:sz w:val="17"/>
                <w:szCs w:val="17"/>
              </w:rPr>
              <w:t>Catalogue of AI application scenarios (more than 1,000) and company matchmaking at the China–ASEAN AI Application Cooperation Centre (Nanning); pilot support for MSMEs not confirmed</w:t>
            </w:r>
          </w:p>
        </w:tc>
        <w:tc>
          <w:tcPr>
            <w:tcW w:w="1810" w:type="dxa"/>
          </w:tcPr>
          <w:p>
            <w:pPr>
              <w:spacing w:line="276" w:lineRule="auto"/>
            </w:pPr>
            <w:r>
              <w:rPr>
                <w:rFonts w:eastAsia="Calibri"/>
                <w:sz w:val="17"/>
                <w:szCs w:val="17"/>
              </w:rPr>
              <w:t>Sector-specific demonstration materials; guidance on responsible use</w:t>
            </w:r>
          </w:p>
        </w:tc>
      </w:tr>
      <w:tr>
        <w:trPr>
          <w:cantSplit/>
        </w:trPr>
        <w:tc>
          <w:tcPr>
            <w:tcW w:w="1730" w:type="dxa"/>
          </w:tcPr>
          <w:p>
            <w:pPr>
              <w:spacing w:line="276" w:lineRule="auto"/>
            </w:pPr>
            <w:r>
              <w:rPr>
                <w:rFonts w:eastAsia="Calibri"/>
                <w:sz w:val="17"/>
                <w:szCs w:val="17"/>
              </w:rPr>
              <w:t>Implementation</w:t>
            </w:r>
          </w:p>
        </w:tc>
        <w:tc>
          <w:tcPr>
            <w:tcW w:w="1891" w:type="dxa"/>
          </w:tcPr>
          <w:p>
            <w:pPr>
              <w:spacing w:line="276" w:lineRule="auto"/>
            </w:pPr>
            <w:r>
              <w:rPr>
                <w:rFonts w:eastAsia="Calibri"/>
                <w:sz w:val="17"/>
                <w:szCs w:val="17"/>
              </w:rPr>
              <w:t>Lack of in-house capacity; staff anxiety; integration and security costs</w:t>
            </w:r>
          </w:p>
        </w:tc>
        <w:tc>
          <w:tcPr>
            <w:tcW w:w="2111" w:type="dxa"/>
          </w:tcPr>
          <w:p>
            <w:pPr>
              <w:spacing w:line="276" w:lineRule="auto"/>
            </w:pPr>
            <w:r>
              <w:rPr>
                <w:rFonts w:eastAsia="Calibri"/>
                <w:sz w:val="17"/>
                <w:szCs w:val="17"/>
              </w:rPr>
              <w:t>Solution signposting and referral desks; implementation support; workforce transition (AI + X, internal champions)</w:t>
            </w:r>
          </w:p>
        </w:tc>
        <w:tc>
          <w:tcPr>
            <w:tcW w:w="2198" w:type="dxa"/>
          </w:tcPr>
          <w:p>
            <w:pPr>
              <w:spacing w:line="276" w:lineRule="auto"/>
            </w:pPr>
            <w:r>
              <w:rPr>
                <w:rFonts w:eastAsia="Calibri"/>
                <w:sz w:val="17"/>
                <w:szCs w:val="17"/>
              </w:rPr>
              <w:t>Could not be found in public sources</w:t>
            </w:r>
          </w:p>
        </w:tc>
        <w:tc>
          <w:tcPr>
            <w:tcW w:w="1810" w:type="dxa"/>
          </w:tcPr>
          <w:p>
            <w:pPr>
              <w:spacing w:line="276" w:lineRule="auto"/>
            </w:pPr>
            <w:r>
              <w:rPr>
                <w:rFonts w:eastAsia="Calibri"/>
                <w:sz w:val="17"/>
                <w:szCs w:val="17"/>
              </w:rPr>
              <w:t>Local partner network; clinics after training (proposed in Singapore)</w:t>
            </w:r>
          </w:p>
        </w:tc>
      </w:tr>
      <w:tr>
        <w:trPr>
          <w:cantSplit/>
        </w:trPr>
        <w:tc>
          <w:tcPr>
            <w:tcW w:w="1730" w:type="dxa"/>
          </w:tcPr>
          <w:p>
            <w:pPr>
              <w:spacing w:line="276" w:lineRule="auto"/>
            </w:pPr>
            <w:r>
              <w:rPr>
                <w:rFonts w:eastAsia="Calibri"/>
                <w:sz w:val="17"/>
                <w:szCs w:val="17"/>
              </w:rPr>
              <w:t>Scaling</w:t>
            </w:r>
          </w:p>
        </w:tc>
        <w:tc>
          <w:tcPr>
            <w:tcW w:w="1891" w:type="dxa"/>
          </w:tcPr>
          <w:p>
            <w:pPr>
              <w:spacing w:line="276" w:lineRule="auto"/>
            </w:pPr>
            <w:r>
              <w:rPr>
                <w:rFonts w:eastAsia="Calibri"/>
                <w:sz w:val="17"/>
                <w:szCs w:val="17"/>
              </w:rPr>
              <w:t>Support ending when one-off workshops and short pilots finish; lack of evidence of results</w:t>
            </w:r>
          </w:p>
        </w:tc>
        <w:tc>
          <w:tcPr>
            <w:tcW w:w="2111" w:type="dxa"/>
          </w:tcPr>
          <w:p>
            <w:pPr>
              <w:spacing w:line="276" w:lineRule="auto"/>
            </w:pPr>
            <w:r>
              <w:rPr>
                <w:rFonts w:eastAsia="Calibri"/>
                <w:sz w:val="17"/>
                <w:szCs w:val="17"/>
              </w:rPr>
              <w:t>Measuring sustained use and business value; delivery through trusted networks</w:t>
            </w:r>
          </w:p>
        </w:tc>
        <w:tc>
          <w:tcPr>
            <w:tcW w:w="2198" w:type="dxa"/>
          </w:tcPr>
          <w:p>
            <w:pPr>
              <w:spacing w:line="276" w:lineRule="auto"/>
            </w:pPr>
            <w:r>
              <w:rPr>
                <w:rFonts w:eastAsia="Calibri"/>
                <w:sz w:val="17"/>
                <w:szCs w:val="17"/>
              </w:rPr>
              <w:t>Could not be found in public sources</w:t>
            </w:r>
          </w:p>
        </w:tc>
        <w:tc>
          <w:tcPr>
            <w:tcW w:w="1810" w:type="dxa"/>
          </w:tcPr>
          <w:p>
            <w:pPr>
              <w:spacing w:line="276" w:lineRule="auto"/>
            </w:pPr>
            <w:r>
              <w:rPr>
                <w:rFonts w:eastAsia="Calibri"/>
                <w:sz w:val="17"/>
                <w:szCs w:val="17"/>
              </w:rPr>
              <w:t>Common outcome indicators; regional exchange of cases (recommended in Singapore)</w:t>
            </w:r>
          </w:p>
        </w:tc>
      </w:tr>
    </w:tbl>
    <w:p>
      <w:pPr>
        <w:spacing w:after="60" w:line="120" w:lineRule="auto"/>
      </w:pPr>
    </w:p>
    <w:p>
      <w:pPr>
        <w:spacing w:after="120" w:line="336" w:lineRule="auto"/>
        <w:jc w:val="both"/>
      </w:pPr>
      <w:r>
        <w:rPr>
          <w:rFonts w:eastAsia="Calibri"/>
          <w:b/>
          <w:bCs/>
          <w:color w:val="0F63A8"/>
        </w:rPr>
        <w:t>[Assessment]</w:t>
      </w:r>
      <w:r>
        <w:rPr>
          <w:rFonts w:eastAsia="Calibri"/>
        </w:rPr>
        <w:t xml:space="preserve"> ASEAN–China talent programmes are concentrated on the first stage (awareness and basic training) and on high-level talent (engineers and officials); support for the implementation and scaling stages could not be found in public sources. The more a programme's targets are framed as training counts, the more likely it is to suffer the same break. The most distinctive contribution the Foundation can offer lies in these latter two stages.</w:t>
      </w:r>
    </w:p>
    <w:p>
      <w:pPr>
        <w:keepNext/>
        <w:spacing w:before="220" w:after="110" w:line="300" w:lineRule="auto"/>
      </w:pPr>
      <w:r>
        <w:rPr>
          <w:rFonts w:eastAsia="Calibri"/>
          <w:b/>
          <w:bCs/>
          <w:color w:val="0F63A8"/>
          <w:sz w:val="22"/>
          <w:szCs w:val="22"/>
        </w:rPr>
        <w:t>4.3 Evidence</w:t>
      </w:r>
    </w:p>
    <w:p>
      <w:pPr>
        <w:spacing w:after="120" w:line="336" w:lineRule="auto"/>
        <w:jc w:val="both"/>
      </w:pPr>
      <w:r>
        <w:rPr>
          <w:rFonts w:eastAsia="Calibri"/>
          <w:b/>
          <w:bCs/>
        </w:rPr>
        <w:t>The cooperation's centre of gravity: building and deploying AI</w:t>
      </w:r>
    </w:p>
    <w:p>
      <w:pPr>
        <w:pStyle w:val="a4"/>
        <w:numPr>
          <w:ilvl w:val="0"/>
          <w:numId w:val="2"/>
        </w:numPr>
        <w:spacing w:after="60" w:line="336" w:lineRule="auto"/>
        <w:jc w:val="both"/>
      </w:pPr>
      <w:r>
        <w:rPr>
          <w:rFonts w:eastAsia="Calibri"/>
          <w:b/>
          <w:bCs/>
        </w:rPr>
        <w:t>Programme mix</w:t>
      </w:r>
      <w:r>
        <w:rPr>
          <w:rFonts w:eastAsia="Calibri"/>
        </w:rPr>
        <w:t>: The 31 cases in the September 2026 casebook centre on infrastructure, smart manufacturing and smart logistics (as reported by Chinese state media). The China–ASEAN AI Application Cooperation Centre (Nanning) has catalogued more than 1,000 AI application scenarios and formed an alliance of 55 companies (single source: Chinese state media).</w:t>
      </w:r>
    </w:p>
    <w:p>
      <w:pPr>
        <w:pStyle w:val="a4"/>
        <w:numPr>
          <w:ilvl w:val="0"/>
          <w:numId w:val="2"/>
        </w:numPr>
        <w:spacing w:after="60" w:line="336" w:lineRule="auto"/>
        <w:jc w:val="both"/>
      </w:pPr>
      <w:r>
        <w:rPr>
          <w:rFonts w:eastAsia="Calibri"/>
          <w:b/>
          <w:bCs/>
        </w:rPr>
        <w:t>Training audiences</w:t>
      </w:r>
      <w:r>
        <w:rPr>
          <w:rFonts w:eastAsia="Calibri"/>
        </w:rPr>
        <w:t>: According to the ASEAN Secretary-General, AI training at the China–ASEAN AI Industry Innovation Centre (Beijing) is aimed at officials, company employees and international students. Digital Academy is a degree and scholarship scheme. For the 5,000 AI training sessions and seminars aimed at all developing countries, the ASEAN allocation, target groups and format have not been made public.</w:t>
      </w:r>
    </w:p>
    <w:p>
      <w:pPr>
        <w:pStyle w:val="a4"/>
        <w:numPr>
          <w:ilvl w:val="0"/>
          <w:numId w:val="2"/>
        </w:numPr>
        <w:spacing w:after="120" w:line="336" w:lineRule="auto"/>
        <w:jc w:val="both"/>
      </w:pPr>
      <w:r>
        <w:rPr>
          <w:rFonts w:eastAsia="Calibri"/>
          <w:b/>
          <w:bCs/>
        </w:rPr>
        <w:t>ASEAN expectations</w:t>
      </w:r>
      <w:r>
        <w:rPr>
          <w:rFonts w:eastAsia="Calibri"/>
        </w:rPr>
        <w:t xml:space="preserve">: The Secretary-General described the China–ASEAN AI Industry Innovation Centre (Beijing) as "a joint capacity-building platform to ensure that digital transformation benefits all". This can be read as ASEAN foregrounding inclusiveness in this cooperation </w:t>
      </w:r>
      <w:r>
        <w:rPr>
          <w:rFonts w:eastAsia="Calibri"/>
          <w:b/>
          <w:bCs/>
          <w:color w:val="0F63A8"/>
        </w:rPr>
        <w:t>[Assessment]</w:t>
      </w:r>
      <w:r>
        <w:rPr>
          <w:rFonts w:eastAsia="Calibri"/>
        </w:rPr>
        <w:t>.</w:t>
      </w:r>
    </w:p>
    <w:p>
      <w:pPr>
        <w:spacing w:after="120" w:line="336" w:lineRule="auto"/>
        <w:jc w:val="both"/>
      </w:pPr>
      <w:r>
        <w:rPr>
          <w:rFonts w:eastAsia="Calibri"/>
          <w:b/>
          <w:bCs/>
        </w:rPr>
        <w:t>Readiness among AI users</w:t>
      </w:r>
    </w:p>
    <w:tbl>
      <w:tblPr>
        <w:tblW w:w="9740" w:type="dxa"/>
        <w:tblBorders>
          <w:top w:val="single" w:sz="4" w:space="0" w:color="C3D6E8"/>
          <w:left w:val="single" w:sz="4" w:space="0" w:color="C3D6E8"/>
          <w:bottom w:val="single" w:sz="4" w:space="0" w:color="C3D6E8"/>
          <w:right w:val="single" w:sz="4" w:space="0" w:color="C3D6E8"/>
          <w:insideH w:val="single" w:sz="4" w:space="0" w:color="C3D6E8"/>
          <w:insideV w:val="single" w:sz="4" w:space="0" w:color="C3D6E8"/>
        </w:tblBorders>
        <w:tblLayout w:type="fixed"/>
        <w:tblCellMar>
          <w:top w:w="90" w:type="dxa"/>
          <w:left w:w="106" w:type="dxa"/>
          <w:bottom w:w="90" w:type="dxa"/>
          <w:right w:w="106" w:type="dxa"/>
        </w:tblCellMar>
        <w:tblLook w:val="04A0" w:firstRow="1" w:lastRow="0" w:firstColumn="1" w:lastColumn="0" w:noHBand="0" w:noVBand="1"/>
      </w:tblPr>
      <w:tblGrid>
        <w:gridCol w:w="1576"/>
        <w:gridCol w:w="5530"/>
        <w:gridCol w:w="2634"/>
      </w:tblGrid>
      <w:tr>
        <w:trPr>
          <w:tblHeader/>
        </w:trPr>
        <w:tc>
          <w:tcPr>
            <w:tcW w:w="1576" w:type="dxa"/>
            <w:shd w:val="clear" w:color="auto" w:fill="00498F"/>
          </w:tcPr>
          <w:p>
            <w:pPr>
              <w:spacing w:line="276" w:lineRule="auto"/>
            </w:pPr>
            <w:r>
              <w:rPr>
                <w:rFonts w:eastAsia="Calibri"/>
                <w:b/>
                <w:bCs/>
                <w:color w:val="FFFFFF"/>
              </w:rPr>
              <w:t>Group</w:t>
            </w:r>
          </w:p>
        </w:tc>
        <w:tc>
          <w:tcPr>
            <w:tcW w:w="5530" w:type="dxa"/>
            <w:shd w:val="clear" w:color="auto" w:fill="00498F"/>
          </w:tcPr>
          <w:p>
            <w:pPr>
              <w:spacing w:line="276" w:lineRule="auto"/>
            </w:pPr>
            <w:r>
              <w:rPr>
                <w:rFonts w:eastAsia="Calibri"/>
                <w:b/>
                <w:bCs/>
                <w:color w:val="FFFFFF"/>
              </w:rPr>
              <w:t>Indicator</w:t>
            </w:r>
          </w:p>
        </w:tc>
        <w:tc>
          <w:tcPr>
            <w:tcW w:w="2634" w:type="dxa"/>
            <w:shd w:val="clear" w:color="auto" w:fill="00498F"/>
          </w:tcPr>
          <w:p>
            <w:pPr>
              <w:spacing w:line="276" w:lineRule="auto"/>
            </w:pPr>
            <w:r>
              <w:rPr>
                <w:rFonts w:eastAsia="Calibri"/>
                <w:b/>
                <w:bCs/>
                <w:color w:val="FFFFFF"/>
              </w:rPr>
              <w:t>Source</w:t>
            </w:r>
          </w:p>
        </w:tc>
      </w:tr>
      <w:tr>
        <w:trPr>
          <w:cantSplit/>
        </w:trPr>
        <w:tc>
          <w:tcPr>
            <w:tcW w:w="1576" w:type="dxa"/>
          </w:tcPr>
          <w:p>
            <w:pPr>
              <w:spacing w:line="276" w:lineRule="auto"/>
            </w:pPr>
            <w:r>
              <w:rPr>
                <w:rFonts w:eastAsia="Calibri"/>
              </w:rPr>
              <w:t>Students and educators</w:t>
            </w:r>
          </w:p>
        </w:tc>
        <w:tc>
          <w:tcPr>
            <w:tcW w:w="5530" w:type="dxa"/>
          </w:tcPr>
          <w:p>
            <w:pPr>
              <w:spacing w:line="276" w:lineRule="auto"/>
            </w:pPr>
            <w:r>
              <w:rPr>
                <w:rFonts w:eastAsia="Calibri"/>
              </w:rPr>
              <w:t>72.4 per cent of students and 70.5 per cent of educators have not taken an AI course. Educators' measured AI literacy is low relative to their confidence, while students overestimate their own capacity. Institutional readiness scores lowest</w:t>
            </w:r>
          </w:p>
        </w:tc>
        <w:tc>
          <w:tcPr>
            <w:tcW w:w="2634" w:type="dxa"/>
          </w:tcPr>
          <w:p>
            <w:pPr>
              <w:spacing w:line="276" w:lineRule="auto"/>
            </w:pPr>
            <w:r>
              <w:rPr>
                <w:rFonts w:eastAsia="Calibri"/>
              </w:rPr>
              <w:t>AI Ready ASEAN Research (2026)</w:t>
            </w:r>
          </w:p>
        </w:tc>
      </w:tr>
      <w:tr>
        <w:trPr>
          <w:cantSplit/>
        </w:trPr>
        <w:tc>
          <w:tcPr>
            <w:tcW w:w="1576" w:type="dxa"/>
          </w:tcPr>
          <w:p>
            <w:pPr>
              <w:spacing w:line="276" w:lineRule="auto"/>
            </w:pPr>
            <w:r>
              <w:rPr>
                <w:rFonts w:eastAsia="Calibri"/>
              </w:rPr>
              <w:t>SMEs (Singapore)</w:t>
            </w:r>
          </w:p>
        </w:tc>
        <w:tc>
          <w:tcPr>
            <w:tcW w:w="5530" w:type="dxa"/>
          </w:tcPr>
          <w:p>
            <w:pPr>
              <w:spacing w:line="276" w:lineRule="auto"/>
            </w:pPr>
            <w:r>
              <w:rPr>
                <w:rFonts w:eastAsia="Calibri"/>
              </w:rPr>
              <w:t>AI adoption rate of 23.4 per cent among SMEs against 70.4 per cent among non-SMEs (2025)</w:t>
            </w:r>
          </w:p>
        </w:tc>
        <w:tc>
          <w:tcPr>
            <w:tcW w:w="2634" w:type="dxa"/>
          </w:tcPr>
          <w:p>
            <w:pPr>
              <w:spacing w:line="276" w:lineRule="auto"/>
            </w:pPr>
            <w:r>
              <w:rPr>
                <w:rFonts w:eastAsia="Calibri"/>
              </w:rPr>
              <w:t>IMDA (October 2026)</w:t>
            </w:r>
          </w:p>
        </w:tc>
      </w:tr>
      <w:tr>
        <w:trPr>
          <w:cantSplit/>
        </w:trPr>
        <w:tc>
          <w:tcPr>
            <w:tcW w:w="1576" w:type="dxa"/>
          </w:tcPr>
          <w:p>
            <w:pPr>
              <w:spacing w:line="276" w:lineRule="auto"/>
            </w:pPr>
            <w:r>
              <w:rPr>
                <w:rFonts w:eastAsia="Calibri"/>
              </w:rPr>
              <w:t>MSMEs on the ground (Singapore)</w:t>
            </w:r>
          </w:p>
        </w:tc>
        <w:tc>
          <w:tcPr>
            <w:tcW w:w="5530" w:type="dxa"/>
          </w:tcPr>
          <w:p>
            <w:pPr>
              <w:spacing w:line="276" w:lineRule="auto"/>
            </w:pPr>
            <w:r>
              <w:rPr>
                <w:rFonts w:eastAsia="Calibri"/>
              </w:rPr>
              <w:t>Gap between access to tools and integration into the business; breaks between awareness, experimentation, implementation and scaling; inadequate data readiness; shortage of 'AI-bilingual' talent</w:t>
            </w:r>
          </w:p>
        </w:tc>
        <w:tc>
          <w:tcPr>
            <w:tcW w:w="2634" w:type="dxa"/>
          </w:tcPr>
          <w:p>
            <w:pPr>
              <w:spacing w:line="276" w:lineRule="auto"/>
            </w:pPr>
            <w:r>
              <w:rPr>
                <w:rFonts w:eastAsia="Calibri"/>
              </w:rPr>
              <w:t>AIM ASEAN Singapore Convening (internal LIP report)</w:t>
            </w:r>
          </w:p>
        </w:tc>
      </w:tr>
      <w:tr>
        <w:trPr>
          <w:cantSplit/>
        </w:trPr>
        <w:tc>
          <w:tcPr>
            <w:tcW w:w="1576" w:type="dxa"/>
          </w:tcPr>
          <w:p>
            <w:pPr>
              <w:spacing w:line="276" w:lineRule="auto"/>
            </w:pPr>
            <w:r>
              <w:rPr>
                <w:rFonts w:eastAsia="Calibri"/>
              </w:rPr>
              <w:t>MSMEs on the ground (Indonesia)</w:t>
            </w:r>
          </w:p>
        </w:tc>
        <w:tc>
          <w:tcPr>
            <w:tcW w:w="5530" w:type="dxa"/>
          </w:tcPr>
          <w:p>
            <w:pPr>
              <w:spacing w:line="276" w:lineRule="auto"/>
            </w:pPr>
            <w:r>
              <w:rPr>
                <w:rFonts w:eastAsia="Calibri"/>
              </w:rPr>
              <w:t>Gaps in digital and financial literacy. Minister of MSMEs: more than 90 per cent of MSMEs fail to use AI properly in their work</w:t>
            </w:r>
          </w:p>
        </w:tc>
        <w:tc>
          <w:tcPr>
            <w:tcW w:w="2634" w:type="dxa"/>
          </w:tcPr>
          <w:p>
            <w:pPr>
              <w:spacing w:line="276" w:lineRule="auto"/>
            </w:pPr>
            <w:r>
              <w:rPr>
                <w:rFonts w:eastAsia="Calibri"/>
              </w:rPr>
              <w:t>Convening coverage (Kompas); opening speech as reported by Antara (single source)</w:t>
            </w:r>
          </w:p>
        </w:tc>
      </w:tr>
      <w:tr>
        <w:trPr>
          <w:cantSplit/>
        </w:trPr>
        <w:tc>
          <w:tcPr>
            <w:tcW w:w="1576" w:type="dxa"/>
          </w:tcPr>
          <w:p>
            <w:pPr>
              <w:spacing w:line="276" w:lineRule="auto"/>
            </w:pPr>
            <w:r>
              <w:rPr>
                <w:rFonts w:eastAsia="Calibri"/>
              </w:rPr>
              <w:t>E-commerce sellers (six countries)</w:t>
            </w:r>
          </w:p>
        </w:tc>
        <w:tc>
          <w:tcPr>
            <w:tcW w:w="5530" w:type="dxa"/>
          </w:tcPr>
          <w:p>
            <w:pPr>
              <w:spacing w:line="276" w:lineRule="auto"/>
            </w:pPr>
            <w:r>
              <w:rPr>
                <w:rFonts w:eastAsia="Calibri"/>
              </w:rPr>
              <w:t>68 per cent know about AI; 37 per cent actually apply it in their work. Three in four need further support</w:t>
            </w:r>
          </w:p>
        </w:tc>
        <w:tc>
          <w:tcPr>
            <w:tcW w:w="2634" w:type="dxa"/>
          </w:tcPr>
          <w:p>
            <w:pPr>
              <w:spacing w:line="276" w:lineRule="auto"/>
            </w:pPr>
            <w:r>
              <w:rPr>
                <w:rFonts w:eastAsia="Calibri"/>
              </w:rPr>
              <w:t>Lazada–Kantar (February 2025; 1,214 sellers; platform survey)</w:t>
            </w:r>
          </w:p>
        </w:tc>
      </w:tr>
      <w:tr>
        <w:trPr>
          <w:cantSplit/>
        </w:trPr>
        <w:tc>
          <w:tcPr>
            <w:tcW w:w="1576" w:type="dxa"/>
          </w:tcPr>
          <w:p>
            <w:pPr>
              <w:spacing w:line="276" w:lineRule="auto"/>
            </w:pPr>
            <w:r>
              <w:rPr>
                <w:rFonts w:eastAsia="Calibri"/>
              </w:rPr>
              <w:t>MSMEs across the region</w:t>
            </w:r>
          </w:p>
        </w:tc>
        <w:tc>
          <w:tcPr>
            <w:tcW w:w="5530" w:type="dxa"/>
          </w:tcPr>
          <w:p>
            <w:pPr>
              <w:spacing w:line="276" w:lineRule="auto"/>
            </w:pPr>
            <w:r>
              <w:rPr>
                <w:rFonts w:eastAsia="Calibri"/>
              </w:rPr>
              <w:t>Low AI adoption owing to cost, technical complexity and lack of expertise</w:t>
            </w:r>
          </w:p>
        </w:tc>
        <w:tc>
          <w:tcPr>
            <w:tcW w:w="2634" w:type="dxa"/>
          </w:tcPr>
          <w:p>
            <w:pPr>
              <w:spacing w:line="276" w:lineRule="auto"/>
            </w:pPr>
            <w:r>
              <w:rPr>
                <w:rFonts w:eastAsia="Calibri"/>
              </w:rPr>
              <w:t>ERIA Policy Brief 2025-1</w:t>
            </w:r>
          </w:p>
        </w:tc>
      </w:tr>
      <w:tr>
        <w:trPr>
          <w:cantSplit/>
        </w:trPr>
        <w:tc>
          <w:tcPr>
            <w:tcW w:w="1576" w:type="dxa"/>
          </w:tcPr>
          <w:p>
            <w:pPr>
              <w:spacing w:line="276" w:lineRule="auto"/>
            </w:pPr>
            <w:r>
              <w:rPr>
                <w:rFonts w:eastAsia="Calibri"/>
              </w:rPr>
              <w:t>SMEs in OECD countries</w:t>
            </w:r>
          </w:p>
        </w:tc>
        <w:tc>
          <w:tcPr>
            <w:tcW w:w="5530" w:type="dxa"/>
          </w:tcPr>
          <w:p>
            <w:pPr>
              <w:spacing w:line="276" w:lineRule="auto"/>
            </w:pPr>
            <w:r>
              <w:rPr>
                <w:rFonts w:eastAsia="Calibri"/>
              </w:rPr>
              <w:t>Most use off-the-shelf AI products; the extent to which they integrate them into operations strategically and safely is uneven</w:t>
            </w:r>
          </w:p>
        </w:tc>
        <w:tc>
          <w:tcPr>
            <w:tcW w:w="2634" w:type="dxa"/>
          </w:tcPr>
          <w:p>
            <w:pPr>
              <w:spacing w:line="276" w:lineRule="auto"/>
            </w:pPr>
            <w:r>
              <w:rPr>
                <w:rFonts w:eastAsia="Calibri"/>
              </w:rPr>
              <w:t>OECD 2026 D4SME survey (more than 2,000 firms in 12 countries; non-representative sample)</w:t>
            </w:r>
          </w:p>
        </w:tc>
      </w:tr>
    </w:tbl>
    <w:p>
      <w:pPr>
        <w:spacing w:after="60" w:line="120" w:lineRule="auto"/>
      </w:pPr>
    </w:p>
    <w:p>
      <w:pPr>
        <w:spacing w:after="120" w:line="336" w:lineRule="auto"/>
        <w:jc w:val="both"/>
      </w:pPr>
      <w:r>
        <w:rPr>
          <w:rFonts w:eastAsia="Calibri"/>
        </w:rPr>
        <w:t>Definitions and samples differ between surveys, so the figures should not be aggregated or compared directly. There are no official statistics on the AI adoption rate of MSMEs across ASEAN as a whole.</w:t>
      </w:r>
    </w:p>
    <w:p>
      <w:pPr>
        <w:spacing w:after="120" w:line="336" w:lineRule="auto"/>
        <w:jc w:val="both"/>
      </w:pPr>
      <w:r>
        <w:rPr>
          <w:rFonts w:eastAsia="Calibri"/>
          <w:b/>
          <w:bCs/>
        </w:rPr>
        <w:t>Risks from misuse of AI: a demand-side problem</w:t>
      </w:r>
    </w:p>
    <w:p>
      <w:pPr>
        <w:pStyle w:val="a4"/>
        <w:numPr>
          <w:ilvl w:val="0"/>
          <w:numId w:val="2"/>
        </w:numPr>
        <w:spacing w:after="60" w:line="336" w:lineRule="auto"/>
        <w:jc w:val="both"/>
      </w:pPr>
      <w:r>
        <w:rPr>
          <w:rFonts w:eastAsia="Calibri"/>
        </w:rPr>
        <w:t>ASEAN Digital Outlook 2026 identifies AI-generated threats, disinformation and scams as cross-border risks, and presents cybersecurity governance and digital literacy as two mutually complementary pillars (based on its summary).</w:t>
      </w:r>
    </w:p>
    <w:p>
      <w:pPr>
        <w:pStyle w:val="a4"/>
        <w:numPr>
          <w:ilvl w:val="0"/>
          <w:numId w:val="2"/>
        </w:numPr>
        <w:spacing w:after="120" w:line="336" w:lineRule="auto"/>
        <w:jc w:val="both"/>
      </w:pPr>
      <w:r>
        <w:rPr>
          <w:rFonts w:eastAsia="Calibri"/>
        </w:rPr>
        <w:t>A representative of the ASEAN Business Advisory Council (ASEAN-BAC) warned that MSMEs are particularly vulnerable because scammers use deepfakes and voice cloning to impersonate customers and business partners (as reported by Eco-Business). Citing Interpol data, the same report states that deepfake-related scams in Asia-Pacific rose by more than 1,500 per cent between 2022 and 2023.</w:t>
      </w:r>
    </w:p>
    <w:p>
      <w:pPr>
        <w:spacing w:after="120" w:line="336" w:lineRule="auto"/>
        <w:jc w:val="both"/>
      </w:pPr>
      <w:r>
        <w:rPr>
          <w:rFonts w:eastAsia="Calibri"/>
          <w:b/>
          <w:bCs/>
          <w:color w:val="0F63A8"/>
        </w:rPr>
        <w:t>[Assessment]</w:t>
      </w:r>
      <w:r>
        <w:rPr>
          <w:rFonts w:eastAsia="Calibri"/>
        </w:rPr>
        <w:t xml:space="preserve"> There are three gaps: in target groups (the capacity of teachers, citizens and MSMEs to use AI), in stages (support and measurement for implementation and scaling after training) and in coordination (between dispersed AI channels on the Chinese side and existing programmes on the ASEAN side). At the CIIS session on industry, the MSME 'after training' stage is the most concrete illustration of these gaps.</w:t>
      </w:r>
    </w:p>
    <w:p>
      <w:pPr>
        <w:keepNext/>
        <w:spacing w:before="240" w:after="160" w:line="300" w:lineRule="auto"/>
      </w:pPr>
      <w:r>
        <w:rPr>
          <w:rFonts w:eastAsia="Calibri"/>
          <w:b/>
          <w:bCs/>
          <w:color w:val="00498F"/>
          <w:sz w:val="26"/>
          <w:szCs w:val="26"/>
        </w:rPr>
        <w:t>5. How the Foundation Can Contribute</w:t>
      </w:r>
    </w:p>
    <w:p>
      <w:pPr>
        <w:spacing w:after="120" w:line="336" w:lineRule="auto"/>
        <w:jc w:val="both"/>
      </w:pPr>
      <w:r>
        <w:rPr>
          <w:rFonts w:eastAsia="Calibri"/>
        </w:rPr>
        <w:t>The recommendation runs on two tracks.</w:t>
      </w:r>
    </w:p>
    <w:p>
      <w:pPr>
        <w:spacing w:after="120" w:line="336" w:lineRule="auto"/>
        <w:jc w:val="both"/>
      </w:pPr>
      <w:r>
        <w:rPr>
          <w:rFonts w:eastAsia="Calibri"/>
          <w:b/>
          <w:bCs/>
        </w:rPr>
        <w:t>The immediate track is MSMEs.</w:t>
      </w:r>
      <w:r>
        <w:rPr>
          <w:rFonts w:eastAsia="Calibri"/>
        </w:rPr>
        <w:t xml:space="preserve"> Everything is already in place: evidence (the record of the Singapore Convening), an institutional basis (AIM ASEAN, endorsed by ACCMSME), proposed follow-up tasks (common outcome indicators and case exchange, subject to partner agreement) and opportunities (the CIIS industry session and the declaration of the Philippine-chaired summit in November). The Foundation presents A3, A4, B4, D1 and C5 together under a single message: 'we take on what comes after training'.</w:t>
      </w:r>
    </w:p>
    <w:p>
      <w:pPr>
        <w:spacing w:after="120" w:line="336" w:lineRule="auto"/>
        <w:jc w:val="both"/>
      </w:pPr>
      <w:r>
        <w:rPr>
          <w:rFonts w:eastAsia="Calibri"/>
          <w:b/>
          <w:bCs/>
        </w:rPr>
        <w:t>The structural track is teachers.</w:t>
      </w:r>
      <w:r>
        <w:rPr>
          <w:rFonts w:eastAsia="Calibri"/>
        </w:rPr>
        <w:t xml:space="preserve"> Teachers' AI competence (C1) ties directly into Phase 2 of AI Ready ASEAN, endorsed by SOM-ED, but the target groups of China's Smart Education have not been made public, so exploration must come first. If teachers are included, the timing is right to prevent duplication now; if not, C1 shifts to complementarity, filling a gap (a proposal to link up at the teacher level). Either way, the Foundation reports to SOM-ED before proceeding.</w:t>
      </w:r>
    </w:p>
    <w:p>
      <w:pPr>
        <w:spacing w:after="120" w:line="336" w:lineRule="auto"/>
        <w:jc w:val="both"/>
      </w:pPr>
      <w:r>
        <w:rPr>
          <w:rFonts w:eastAsia="Calibri"/>
          <w:b/>
          <w:bCs/>
        </w:rPr>
        <w:t>[Assessment] Why MSMEs are the first priority.</w:t>
      </w:r>
      <w:r>
        <w:rPr>
          <w:rFonts w:eastAsia="Calibri"/>
        </w:rPr>
        <w:t xml:space="preserve"> First, the evidence on the MSME side is more specific and more recent. Second, partners have recommended the role the Foundation would play (subject to agreement). Third, AIM ASEAN is scheduled to end in 2027, so securing a follow-up link is urgent. Fourth, C1 rests on a premise not yet confirmed (whether Smart Education covers teachers).</w:t>
      </w:r>
    </w:p>
    <w:p>
      <w:pPr>
        <w:spacing w:after="120" w:line="336" w:lineRule="auto"/>
        <w:jc w:val="both"/>
      </w:pPr>
      <w:r>
        <w:rPr>
          <w:rFonts w:eastAsia="Calibri"/>
        </w:rPr>
        <w:t>On this visit, Session 2 of the CIIS roundtable is the first opportunity to act. The meeting with the Ministry of Education will go no further than introducing A1 and A2 and confirming Smart Education's target groups and the channel for consultation. Both tracks share the same logic: ASEAN has the networks that carry AI through to the ground, and the evidence of how it is used after training.</w:t>
      </w:r>
    </w:p>
    <w:p>
      <w:pPr>
        <w:spacing w:after="120" w:line="336" w:lineRule="auto"/>
        <w:jc w:val="both"/>
      </w:pPr>
      <w:r>
        <w:rPr>
          <w:rFonts w:eastAsia="Calibri"/>
        </w:rPr>
        <w:t>All options rest on ASEAN ownership, working through member states, openness to other Dialogue Partners and technology neutrality. The Foundation will not provide learner data or state ASEAN positions on AI standards and norms.</w:t>
      </w:r>
    </w:p>
    <w:p>
      <w:pPr>
        <w:keepNext/>
        <w:spacing w:before="220" w:after="110" w:line="300" w:lineRule="auto"/>
      </w:pPr>
      <w:r>
        <w:rPr>
          <w:rFonts w:eastAsia="Calibri"/>
          <w:b/>
          <w:bCs/>
          <w:color w:val="0F63A8"/>
          <w:sz w:val="22"/>
          <w:szCs w:val="22"/>
        </w:rPr>
        <w:t>5.1 Options</w:t>
      </w:r>
    </w:p>
    <w:p>
      <w:pPr>
        <w:spacing w:after="120" w:line="336" w:lineRule="auto"/>
        <w:jc w:val="both"/>
      </w:pPr>
      <w:r>
        <w:rPr>
          <w:rFonts w:eastAsia="Calibri"/>
        </w:rPr>
        <w:t>The options fall into four groups, in order of difficulty: A, sharing experience and evidence; B, linking AI content and materials; C, joint programmes; and D, measuring AI competence.</w:t>
      </w:r>
    </w:p>
    <w:tbl>
      <w:tblPr>
        <w:tblW w:w="9740" w:type="dxa"/>
        <w:tblBorders>
          <w:top w:val="single" w:sz="4" w:space="0" w:color="C3D6E8"/>
          <w:left w:val="single" w:sz="4" w:space="0" w:color="C3D6E8"/>
          <w:bottom w:val="single" w:sz="4" w:space="0" w:color="C3D6E8"/>
          <w:right w:val="single" w:sz="4" w:space="0" w:color="C3D6E8"/>
          <w:insideH w:val="single" w:sz="4" w:space="0" w:color="C3D6E8"/>
          <w:insideV w:val="single" w:sz="4" w:space="0" w:color="C3D6E8"/>
        </w:tblBorders>
        <w:tblLayout w:type="fixed"/>
        <w:tblCellMar>
          <w:top w:w="90" w:type="dxa"/>
          <w:left w:w="106" w:type="dxa"/>
          <w:bottom w:w="90" w:type="dxa"/>
          <w:right w:w="106" w:type="dxa"/>
        </w:tblCellMar>
        <w:tblLook w:val="04A0" w:firstRow="1" w:lastRow="0" w:firstColumn="1" w:lastColumn="0" w:noHBand="0" w:noVBand="1"/>
      </w:tblPr>
      <w:tblGrid>
        <w:gridCol w:w="500"/>
        <w:gridCol w:w="1901"/>
        <w:gridCol w:w="1364"/>
        <w:gridCol w:w="1568"/>
        <w:gridCol w:w="1456"/>
        <w:gridCol w:w="1679"/>
        <w:gridCol w:w="1272"/>
      </w:tblGrid>
      <w:tr>
        <w:trPr>
          <w:tblHeader/>
        </w:trPr>
        <w:tc>
          <w:tcPr>
            <w:tcW w:w="500" w:type="dxa"/>
            <w:shd w:val="clear" w:color="auto" w:fill="00498F"/>
          </w:tcPr>
          <w:p>
            <w:pPr>
              <w:spacing w:line="276" w:lineRule="auto"/>
              <w:jc w:val="center"/>
            </w:pPr>
            <w:r>
              <w:rPr>
                <w:rFonts w:eastAsia="Calibri"/>
                <w:b/>
                <w:bCs/>
                <w:color w:val="FFFFFF"/>
                <w:sz w:val="16"/>
                <w:szCs w:val="16"/>
              </w:rPr>
              <w:t>#</w:t>
            </w:r>
          </w:p>
        </w:tc>
        <w:tc>
          <w:tcPr>
            <w:tcW w:w="1901" w:type="dxa"/>
            <w:shd w:val="clear" w:color="auto" w:fill="00498F"/>
          </w:tcPr>
          <w:p>
            <w:pPr>
              <w:spacing w:line="276" w:lineRule="auto"/>
            </w:pPr>
            <w:r>
              <w:rPr>
                <w:rFonts w:eastAsia="Calibri"/>
                <w:b/>
                <w:bCs/>
                <w:color w:val="FFFFFF"/>
                <w:sz w:val="16"/>
                <w:szCs w:val="16"/>
              </w:rPr>
              <w:t>Contribution</w:t>
            </w:r>
          </w:p>
        </w:tc>
        <w:tc>
          <w:tcPr>
            <w:tcW w:w="1364" w:type="dxa"/>
            <w:shd w:val="clear" w:color="auto" w:fill="00498F"/>
          </w:tcPr>
          <w:p>
            <w:pPr>
              <w:spacing w:line="276" w:lineRule="auto"/>
            </w:pPr>
            <w:r>
              <w:rPr>
                <w:rFonts w:eastAsia="Calibri"/>
                <w:b/>
                <w:bCs/>
                <w:color w:val="FFFFFF"/>
                <w:sz w:val="16"/>
                <w:szCs w:val="16"/>
              </w:rPr>
              <w:t>AI layer and asset</w:t>
            </w:r>
          </w:p>
        </w:tc>
        <w:tc>
          <w:tcPr>
            <w:tcW w:w="1568" w:type="dxa"/>
            <w:shd w:val="clear" w:color="auto" w:fill="00498F"/>
          </w:tcPr>
          <w:p>
            <w:pPr>
              <w:spacing w:line="276" w:lineRule="auto"/>
            </w:pPr>
            <w:r>
              <w:rPr>
                <w:rFonts w:eastAsia="Calibri"/>
                <w:b/>
                <w:bCs/>
                <w:color w:val="FFFFFF"/>
                <w:sz w:val="16"/>
                <w:szCs w:val="16"/>
              </w:rPr>
              <w:t>Channel and counterpart</w:t>
            </w:r>
          </w:p>
        </w:tc>
        <w:tc>
          <w:tcPr>
            <w:tcW w:w="1456" w:type="dxa"/>
            <w:shd w:val="clear" w:color="auto" w:fill="00498F"/>
          </w:tcPr>
          <w:p>
            <w:pPr>
              <w:spacing w:line="276" w:lineRule="auto"/>
            </w:pPr>
            <w:r>
              <w:rPr>
                <w:rFonts w:eastAsia="Calibri"/>
                <w:b/>
                <w:bCs/>
                <w:color w:val="FFFFFF"/>
                <w:sz w:val="16"/>
                <w:szCs w:val="16"/>
              </w:rPr>
              <w:t>Counterpart's incentive</w:t>
            </w:r>
          </w:p>
        </w:tc>
        <w:tc>
          <w:tcPr>
            <w:tcW w:w="1679" w:type="dxa"/>
            <w:shd w:val="clear" w:color="auto" w:fill="00498F"/>
          </w:tcPr>
          <w:p>
            <w:pPr>
              <w:spacing w:line="276" w:lineRule="auto"/>
            </w:pPr>
            <w:r>
              <w:rPr>
                <w:rFonts w:eastAsia="Calibri"/>
                <w:b/>
                <w:bCs/>
                <w:color w:val="FFFFFF"/>
                <w:sz w:val="16"/>
                <w:szCs w:val="16"/>
              </w:rPr>
              <w:t>Preconditions</w:t>
            </w:r>
          </w:p>
        </w:tc>
        <w:tc>
          <w:tcPr>
            <w:tcW w:w="1272" w:type="dxa"/>
            <w:shd w:val="clear" w:color="auto" w:fill="00498F"/>
          </w:tcPr>
          <w:p>
            <w:pPr>
              <w:spacing w:line="276" w:lineRule="auto"/>
            </w:pPr>
            <w:r>
              <w:rPr>
                <w:rFonts w:eastAsia="Calibri"/>
                <w:b/>
                <w:bCs/>
                <w:color w:val="FFFFFF"/>
                <w:sz w:val="16"/>
                <w:szCs w:val="16"/>
              </w:rPr>
              <w:t>Timing</w:t>
            </w:r>
          </w:p>
        </w:tc>
      </w:tr>
      <w:tr>
        <w:trPr>
          <w:cantSplit/>
        </w:trPr>
        <w:tc>
          <w:tcPr>
            <w:tcW w:w="500" w:type="dxa"/>
          </w:tcPr>
          <w:p>
            <w:pPr>
              <w:spacing w:line="276" w:lineRule="auto"/>
              <w:jc w:val="center"/>
            </w:pPr>
            <w:r>
              <w:rPr>
                <w:rFonts w:eastAsia="Calibri"/>
                <w:sz w:val="16"/>
                <w:szCs w:val="16"/>
              </w:rPr>
              <w:t>A1</w:t>
            </w:r>
          </w:p>
        </w:tc>
        <w:tc>
          <w:tcPr>
            <w:tcW w:w="1901" w:type="dxa"/>
          </w:tcPr>
          <w:p>
            <w:pPr>
              <w:spacing w:line="276" w:lineRule="auto"/>
            </w:pPr>
            <w:r>
              <w:rPr>
                <w:rFonts w:eastAsia="Calibri"/>
                <w:sz w:val="16"/>
                <w:szCs w:val="16"/>
              </w:rPr>
              <w:t>Sharing experience of the AI literacy Training-of-Trainers model (Master Trainer selection, local implementing partner (LIP) operations, quality assurance, tracking indicators of reach and in-depth completion)</w:t>
            </w:r>
          </w:p>
        </w:tc>
        <w:tc>
          <w:tcPr>
            <w:tcW w:w="1364" w:type="dxa"/>
          </w:tcPr>
          <w:p>
            <w:pPr>
              <w:spacing w:line="276" w:lineRule="auto"/>
            </w:pPr>
            <w:r>
              <w:rPr>
                <w:rFonts w:eastAsia="Calibri"/>
                <w:sz w:val="16"/>
                <w:szCs w:val="16"/>
              </w:rPr>
              <w:t>Talent · delivery</w:t>
            </w:r>
          </w:p>
        </w:tc>
        <w:tc>
          <w:tcPr>
            <w:tcW w:w="1568" w:type="dxa"/>
          </w:tcPr>
          <w:p>
            <w:pPr>
              <w:spacing w:line="276" w:lineRule="auto"/>
            </w:pPr>
            <w:r>
              <w:rPr>
                <w:rFonts w:eastAsia="Calibri"/>
                <w:sz w:val="16"/>
                <w:szCs w:val="16"/>
              </w:rPr>
              <w:t>Smart Education working-level officials; training staff at the China–ASEAN AI Industry Innovation Centre (Beijing); the roundtable</w:t>
            </w:r>
          </w:p>
        </w:tc>
        <w:tc>
          <w:tcPr>
            <w:tcW w:w="1456" w:type="dxa"/>
          </w:tcPr>
          <w:p>
            <w:pPr>
              <w:spacing w:line="276" w:lineRule="auto"/>
            </w:pPr>
            <w:r>
              <w:rPr>
                <w:rFonts w:eastAsia="Calibri"/>
                <w:sz w:val="16"/>
                <w:szCs w:val="16"/>
              </w:rPr>
              <w:t>Know-how in designing AI training at scale</w:t>
            </w:r>
          </w:p>
        </w:tc>
        <w:tc>
          <w:tcPr>
            <w:tcW w:w="1679" w:type="dxa"/>
          </w:tcPr>
          <w:p>
            <w:pPr>
              <w:spacing w:line="276" w:lineRule="auto"/>
            </w:pPr>
            <w:r>
              <w:rPr>
                <w:rFonts w:eastAsia="Calibri"/>
                <w:sz w:val="16"/>
                <w:szCs w:val="16"/>
              </w:rPr>
              <w:t>Compilation of cases that can be made public</w:t>
            </w:r>
          </w:p>
        </w:tc>
        <w:tc>
          <w:tcPr>
            <w:tcW w:w="1272" w:type="dxa"/>
          </w:tcPr>
          <w:p>
            <w:pPr>
              <w:spacing w:line="276" w:lineRule="auto"/>
            </w:pPr>
            <w:r>
              <w:rPr>
                <w:rFonts w:eastAsia="Calibri"/>
                <w:sz w:val="16"/>
                <w:szCs w:val="16"/>
              </w:rPr>
              <w:t>Immediately</w:t>
            </w:r>
          </w:p>
        </w:tc>
      </w:tr>
      <w:tr>
        <w:trPr>
          <w:cantSplit/>
        </w:trPr>
        <w:tc>
          <w:tcPr>
            <w:tcW w:w="500" w:type="dxa"/>
          </w:tcPr>
          <w:p>
            <w:pPr>
              <w:spacing w:line="276" w:lineRule="auto"/>
              <w:jc w:val="center"/>
            </w:pPr>
            <w:r>
              <w:rPr>
                <w:rFonts w:eastAsia="Calibri"/>
                <w:sz w:val="16"/>
                <w:szCs w:val="16"/>
              </w:rPr>
              <w:t>A2</w:t>
            </w:r>
          </w:p>
        </w:tc>
        <w:tc>
          <w:tcPr>
            <w:tcW w:w="1901" w:type="dxa"/>
          </w:tcPr>
          <w:p>
            <w:pPr>
              <w:spacing w:line="276" w:lineRule="auto"/>
            </w:pPr>
            <w:r>
              <w:rPr>
                <w:rFonts w:eastAsia="Calibri"/>
                <w:sz w:val="16"/>
                <w:szCs w:val="16"/>
              </w:rPr>
              <w:t>Evidence briefing on AI readiness (gaps by country and between urban and rural areas, the gap between teachers' self-assessment and measured competence, MSMEs' 'after training' barriers)</w:t>
            </w:r>
          </w:p>
        </w:tc>
        <w:tc>
          <w:tcPr>
            <w:tcW w:w="1364" w:type="dxa"/>
          </w:tcPr>
          <w:p>
            <w:pPr>
              <w:spacing w:line="276" w:lineRule="auto"/>
            </w:pPr>
            <w:r>
              <w:rPr>
                <w:rFonts w:eastAsia="Calibri"/>
                <w:sz w:val="16"/>
                <w:szCs w:val="16"/>
              </w:rPr>
              <w:t>Talent · evidence</w:t>
            </w:r>
          </w:p>
        </w:tc>
        <w:tc>
          <w:tcPr>
            <w:tcW w:w="1568" w:type="dxa"/>
          </w:tcPr>
          <w:p>
            <w:pPr>
              <w:spacing w:line="276" w:lineRule="auto"/>
            </w:pPr>
            <w:r>
              <w:rPr>
                <w:rFonts w:eastAsia="Calibri"/>
                <w:sz w:val="16"/>
                <w:szCs w:val="16"/>
              </w:rPr>
              <w:t>As above, plus the ADGSOM–China senior officials' meeting, via the ASEAN Secretariat</w:t>
            </w:r>
          </w:p>
        </w:tc>
        <w:tc>
          <w:tcPr>
            <w:tcW w:w="1456" w:type="dxa"/>
          </w:tcPr>
          <w:p>
            <w:pPr>
              <w:spacing w:line="276" w:lineRule="auto"/>
            </w:pPr>
            <w:r>
              <w:rPr>
                <w:rFonts w:eastAsia="Calibri"/>
                <w:sz w:val="16"/>
                <w:szCs w:val="16"/>
              </w:rPr>
              <w:t>Evidence for diagnosing demand for AI training</w:t>
            </w:r>
          </w:p>
        </w:tc>
        <w:tc>
          <w:tcPr>
            <w:tcW w:w="1679" w:type="dxa"/>
          </w:tcPr>
          <w:p>
            <w:pPr>
              <w:spacing w:line="276" w:lineRule="auto"/>
            </w:pPr>
            <w:r>
              <w:rPr>
                <w:rFonts w:eastAsia="Calibri"/>
                <w:sz w:val="16"/>
                <w:szCs w:val="16"/>
              </w:rPr>
              <w:t>Within the scope of published reports and press releases; the Singapore LIP report used only as an anonymised summary</w:t>
            </w:r>
          </w:p>
        </w:tc>
        <w:tc>
          <w:tcPr>
            <w:tcW w:w="1272" w:type="dxa"/>
          </w:tcPr>
          <w:p>
            <w:pPr>
              <w:spacing w:line="276" w:lineRule="auto"/>
            </w:pPr>
            <w:r>
              <w:rPr>
                <w:rFonts w:eastAsia="Calibri"/>
                <w:sz w:val="16"/>
                <w:szCs w:val="16"/>
              </w:rPr>
              <w:t>Immediately</w:t>
            </w:r>
          </w:p>
        </w:tc>
      </w:tr>
      <w:tr>
        <w:trPr>
          <w:cantSplit/>
        </w:trPr>
        <w:tc>
          <w:tcPr>
            <w:tcW w:w="500" w:type="dxa"/>
          </w:tcPr>
          <w:p>
            <w:pPr>
              <w:spacing w:line="276" w:lineRule="auto"/>
              <w:jc w:val="center"/>
            </w:pPr>
            <w:r>
              <w:rPr>
                <w:rFonts w:eastAsia="Calibri"/>
                <w:sz w:val="16"/>
                <w:szCs w:val="16"/>
              </w:rPr>
              <w:t>A3</w:t>
            </w:r>
          </w:p>
        </w:tc>
        <w:tc>
          <w:tcPr>
            <w:tcW w:w="1901" w:type="dxa"/>
          </w:tcPr>
          <w:p>
            <w:pPr>
              <w:spacing w:line="276" w:lineRule="auto"/>
            </w:pPr>
            <w:r>
              <w:rPr>
                <w:rFonts w:eastAsia="Calibri"/>
                <w:sz w:val="16"/>
                <w:szCs w:val="16"/>
              </w:rPr>
              <w:t>Remarks at the CIIS roundtable: built around the 'after training' question, sharing the Singapore lessons (the difference between tool use and business integration, AI-bilingual talent, support after training and responsible use) and proposing pathway design, a wider talent scope and measurement of sustained use</w:t>
            </w:r>
          </w:p>
        </w:tc>
        <w:tc>
          <w:tcPr>
            <w:tcW w:w="1364" w:type="dxa"/>
          </w:tcPr>
          <w:p>
            <w:pPr>
              <w:spacing w:line="276" w:lineRule="auto"/>
            </w:pPr>
            <w:r>
              <w:rPr>
                <w:rFonts w:eastAsia="Calibri"/>
                <w:sz w:val="16"/>
                <w:szCs w:val="16"/>
              </w:rPr>
              <w:t>Industrial application · evidence, delivery</w:t>
            </w:r>
          </w:p>
        </w:tc>
        <w:tc>
          <w:tcPr>
            <w:tcW w:w="1568" w:type="dxa"/>
          </w:tcPr>
          <w:p>
            <w:pPr>
              <w:spacing w:line="276" w:lineRule="auto"/>
            </w:pPr>
            <w:r>
              <w:rPr>
                <w:rFonts w:eastAsia="Calibri"/>
                <w:sz w:val="16"/>
                <w:szCs w:val="16"/>
              </w:rPr>
              <w:t>CIIS Session 2 (Chinese Mission to ASEAN copied in)</w:t>
            </w:r>
          </w:p>
        </w:tc>
        <w:tc>
          <w:tcPr>
            <w:tcW w:w="1456" w:type="dxa"/>
          </w:tcPr>
          <w:p>
            <w:pPr>
              <w:spacing w:line="276" w:lineRule="auto"/>
            </w:pPr>
            <w:r>
              <w:rPr>
                <w:rFonts w:eastAsia="Calibri"/>
                <w:sz w:val="16"/>
                <w:szCs w:val="16"/>
              </w:rPr>
              <w:t>MSME cases of building industrial AI capability</w:t>
            </w:r>
          </w:p>
        </w:tc>
        <w:tc>
          <w:tcPr>
            <w:tcW w:w="1679" w:type="dxa"/>
          </w:tcPr>
          <w:p>
            <w:pPr>
              <w:spacing w:line="276" w:lineRule="auto"/>
            </w:pPr>
            <w:r>
              <w:rPr>
                <w:rFonts w:eastAsia="Calibri"/>
                <w:sz w:val="16"/>
                <w:szCs w:val="16"/>
              </w:rPr>
              <w:t>Confirmation of what funders permit; advance sharing with the ASEAN Secretariat and the ACCMSME Chair; confirmation of the content of Ilan's closing remarks; submission of talking points (internally, by 14 October)</w:t>
            </w:r>
          </w:p>
        </w:tc>
        <w:tc>
          <w:tcPr>
            <w:tcW w:w="1272" w:type="dxa"/>
          </w:tcPr>
          <w:p>
            <w:pPr>
              <w:spacing w:line="276" w:lineRule="auto"/>
            </w:pPr>
            <w:r>
              <w:rPr>
                <w:rFonts w:eastAsia="Calibri"/>
                <w:sz w:val="16"/>
                <w:szCs w:val="16"/>
              </w:rPr>
              <w:t>October 2026</w:t>
            </w:r>
          </w:p>
        </w:tc>
      </w:tr>
      <w:tr>
        <w:trPr>
          <w:cantSplit/>
        </w:trPr>
        <w:tc>
          <w:tcPr>
            <w:tcW w:w="500" w:type="dxa"/>
          </w:tcPr>
          <w:p>
            <w:pPr>
              <w:spacing w:line="276" w:lineRule="auto"/>
              <w:jc w:val="center"/>
            </w:pPr>
            <w:r>
              <w:rPr>
                <w:rFonts w:eastAsia="Calibri"/>
                <w:sz w:val="16"/>
                <w:szCs w:val="16"/>
              </w:rPr>
              <w:t>A4</w:t>
            </w:r>
          </w:p>
        </w:tc>
        <w:tc>
          <w:tcPr>
            <w:tcW w:w="1901" w:type="dxa"/>
          </w:tcPr>
          <w:p>
            <w:pPr>
              <w:spacing w:line="276" w:lineRule="auto"/>
            </w:pPr>
            <w:r>
              <w:rPr>
                <w:rFonts w:eastAsia="Calibri"/>
                <w:sz w:val="16"/>
                <w:szCs w:val="16"/>
              </w:rPr>
              <w:t>Structured sharing of MSME AI use cases (business problem, data requirements, cost, workforce change, risks and results, including cases that did not work well)</w:t>
            </w:r>
          </w:p>
        </w:tc>
        <w:tc>
          <w:tcPr>
            <w:tcW w:w="1364" w:type="dxa"/>
          </w:tcPr>
          <w:p>
            <w:pPr>
              <w:spacing w:line="276" w:lineRule="auto"/>
            </w:pPr>
            <w:r>
              <w:rPr>
                <w:rFonts w:eastAsia="Calibri"/>
                <w:sz w:val="16"/>
                <w:szCs w:val="16"/>
              </w:rPr>
              <w:t>Industrial application · evidence</w:t>
            </w:r>
          </w:p>
        </w:tc>
        <w:tc>
          <w:tcPr>
            <w:tcW w:w="1568" w:type="dxa"/>
          </w:tcPr>
          <w:p>
            <w:pPr>
              <w:spacing w:line="276" w:lineRule="auto"/>
            </w:pPr>
            <w:r>
              <w:rPr>
                <w:rFonts w:eastAsia="Calibri"/>
                <w:sz w:val="16"/>
                <w:szCs w:val="16"/>
              </w:rPr>
              <w:t>Regional case exchange on the ASEAN side (AIM ASEAN regional policy meeting, ACCMSME); public cases only at ASEAN–China forums</w:t>
            </w:r>
          </w:p>
        </w:tc>
        <w:tc>
          <w:tcPr>
            <w:tcW w:w="1456" w:type="dxa"/>
          </w:tcPr>
          <w:p>
            <w:pPr>
              <w:spacing w:line="276" w:lineRule="auto"/>
            </w:pPr>
            <w:r>
              <w:rPr>
                <w:rFonts w:eastAsia="Calibri"/>
                <w:sz w:val="16"/>
                <w:szCs w:val="16"/>
              </w:rPr>
              <w:t>Comparability of cases; less trial and error</w:t>
            </w:r>
          </w:p>
        </w:tc>
        <w:tc>
          <w:tcPr>
            <w:tcW w:w="1679" w:type="dxa"/>
          </w:tcPr>
          <w:p>
            <w:pPr>
              <w:spacing w:line="276" w:lineRule="auto"/>
            </w:pPr>
            <w:r>
              <w:rPr>
                <w:rFonts w:eastAsia="Calibri"/>
                <w:sz w:val="16"/>
                <w:szCs w:val="16"/>
              </w:rPr>
              <w:t>Company consent and anonymisation; LIP agreement</w:t>
            </w:r>
          </w:p>
        </w:tc>
        <w:tc>
          <w:tcPr>
            <w:tcW w:w="1272" w:type="dxa"/>
          </w:tcPr>
          <w:p>
            <w:pPr>
              <w:spacing w:line="276" w:lineRule="auto"/>
            </w:pPr>
            <w:r>
              <w:rPr>
                <w:rFonts w:eastAsia="Calibri"/>
                <w:sz w:val="16"/>
                <w:szCs w:val="16"/>
              </w:rPr>
              <w:t>First half of 2027 (after the Singapore review in Q1 2027)</w:t>
            </w:r>
          </w:p>
        </w:tc>
      </w:tr>
      <w:tr>
        <w:trPr>
          <w:cantSplit/>
        </w:trPr>
        <w:tc>
          <w:tcPr>
            <w:tcW w:w="500" w:type="dxa"/>
          </w:tcPr>
          <w:p>
            <w:pPr>
              <w:spacing w:line="276" w:lineRule="auto"/>
              <w:jc w:val="center"/>
            </w:pPr>
            <w:r>
              <w:rPr>
                <w:rFonts w:eastAsia="Calibri"/>
                <w:sz w:val="16"/>
                <w:szCs w:val="16"/>
              </w:rPr>
              <w:t>B1</w:t>
            </w:r>
          </w:p>
        </w:tc>
        <w:tc>
          <w:tcPr>
            <w:tcW w:w="1901" w:type="dxa"/>
          </w:tcPr>
          <w:p>
            <w:pPr>
              <w:spacing w:line="276" w:lineRule="auto"/>
            </w:pPr>
            <w:r>
              <w:rPr>
                <w:rFonts w:eastAsia="Calibri"/>
                <w:sz w:val="16"/>
                <w:szCs w:val="16"/>
              </w:rPr>
              <w:t>Proposing AI Class ASEAN as pre-learning material for cooperative AI training (courses for teachers and MSMEs first)</w:t>
            </w:r>
          </w:p>
        </w:tc>
        <w:tc>
          <w:tcPr>
            <w:tcW w:w="1364" w:type="dxa"/>
          </w:tcPr>
          <w:p>
            <w:pPr>
              <w:spacing w:line="276" w:lineRule="auto"/>
            </w:pPr>
            <w:r>
              <w:rPr>
                <w:rFonts w:eastAsia="Calibri"/>
                <w:sz w:val="16"/>
                <w:szCs w:val="16"/>
              </w:rPr>
              <w:t>Talent · content</w:t>
            </w:r>
          </w:p>
        </w:tc>
        <w:tc>
          <w:tcPr>
            <w:tcW w:w="1568" w:type="dxa"/>
          </w:tcPr>
          <w:p>
            <w:pPr>
              <w:spacing w:line="276" w:lineRule="auto"/>
            </w:pPr>
            <w:r>
              <w:rPr>
                <w:rFonts w:eastAsia="Calibri"/>
                <w:sz w:val="16"/>
                <w:szCs w:val="16"/>
              </w:rPr>
              <w:t>Smart Education teacher training; the China–ASEAN AI Industry Innovation Centre (Beijing), if it sets up an MSME course; Digital Academy</w:t>
            </w:r>
          </w:p>
        </w:tc>
        <w:tc>
          <w:tcPr>
            <w:tcW w:w="1456" w:type="dxa"/>
          </w:tcPr>
          <w:p>
            <w:pPr>
              <w:spacing w:line="276" w:lineRule="auto"/>
            </w:pPr>
            <w:r>
              <w:rPr>
                <w:rFonts w:eastAsia="Calibri"/>
                <w:sz w:val="16"/>
                <w:szCs w:val="16"/>
              </w:rPr>
              <w:t>Participants' basic AI literacy brought to a common level; no additional cost</w:t>
            </w:r>
          </w:p>
        </w:tc>
        <w:tc>
          <w:tcPr>
            <w:tcW w:w="1679" w:type="dxa"/>
          </w:tcPr>
          <w:p>
            <w:pPr>
              <w:spacing w:line="276" w:lineRule="auto"/>
            </w:pPr>
            <w:r>
              <w:rPr>
                <w:rFonts w:eastAsia="Calibri"/>
                <w:sz w:val="16"/>
                <w:szCs w:val="16"/>
              </w:rPr>
              <w:t>Review of terms of use and data processing; consultation with funders</w:t>
            </w:r>
          </w:p>
        </w:tc>
        <w:tc>
          <w:tcPr>
            <w:tcW w:w="1272" w:type="dxa"/>
          </w:tcPr>
          <w:p>
            <w:pPr>
              <w:spacing w:line="276" w:lineRule="auto"/>
            </w:pPr>
            <w:r>
              <w:rPr>
                <w:rFonts w:eastAsia="Calibri"/>
                <w:sz w:val="16"/>
                <w:szCs w:val="16"/>
              </w:rPr>
              <w:t>First half of 2027</w:t>
            </w:r>
          </w:p>
        </w:tc>
      </w:tr>
      <w:tr>
        <w:trPr>
          <w:cantSplit/>
        </w:trPr>
        <w:tc>
          <w:tcPr>
            <w:tcW w:w="500" w:type="dxa"/>
          </w:tcPr>
          <w:p>
            <w:pPr>
              <w:spacing w:line="276" w:lineRule="auto"/>
              <w:jc w:val="center"/>
            </w:pPr>
            <w:r>
              <w:rPr>
                <w:rFonts w:eastAsia="Calibri"/>
                <w:sz w:val="16"/>
                <w:szCs w:val="16"/>
              </w:rPr>
              <w:t>B2</w:t>
            </w:r>
          </w:p>
        </w:tc>
        <w:tc>
          <w:tcPr>
            <w:tcW w:w="1901" w:type="dxa"/>
          </w:tcPr>
          <w:p>
            <w:pPr>
              <w:spacing w:line="276" w:lineRule="auto"/>
            </w:pPr>
            <w:r>
              <w:rPr>
                <w:rFonts w:eastAsia="Calibri"/>
                <w:sz w:val="16"/>
                <w:szCs w:val="16"/>
              </w:rPr>
              <w:t>Proposing an AI ethics and safety module (disinformation, deepfakes, personal data) as a common foundation course for citizens and MSMEs</w:t>
            </w:r>
          </w:p>
        </w:tc>
        <w:tc>
          <w:tcPr>
            <w:tcW w:w="1364" w:type="dxa"/>
          </w:tcPr>
          <w:p>
            <w:pPr>
              <w:spacing w:line="276" w:lineRule="auto"/>
            </w:pPr>
            <w:r>
              <w:rPr>
                <w:rFonts w:eastAsia="Calibri"/>
                <w:sz w:val="16"/>
                <w:szCs w:val="16"/>
              </w:rPr>
              <w:t>Governance and safety · content</w:t>
            </w:r>
          </w:p>
        </w:tc>
        <w:tc>
          <w:tcPr>
            <w:tcW w:w="1568" w:type="dxa"/>
          </w:tcPr>
          <w:p>
            <w:pPr>
              <w:spacing w:line="276" w:lineRule="auto"/>
            </w:pPr>
            <w:r>
              <w:rPr>
                <w:rFonts w:eastAsia="Calibri"/>
                <w:sz w:val="16"/>
                <w:szCs w:val="16"/>
              </w:rPr>
              <w:t>Proposal to ADGSOM and WG-AI through the ASEAN Secretariat's digital division; whether to link it with China's AI ethics and safety initiative (September 2026) is left to ASEAN's judgement</w:t>
            </w:r>
          </w:p>
        </w:tc>
        <w:tc>
          <w:tcPr>
            <w:tcW w:w="1456" w:type="dxa"/>
          </w:tcPr>
          <w:p>
            <w:pPr>
              <w:spacing w:line="276" w:lineRule="auto"/>
            </w:pPr>
            <w:r>
              <w:rPr>
                <w:rFonts w:eastAsia="Calibri"/>
                <w:sz w:val="16"/>
                <w:szCs w:val="16"/>
              </w:rPr>
              <w:t>ASEAN AI governance standards made concrete at the user's level</w:t>
            </w:r>
          </w:p>
        </w:tc>
        <w:tc>
          <w:tcPr>
            <w:tcW w:w="1679" w:type="dxa"/>
          </w:tcPr>
          <w:p>
            <w:pPr>
              <w:spacing w:line="276" w:lineRule="auto"/>
            </w:pPr>
            <w:r>
              <w:rPr>
                <w:rFonts w:eastAsia="Calibri"/>
                <w:sz w:val="16"/>
                <w:szCs w:val="16"/>
              </w:rPr>
              <w:t>Mapping against the ASEAN Guide and the Responsible AI Roadmap</w:t>
            </w:r>
          </w:p>
        </w:tc>
        <w:tc>
          <w:tcPr>
            <w:tcW w:w="1272" w:type="dxa"/>
          </w:tcPr>
          <w:p>
            <w:pPr>
              <w:spacing w:line="276" w:lineRule="auto"/>
            </w:pPr>
            <w:r>
              <w:rPr>
                <w:rFonts w:eastAsia="Calibri"/>
                <w:sz w:val="16"/>
                <w:szCs w:val="16"/>
              </w:rPr>
              <w:t>First half of 2027</w:t>
            </w:r>
          </w:p>
        </w:tc>
      </w:tr>
      <w:tr>
        <w:trPr>
          <w:cantSplit/>
        </w:trPr>
        <w:tc>
          <w:tcPr>
            <w:tcW w:w="500" w:type="dxa"/>
          </w:tcPr>
          <w:p>
            <w:pPr>
              <w:spacing w:line="276" w:lineRule="auto"/>
              <w:jc w:val="center"/>
            </w:pPr>
            <w:r>
              <w:rPr>
                <w:rFonts w:eastAsia="Calibri"/>
                <w:sz w:val="16"/>
                <w:szCs w:val="16"/>
              </w:rPr>
              <w:t>B3</w:t>
            </w:r>
          </w:p>
        </w:tc>
        <w:tc>
          <w:tcPr>
            <w:tcW w:w="1901" w:type="dxa"/>
          </w:tcPr>
          <w:p>
            <w:pPr>
              <w:spacing w:line="276" w:lineRule="auto"/>
            </w:pPr>
            <w:r>
              <w:rPr>
                <w:rFonts w:eastAsia="Calibri"/>
                <w:sz w:val="16"/>
                <w:szCs w:val="16"/>
              </w:rPr>
              <w:t>Sharing experience of AI education in local languages and AI glossaries (including low-resource languages)</w:t>
            </w:r>
          </w:p>
        </w:tc>
        <w:tc>
          <w:tcPr>
            <w:tcW w:w="1364" w:type="dxa"/>
          </w:tcPr>
          <w:p>
            <w:pPr>
              <w:spacing w:line="276" w:lineRule="auto"/>
            </w:pPr>
            <w:r>
              <w:rPr>
                <w:rFonts w:eastAsia="Calibri"/>
                <w:sz w:val="16"/>
                <w:szCs w:val="16"/>
              </w:rPr>
              <w:t>Language and data · content</w:t>
            </w:r>
          </w:p>
        </w:tc>
        <w:tc>
          <w:tcPr>
            <w:tcW w:w="1568" w:type="dxa"/>
          </w:tcPr>
          <w:p>
            <w:pPr>
              <w:spacing w:line="276" w:lineRule="auto"/>
            </w:pPr>
            <w:r>
              <w:rPr>
                <w:rFonts w:eastAsia="Calibri"/>
                <w:sz w:val="16"/>
                <w:szCs w:val="16"/>
              </w:rPr>
              <w:t>The roundtable's discussion of language models and open source; the ASEAN AI open-source community</w:t>
            </w:r>
          </w:p>
        </w:tc>
        <w:tc>
          <w:tcPr>
            <w:tcW w:w="1456" w:type="dxa"/>
          </w:tcPr>
          <w:p>
            <w:pPr>
              <w:spacing w:line="276" w:lineRule="auto"/>
            </w:pPr>
            <w:r>
              <w:rPr>
                <w:rFonts w:eastAsia="Calibri"/>
                <w:sz w:val="16"/>
                <w:szCs w:val="16"/>
              </w:rPr>
              <w:t>AI education resources for low-resource languages</w:t>
            </w:r>
          </w:p>
        </w:tc>
        <w:tc>
          <w:tcPr>
            <w:tcW w:w="1679" w:type="dxa"/>
          </w:tcPr>
          <w:p>
            <w:pPr>
              <w:spacing w:line="276" w:lineRule="auto"/>
            </w:pPr>
            <w:r>
              <w:rPr>
                <w:rFonts w:eastAsia="Calibri"/>
                <w:sz w:val="16"/>
                <w:szCs w:val="16"/>
              </w:rPr>
              <w:t>Learner data excluded; limited scope of disclosure</w:t>
            </w:r>
          </w:p>
        </w:tc>
        <w:tc>
          <w:tcPr>
            <w:tcW w:w="1272" w:type="dxa"/>
          </w:tcPr>
          <w:p>
            <w:pPr>
              <w:spacing w:line="276" w:lineRule="auto"/>
            </w:pPr>
            <w:r>
              <w:rPr>
                <w:rFonts w:eastAsia="Calibri"/>
                <w:sz w:val="16"/>
                <w:szCs w:val="16"/>
              </w:rPr>
              <w:t>2027</w:t>
            </w:r>
          </w:p>
        </w:tc>
      </w:tr>
      <w:tr>
        <w:trPr>
          <w:cantSplit/>
        </w:trPr>
        <w:tc>
          <w:tcPr>
            <w:tcW w:w="500" w:type="dxa"/>
          </w:tcPr>
          <w:p>
            <w:pPr>
              <w:spacing w:line="276" w:lineRule="auto"/>
              <w:jc w:val="center"/>
            </w:pPr>
            <w:r>
              <w:rPr>
                <w:rFonts w:eastAsia="Calibri"/>
                <w:sz w:val="16"/>
                <w:szCs w:val="16"/>
              </w:rPr>
              <w:t>B4</w:t>
            </w:r>
          </w:p>
        </w:tc>
        <w:tc>
          <w:tcPr>
            <w:tcW w:w="1901" w:type="dxa"/>
          </w:tcPr>
          <w:p>
            <w:pPr>
              <w:spacing w:line="276" w:lineRule="auto"/>
            </w:pPr>
            <w:r>
              <w:rPr>
                <w:rFonts w:eastAsia="Calibri"/>
                <w:sz w:val="16"/>
                <w:szCs w:val="16"/>
              </w:rPr>
              <w:t>Proposing open materials on the 'after training' pathway (stages for choosing use cases, low-risk pilots and implementation support; templates for data readiness, responsible use and outcome tracking) as supplementary materials for cooperative training for MSMEs</w:t>
            </w:r>
          </w:p>
        </w:tc>
        <w:tc>
          <w:tcPr>
            <w:tcW w:w="1364" w:type="dxa"/>
          </w:tcPr>
          <w:p>
            <w:pPr>
              <w:spacing w:line="276" w:lineRule="auto"/>
            </w:pPr>
            <w:r>
              <w:rPr>
                <w:rFonts w:eastAsia="Calibri"/>
                <w:sz w:val="16"/>
                <w:szCs w:val="16"/>
              </w:rPr>
              <w:t>Industrial application, governance · content</w:t>
            </w:r>
          </w:p>
        </w:tc>
        <w:tc>
          <w:tcPr>
            <w:tcW w:w="1568" w:type="dxa"/>
          </w:tcPr>
          <w:p>
            <w:pPr>
              <w:spacing w:line="276" w:lineRule="auto"/>
            </w:pPr>
            <w:r>
              <w:rPr>
                <w:rFonts w:eastAsia="Calibri"/>
                <w:sz w:val="16"/>
                <w:szCs w:val="16"/>
              </w:rPr>
              <w:t>After reporting to ACCMSME, an MSME course at the China–ASEAN AI Industry Innovation Centre (Beijing), if one is set up</w:t>
            </w:r>
          </w:p>
        </w:tc>
        <w:tc>
          <w:tcPr>
            <w:tcW w:w="1456" w:type="dxa"/>
          </w:tcPr>
          <w:p>
            <w:pPr>
              <w:spacing w:line="276" w:lineRule="auto"/>
            </w:pPr>
            <w:r>
              <w:rPr>
                <w:rFonts w:eastAsia="Calibri"/>
                <w:sz w:val="16"/>
                <w:szCs w:val="16"/>
              </w:rPr>
              <w:t>Higher rate of workplace application of training; low additional cost</w:t>
            </w:r>
          </w:p>
        </w:tc>
        <w:tc>
          <w:tcPr>
            <w:tcW w:w="1679" w:type="dxa"/>
          </w:tcPr>
          <w:p>
            <w:pPr>
              <w:spacing w:line="276" w:lineRule="auto"/>
            </w:pPr>
            <w:r>
              <w:rPr>
                <w:rFonts w:eastAsia="Calibri"/>
                <w:sz w:val="16"/>
                <w:szCs w:val="16"/>
              </w:rPr>
              <w:t>Templates developed by the Foundation and LIP (a Singapore recommendation, subject to agreement); consultation with funders</w:t>
            </w:r>
          </w:p>
        </w:tc>
        <w:tc>
          <w:tcPr>
            <w:tcW w:w="1272" w:type="dxa"/>
          </w:tcPr>
          <w:p>
            <w:pPr>
              <w:spacing w:line="276" w:lineRule="auto"/>
            </w:pPr>
            <w:r>
              <w:rPr>
                <w:rFonts w:eastAsia="Calibri"/>
                <w:sz w:val="16"/>
                <w:szCs w:val="16"/>
              </w:rPr>
              <w:t>2027</w:t>
            </w:r>
          </w:p>
        </w:tc>
      </w:tr>
      <w:tr>
        <w:trPr>
          <w:cantSplit/>
        </w:trPr>
        <w:tc>
          <w:tcPr>
            <w:tcW w:w="500" w:type="dxa"/>
          </w:tcPr>
          <w:p>
            <w:pPr>
              <w:spacing w:line="276" w:lineRule="auto"/>
              <w:jc w:val="center"/>
            </w:pPr>
            <w:r>
              <w:rPr>
                <w:rFonts w:eastAsia="Calibri"/>
                <w:sz w:val="16"/>
                <w:szCs w:val="16"/>
              </w:rPr>
              <w:t>C1</w:t>
            </w:r>
          </w:p>
        </w:tc>
        <w:tc>
          <w:tcPr>
            <w:tcW w:w="1901" w:type="dxa"/>
          </w:tcPr>
          <w:p>
            <w:pPr>
              <w:spacing w:line="276" w:lineRule="auto"/>
            </w:pPr>
            <w:r>
              <w:rPr>
                <w:rFonts w:eastAsia="Calibri"/>
                <w:sz w:val="16"/>
                <w:szCs w:val="16"/>
              </w:rPr>
              <w:t>Consultation on the division of roles and common standards for teachers' AI competence</w:t>
            </w:r>
          </w:p>
        </w:tc>
        <w:tc>
          <w:tcPr>
            <w:tcW w:w="1364" w:type="dxa"/>
          </w:tcPr>
          <w:p>
            <w:pPr>
              <w:spacing w:line="276" w:lineRule="auto"/>
            </w:pPr>
            <w:r>
              <w:rPr>
                <w:rFonts w:eastAsia="Calibri"/>
                <w:sz w:val="16"/>
                <w:szCs w:val="16"/>
              </w:rPr>
              <w:t>Talent · delivery, evidence</w:t>
            </w:r>
          </w:p>
        </w:tc>
        <w:tc>
          <w:tcPr>
            <w:tcW w:w="1568" w:type="dxa"/>
          </w:tcPr>
          <w:p>
            <w:pPr>
              <w:spacing w:line="276" w:lineRule="auto"/>
            </w:pPr>
            <w:r>
              <w:rPr>
                <w:rFonts w:eastAsia="Calibri"/>
                <w:sz w:val="16"/>
                <w:szCs w:val="16"/>
              </w:rPr>
              <w:t>SOM-ED ↔ China's Ministry of Education (Smart Education, AI+Education)</w:t>
            </w:r>
          </w:p>
        </w:tc>
        <w:tc>
          <w:tcPr>
            <w:tcW w:w="1456" w:type="dxa"/>
          </w:tcPr>
          <w:p>
            <w:pPr>
              <w:spacing w:line="276" w:lineRule="auto"/>
            </w:pPr>
            <w:r>
              <w:rPr>
                <w:rFonts w:eastAsia="Calibri"/>
                <w:sz w:val="16"/>
                <w:szCs w:val="16"/>
              </w:rPr>
              <w:t>Avoiding duplication; use of local delivery networks</w:t>
            </w:r>
          </w:p>
        </w:tc>
        <w:tc>
          <w:tcPr>
            <w:tcW w:w="1679" w:type="dxa"/>
          </w:tcPr>
          <w:p>
            <w:pPr>
              <w:spacing w:line="276" w:lineRule="auto"/>
            </w:pPr>
            <w:r>
              <w:rPr>
                <w:rFonts w:eastAsia="Calibri"/>
                <w:sz w:val="16"/>
                <w:szCs w:val="16"/>
              </w:rPr>
              <w:t>Confirmation of whether Smart Education covers teachers; report to SOM-ED; consent of member states' Ministries of Education</w:t>
            </w:r>
          </w:p>
        </w:tc>
        <w:tc>
          <w:tcPr>
            <w:tcW w:w="1272" w:type="dxa"/>
          </w:tcPr>
          <w:p>
            <w:pPr>
              <w:spacing w:line="276" w:lineRule="auto"/>
            </w:pPr>
            <w:r>
              <w:rPr>
                <w:rFonts w:eastAsia="Calibri"/>
                <w:sz w:val="16"/>
                <w:szCs w:val="16"/>
              </w:rPr>
              <w:t>2027–2028</w:t>
            </w:r>
          </w:p>
        </w:tc>
      </w:tr>
      <w:tr>
        <w:trPr>
          <w:cantSplit/>
        </w:trPr>
        <w:tc>
          <w:tcPr>
            <w:tcW w:w="500" w:type="dxa"/>
          </w:tcPr>
          <w:p>
            <w:pPr>
              <w:spacing w:line="276" w:lineRule="auto"/>
              <w:jc w:val="center"/>
            </w:pPr>
            <w:r>
              <w:rPr>
                <w:rFonts w:eastAsia="Calibri"/>
                <w:sz w:val="16"/>
                <w:szCs w:val="16"/>
              </w:rPr>
              <w:t>C2</w:t>
            </w:r>
          </w:p>
        </w:tc>
        <w:tc>
          <w:tcPr>
            <w:tcW w:w="1901" w:type="dxa"/>
          </w:tcPr>
          <w:p>
            <w:pPr>
              <w:spacing w:line="276" w:lineRule="auto"/>
            </w:pPr>
            <w:r>
              <w:rPr>
                <w:rFonts w:eastAsia="Calibri"/>
                <w:sz w:val="16"/>
                <w:szCs w:val="16"/>
              </w:rPr>
              <w:t>Building user AI literacy into AI application project sites (modules for local residents, workers and farmers)</w:t>
            </w:r>
          </w:p>
        </w:tc>
        <w:tc>
          <w:tcPr>
            <w:tcW w:w="1364" w:type="dxa"/>
          </w:tcPr>
          <w:p>
            <w:pPr>
              <w:spacing w:line="276" w:lineRule="auto"/>
            </w:pPr>
            <w:r>
              <w:rPr>
                <w:rFonts w:eastAsia="Calibri"/>
                <w:sz w:val="16"/>
                <w:szCs w:val="16"/>
              </w:rPr>
              <w:t>Industrial application · delivery</w:t>
            </w:r>
          </w:p>
        </w:tc>
        <w:tc>
          <w:tcPr>
            <w:tcW w:w="1568" w:type="dxa"/>
          </w:tcPr>
          <w:p>
            <w:pPr>
              <w:spacing w:line="276" w:lineRule="auto"/>
            </w:pPr>
            <w:r>
              <w:rPr>
                <w:rFonts w:eastAsia="Calibri"/>
                <w:sz w:val="16"/>
                <w:szCs w:val="16"/>
              </w:rPr>
              <w:t>With the consent of the relevant member state's line ministry (opt-in by interested countries): the China–ASEAN AI Application Cooperation Centre (Nanning) and project sites in the casebook (e.g. agricultural AI in Lao PDR and Cambodia)</w:t>
            </w:r>
          </w:p>
        </w:tc>
        <w:tc>
          <w:tcPr>
            <w:tcW w:w="1456" w:type="dxa"/>
          </w:tcPr>
          <w:p>
            <w:pPr>
              <w:spacing w:line="276" w:lineRule="auto"/>
            </w:pPr>
            <w:r>
              <w:rPr>
                <w:rFonts w:eastAsia="Calibri"/>
                <w:sz w:val="16"/>
                <w:szCs w:val="16"/>
              </w:rPr>
              <w:t>Greater local acceptance and AI uptake</w:t>
            </w:r>
          </w:p>
        </w:tc>
        <w:tc>
          <w:tcPr>
            <w:tcW w:w="1679" w:type="dxa"/>
          </w:tcPr>
          <w:p>
            <w:pPr>
              <w:spacing w:line="276" w:lineRule="auto"/>
            </w:pPr>
            <w:r>
              <w:rPr>
                <w:rFonts w:eastAsia="Calibri"/>
                <w:sz w:val="16"/>
                <w:szCs w:val="16"/>
              </w:rPr>
              <w:t>Consent of the member state's government; ASEAN content and branding retained; delivery partners and funding secured</w:t>
            </w:r>
          </w:p>
        </w:tc>
        <w:tc>
          <w:tcPr>
            <w:tcW w:w="1272" w:type="dxa"/>
          </w:tcPr>
          <w:p>
            <w:pPr>
              <w:spacing w:line="276" w:lineRule="auto"/>
            </w:pPr>
            <w:r>
              <w:rPr>
                <w:rFonts w:eastAsia="Calibri"/>
                <w:sz w:val="16"/>
                <w:szCs w:val="16"/>
              </w:rPr>
              <w:t>Pilot, 2027–2028</w:t>
            </w:r>
          </w:p>
        </w:tc>
      </w:tr>
      <w:tr>
        <w:trPr>
          <w:cantSplit/>
        </w:trPr>
        <w:tc>
          <w:tcPr>
            <w:tcW w:w="500" w:type="dxa"/>
          </w:tcPr>
          <w:p>
            <w:pPr>
              <w:spacing w:line="276" w:lineRule="auto"/>
              <w:jc w:val="center"/>
            </w:pPr>
            <w:r>
              <w:rPr>
                <w:rFonts w:eastAsia="Calibri"/>
                <w:sz w:val="16"/>
                <w:szCs w:val="16"/>
              </w:rPr>
              <w:t>C3</w:t>
            </w:r>
          </w:p>
        </w:tc>
        <w:tc>
          <w:tcPr>
            <w:tcW w:w="1901" w:type="dxa"/>
          </w:tcPr>
          <w:p>
            <w:pPr>
              <w:spacing w:line="276" w:lineRule="auto"/>
            </w:pPr>
            <w:r>
              <w:rPr>
                <w:rFonts w:eastAsia="Calibri"/>
                <w:sz w:val="16"/>
                <w:szCs w:val="16"/>
              </w:rPr>
              <w:t>Proposed deliverable for the 2027 Year of AI Cooperation (if adopted): a package on user AI competence and 'after training'</w:t>
            </w:r>
          </w:p>
        </w:tc>
        <w:tc>
          <w:tcPr>
            <w:tcW w:w="1364" w:type="dxa"/>
          </w:tcPr>
          <w:p>
            <w:pPr>
              <w:spacing w:line="276" w:lineRule="auto"/>
            </w:pPr>
            <w:r>
              <w:rPr>
                <w:rFonts w:eastAsia="Calibri"/>
                <w:sz w:val="16"/>
                <w:szCs w:val="16"/>
              </w:rPr>
              <w:t>All</w:t>
            </w:r>
          </w:p>
        </w:tc>
        <w:tc>
          <w:tcPr>
            <w:tcW w:w="1568" w:type="dxa"/>
          </w:tcPr>
          <w:p>
            <w:pPr>
              <w:spacing w:line="276" w:lineRule="auto"/>
            </w:pPr>
            <w:r>
              <w:rPr>
                <w:rFonts w:eastAsia="Calibri"/>
                <w:sz w:val="16"/>
                <w:szCs w:val="16"/>
              </w:rPr>
              <w:t>ASEAN–China Cooperation Fund (ACCF) and Joint Cooperation Committee (ACJCC) procedures</w:t>
            </w:r>
          </w:p>
        </w:tc>
        <w:tc>
          <w:tcPr>
            <w:tcW w:w="1456" w:type="dxa"/>
          </w:tcPr>
          <w:p>
            <w:pPr>
              <w:spacing w:line="276" w:lineRule="auto"/>
            </w:pPr>
            <w:r>
              <w:rPr>
                <w:rFonts w:eastAsia="Calibri"/>
                <w:sz w:val="16"/>
                <w:szCs w:val="16"/>
              </w:rPr>
              <w:t>Visible deliverables</w:t>
            </w:r>
          </w:p>
        </w:tc>
        <w:tc>
          <w:tcPr>
            <w:tcW w:w="1679" w:type="dxa"/>
          </w:tcPr>
          <w:p>
            <w:pPr>
              <w:spacing w:line="276" w:lineRule="auto"/>
            </w:pPr>
            <w:r>
              <w:rPr>
                <w:rFonts w:eastAsia="Calibri"/>
                <w:sz w:val="16"/>
                <w:szCs w:val="16"/>
              </w:rPr>
              <w:t>Adoption of the Year of AI Cooperation; approval of the project proposal (including confirmation of the approval procedure)</w:t>
            </w:r>
          </w:p>
        </w:tc>
        <w:tc>
          <w:tcPr>
            <w:tcW w:w="1272" w:type="dxa"/>
          </w:tcPr>
          <w:p>
            <w:pPr>
              <w:spacing w:line="276" w:lineRule="auto"/>
            </w:pPr>
            <w:r>
              <w:rPr>
                <w:rFonts w:eastAsia="Calibri"/>
                <w:sz w:val="16"/>
                <w:szCs w:val="16"/>
              </w:rPr>
              <w:t>2027</w:t>
            </w:r>
          </w:p>
        </w:tc>
      </w:tr>
      <w:tr>
        <w:trPr>
          <w:cantSplit/>
        </w:trPr>
        <w:tc>
          <w:tcPr>
            <w:tcW w:w="500" w:type="dxa"/>
          </w:tcPr>
          <w:p>
            <w:pPr>
              <w:spacing w:line="276" w:lineRule="auto"/>
              <w:jc w:val="center"/>
            </w:pPr>
            <w:r>
              <w:rPr>
                <w:rFonts w:eastAsia="Calibri"/>
                <w:sz w:val="16"/>
                <w:szCs w:val="16"/>
              </w:rPr>
              <w:t>C4</w:t>
            </w:r>
          </w:p>
        </w:tc>
        <w:tc>
          <w:tcPr>
            <w:tcW w:w="1901" w:type="dxa"/>
          </w:tcPr>
          <w:p>
            <w:pPr>
              <w:spacing w:line="276" w:lineRule="auto"/>
            </w:pPr>
            <w:r>
              <w:rPr>
                <w:rFonts w:eastAsia="Calibri"/>
                <w:sz w:val="16"/>
                <w:szCs w:val="16"/>
              </w:rPr>
              <w:t>Expansion to Timor-Leste (AI content in Tetum, a local LIP)</w:t>
            </w:r>
          </w:p>
        </w:tc>
        <w:tc>
          <w:tcPr>
            <w:tcW w:w="1364" w:type="dxa"/>
          </w:tcPr>
          <w:p>
            <w:pPr>
              <w:spacing w:line="276" w:lineRule="auto"/>
            </w:pPr>
            <w:r>
              <w:rPr>
                <w:rFonts w:eastAsia="Calibri"/>
                <w:sz w:val="16"/>
                <w:szCs w:val="16"/>
              </w:rPr>
              <w:t>Talent, language · delivery, content</w:t>
            </w:r>
          </w:p>
        </w:tc>
        <w:tc>
          <w:tcPr>
            <w:tcW w:w="1568" w:type="dxa"/>
          </w:tcPr>
          <w:p>
            <w:pPr>
              <w:spacing w:line="276" w:lineRule="auto"/>
            </w:pPr>
            <w:r>
              <w:rPr>
                <w:rFonts w:eastAsia="Calibri"/>
                <w:sz w:val="16"/>
                <w:szCs w:val="16"/>
              </w:rPr>
              <w:t>IAI (Initiative for ASEAN Integration) Work Plan; multiple Dialogue Partners</w:t>
            </w:r>
          </w:p>
        </w:tc>
        <w:tc>
          <w:tcPr>
            <w:tcW w:w="1456" w:type="dxa"/>
          </w:tcPr>
          <w:p>
            <w:pPr>
              <w:spacing w:line="276" w:lineRule="auto"/>
            </w:pPr>
            <w:r>
              <w:rPr>
                <w:rFonts w:eastAsia="Calibri"/>
                <w:sz w:val="16"/>
                <w:szCs w:val="16"/>
              </w:rPr>
              <w:t>Closing the AI gap for the new member state</w:t>
            </w:r>
          </w:p>
        </w:tc>
        <w:tc>
          <w:tcPr>
            <w:tcW w:w="1679" w:type="dxa"/>
          </w:tcPr>
          <w:p>
            <w:pPr>
              <w:spacing w:line="276" w:lineRule="auto"/>
            </w:pPr>
            <w:r>
              <w:rPr>
                <w:rFonts w:eastAsia="Calibri"/>
                <w:sz w:val="16"/>
                <w:szCs w:val="16"/>
              </w:rPr>
              <w:t>Funding to develop content and partners</w:t>
            </w:r>
          </w:p>
        </w:tc>
        <w:tc>
          <w:tcPr>
            <w:tcW w:w="1272" w:type="dxa"/>
          </w:tcPr>
          <w:p>
            <w:pPr>
              <w:spacing w:line="276" w:lineRule="auto"/>
            </w:pPr>
            <w:r>
              <w:rPr>
                <w:rFonts w:eastAsia="Calibri"/>
                <w:sz w:val="16"/>
                <w:szCs w:val="16"/>
              </w:rPr>
              <w:t>2027–2028</w:t>
            </w:r>
          </w:p>
        </w:tc>
      </w:tr>
      <w:tr>
        <w:trPr>
          <w:cantSplit/>
        </w:trPr>
        <w:tc>
          <w:tcPr>
            <w:tcW w:w="500" w:type="dxa"/>
          </w:tcPr>
          <w:p>
            <w:pPr>
              <w:spacing w:line="276" w:lineRule="auto"/>
              <w:jc w:val="center"/>
            </w:pPr>
            <w:r>
              <w:rPr>
                <w:rFonts w:eastAsia="Calibri"/>
                <w:sz w:val="16"/>
                <w:szCs w:val="16"/>
              </w:rPr>
              <w:t>C5</w:t>
            </w:r>
          </w:p>
        </w:tc>
        <w:tc>
          <w:tcPr>
            <w:tcW w:w="1901" w:type="dxa"/>
          </w:tcPr>
          <w:p>
            <w:pPr>
              <w:spacing w:line="276" w:lineRule="auto"/>
            </w:pPr>
            <w:r>
              <w:rPr>
                <w:rFonts w:eastAsia="Calibri"/>
                <w:sz w:val="16"/>
                <w:szCs w:val="16"/>
              </w:rPr>
              <w:t>Cooperation on MSME AI adoption: linking AIM ASEAN's 'after training' experience (pathways, AI-bilingual talent, measurement) to the regional capacity building tasks of the China–ASEAN AI Industry Innovation Centre (Beijing) and to the follow-up to the Philippine Chair's 'AI-driven MSME growth' declaration (if adopted)</w:t>
            </w:r>
          </w:p>
        </w:tc>
        <w:tc>
          <w:tcPr>
            <w:tcW w:w="1364" w:type="dxa"/>
          </w:tcPr>
          <w:p>
            <w:pPr>
              <w:spacing w:line="276" w:lineRule="auto"/>
            </w:pPr>
            <w:r>
              <w:rPr>
                <w:rFonts w:eastAsia="Calibri"/>
                <w:sz w:val="16"/>
                <w:szCs w:val="16"/>
              </w:rPr>
              <w:t>Industrial application · delivery, evidence</w:t>
            </w:r>
          </w:p>
        </w:tc>
        <w:tc>
          <w:tcPr>
            <w:tcW w:w="1568" w:type="dxa"/>
          </w:tcPr>
          <w:p>
            <w:pPr>
              <w:spacing w:line="276" w:lineRule="auto"/>
            </w:pPr>
            <w:r>
              <w:rPr>
                <w:rFonts w:eastAsia="Calibri"/>
                <w:sz w:val="16"/>
                <w:szCs w:val="16"/>
              </w:rPr>
              <w:t>ACCMSME ↔ Ministry of Industry and Information Technology and Ministry of Commerce</w:t>
            </w:r>
          </w:p>
        </w:tc>
        <w:tc>
          <w:tcPr>
            <w:tcW w:w="1456" w:type="dxa"/>
          </w:tcPr>
          <w:p>
            <w:pPr>
              <w:spacing w:line="276" w:lineRule="auto"/>
            </w:pPr>
            <w:r>
              <w:rPr>
                <w:rFonts w:eastAsia="Calibri"/>
                <w:sz w:val="16"/>
                <w:szCs w:val="16"/>
              </w:rPr>
              <w:t>Extending training at the China–ASEAN AI Industry Innovation Centre (Beijing) to MSMEs and demonstrating outcomes</w:t>
            </w:r>
          </w:p>
        </w:tc>
        <w:tc>
          <w:tcPr>
            <w:tcW w:w="1679" w:type="dxa"/>
          </w:tcPr>
          <w:p>
            <w:pPr>
              <w:spacing w:line="276" w:lineRule="auto"/>
            </w:pPr>
            <w:r>
              <w:rPr>
                <w:rFonts w:eastAsia="Calibri"/>
                <w:sz w:val="16"/>
                <w:szCs w:val="16"/>
              </w:rPr>
              <w:t>Report to ACCMSME; consultation with funders; follow-up funding for AIM ASEAN (due to end in 2027); evidence from D1 and A4</w:t>
            </w:r>
          </w:p>
        </w:tc>
        <w:tc>
          <w:tcPr>
            <w:tcW w:w="1272" w:type="dxa"/>
          </w:tcPr>
          <w:p>
            <w:pPr>
              <w:spacing w:line="276" w:lineRule="auto"/>
            </w:pPr>
            <w:r>
              <w:rPr>
                <w:rFonts w:eastAsia="Calibri"/>
                <w:sz w:val="16"/>
                <w:szCs w:val="16"/>
              </w:rPr>
              <w:t>2027</w:t>
            </w:r>
          </w:p>
        </w:tc>
      </w:tr>
      <w:tr>
        <w:trPr>
          <w:cantSplit/>
        </w:trPr>
        <w:tc>
          <w:tcPr>
            <w:tcW w:w="500" w:type="dxa"/>
          </w:tcPr>
          <w:p>
            <w:pPr>
              <w:spacing w:line="276" w:lineRule="auto"/>
              <w:jc w:val="center"/>
            </w:pPr>
            <w:r>
              <w:rPr>
                <w:rFonts w:eastAsia="Calibri"/>
                <w:sz w:val="16"/>
                <w:szCs w:val="16"/>
              </w:rPr>
              <w:t>D1</w:t>
            </w:r>
          </w:p>
        </w:tc>
        <w:tc>
          <w:tcPr>
            <w:tcW w:w="1901" w:type="dxa"/>
          </w:tcPr>
          <w:p>
            <w:pPr>
              <w:spacing w:line="276" w:lineRule="auto"/>
            </w:pPr>
            <w:r>
              <w:rPr>
                <w:rFonts w:eastAsia="Calibri"/>
                <w:sz w:val="16"/>
                <w:szCs w:val="16"/>
              </w:rPr>
              <w:t>Joint development of indicators that measure AI training outcomes as sustained use and business value (MSMEs: continued use, time saved, fewer errors, customer outcomes, employee experience; teachers: measured AI literacy), distinguishing reach, business integration and verified outcomes</w:t>
            </w:r>
          </w:p>
        </w:tc>
        <w:tc>
          <w:tcPr>
            <w:tcW w:w="1364" w:type="dxa"/>
          </w:tcPr>
          <w:p>
            <w:pPr>
              <w:spacing w:line="276" w:lineRule="auto"/>
            </w:pPr>
            <w:r>
              <w:rPr>
                <w:rFonts w:eastAsia="Calibri"/>
                <w:sz w:val="16"/>
                <w:szCs w:val="16"/>
              </w:rPr>
              <w:t>Talent, industrial application · evidence</w:t>
            </w:r>
          </w:p>
        </w:tc>
        <w:tc>
          <w:tcPr>
            <w:tcW w:w="1568" w:type="dxa"/>
          </w:tcPr>
          <w:p>
            <w:pPr>
              <w:spacing w:line="276" w:lineRule="auto"/>
            </w:pPr>
            <w:r>
              <w:rPr>
                <w:rFonts w:eastAsia="Calibri"/>
                <w:sz w:val="16"/>
                <w:szCs w:val="16"/>
              </w:rPr>
              <w:t>All AI talent programmes; CIIS (joint research); building on the Singapore baseline (Q4 2026) and review (Q1 2027)</w:t>
            </w:r>
          </w:p>
        </w:tc>
        <w:tc>
          <w:tcPr>
            <w:tcW w:w="1456" w:type="dxa"/>
          </w:tcPr>
          <w:p>
            <w:pPr>
              <w:spacing w:line="276" w:lineRule="auto"/>
            </w:pPr>
            <w:r>
              <w:rPr>
                <w:rFonts w:eastAsia="Calibri"/>
                <w:sz w:val="16"/>
                <w:szCs w:val="16"/>
              </w:rPr>
              <w:t>Proof through outcomes, not just numbers trained</w:t>
            </w:r>
          </w:p>
        </w:tc>
        <w:tc>
          <w:tcPr>
            <w:tcW w:w="1679" w:type="dxa"/>
          </w:tcPr>
          <w:p>
            <w:pPr>
              <w:spacing w:line="276" w:lineRule="auto"/>
            </w:pPr>
            <w:r>
              <w:rPr>
                <w:rFonts w:eastAsia="Calibri"/>
                <w:sz w:val="16"/>
                <w:szCs w:val="16"/>
              </w:rPr>
              <w:t>Scope of disclosure for measurement tools; results of the Singapore follow-up</w:t>
            </w:r>
          </w:p>
        </w:tc>
        <w:tc>
          <w:tcPr>
            <w:tcW w:w="1272" w:type="dxa"/>
          </w:tcPr>
          <w:p>
            <w:pPr>
              <w:spacing w:line="276" w:lineRule="auto"/>
            </w:pPr>
            <w:r>
              <w:rPr>
                <w:rFonts w:eastAsia="Calibri"/>
                <w:sz w:val="16"/>
                <w:szCs w:val="16"/>
              </w:rPr>
              <w:t>2027</w:t>
            </w:r>
          </w:p>
        </w:tc>
      </w:tr>
    </w:tbl>
    <w:p>
      <w:pPr>
        <w:spacing w:after="60" w:line="120" w:lineRule="auto"/>
      </w:pPr>
    </w:p>
    <w:p>
      <w:pPr>
        <w:keepNext/>
        <w:spacing w:before="220" w:after="110" w:line="300" w:lineRule="auto"/>
      </w:pPr>
      <w:r>
        <w:rPr>
          <w:rFonts w:eastAsia="Calibri"/>
          <w:b/>
          <w:bCs/>
          <w:color w:val="0F63A8"/>
          <w:sz w:val="22"/>
          <w:szCs w:val="22"/>
        </w:rPr>
        <w:t>5.2 Priorities</w:t>
      </w:r>
    </w:p>
    <w:p>
      <w:pPr>
        <w:spacing w:after="120" w:line="336" w:lineRule="auto"/>
        <w:jc w:val="both"/>
      </w:pPr>
      <w:r>
        <w:rPr>
          <w:rFonts w:eastAsia="Calibri"/>
          <w:b/>
          <w:bCs/>
        </w:rPr>
        <w:t>The first action is A3.</w:t>
      </w:r>
      <w:r>
        <w:rPr>
          <w:rFonts w:eastAsia="Calibri"/>
        </w:rPr>
        <w:t xml:space="preserve"> It costs nothing, and the Foundation has already been invited. Framed by the 'after training' question, it presents the lessons from Singapore at a level that can be made public and raises the need for pathway design, a wider talent scope and measurement of sustained use (with A1 covered in the Q&amp;A). As A4, B4, C5 and D1 have not yet been reported to ACCMSME, they are mentioned only as the Foundation's view of the problem and as tasks under consideration, not as concrete cooperation proposals. The structural priorities are as follows.</w:t>
      </w:r>
    </w:p>
    <w:p>
      <w:pPr>
        <w:pStyle w:val="a4"/>
        <w:numPr>
          <w:ilvl w:val="0"/>
          <w:numId w:val="6"/>
        </w:numPr>
        <w:spacing w:after="60" w:line="336" w:lineRule="auto"/>
        <w:jc w:val="both"/>
      </w:pPr>
      <w:r>
        <w:rPr>
          <w:rFonts w:eastAsia="Calibri"/>
          <w:b/>
          <w:bCs/>
        </w:rPr>
        <w:t>MSME track (D1, A4, B4 → C5)</w:t>
      </w:r>
      <w:r>
        <w:rPr>
          <w:rFonts w:eastAsia="Calibri"/>
        </w:rPr>
        <w:t xml:space="preserve">: Its timing matches the Singapore follow-up plan (baseline Q4 2026, review Q1 2027), and it is the role partners have recommended for the Foundation. Measurement (D1) and cases (A4) must be built up first to give C5 evidence to put forward. China, which has set a target of 5,000 AI training opportunities, also needs to demonstrate outcomes, so receptiveness is likely to be high </w:t>
      </w:r>
      <w:r>
        <w:rPr>
          <w:rFonts w:eastAsia="Calibri"/>
          <w:b/>
          <w:bCs/>
          <w:color w:val="0F63A8"/>
        </w:rPr>
        <w:t>[Assessment]</w:t>
      </w:r>
      <w:r>
        <w:rPr>
          <w:rFonts w:eastAsia="Calibri"/>
        </w:rPr>
        <w:t>.</w:t>
      </w:r>
    </w:p>
    <w:p>
      <w:pPr>
        <w:pStyle w:val="a4"/>
        <w:numPr>
          <w:ilvl w:val="0"/>
          <w:numId w:val="6"/>
        </w:numPr>
        <w:spacing w:after="60" w:line="336" w:lineRule="auto"/>
        <w:jc w:val="both"/>
      </w:pPr>
      <w:r>
        <w:rPr>
          <w:rFonts w:eastAsia="Calibri"/>
          <w:b/>
          <w:bCs/>
        </w:rPr>
        <w:t>Teacher track (C1, with A1 and A2 as the entry point)</w:t>
      </w:r>
      <w:r>
        <w:rPr>
          <w:rFonts w:eastAsia="Calibri"/>
        </w:rPr>
        <w:t>: It links directly to a programme endorsed by SOM-ED. The Foundation proceeds after confirming whether Smart Education covers teachers and reporting to SOM-ED.</w:t>
      </w:r>
    </w:p>
    <w:p>
      <w:pPr>
        <w:pStyle w:val="a4"/>
        <w:numPr>
          <w:ilvl w:val="0"/>
          <w:numId w:val="6"/>
        </w:numPr>
        <w:spacing w:after="60" w:line="336" w:lineRule="auto"/>
        <w:jc w:val="both"/>
      </w:pPr>
      <w:r>
        <w:rPr>
          <w:rFonts w:eastAsia="Calibri"/>
          <w:b/>
          <w:bCs/>
        </w:rPr>
        <w:t>B1 and B2</w:t>
      </w:r>
      <w:r>
        <w:rPr>
          <w:rFonts w:eastAsia="Calibri"/>
        </w:rPr>
        <w:t>: Both are low-cost and deliver quick results. B2 is the most direct way to add user-side content to both sides' AI safety agendas. Consultation with funders and a review of terms of use must come first.</w:t>
      </w:r>
    </w:p>
    <w:p>
      <w:pPr>
        <w:pStyle w:val="a4"/>
        <w:numPr>
          <w:ilvl w:val="0"/>
          <w:numId w:val="6"/>
        </w:numPr>
        <w:spacing w:after="60" w:line="336" w:lineRule="auto"/>
        <w:jc w:val="both"/>
      </w:pPr>
      <w:r>
        <w:rPr>
          <w:rFonts w:eastAsia="Calibri"/>
          <w:b/>
          <w:bCs/>
        </w:rPr>
        <w:t>C2</w:t>
      </w:r>
      <w:r>
        <w:rPr>
          <w:rFonts w:eastAsia="Calibri"/>
        </w:rPr>
        <w:t>: It responds most directly to the gaps but requires negotiation and funding project by project, so it starts with 1–2 pilots.</w:t>
      </w:r>
    </w:p>
    <w:p>
      <w:pPr>
        <w:pStyle w:val="a4"/>
        <w:numPr>
          <w:ilvl w:val="0"/>
          <w:numId w:val="6"/>
        </w:numPr>
        <w:spacing w:after="120" w:line="336" w:lineRule="auto"/>
        <w:jc w:val="both"/>
      </w:pPr>
      <w:r>
        <w:rPr>
          <w:rFonts w:eastAsia="Calibri"/>
          <w:b/>
          <w:bCs/>
        </w:rPr>
        <w:t>C3 and C4</w:t>
      </w:r>
      <w:r>
        <w:rPr>
          <w:rFonts w:eastAsia="Calibri"/>
        </w:rPr>
        <w:t>: C3 depends on the Year of AI Cooperation being adopted. C4 is an internal ASEAN priority, and neutrality shows most clearly when it is designed around multiple Dialogue Partners.</w:t>
      </w:r>
    </w:p>
    <w:p>
      <w:pPr>
        <w:keepNext/>
        <w:spacing w:before="220" w:after="110" w:line="300" w:lineRule="auto"/>
      </w:pPr>
      <w:r>
        <w:rPr>
          <w:rFonts w:eastAsia="Calibri"/>
          <w:b/>
          <w:bCs/>
          <w:color w:val="0F63A8"/>
          <w:sz w:val="22"/>
          <w:szCs w:val="22"/>
        </w:rPr>
        <w:t>5.3 Phased Roadmap</w:t>
      </w:r>
    </w:p>
    <w:p>
      <w:pPr>
        <w:spacing w:after="120" w:line="336" w:lineRule="auto"/>
        <w:jc w:val="both"/>
      </w:pPr>
      <w:r>
        <w:rPr>
          <w:rFonts w:eastAsia="Calibri"/>
          <w:b/>
          <w:bCs/>
        </w:rPr>
        <w:t>Enter through sharing now; open joint programmes only after two decision points</w:t>
      </w:r>
    </w:p>
    <w:tbl>
      <w:tblPr>
        <w:tblW w:w="9740" w:type="dxa"/>
        <w:tblBorders>
          <w:top w:val="single" w:sz="4" w:space="0" w:color="C3D6E8"/>
          <w:left w:val="single" w:sz="4" w:space="0" w:color="C3D6E8"/>
          <w:bottom w:val="single" w:sz="4" w:space="0" w:color="C3D6E8"/>
          <w:right w:val="single" w:sz="4" w:space="0" w:color="C3D6E8"/>
          <w:insideH w:val="single" w:sz="4" w:space="0" w:color="C3D6E8"/>
          <w:insideV w:val="single" w:sz="4" w:space="0" w:color="C3D6E8"/>
        </w:tblBorders>
        <w:tblLayout w:type="fixed"/>
        <w:tblCellMar>
          <w:top w:w="90" w:type="dxa"/>
          <w:left w:w="106" w:type="dxa"/>
          <w:bottom w:w="90" w:type="dxa"/>
          <w:right w:w="106" w:type="dxa"/>
        </w:tblCellMar>
        <w:tblLook w:val="04A0" w:firstRow="1" w:lastRow="0" w:firstColumn="1" w:lastColumn="0" w:noHBand="0" w:noVBand="1"/>
      </w:tblPr>
      <w:tblGrid>
        <w:gridCol w:w="1338"/>
        <w:gridCol w:w="1142"/>
        <w:gridCol w:w="4569"/>
        <w:gridCol w:w="2691"/>
      </w:tblGrid>
      <w:tr>
        <w:trPr>
          <w:tblHeader/>
        </w:trPr>
        <w:tc>
          <w:tcPr>
            <w:tcW w:w="1338" w:type="dxa"/>
            <w:shd w:val="clear" w:color="auto" w:fill="00498F"/>
          </w:tcPr>
          <w:p>
            <w:pPr>
              <w:spacing w:line="276" w:lineRule="auto"/>
            </w:pPr>
            <w:r>
              <w:rPr>
                <w:rFonts w:eastAsia="Calibri"/>
                <w:b/>
                <w:bCs/>
                <w:color w:val="FFFFFF"/>
                <w:sz w:val="17"/>
                <w:szCs w:val="17"/>
              </w:rPr>
              <w:t>Stage</w:t>
            </w:r>
          </w:p>
        </w:tc>
        <w:tc>
          <w:tcPr>
            <w:tcW w:w="1142" w:type="dxa"/>
            <w:shd w:val="clear" w:color="auto" w:fill="00498F"/>
          </w:tcPr>
          <w:p>
            <w:pPr>
              <w:spacing w:line="276" w:lineRule="auto"/>
            </w:pPr>
            <w:r>
              <w:rPr>
                <w:rFonts w:eastAsia="Calibri"/>
                <w:b/>
                <w:bCs/>
                <w:color w:val="FFFFFF"/>
                <w:sz w:val="17"/>
                <w:szCs w:val="17"/>
              </w:rPr>
              <w:t>Timeframe</w:t>
            </w:r>
          </w:p>
        </w:tc>
        <w:tc>
          <w:tcPr>
            <w:tcW w:w="4569" w:type="dxa"/>
            <w:shd w:val="clear" w:color="auto" w:fill="00498F"/>
          </w:tcPr>
          <w:p>
            <w:pPr>
              <w:spacing w:line="276" w:lineRule="auto"/>
            </w:pPr>
            <w:r>
              <w:rPr>
                <w:rFonts w:eastAsia="Calibri"/>
                <w:b/>
                <w:bCs/>
                <w:color w:val="FFFFFF"/>
                <w:sz w:val="17"/>
                <w:szCs w:val="17"/>
              </w:rPr>
              <w:t>Main activities</w:t>
            </w:r>
          </w:p>
        </w:tc>
        <w:tc>
          <w:tcPr>
            <w:tcW w:w="2691" w:type="dxa"/>
            <w:shd w:val="clear" w:color="auto" w:fill="00498F"/>
          </w:tcPr>
          <w:p>
            <w:pPr>
              <w:spacing w:line="276" w:lineRule="auto"/>
            </w:pPr>
            <w:r>
              <w:rPr>
                <w:rFonts w:eastAsia="Calibri"/>
                <w:b/>
                <w:bCs/>
                <w:color w:val="FFFFFF"/>
                <w:sz w:val="17"/>
                <w:szCs w:val="17"/>
              </w:rPr>
              <w:t>Next decision point</w:t>
            </w:r>
          </w:p>
        </w:tc>
      </w:tr>
      <w:tr>
        <w:trPr>
          <w:cantSplit/>
        </w:trPr>
        <w:tc>
          <w:tcPr>
            <w:tcW w:w="1338" w:type="dxa"/>
          </w:tcPr>
          <w:p>
            <w:pPr>
              <w:spacing w:line="276" w:lineRule="auto"/>
            </w:pPr>
            <w:r>
              <w:rPr>
                <w:rFonts w:eastAsia="Calibri"/>
                <w:sz w:val="17"/>
                <w:szCs w:val="17"/>
              </w:rPr>
              <w:t>1. Exploration (now)</w:t>
            </w:r>
          </w:p>
        </w:tc>
        <w:tc>
          <w:tcPr>
            <w:tcW w:w="1142" w:type="dxa"/>
          </w:tcPr>
          <w:p>
            <w:pPr>
              <w:spacing w:line="276" w:lineRule="auto"/>
            </w:pPr>
            <w:r>
              <w:rPr>
                <w:rFonts w:eastAsia="Calibri"/>
                <w:sz w:val="17"/>
                <w:szCs w:val="17"/>
              </w:rPr>
              <w:t>October–November 2026</w:t>
            </w:r>
          </w:p>
        </w:tc>
        <w:tc>
          <w:tcPr>
            <w:tcW w:w="4569" w:type="dxa"/>
          </w:tcPr>
          <w:p>
            <w:pPr>
              <w:spacing w:line="276" w:lineRule="auto"/>
            </w:pPr>
            <w:r>
              <w:rPr>
                <w:rFonts w:eastAsia="Calibri"/>
                <w:sz w:val="17"/>
                <w:szCs w:val="17"/>
              </w:rPr>
              <w:t>A3: remarks at the CIIS roundtable; A1 and A2: sharing of experience and research; prior consultation with funders; advance sharing with the Secretariat, SOM-ED and ACCMSME</w:t>
            </w:r>
          </w:p>
        </w:tc>
        <w:tc>
          <w:tcPr>
            <w:tcW w:w="2691" w:type="dxa"/>
          </w:tcPr>
          <w:p>
            <w:pPr>
              <w:spacing w:line="276" w:lineRule="auto"/>
            </w:pPr>
            <w:r>
              <w:rPr>
                <w:rFonts w:eastAsia="Calibri"/>
                <w:sz w:val="17"/>
                <w:szCs w:val="17"/>
              </w:rPr>
              <w:t>The Manila Summit in November (Year of AI Cooperation, MSME AI declaration)</w:t>
            </w:r>
          </w:p>
        </w:tc>
      </w:tr>
      <w:tr>
        <w:trPr>
          <w:cantSplit/>
        </w:trPr>
        <w:tc>
          <w:tcPr>
            <w:tcW w:w="1338" w:type="dxa"/>
          </w:tcPr>
          <w:p>
            <w:pPr>
              <w:spacing w:line="276" w:lineRule="auto"/>
            </w:pPr>
            <w:r>
              <w:rPr>
                <w:rFonts w:eastAsia="Calibri"/>
                <w:sz w:val="17"/>
                <w:szCs w:val="17"/>
              </w:rPr>
              <w:t>2. Linkage</w:t>
            </w:r>
          </w:p>
        </w:tc>
        <w:tc>
          <w:tcPr>
            <w:tcW w:w="1142" w:type="dxa"/>
          </w:tcPr>
          <w:p>
            <w:pPr>
              <w:spacing w:line="276" w:lineRule="auto"/>
            </w:pPr>
            <w:r>
              <w:rPr>
                <w:rFonts w:eastAsia="Calibri"/>
                <w:sz w:val="17"/>
                <w:szCs w:val="17"/>
              </w:rPr>
              <w:t>First half of 2027</w:t>
            </w:r>
          </w:p>
        </w:tc>
        <w:tc>
          <w:tcPr>
            <w:tcW w:w="4569" w:type="dxa"/>
          </w:tcPr>
          <w:p>
            <w:pPr>
              <w:spacing w:line="276" w:lineRule="auto"/>
            </w:pPr>
            <w:r>
              <w:rPr>
                <w:rFonts w:eastAsia="Calibri"/>
                <w:sz w:val="17"/>
                <w:szCs w:val="17"/>
              </w:rPr>
              <w:t>D1: indicators of sustained use (Singapore baseline); A4 and B4: MSME cases and 'after training' materials; B1 and B2: AI Class and the ethics and safety courses; C1 and C5: draft proposals reported to SOM-ED and ACCMSME</w:t>
            </w:r>
          </w:p>
        </w:tc>
        <w:tc>
          <w:tcPr>
            <w:tcW w:w="2691" w:type="dxa"/>
          </w:tcPr>
          <w:p>
            <w:pPr>
              <w:spacing w:line="276" w:lineRule="auto"/>
            </w:pPr>
            <w:r>
              <w:rPr>
                <w:rFonts w:eastAsia="Calibri"/>
                <w:sz w:val="17"/>
                <w:szCs w:val="17"/>
              </w:rPr>
              <w:t>Decisions by SOM-ED and ACCMSME (consent of member states' line ministries)</w:t>
            </w:r>
          </w:p>
        </w:tc>
      </w:tr>
      <w:tr>
        <w:trPr>
          <w:cantSplit/>
        </w:trPr>
        <w:tc>
          <w:tcPr>
            <w:tcW w:w="1338" w:type="dxa"/>
          </w:tcPr>
          <w:p>
            <w:pPr>
              <w:spacing w:line="276" w:lineRule="auto"/>
            </w:pPr>
            <w:r>
              <w:rPr>
                <w:rFonts w:eastAsia="Calibri"/>
                <w:sz w:val="17"/>
                <w:szCs w:val="17"/>
              </w:rPr>
              <w:t>3. Joint programmes</w:t>
            </w:r>
          </w:p>
        </w:tc>
        <w:tc>
          <w:tcPr>
            <w:tcW w:w="1142" w:type="dxa"/>
          </w:tcPr>
          <w:p>
            <w:pPr>
              <w:spacing w:line="276" w:lineRule="auto"/>
            </w:pPr>
            <w:r>
              <w:rPr>
                <w:rFonts w:eastAsia="Calibri"/>
                <w:sz w:val="17"/>
                <w:szCs w:val="17"/>
              </w:rPr>
              <w:t>Second half of 2027 to 2028</w:t>
            </w:r>
          </w:p>
        </w:tc>
        <w:tc>
          <w:tcPr>
            <w:tcW w:w="4569" w:type="dxa"/>
          </w:tcPr>
          <w:p>
            <w:pPr>
              <w:spacing w:line="276" w:lineRule="auto"/>
            </w:pPr>
            <w:r>
              <w:rPr>
                <w:rFonts w:eastAsia="Calibri"/>
                <w:sz w:val="17"/>
                <w:szCs w:val="17"/>
              </w:rPr>
              <w:t>C5 and C1: implementation of MSME cooperation and teacher role-sharing; C2: industrial-site integration pilots; C3: Year of AI Cooperation deliverables (if adopted); C4: expansion to Timor-Leste</w:t>
            </w:r>
          </w:p>
        </w:tc>
        <w:tc>
          <w:tcPr>
            <w:tcW w:w="2691" w:type="dxa"/>
          </w:tcPr>
          <w:p>
            <w:pPr>
              <w:spacing w:line="276" w:lineRule="auto"/>
            </w:pPr>
            <w:r>
              <w:rPr>
                <w:rFonts w:eastAsia="Calibri"/>
                <w:sz w:val="17"/>
                <w:szCs w:val="17"/>
              </w:rPr>
              <w:t>End of Phase 2 at the end of 2028 (a plan to sustain the trainer network secured)</w:t>
            </w:r>
          </w:p>
        </w:tc>
      </w:tr>
    </w:tbl>
    <w:p>
      <w:pPr>
        <w:spacing w:after="60" w:line="120" w:lineRule="auto"/>
      </w:pPr>
    </w:p>
    <w:p>
      <w:pPr>
        <w:spacing w:after="120" w:line="336" w:lineRule="auto"/>
        <w:jc w:val="both"/>
      </w:pPr>
      <w:r>
        <w:rPr>
          <w:rFonts w:eastAsia="Calibri"/>
        </w:rPr>
        <w:t>Stage 1 involves almost no cost or risk, so it can be proposed straight away on this visit. The MSME items in Stage 2 (D1, A4, B4) are aligned with the timing of the review under the Singapore follow-up plan (Q1 2027). The scope of Stage 3 will be determined by the outcome of the November summit and the consent of SOM-ED, ACCMSME and member states' line ministries.</w:t>
      </w:r>
    </w:p>
    <w:p>
      <w:pPr>
        <w:keepNext/>
        <w:spacing w:before="240" w:after="160" w:line="300" w:lineRule="auto"/>
      </w:pPr>
      <w:r>
        <w:rPr>
          <w:rFonts w:eastAsia="Calibri"/>
          <w:b/>
          <w:bCs/>
          <w:color w:val="00498F"/>
          <w:sz w:val="26"/>
          <w:szCs w:val="26"/>
        </w:rPr>
        <w:t>6. Preconditions and Risks</w:t>
      </w:r>
    </w:p>
    <w:p>
      <w:pPr>
        <w:spacing w:after="120" w:line="336" w:lineRule="auto"/>
        <w:jc w:val="both"/>
      </w:pPr>
      <w:r>
        <w:rPr>
          <w:rFonts w:eastAsia="Calibri"/>
        </w:rPr>
        <w:t>The foremost precondition is to put the relationship with funders on a clear footing. A US corporate foundation provides the funding, and AIM ASEAN explicitly promotes the "use of Google's suite of AI tools". Because the arrangement would link programmes of this kind to the Chinese government's AI initiatives, every option could stall unless the limits of what is permissible are confirmed before the visit.</w:t>
      </w:r>
    </w:p>
    <w:tbl>
      <w:tblPr>
        <w:tblW w:w="9740" w:type="dxa"/>
        <w:tblBorders>
          <w:top w:val="single" w:sz="4" w:space="0" w:color="C3D6E8"/>
          <w:left w:val="single" w:sz="4" w:space="0" w:color="C3D6E8"/>
          <w:bottom w:val="single" w:sz="4" w:space="0" w:color="C3D6E8"/>
          <w:right w:val="single" w:sz="4" w:space="0" w:color="C3D6E8"/>
          <w:insideH w:val="single" w:sz="4" w:space="0" w:color="C3D6E8"/>
          <w:insideV w:val="single" w:sz="4" w:space="0" w:color="C3D6E8"/>
        </w:tblBorders>
        <w:tblLayout w:type="fixed"/>
        <w:tblCellMar>
          <w:top w:w="90" w:type="dxa"/>
          <w:left w:w="106" w:type="dxa"/>
          <w:bottom w:w="90" w:type="dxa"/>
          <w:right w:w="106" w:type="dxa"/>
        </w:tblCellMar>
        <w:tblLook w:val="04A0" w:firstRow="1" w:lastRow="0" w:firstColumn="1" w:lastColumn="0" w:noHBand="0" w:noVBand="1"/>
      </w:tblPr>
      <w:tblGrid>
        <w:gridCol w:w="1800"/>
        <w:gridCol w:w="3971"/>
        <w:gridCol w:w="3969"/>
      </w:tblGrid>
      <w:tr>
        <w:trPr>
          <w:tblHeader/>
        </w:trPr>
        <w:tc>
          <w:tcPr>
            <w:tcW w:w="1800" w:type="dxa"/>
            <w:shd w:val="clear" w:color="auto" w:fill="00498F"/>
          </w:tcPr>
          <w:p>
            <w:pPr>
              <w:spacing w:line="276" w:lineRule="auto"/>
            </w:pPr>
            <w:r>
              <w:rPr>
                <w:rFonts w:eastAsia="Calibri"/>
                <w:b/>
                <w:bCs/>
                <w:color w:val="FFFFFF"/>
              </w:rPr>
              <w:t>Risk</w:t>
            </w:r>
          </w:p>
        </w:tc>
        <w:tc>
          <w:tcPr>
            <w:tcW w:w="3971" w:type="dxa"/>
            <w:shd w:val="clear" w:color="auto" w:fill="00498F"/>
          </w:tcPr>
          <w:p>
            <w:pPr>
              <w:spacing w:line="276" w:lineRule="auto"/>
            </w:pPr>
            <w:r>
              <w:rPr>
                <w:rFonts w:eastAsia="Calibri"/>
                <w:b/>
                <w:bCs/>
                <w:color w:val="FFFFFF"/>
              </w:rPr>
              <w:t>Issue</w:t>
            </w:r>
          </w:p>
        </w:tc>
        <w:tc>
          <w:tcPr>
            <w:tcW w:w="3969" w:type="dxa"/>
            <w:shd w:val="clear" w:color="auto" w:fill="00498F"/>
          </w:tcPr>
          <w:p>
            <w:pPr>
              <w:spacing w:line="276" w:lineRule="auto"/>
            </w:pPr>
            <w:r>
              <w:rPr>
                <w:rFonts w:eastAsia="Calibri"/>
                <w:b/>
                <w:bCs/>
                <w:color w:val="FFFFFF"/>
              </w:rPr>
              <w:t>Response</w:t>
            </w:r>
          </w:p>
        </w:tc>
      </w:tr>
      <w:tr>
        <w:trPr>
          <w:cantSplit/>
        </w:trPr>
        <w:tc>
          <w:tcPr>
            <w:tcW w:w="1800" w:type="dxa"/>
          </w:tcPr>
          <w:p>
            <w:pPr>
              <w:spacing w:line="276" w:lineRule="auto"/>
            </w:pPr>
            <w:r>
              <w:rPr>
                <w:rFonts w:eastAsia="Calibri"/>
              </w:rPr>
              <w:t>Relations with funders</w:t>
            </w:r>
          </w:p>
        </w:tc>
        <w:tc>
          <w:tcPr>
            <w:tcW w:w="3971" w:type="dxa"/>
          </w:tcPr>
          <w:p>
            <w:pPr>
              <w:spacing w:line="276" w:lineRule="auto"/>
            </w:pPr>
            <w:r>
              <w:rPr>
                <w:rFonts w:eastAsia="Calibri"/>
              </w:rPr>
              <w:t>It is unclear how far the agreements with Google.org, AVPN and ADB permit the sharing of AI content and cooperation with third parties. Amid US–China AI rivalry, funders also bear a political burden.</w:t>
            </w:r>
          </w:p>
        </w:tc>
        <w:tc>
          <w:tcPr>
            <w:tcW w:w="3969" w:type="dxa"/>
          </w:tcPr>
          <w:p>
            <w:pPr>
              <w:spacing w:line="276" w:lineRule="auto"/>
            </w:pPr>
            <w:r>
              <w:rPr>
                <w:rFonts w:eastAsia="Calibri"/>
              </w:rPr>
              <w:t>Consult funders before the visit. Frame the contribution as "sharing experience of running a public good for AI capacity in ASEAN".</w:t>
            </w:r>
          </w:p>
        </w:tc>
      </w:tr>
      <w:tr>
        <w:trPr>
          <w:cantSplit/>
        </w:trPr>
        <w:tc>
          <w:tcPr>
            <w:tcW w:w="1800" w:type="dxa"/>
          </w:tcPr>
          <w:p>
            <w:pPr>
              <w:spacing w:line="276" w:lineRule="auto"/>
            </w:pPr>
            <w:r>
              <w:rPr>
                <w:rFonts w:eastAsia="Calibri"/>
              </w:rPr>
              <w:t>Technology neutrality</w:t>
            </w:r>
          </w:p>
        </w:tc>
        <w:tc>
          <w:tcPr>
            <w:tcW w:w="3971" w:type="dxa"/>
          </w:tcPr>
          <w:p>
            <w:pPr>
              <w:spacing w:line="276" w:lineRule="auto"/>
            </w:pPr>
            <w:r>
              <w:rPr>
                <w:rFonts w:eastAsia="Calibri"/>
              </w:rPr>
              <w:t xml:space="preserve">The Foundation's programmes could be criticised as reliant on a particular company's AI tools. The Chinese side may also make the use of Chinese AI models and platforms a condition for collaboration </w:t>
            </w:r>
            <w:r>
              <w:rPr>
                <w:rFonts w:eastAsia="Calibri"/>
                <w:b/>
                <w:bCs/>
                <w:color w:val="0F63A8"/>
              </w:rPr>
              <w:t>[Assessment]</w:t>
            </w:r>
            <w:r>
              <w:rPr>
                <w:rFonts w:eastAsia="Calibri"/>
              </w:rPr>
              <w:t>.</w:t>
            </w:r>
          </w:p>
        </w:tc>
        <w:tc>
          <w:tcPr>
            <w:tcW w:w="3969" w:type="dxa"/>
          </w:tcPr>
          <w:p>
            <w:pPr>
              <w:spacing w:line="276" w:lineRule="auto"/>
            </w:pPr>
            <w:r>
              <w:rPr>
                <w:rFonts w:eastAsia="Calibri"/>
              </w:rPr>
              <w:t>Apply the principle of technology neutrality. Describe training content in terms of competencies rather than tools, and leave the choice of tools to member states and learners. Cite as evidence the record showing no single preferred model type at the Singapore Convening, and the operational experience of working with Google and Huawei separately (2021 ASEAN Seeds for the Future MoU).</w:t>
            </w:r>
          </w:p>
        </w:tc>
      </w:tr>
      <w:tr>
        <w:trPr>
          <w:cantSplit/>
        </w:trPr>
        <w:tc>
          <w:tcPr>
            <w:tcW w:w="1800" w:type="dxa"/>
          </w:tcPr>
          <w:p>
            <w:pPr>
              <w:spacing w:line="276" w:lineRule="auto"/>
            </w:pPr>
            <w:r>
              <w:rPr>
                <w:rFonts w:eastAsia="Calibri"/>
              </w:rPr>
              <w:t>ASEAN neutrality and centrality</w:t>
            </w:r>
          </w:p>
        </w:tc>
        <w:tc>
          <w:tcPr>
            <w:tcW w:w="3971" w:type="dxa"/>
          </w:tcPr>
          <w:p>
            <w:pPr>
              <w:spacing w:line="276" w:lineRule="auto"/>
            </w:pPr>
            <w:r>
              <w:rPr>
                <w:rFonts w:eastAsia="Calibri"/>
              </w:rPr>
              <w:t>Amid US–China AI rivalry, such cooperation could give the impression of tilting towards a particular Dialogue Partner. Digital academies linked to individual Dialogue Partners also operate in parallel (e.g. the China-ASEAN Digital Academy and the Korea-ASEAN Digital Academy).</w:t>
            </w:r>
          </w:p>
        </w:tc>
        <w:tc>
          <w:tcPr>
            <w:tcW w:w="3969" w:type="dxa"/>
          </w:tcPr>
          <w:p>
            <w:pPr>
              <w:spacing w:line="276" w:lineRule="auto"/>
            </w:pPr>
            <w:r>
              <w:rPr>
                <w:rFonts w:eastAsia="Calibri"/>
              </w:rPr>
              <w:t>Make the principle of openness explicit. Presenting AI Ready ASEAN as a common baseline for multiple AI cooperation programmes would strengthen ASEAN's ability to coordinate.</w:t>
            </w:r>
          </w:p>
        </w:tc>
      </w:tr>
      <w:tr>
        <w:trPr>
          <w:cantSplit/>
        </w:trPr>
        <w:tc>
          <w:tcPr>
            <w:tcW w:w="1800" w:type="dxa"/>
          </w:tcPr>
          <w:p>
            <w:pPr>
              <w:spacing w:line="276" w:lineRule="auto"/>
            </w:pPr>
            <w:r>
              <w:rPr>
                <w:rFonts w:eastAsia="Calibri"/>
              </w:rPr>
              <w:t>Mandate</w:t>
            </w:r>
          </w:p>
        </w:tc>
        <w:tc>
          <w:tcPr>
            <w:tcW w:w="3971" w:type="dxa"/>
          </w:tcPr>
          <w:p>
            <w:pPr>
              <w:spacing w:line="276" w:lineRule="auto"/>
            </w:pPr>
            <w:r>
              <w:rPr>
                <w:rFonts w:eastAsia="Calibri"/>
              </w:rPr>
              <w:t>The ASEAN Foundation does not represent ASEAN in external negotiations and has no mandate to state ASEAN's position on AI standards and norms.</w:t>
            </w:r>
          </w:p>
        </w:tc>
        <w:tc>
          <w:tcPr>
            <w:tcW w:w="3969" w:type="dxa"/>
          </w:tcPr>
          <w:p>
            <w:pPr>
              <w:spacing w:line="276" w:lineRule="auto"/>
            </w:pPr>
            <w:r>
              <w:rPr>
                <w:rFonts w:eastAsia="Calibri"/>
              </w:rPr>
              <w:t>Coordinate in advance through the SOM-ED and ACCMSME reporting lines and the relevant ASEAN Secretariat divisions. Present the visit's outcomes as "exploration", not consultation.</w:t>
            </w:r>
          </w:p>
        </w:tc>
      </w:tr>
      <w:tr>
        <w:trPr>
          <w:cantSplit/>
        </w:trPr>
        <w:tc>
          <w:tcPr>
            <w:tcW w:w="1800" w:type="dxa"/>
          </w:tcPr>
          <w:p>
            <w:pPr>
              <w:spacing w:line="276" w:lineRule="auto"/>
            </w:pPr>
            <w:r>
              <w:rPr>
                <w:rFonts w:eastAsia="Calibri"/>
              </w:rPr>
              <w:t>Public remarks</w:t>
            </w:r>
          </w:p>
        </w:tc>
        <w:tc>
          <w:tcPr>
            <w:tcW w:w="3971" w:type="dxa"/>
          </w:tcPr>
          <w:p>
            <w:pPr>
              <w:spacing w:line="276" w:lineRule="auto"/>
            </w:pPr>
            <w:r>
              <w:rPr>
                <w:rFonts w:eastAsia="Calibri"/>
              </w:rPr>
              <w:t>Remarks at the CIIS roundtable are recorded, quoted and passed on to the Chinese government. As this is an AI governance event, remarks could be quoted as support for Chinese initiatives (the Global AI Governance Action Plan and WAICO).</w:t>
            </w:r>
          </w:p>
        </w:tc>
        <w:tc>
          <w:tcPr>
            <w:tcW w:w="3969" w:type="dxa"/>
          </w:tcPr>
          <w:p>
            <w:pPr>
              <w:spacing w:line="276" w:lineRule="auto"/>
            </w:pPr>
            <w:r>
              <w:rPr>
                <w:rFonts w:eastAsia="Calibri"/>
              </w:rPr>
              <w:t>Keep remarks centred on the Foundation's experience, and avoid speaking for ASEAN's position or using language of endorsement for any particular initiative.</w:t>
            </w:r>
          </w:p>
        </w:tc>
      </w:tr>
      <w:tr>
        <w:trPr>
          <w:cantSplit/>
        </w:trPr>
        <w:tc>
          <w:tcPr>
            <w:tcW w:w="1800" w:type="dxa"/>
          </w:tcPr>
          <w:p>
            <w:pPr>
              <w:spacing w:line="276" w:lineRule="auto"/>
            </w:pPr>
            <w:r>
              <w:rPr>
                <w:rFonts w:eastAsia="Calibri"/>
              </w:rPr>
              <w:t>Citing internal material</w:t>
            </w:r>
          </w:p>
        </w:tc>
        <w:tc>
          <w:tcPr>
            <w:tcW w:w="3971" w:type="dxa"/>
          </w:tcPr>
          <w:p>
            <w:pPr>
              <w:spacing w:line="276" w:lineRule="auto"/>
            </w:pPr>
            <w:r>
              <w:rPr>
                <w:rFonts w:eastAsia="Calibri"/>
              </w:rPr>
              <w:t>The structured evidence for the Singapore results is an internal LIP report (submission date for the final version not yet set; includes participants' real names and budgets). Citing it without consent would forfeit the partner's trust.</w:t>
            </w:r>
          </w:p>
        </w:tc>
        <w:tc>
          <w:tcPr>
            <w:tcW w:w="3969" w:type="dxa"/>
          </w:tcPr>
          <w:p>
            <w:pPr>
              <w:spacing w:line="276" w:lineRule="auto"/>
            </w:pPr>
            <w:r>
              <w:rPr>
                <w:rFonts w:eastAsia="Calibri"/>
              </w:rPr>
              <w:t>In external documents and remarks, draw on it only within the scope of public press releases or as anonymised summaries. Clear any use of case examples with the LIP.</w:t>
            </w:r>
          </w:p>
        </w:tc>
      </w:tr>
      <w:tr>
        <w:trPr>
          <w:cantSplit/>
        </w:trPr>
        <w:tc>
          <w:tcPr>
            <w:tcW w:w="1800" w:type="dxa"/>
          </w:tcPr>
          <w:p>
            <w:pPr>
              <w:spacing w:line="276" w:lineRule="auto"/>
            </w:pPr>
            <w:r>
              <w:rPr>
                <w:rFonts w:eastAsia="Calibri"/>
              </w:rPr>
              <w:t>Confusing proposals with commitments</w:t>
            </w:r>
          </w:p>
        </w:tc>
        <w:tc>
          <w:tcPr>
            <w:tcW w:w="3971" w:type="dxa"/>
          </w:tcPr>
          <w:p>
            <w:pPr>
              <w:spacing w:line="276" w:lineRule="auto"/>
            </w:pPr>
            <w:r>
              <w:rPr>
                <w:rFonts w:eastAsia="Calibri"/>
              </w:rPr>
              <w:t>The Singapore follow-up plans (such as common outcome indicators and a regional sharing channel) are at the proposal stage and require the agreement of partners.</w:t>
            </w:r>
          </w:p>
        </w:tc>
        <w:tc>
          <w:tcPr>
            <w:tcW w:w="3969" w:type="dxa"/>
          </w:tcPr>
          <w:p>
            <w:pPr>
              <w:spacing w:line="276" w:lineRule="auto"/>
            </w:pPr>
            <w:r>
              <w:rPr>
                <w:rFonts w:eastAsia="Calibri"/>
              </w:rPr>
              <w:t>Use the wording "under consideration" or "has been proposed", and give no timelines. Finalise the Foundation's role once internal agreement is reached.</w:t>
            </w:r>
          </w:p>
        </w:tc>
      </w:tr>
      <w:tr>
        <w:trPr>
          <w:cantSplit/>
        </w:trPr>
        <w:tc>
          <w:tcPr>
            <w:tcW w:w="1800" w:type="dxa"/>
          </w:tcPr>
          <w:p>
            <w:pPr>
              <w:spacing w:line="276" w:lineRule="auto"/>
            </w:pPr>
            <w:r>
              <w:rPr>
                <w:rFonts w:eastAsia="Calibri"/>
              </w:rPr>
              <w:t>Generalising from Singapore</w:t>
            </w:r>
          </w:p>
        </w:tc>
        <w:tc>
          <w:tcPr>
            <w:tcW w:w="3971" w:type="dxa"/>
          </w:tcPr>
          <w:p>
            <w:pPr>
              <w:spacing w:line="276" w:lineRule="auto"/>
            </w:pPr>
            <w:r>
              <w:rPr>
                <w:rFonts w:eastAsia="Calibri"/>
              </w:rPr>
              <w:t>Singapore has a robust institutional ecosystem and is geographically small. Generalising from it to ASEAN as a whole weakens the case.</w:t>
            </w:r>
          </w:p>
        </w:tc>
        <w:tc>
          <w:tcPr>
            <w:tcW w:w="3969" w:type="dxa"/>
          </w:tcPr>
          <w:p>
            <w:pPr>
              <w:spacing w:line="276" w:lineRule="auto"/>
            </w:pPr>
            <w:r>
              <w:rPr>
                <w:rFonts w:eastAsia="Calibri"/>
              </w:rPr>
              <w:t>Build the argument on the logic of "even where support is strong", and present it alongside results from other countries such as Indonesia.</w:t>
            </w:r>
          </w:p>
        </w:tc>
      </w:tr>
      <w:tr>
        <w:trPr>
          <w:cantSplit/>
        </w:trPr>
        <w:tc>
          <w:tcPr>
            <w:tcW w:w="1800" w:type="dxa"/>
          </w:tcPr>
          <w:p>
            <w:pPr>
              <w:spacing w:line="276" w:lineRule="auto"/>
            </w:pPr>
            <w:r>
              <w:rPr>
                <w:rFonts w:eastAsia="Calibri"/>
              </w:rPr>
              <w:t>Data and security</w:t>
            </w:r>
          </w:p>
        </w:tc>
        <w:tc>
          <w:tcPr>
            <w:tcW w:w="3971" w:type="dxa"/>
          </w:tcPr>
          <w:p>
            <w:pPr>
              <w:spacing w:line="276" w:lineRule="auto"/>
            </w:pPr>
            <w:r>
              <w:rPr>
                <w:rFonts w:eastAsia="Calibri"/>
              </w:rPr>
              <w:t>Integrating AI platforms or operating them jointly raises the issues of transferring learner data and using it for model training.</w:t>
            </w:r>
          </w:p>
        </w:tc>
        <w:tc>
          <w:tcPr>
            <w:tcW w:w="3969" w:type="dxa"/>
          </w:tcPr>
          <w:p>
            <w:pPr>
              <w:spacing w:line="276" w:lineRule="auto"/>
            </w:pPr>
            <w:r>
              <w:rPr>
                <w:rFonts w:eastAsia="Calibri"/>
              </w:rPr>
              <w:t>Apply a no-data-transfer principle. Connect only through links to publicly available content.</w:t>
            </w:r>
          </w:p>
        </w:tc>
      </w:tr>
      <w:tr>
        <w:trPr>
          <w:cantSplit/>
        </w:trPr>
        <w:tc>
          <w:tcPr>
            <w:tcW w:w="1800" w:type="dxa"/>
          </w:tcPr>
          <w:p>
            <w:pPr>
              <w:spacing w:line="276" w:lineRule="auto"/>
            </w:pPr>
            <w:r>
              <w:rPr>
                <w:rFonts w:eastAsia="Calibri"/>
              </w:rPr>
              <w:t>Sensitivities by member state</w:t>
            </w:r>
          </w:p>
        </w:tc>
        <w:tc>
          <w:tcPr>
            <w:tcW w:w="3971" w:type="dxa"/>
          </w:tcPr>
          <w:p>
            <w:pPr>
              <w:spacing w:line="276" w:lineRule="auto"/>
            </w:pPr>
            <w:r>
              <w:rPr>
                <w:rFonts w:eastAsia="Calibri"/>
              </w:rPr>
              <w:t xml:space="preserve">Member states differ in the extent of their AI cooperation with China. For example, the signatories to the agreement establishing WAICO (16 July 2026) were reported to include Lao PDR and Indonesia (the full list of 29 countries is not confirmed). Counter-disinformation training also varies in sensitivity, as it is bound up with member states' information policies </w:t>
            </w:r>
            <w:r>
              <w:rPr>
                <w:rFonts w:eastAsia="Calibri"/>
                <w:b/>
                <w:bCs/>
                <w:color w:val="0F63A8"/>
              </w:rPr>
              <w:t>[Assessment]</w:t>
            </w:r>
            <w:r>
              <w:rPr>
                <w:rFonts w:eastAsia="Calibri"/>
              </w:rPr>
              <w:t>.</w:t>
            </w:r>
          </w:p>
        </w:tc>
        <w:tc>
          <w:tcPr>
            <w:tcW w:w="3969" w:type="dxa"/>
          </w:tcPr>
          <w:p>
            <w:pPr>
              <w:spacing w:line="276" w:lineRule="auto"/>
            </w:pPr>
            <w:r>
              <w:rPr>
                <w:rFonts w:eastAsia="Calibri"/>
              </w:rPr>
              <w:t>Make participation opt-in for interested member states rather than involving all member states en bloc. For content, use the agreed language of the ASEAN Guide and the Responsible AI Roadmap.</w:t>
            </w:r>
          </w:p>
        </w:tc>
      </w:tr>
      <w:tr>
        <w:trPr>
          <w:cantSplit/>
        </w:trPr>
        <w:tc>
          <w:tcPr>
            <w:tcW w:w="1800" w:type="dxa"/>
          </w:tcPr>
          <w:p>
            <w:pPr>
              <w:spacing w:line="276" w:lineRule="auto"/>
            </w:pPr>
            <w:r>
              <w:rPr>
                <w:rFonts w:eastAsia="Calibri"/>
              </w:rPr>
              <w:t>Sustainability</w:t>
            </w:r>
          </w:p>
        </w:tc>
        <w:tc>
          <w:tcPr>
            <w:tcW w:w="3971" w:type="dxa"/>
          </w:tcPr>
          <w:p>
            <w:pPr>
              <w:spacing w:line="276" w:lineRule="auto"/>
            </w:pPr>
            <w:r>
              <w:rPr>
                <w:rFonts w:eastAsia="Calibri"/>
              </w:rPr>
              <w:t>AI Ready ASEAN Phase 2 is scheduled to close at the end of 2028, and AIM ASEAN in 2027. Networks of trainers and local partners disperse once funding dries up. AI tools change quickly, so content also dates quickly.</w:t>
            </w:r>
          </w:p>
        </w:tc>
        <w:tc>
          <w:tcPr>
            <w:tcW w:w="3969" w:type="dxa"/>
          </w:tcPr>
          <w:p>
            <w:pPr>
              <w:spacing w:line="276" w:lineRule="auto"/>
            </w:pPr>
            <w:r>
              <w:rPr>
                <w:rFonts w:eastAsia="Calibri"/>
              </w:rPr>
              <w:t>Where cooperation programmes draw on trainers, include a remuneration and certification framework. Build a content update cycle into the terms of cooperation.</w:t>
            </w:r>
          </w:p>
        </w:tc>
      </w:tr>
      <w:tr>
        <w:trPr>
          <w:cantSplit/>
        </w:trPr>
        <w:tc>
          <w:tcPr>
            <w:tcW w:w="1800" w:type="dxa"/>
          </w:tcPr>
          <w:p>
            <w:pPr>
              <w:spacing w:line="276" w:lineRule="auto"/>
            </w:pPr>
            <w:r>
              <w:rPr>
                <w:rFonts w:eastAsia="Calibri"/>
              </w:rPr>
              <w:t>Presenting results</w:t>
            </w:r>
          </w:p>
        </w:tc>
        <w:tc>
          <w:tcPr>
            <w:tcW w:w="3971" w:type="dxa"/>
          </w:tcPr>
          <w:p>
            <w:pPr>
              <w:spacing w:line="276" w:lineRule="auto"/>
            </w:pPr>
            <w:r>
              <w:rPr>
                <w:rFonts w:eastAsia="Calibri"/>
              </w:rPr>
              <w:t>Conflating reach, completion and business integration undermines the credibility of the results as a whole.</w:t>
            </w:r>
          </w:p>
        </w:tc>
        <w:tc>
          <w:tcPr>
            <w:tcW w:w="3969" w:type="dxa"/>
          </w:tcPr>
          <w:p>
            <w:pPr>
              <w:spacing w:line="276" w:lineRule="auto"/>
            </w:pPr>
            <w:r>
              <w:rPr>
                <w:rFonts w:eastAsia="Calibri"/>
              </w:rPr>
              <w:t>State the definition and reference date for each indicator. Distinguish between reach, business integration and verified outcomes.</w:t>
            </w:r>
          </w:p>
        </w:tc>
      </w:tr>
      <w:tr>
        <w:trPr>
          <w:cantSplit/>
        </w:trPr>
        <w:tc>
          <w:tcPr>
            <w:tcW w:w="1800" w:type="dxa"/>
          </w:tcPr>
          <w:p>
            <w:pPr>
              <w:spacing w:line="276" w:lineRule="auto"/>
            </w:pPr>
            <w:r>
              <w:rPr>
                <w:rFonts w:eastAsia="Calibri"/>
              </w:rPr>
              <w:t>Confusion over names</w:t>
            </w:r>
          </w:p>
        </w:tc>
        <w:tc>
          <w:tcPr>
            <w:tcW w:w="3971" w:type="dxa"/>
          </w:tcPr>
          <w:p>
            <w:pPr>
              <w:spacing w:line="276" w:lineRule="auto"/>
            </w:pPr>
            <w:r>
              <w:rPr>
                <w:rFonts w:eastAsia="Calibri"/>
              </w:rPr>
              <w:t>The ASEAN Foundation's ASEAN Digital Academy is distinct from the Chinese side's China-ASEAN Digital Academy.</w:t>
            </w:r>
          </w:p>
        </w:tc>
        <w:tc>
          <w:tcPr>
            <w:tcW w:w="3969" w:type="dxa"/>
          </w:tcPr>
          <w:p>
            <w:pPr>
              <w:spacing w:line="276" w:lineRule="auto"/>
            </w:pPr>
            <w:r>
              <w:rPr>
                <w:rFonts w:eastAsia="Calibri"/>
              </w:rPr>
              <w:t>Use the official names in documents and discussions.</w:t>
            </w:r>
          </w:p>
        </w:tc>
      </w:tr>
    </w:tbl>
    <w:p>
      <w:pPr>
        <w:spacing w:after="60" w:line="120" w:lineRule="auto"/>
      </w:pPr>
    </w:p>
    <w:p>
      <w:pPr>
        <w:keepNext/>
        <w:spacing w:before="240" w:after="160" w:line="300" w:lineRule="auto"/>
      </w:pPr>
      <w:r>
        <w:rPr>
          <w:rFonts w:eastAsia="Calibri"/>
          <w:b/>
          <w:bCs/>
          <w:color w:val="00498F"/>
          <w:sz w:val="26"/>
          <w:szCs w:val="26"/>
        </w:rPr>
        <w:t>Appendix: Sources</w:t>
      </w:r>
    </w:p>
    <w:p>
      <w:pPr>
        <w:spacing w:after="120" w:line="336" w:lineRule="auto"/>
        <w:jc w:val="both"/>
      </w:pPr>
      <w:r>
        <w:rPr>
          <w:rFonts w:eastAsia="Calibri"/>
        </w:rPr>
        <w:t>These are the sources for the facts in this briefing. Public sources are current as of 14 October 2026 and should be checked against the originals before they are cited externally. The Singapore convening material comes from the local implementing partner's internal reports, so confirm what may be made public before citing it. Figures whose only source is Chinese state media (the Application Cooperation Centre's results and the casebook) and platform or company surveys (Lazada–Kantar) should be cited with their source.</w:t>
      </w:r>
    </w:p>
    <w:p>
      <w:pPr>
        <w:spacing w:after="120" w:line="336" w:lineRule="auto"/>
        <w:jc w:val="both"/>
      </w:pPr>
      <w:r>
        <w:rPr>
          <w:rFonts w:eastAsia="Calibri"/>
          <w:b/>
          <w:bCs/>
        </w:rPr>
        <w:t>ASEAN–China AI agreements and institutions</w:t>
      </w:r>
    </w:p>
    <w:p>
      <w:pPr>
        <w:pStyle w:val="a4"/>
        <w:numPr>
          <w:ilvl w:val="0"/>
          <w:numId w:val="2"/>
        </w:numPr>
        <w:spacing w:after="60" w:line="336" w:lineRule="auto"/>
        <w:jc w:val="both"/>
      </w:pPr>
      <w:hyperlink r:id="rIdGen6" w:history="1">
        <w:r>
          <w:rPr>
            <w:rStyle w:val="a5"/>
            <w:rFonts w:eastAsia="Calibri"/>
          </w:rPr>
          <w:t>ASEAN–China Joint Statement on Facilitating Cooperation in Building a Sustainable and Inclusive Digital Ecosystem</w:t>
        </w:r>
      </w:hyperlink>
      <w:r>
        <w:rPr>
          <w:rFonts w:eastAsia="Calibri"/>
        </w:rPr>
        <w:t xml:space="preserve"> (October 2024); </w:t>
      </w:r>
      <w:hyperlink r:id="rIdGen7" w:history="1">
        <w:r>
          <w:rPr>
            <w:rStyle w:val="a5"/>
            <w:rFonts w:eastAsia="Calibri"/>
          </w:rPr>
          <w:t>Joint Statement on Promoting the Development of Smart Agriculture</w:t>
        </w:r>
      </w:hyperlink>
      <w:r>
        <w:rPr>
          <w:rFonts w:eastAsia="Calibri"/>
        </w:rPr>
        <w:t xml:space="preserve"> (October 2024)</w:t>
      </w:r>
    </w:p>
    <w:p>
      <w:pPr>
        <w:pStyle w:val="a4"/>
        <w:numPr>
          <w:ilvl w:val="0"/>
          <w:numId w:val="2"/>
        </w:numPr>
        <w:spacing w:after="60" w:line="336" w:lineRule="auto"/>
        <w:jc w:val="both"/>
      </w:pPr>
      <w:hyperlink r:id="rIdGen8" w:history="1">
        <w:r>
          <w:rPr>
            <w:rStyle w:val="a5"/>
            <w:rFonts w:eastAsia="Calibri"/>
          </w:rPr>
          <w:t>ASEAN Secretary-General's remarks at the inauguration of the Innovation Centre</w:t>
        </w:r>
      </w:hyperlink>
      <w:r>
        <w:rPr>
          <w:rFonts w:eastAsia="Calibri"/>
        </w:rPr>
        <w:t xml:space="preserve"> (</w:t>
      </w:r>
      <w:hyperlink r:id="rIdGen9" w:history="1">
        <w:r>
          <w:rPr>
            <w:rStyle w:val="a5"/>
            <w:rFonts w:eastAsia="Calibri"/>
          </w:rPr>
          <w:t>text of the remarks (PDF)</w:t>
        </w:r>
      </w:hyperlink>
      <w:r>
        <w:rPr>
          <w:rFonts w:eastAsia="Calibri"/>
        </w:rPr>
        <w:t>, May 2026)</w:t>
      </w:r>
    </w:p>
    <w:p>
      <w:pPr>
        <w:pStyle w:val="a4"/>
        <w:numPr>
          <w:ilvl w:val="0"/>
          <w:numId w:val="2"/>
        </w:numPr>
        <w:spacing w:after="60" w:line="336" w:lineRule="auto"/>
        <w:jc w:val="both"/>
      </w:pPr>
      <w:hyperlink r:id="rIdGen10" w:history="1">
        <w:r>
          <w:rPr>
            <w:rStyle w:val="a5"/>
            <w:rFonts w:eastAsia="Calibri"/>
          </w:rPr>
          <w:t>ASEAN–China Foreign Ministers' Meeting (Manila)</w:t>
        </w:r>
      </w:hyperlink>
      <w:r>
        <w:rPr>
          <w:rFonts w:eastAsia="Calibri"/>
        </w:rPr>
        <w:t xml:space="preserve">; </w:t>
      </w:r>
      <w:hyperlink r:id="rIdGen11" w:history="1">
        <w:r>
          <w:rPr>
            <w:rStyle w:val="a5"/>
            <w:rFonts w:eastAsia="Calibri"/>
          </w:rPr>
          <w:t>report on the Year of AI Cooperation and the Action Plan</w:t>
        </w:r>
      </w:hyperlink>
      <w:r>
        <w:rPr>
          <w:rFonts w:eastAsia="Calibri"/>
        </w:rPr>
        <w:t xml:space="preserve">; </w:t>
      </w:r>
      <w:hyperlink r:id="rIdGen12" w:history="1">
        <w:r>
          <w:rPr>
            <w:rStyle w:val="a5"/>
            <w:rFonts w:eastAsia="Calibri"/>
          </w:rPr>
          <w:t>Antara: ASEAN and China consider AI cooperation in 2027</w:t>
        </w:r>
      </w:hyperlink>
      <w:r>
        <w:rPr>
          <w:rFonts w:eastAsia="Calibri"/>
        </w:rPr>
        <w:t xml:space="preserve"> (July 2026). The source document for this wording has not been confirmed</w:t>
      </w:r>
    </w:p>
    <w:p>
      <w:pPr>
        <w:pStyle w:val="a4"/>
        <w:numPr>
          <w:ilvl w:val="0"/>
          <w:numId w:val="2"/>
        </w:numPr>
        <w:spacing w:after="60" w:line="336" w:lineRule="auto"/>
        <w:jc w:val="both"/>
      </w:pPr>
      <w:hyperlink r:id="rIdGen13" w:history="1">
        <w:r>
          <w:rPr>
            <w:rStyle w:val="a5"/>
            <w:rFonts w:eastAsia="Calibri"/>
          </w:rPr>
          <w:t>First ministerial roundtable on AI</w:t>
        </w:r>
      </w:hyperlink>
      <w:r>
        <w:rPr>
          <w:rFonts w:eastAsia="Calibri"/>
        </w:rPr>
        <w:t xml:space="preserve"> (September 2025); </w:t>
      </w:r>
      <w:hyperlink r:id="rIdGen14" w:history="1">
        <w:r>
          <w:rPr>
            <w:rStyle w:val="a5"/>
            <w:rFonts w:eastAsia="Calibri"/>
          </w:rPr>
          <w:t>groundbreaking of the China–ASEAN AI Application Cooperation Centre</w:t>
        </w:r>
      </w:hyperlink>
    </w:p>
    <w:p>
      <w:pPr>
        <w:pStyle w:val="a4"/>
        <w:numPr>
          <w:ilvl w:val="0"/>
          <w:numId w:val="2"/>
        </w:numPr>
        <w:spacing w:after="60" w:line="336" w:lineRule="auto"/>
        <w:jc w:val="both"/>
      </w:pPr>
      <w:hyperlink r:id="rIdGen15" w:history="1">
        <w:r>
          <w:rPr>
            <w:rStyle w:val="a5"/>
            <w:rFonts w:eastAsia="Calibri"/>
          </w:rPr>
          <w:t>Second ministerial roundtable on AI</w:t>
        </w:r>
      </w:hyperlink>
      <w:r>
        <w:rPr>
          <w:rFonts w:eastAsia="Calibri"/>
        </w:rPr>
        <w:t xml:space="preserve">; </w:t>
      </w:r>
      <w:hyperlink r:id="rIdGen16" w:history="1">
        <w:r>
          <w:rPr>
            <w:rStyle w:val="a5"/>
            <w:rFonts w:eastAsia="Calibri"/>
          </w:rPr>
          <w:t>Viet Nam's proposal</w:t>
        </w:r>
      </w:hyperlink>
      <w:r>
        <w:rPr>
          <w:rFonts w:eastAsia="Calibri"/>
        </w:rPr>
        <w:t xml:space="preserve">; </w:t>
      </w:r>
      <w:hyperlink r:id="rIdGen17" w:history="1">
        <w:r>
          <w:rPr>
            <w:rStyle w:val="a5"/>
            <w:rFonts w:eastAsia="Calibri"/>
          </w:rPr>
          <w:t>casebook of 31 cases</w:t>
        </w:r>
      </w:hyperlink>
      <w:r>
        <w:rPr>
          <w:rFonts w:eastAsia="Calibri"/>
        </w:rPr>
        <w:t xml:space="preserve">; </w:t>
      </w:r>
      <w:hyperlink r:id="rIdGen18" w:history="1">
        <w:r>
          <w:rPr>
            <w:rStyle w:val="a5"/>
            <w:rFonts w:eastAsia="Calibri"/>
          </w:rPr>
          <w:t>the Application Cooperation Centre's results</w:t>
        </w:r>
      </w:hyperlink>
      <w:r>
        <w:rPr>
          <w:rFonts w:eastAsia="Calibri"/>
        </w:rPr>
        <w:t xml:space="preserve">; </w:t>
      </w:r>
      <w:hyperlink r:id="rIdGen19" w:history="1">
        <w:r>
          <w:rPr>
            <w:rStyle w:val="a5"/>
            <w:rFonts w:eastAsia="Calibri"/>
          </w:rPr>
          <w:t>Fourth Forum on China–ASEAN AI Cooperation</w:t>
        </w:r>
      </w:hyperlink>
      <w:r>
        <w:rPr>
          <w:rFonts w:eastAsia="Calibri"/>
        </w:rPr>
        <w:t xml:space="preserve"> (September 2026)</w:t>
      </w:r>
    </w:p>
    <w:p>
      <w:pPr>
        <w:pStyle w:val="a4"/>
        <w:numPr>
          <w:ilvl w:val="0"/>
          <w:numId w:val="2"/>
        </w:numPr>
        <w:spacing w:after="60" w:line="336" w:lineRule="auto"/>
        <w:jc w:val="both"/>
      </w:pPr>
      <w:hyperlink r:id="rIdGen20" w:history="1">
        <w:r>
          <w:rPr>
            <w:rStyle w:val="a5"/>
            <w:rFonts w:eastAsia="Calibri"/>
          </w:rPr>
          <w:t>China–ASEAN Education Cooperation Week 2026</w:t>
        </w:r>
      </w:hyperlink>
      <w:r>
        <w:rPr>
          <w:rFonts w:eastAsia="Calibri"/>
        </w:rPr>
        <w:t xml:space="preserve">; </w:t>
      </w:r>
      <w:hyperlink r:id="rIdGen21" w:history="1">
        <w:r>
          <w:rPr>
            <w:rStyle w:val="a5"/>
            <w:rFonts w:eastAsia="Calibri"/>
          </w:rPr>
          <w:t>coverage of the closing</w:t>
        </w:r>
      </w:hyperlink>
      <w:r>
        <w:rPr>
          <w:rFonts w:eastAsia="Calibri"/>
        </w:rPr>
        <w:t xml:space="preserve">; </w:t>
      </w:r>
      <w:hyperlink r:id="rIdGen22" w:history="1">
        <w:r>
          <w:rPr>
            <w:rStyle w:val="a5"/>
            <w:rFonts w:eastAsia="Calibri"/>
          </w:rPr>
          <w:t>call for China–ASEAN Digital Academy scholarships</w:t>
        </w:r>
      </w:hyperlink>
    </w:p>
    <w:p>
      <w:pPr>
        <w:pStyle w:val="a4"/>
        <w:numPr>
          <w:ilvl w:val="0"/>
          <w:numId w:val="2"/>
        </w:numPr>
        <w:spacing w:after="120" w:line="336" w:lineRule="auto"/>
        <w:jc w:val="both"/>
      </w:pPr>
      <w:r>
        <w:rPr>
          <w:rFonts w:eastAsia="Calibri"/>
        </w:rPr>
        <w:t xml:space="preserve">For reference (not AI-specific): </w:t>
      </w:r>
      <w:hyperlink r:id="rIdGen23" w:history="1">
        <w:r>
          <w:rPr>
            <w:rStyle w:val="a5"/>
            <w:rFonts w:eastAsia="Calibri"/>
          </w:rPr>
          <w:t>signing of the ACFTA 3.0 upgrade</w:t>
        </w:r>
      </w:hyperlink>
      <w:r>
        <w:rPr>
          <w:rFonts w:eastAsia="Calibri"/>
        </w:rPr>
        <w:t xml:space="preserve"> (October 2025); </w:t>
      </w:r>
      <w:hyperlink r:id="rIdGen24" w:history="1">
        <w:r>
          <w:rPr>
            <w:rStyle w:val="a5"/>
            <w:rFonts w:eastAsia="Calibri"/>
          </w:rPr>
          <w:t>ratification status</w:t>
        </w:r>
      </w:hyperlink>
      <w:r>
        <w:rPr>
          <w:rFonts w:eastAsia="Calibri"/>
        </w:rPr>
        <w:t xml:space="preserve">; </w:t>
      </w:r>
      <w:hyperlink r:id="rIdGen25" w:history="1">
        <w:r>
          <w:rPr>
            <w:rStyle w:val="a5"/>
            <w:rFonts w:eastAsia="Calibri"/>
          </w:rPr>
          <w:t>MOFCOM summary</w:t>
        </w:r>
      </w:hyperlink>
    </w:p>
    <w:p>
      <w:pPr>
        <w:spacing w:after="120" w:line="336" w:lineRule="auto"/>
        <w:jc w:val="both"/>
      </w:pPr>
      <w:r>
        <w:rPr>
          <w:rFonts w:eastAsia="Calibri"/>
          <w:b/>
          <w:bCs/>
        </w:rPr>
        <w:t>China's AI strategy and external analysis</w:t>
      </w:r>
    </w:p>
    <w:p>
      <w:pPr>
        <w:pStyle w:val="a4"/>
        <w:numPr>
          <w:ilvl w:val="0"/>
          <w:numId w:val="2"/>
        </w:numPr>
        <w:spacing w:after="60" w:line="336" w:lineRule="auto"/>
        <w:jc w:val="both"/>
      </w:pPr>
      <w:hyperlink r:id="rIdGen26" w:history="1">
        <w:r>
          <w:rPr>
            <w:rStyle w:val="a5"/>
            <w:rFonts w:eastAsia="Calibri"/>
          </w:rPr>
          <w:t>AI Capacity-Building Action Plan for Good and for All</w:t>
        </w:r>
      </w:hyperlink>
      <w:r>
        <w:rPr>
          <w:rFonts w:eastAsia="Calibri"/>
        </w:rPr>
        <w:t xml:space="preserve"> (September 2024); </w:t>
      </w:r>
      <w:hyperlink r:id="rIdGen27" w:history="1">
        <w:r>
          <w:rPr>
            <w:rStyle w:val="a5"/>
            <w:rFonts w:eastAsia="Calibri"/>
          </w:rPr>
          <w:t>Global AI Governance Action Plan</w:t>
        </w:r>
      </w:hyperlink>
      <w:r>
        <w:rPr>
          <w:rFonts w:eastAsia="Calibri"/>
        </w:rPr>
        <w:t xml:space="preserve"> (July 2025)</w:t>
      </w:r>
    </w:p>
    <w:p>
      <w:pPr>
        <w:pStyle w:val="a4"/>
        <w:numPr>
          <w:ilvl w:val="0"/>
          <w:numId w:val="2"/>
        </w:numPr>
        <w:spacing w:after="60" w:line="336" w:lineRule="auto"/>
        <w:jc w:val="both"/>
      </w:pPr>
      <w:hyperlink r:id="rIdGen28" w:history="1">
        <w:r>
          <w:rPr>
            <w:rStyle w:val="a5"/>
            <w:rFonts w:eastAsia="Calibri"/>
          </w:rPr>
          <w:t>Report on President Xi Jinping's WAIC speech</w:t>
        </w:r>
      </w:hyperlink>
      <w:r>
        <w:rPr>
          <w:rFonts w:eastAsia="Calibri"/>
        </w:rPr>
        <w:t xml:space="preserve">; </w:t>
      </w:r>
      <w:hyperlink r:id="rIdGen29" w:history="1">
        <w:r>
          <w:rPr>
            <w:rStyle w:val="a5"/>
            <w:rFonts w:eastAsia="Calibri"/>
          </w:rPr>
          <w:t>report on the signing of the agreement establishing WAICO</w:t>
        </w:r>
      </w:hyperlink>
      <w:r>
        <w:rPr>
          <w:rFonts w:eastAsia="Calibri"/>
        </w:rPr>
        <w:t xml:space="preserve"> (July 2026; the full list of signatories has not been confirmed)</w:t>
      </w:r>
    </w:p>
    <w:p>
      <w:pPr>
        <w:pStyle w:val="a4"/>
        <w:numPr>
          <w:ilvl w:val="0"/>
          <w:numId w:val="2"/>
        </w:numPr>
        <w:spacing w:after="60" w:line="336" w:lineRule="auto"/>
        <w:jc w:val="both"/>
      </w:pPr>
      <w:hyperlink r:id="rIdGen30" w:history="1">
        <w:r>
          <w:rPr>
            <w:rStyle w:val="a5"/>
            <w:rFonts w:eastAsia="Calibri"/>
          </w:rPr>
          <w:t>ISEAS Perspective 2026/30, Wang Zheng</w:t>
        </w:r>
      </w:hyperlink>
      <w:r>
        <w:rPr>
          <w:rFonts w:eastAsia="Calibri"/>
        </w:rPr>
        <w:t xml:space="preserve"> (covers the Ministry of Science and Technology's three-year action plan)</w:t>
      </w:r>
    </w:p>
    <w:p>
      <w:pPr>
        <w:pStyle w:val="a4"/>
        <w:numPr>
          <w:ilvl w:val="0"/>
          <w:numId w:val="2"/>
        </w:numPr>
        <w:spacing w:after="60" w:line="336" w:lineRule="auto"/>
        <w:jc w:val="both"/>
      </w:pPr>
      <w:hyperlink r:id="rIdGen31" w:history="1">
        <w:r>
          <w:rPr>
            <w:rStyle w:val="a5"/>
            <w:rFonts w:eastAsia="Calibri"/>
          </w:rPr>
          <w:t>East Asia Forum, Forbes &amp; Maughan</w:t>
        </w:r>
      </w:hyperlink>
      <w:r>
        <w:rPr>
          <w:rFonts w:eastAsia="Calibri"/>
        </w:rPr>
        <w:t xml:space="preserve"> (July 2026); </w:t>
      </w:r>
      <w:hyperlink r:id="rIdGen32" w:history="1">
        <w:r>
          <w:rPr>
            <w:rStyle w:val="a5"/>
            <w:rFonts w:eastAsia="Calibri"/>
          </w:rPr>
          <w:t>The Diplomat</w:t>
        </w:r>
      </w:hyperlink>
      <w:r>
        <w:rPr>
          <w:rFonts w:eastAsia="Calibri"/>
        </w:rPr>
        <w:t xml:space="preserve"> (June 2026)</w:t>
      </w:r>
    </w:p>
    <w:p>
      <w:pPr>
        <w:pStyle w:val="a4"/>
        <w:numPr>
          <w:ilvl w:val="0"/>
          <w:numId w:val="2"/>
        </w:numPr>
        <w:spacing w:after="120" w:line="336" w:lineRule="auto"/>
        <w:jc w:val="both"/>
      </w:pPr>
      <w:hyperlink r:id="rIdGen33" w:history="1">
        <w:r>
          <w:rPr>
            <w:rStyle w:val="a5"/>
            <w:rFonts w:eastAsia="Calibri"/>
          </w:rPr>
          <w:t>CIIS–ISEAS joint symposium</w:t>
        </w:r>
      </w:hyperlink>
      <w:r>
        <w:rPr>
          <w:rFonts w:eastAsia="Calibri"/>
        </w:rPr>
        <w:t xml:space="preserve"> (December 2025); </w:t>
      </w:r>
      <w:hyperlink r:id="rIdGen34" w:history="1">
        <w:r>
          <w:rPr>
            <w:rStyle w:val="a5"/>
            <w:rFonts w:eastAsia="Calibri"/>
          </w:rPr>
          <w:t>CIIS–CAICT report</w:t>
        </w:r>
      </w:hyperlink>
      <w:r>
        <w:rPr>
          <w:rFonts w:eastAsia="Calibri"/>
        </w:rPr>
        <w:t xml:space="preserve"> (December 2024)</w:t>
      </w:r>
    </w:p>
    <w:p>
      <w:pPr>
        <w:spacing w:after="120" w:line="336" w:lineRule="auto"/>
        <w:jc w:val="both"/>
      </w:pPr>
      <w:r>
        <w:rPr>
          <w:rFonts w:eastAsia="Calibri"/>
          <w:b/>
          <w:bCs/>
        </w:rPr>
        <w:t>ASEAN's AI governance and language models</w:t>
      </w:r>
    </w:p>
    <w:p>
      <w:pPr>
        <w:pStyle w:val="a4"/>
        <w:numPr>
          <w:ilvl w:val="0"/>
          <w:numId w:val="2"/>
        </w:numPr>
        <w:spacing w:after="60" w:line="336" w:lineRule="auto"/>
        <w:jc w:val="both"/>
      </w:pPr>
      <w:hyperlink r:id="rIdGen35" w:history="1">
        <w:r>
          <w:rPr>
            <w:rStyle w:val="a5"/>
            <w:rFonts w:eastAsia="Calibri"/>
          </w:rPr>
          <w:t>Expanded ASEAN Guide on AI Governance and Ethics: Generative AI</w:t>
        </w:r>
      </w:hyperlink>
      <w:r>
        <w:rPr>
          <w:rFonts w:eastAsia="Calibri"/>
        </w:rPr>
        <w:t xml:space="preserve"> (January 2025); </w:t>
      </w:r>
      <w:hyperlink r:id="rIdGen36" w:history="1">
        <w:r>
          <w:rPr>
            <w:rStyle w:val="a5"/>
            <w:rFonts w:eastAsia="Calibri"/>
          </w:rPr>
          <w:t>adoption of the Responsible AI Roadmap 2025–2030</w:t>
        </w:r>
      </w:hyperlink>
      <w:r>
        <w:rPr>
          <w:rFonts w:eastAsia="Calibri"/>
        </w:rPr>
        <w:t xml:space="preserve"> (March 2025)</w:t>
      </w:r>
    </w:p>
    <w:p>
      <w:pPr>
        <w:pStyle w:val="a4"/>
        <w:numPr>
          <w:ilvl w:val="0"/>
          <w:numId w:val="2"/>
        </w:numPr>
        <w:spacing w:after="60" w:line="336" w:lineRule="auto"/>
        <w:jc w:val="both"/>
      </w:pPr>
      <w:hyperlink r:id="rIdGen37" w:history="1">
        <w:r>
          <w:rPr>
            <w:rStyle w:val="a5"/>
            <w:rFonts w:eastAsia="Calibri"/>
          </w:rPr>
          <w:t>Hanoi Digital Declaration</w:t>
        </w:r>
      </w:hyperlink>
      <w:r>
        <w:rPr>
          <w:rFonts w:eastAsia="Calibri"/>
        </w:rPr>
        <w:t xml:space="preserve"> (January 2026)</w:t>
      </w:r>
    </w:p>
    <w:p>
      <w:pPr>
        <w:pStyle w:val="a4"/>
        <w:numPr>
          <w:ilvl w:val="0"/>
          <w:numId w:val="2"/>
        </w:numPr>
        <w:spacing w:after="60" w:line="336" w:lineRule="auto"/>
        <w:jc w:val="both"/>
      </w:pPr>
      <w:hyperlink r:id="rIdGen38" w:history="1">
        <w:r>
          <w:rPr>
            <w:rStyle w:val="a5"/>
            <w:rFonts w:eastAsia="Calibri"/>
          </w:rPr>
          <w:t>Declaration on the Establishment of an ASEAN AI Safety Network (ASEAN AI Safe)</w:t>
        </w:r>
      </w:hyperlink>
      <w:r>
        <w:rPr>
          <w:rFonts w:eastAsia="Calibri"/>
        </w:rPr>
        <w:t xml:space="preserve"> (October 2025); </w:t>
      </w:r>
      <w:hyperlink r:id="rIdGen39" w:history="1">
        <w:r>
          <w:rPr>
            <w:rStyle w:val="a5"/>
            <w:rFonts w:eastAsia="Calibri"/>
          </w:rPr>
          <w:t>its base in Malaysia</w:t>
        </w:r>
      </w:hyperlink>
    </w:p>
    <w:p>
      <w:pPr>
        <w:pStyle w:val="a4"/>
        <w:numPr>
          <w:ilvl w:val="0"/>
          <w:numId w:val="2"/>
        </w:numPr>
        <w:spacing w:after="120" w:line="336" w:lineRule="auto"/>
        <w:jc w:val="both"/>
      </w:pPr>
      <w:hyperlink r:id="rIdGen40" w:history="1">
        <w:r>
          <w:rPr>
            <w:rStyle w:val="a5"/>
            <w:rFonts w:eastAsia="Calibri"/>
          </w:rPr>
          <w:t>SEA-LION paper (IJCNLP 2025)</w:t>
        </w:r>
      </w:hyperlink>
      <w:r>
        <w:rPr>
          <w:rFonts w:eastAsia="Calibri"/>
        </w:rPr>
        <w:t xml:space="preserve"> (11 regional languages)</w:t>
      </w:r>
    </w:p>
    <w:p>
      <w:pPr>
        <w:spacing w:after="120" w:line="336" w:lineRule="auto"/>
        <w:jc w:val="both"/>
      </w:pPr>
      <w:r>
        <w:rPr>
          <w:rFonts w:eastAsia="Calibri"/>
          <w:b/>
          <w:bCs/>
        </w:rPr>
        <w:t>People and firms using AI: readiness and risks</w:t>
      </w:r>
    </w:p>
    <w:p>
      <w:pPr>
        <w:pStyle w:val="a4"/>
        <w:numPr>
          <w:ilvl w:val="0"/>
          <w:numId w:val="2"/>
        </w:numPr>
        <w:spacing w:after="60" w:line="336" w:lineRule="auto"/>
        <w:jc w:val="both"/>
      </w:pPr>
      <w:hyperlink r:id="rIdGen41" w:history="1">
        <w:r>
          <w:rPr>
            <w:rStyle w:val="a5"/>
            <w:rFonts w:eastAsia="Calibri"/>
          </w:rPr>
          <w:t>AI Ready ASEAN Research</w:t>
        </w:r>
      </w:hyperlink>
      <w:r>
        <w:rPr>
          <w:rFonts w:eastAsia="Calibri"/>
        </w:rPr>
        <w:t xml:space="preserve"> (2026); </w:t>
      </w:r>
      <w:hyperlink r:id="rIdGen42" w:history="1">
        <w:r>
          <w:rPr>
            <w:rStyle w:val="a5"/>
            <w:rFonts w:eastAsia="Calibri"/>
          </w:rPr>
          <w:t>ASEAN Digital Outlook 2026</w:t>
        </w:r>
      </w:hyperlink>
      <w:r>
        <w:rPr>
          <w:rFonts w:eastAsia="Calibri"/>
        </w:rPr>
        <w:t xml:space="preserve"> (executive summary only); </w:t>
      </w:r>
      <w:hyperlink r:id="rIdGen43" w:history="1">
        <w:r>
          <w:rPr>
            <w:rStyle w:val="a5"/>
            <w:rFonts w:eastAsia="Calibri"/>
          </w:rPr>
          <w:t>launch coverage</w:t>
        </w:r>
      </w:hyperlink>
      <w:r>
        <w:rPr>
          <w:rFonts w:eastAsia="Calibri"/>
        </w:rPr>
        <w:t xml:space="preserve"> (February 2026)</w:t>
      </w:r>
    </w:p>
    <w:p>
      <w:pPr>
        <w:pStyle w:val="a4"/>
        <w:numPr>
          <w:ilvl w:val="0"/>
          <w:numId w:val="2"/>
        </w:numPr>
        <w:spacing w:after="60" w:line="336" w:lineRule="auto"/>
        <w:jc w:val="both"/>
      </w:pPr>
      <w:hyperlink r:id="rIdGen44" w:history="1">
        <w:r>
          <w:rPr>
            <w:rStyle w:val="a5"/>
            <w:rFonts w:eastAsia="Calibri"/>
          </w:rPr>
          <w:t>Coverage of the IMDA Singapore Digital Economy Report</w:t>
        </w:r>
      </w:hyperlink>
      <w:r>
        <w:rPr>
          <w:rFonts w:eastAsia="Calibri"/>
        </w:rPr>
        <w:t xml:space="preserve"> (October 2026); </w:t>
      </w:r>
      <w:hyperlink r:id="rIdGen45" w:history="1">
        <w:r>
          <w:rPr>
            <w:rStyle w:val="a5"/>
            <w:rFonts w:eastAsia="Calibri"/>
          </w:rPr>
          <w:t>remarks by Indonesia's Minister of MSMEs (Antara)</w:t>
        </w:r>
      </w:hyperlink>
      <w:r>
        <w:rPr>
          <w:rFonts w:eastAsia="Calibri"/>
        </w:rPr>
        <w:t xml:space="preserve"> (July 2026)</w:t>
      </w:r>
    </w:p>
    <w:p>
      <w:pPr>
        <w:pStyle w:val="a4"/>
        <w:numPr>
          <w:ilvl w:val="0"/>
          <w:numId w:val="2"/>
        </w:numPr>
        <w:spacing w:after="60" w:line="336" w:lineRule="auto"/>
        <w:jc w:val="both"/>
      </w:pPr>
      <w:hyperlink r:id="rIdGen46" w:history="1">
        <w:r>
          <w:rPr>
            <w:rStyle w:val="a5"/>
            <w:rFonts w:eastAsia="Calibri"/>
          </w:rPr>
          <w:t>Lazada–Kantar, Bridging the AI Gap</w:t>
        </w:r>
      </w:hyperlink>
      <w:r>
        <w:rPr>
          <w:rFonts w:eastAsia="Calibri"/>
        </w:rPr>
        <w:t xml:space="preserve"> (April 2025 release); </w:t>
      </w:r>
      <w:hyperlink r:id="rIdGen47" w:history="1">
        <w:r>
          <w:rPr>
            <w:rStyle w:val="a5"/>
            <w:rFonts w:eastAsia="Calibri"/>
          </w:rPr>
          <w:t>ERIA Policy Brief 2025-1</w:t>
        </w:r>
      </w:hyperlink>
      <w:r>
        <w:rPr>
          <w:rFonts w:eastAsia="Calibri"/>
        </w:rPr>
        <w:t xml:space="preserve"> (May 2025); </w:t>
      </w:r>
      <w:hyperlink r:id="rIdGen48" w:history="1">
        <w:r>
          <w:rPr>
            <w:rStyle w:val="a5"/>
            <w:rFonts w:eastAsia="Calibri"/>
          </w:rPr>
          <w:t>ASEAN Secretariat, MSME overview</w:t>
        </w:r>
      </w:hyperlink>
    </w:p>
    <w:p>
      <w:pPr>
        <w:pStyle w:val="a4"/>
        <w:numPr>
          <w:ilvl w:val="0"/>
          <w:numId w:val="2"/>
        </w:numPr>
        <w:spacing w:after="60" w:line="336" w:lineRule="auto"/>
        <w:jc w:val="both"/>
      </w:pPr>
      <w:hyperlink r:id="rIdGen49" w:history="1">
        <w:r>
          <w:rPr>
            <w:rStyle w:val="a5"/>
            <w:rFonts w:eastAsia="Calibri"/>
          </w:rPr>
          <w:t>ASEAN-BAC warning on deepfake scams (Eco-Business)</w:t>
        </w:r>
      </w:hyperlink>
    </w:p>
    <w:p>
      <w:pPr>
        <w:pStyle w:val="a4"/>
        <w:numPr>
          <w:ilvl w:val="0"/>
          <w:numId w:val="2"/>
        </w:numPr>
        <w:spacing w:after="120" w:line="336" w:lineRule="auto"/>
        <w:jc w:val="both"/>
      </w:pPr>
      <w:hyperlink r:id="rIdGen50" w:history="1">
        <w:r>
          <w:rPr>
            <w:rStyle w:val="a5"/>
            <w:rFonts w:eastAsia="Calibri"/>
          </w:rPr>
          <w:t>OECD, Empowering SMEs in the Age of AI (2026 D4SME survey)</w:t>
        </w:r>
      </w:hyperlink>
      <w:r>
        <w:rPr>
          <w:rFonts w:eastAsia="Calibri"/>
        </w:rPr>
        <w:t xml:space="preserve"> (summary only; the '76 per cent' cited in the Google.org message could not be verified)</w:t>
      </w:r>
    </w:p>
    <w:p>
      <w:pPr>
        <w:spacing w:after="120" w:line="336" w:lineRule="auto"/>
        <w:jc w:val="both"/>
      </w:pPr>
      <w:r>
        <w:rPr>
          <w:rFonts w:eastAsia="Calibri"/>
          <w:b/>
          <w:bCs/>
        </w:rPr>
        <w:t>The ASEAN Foundation's AI programmes</w:t>
      </w:r>
    </w:p>
    <w:p>
      <w:pPr>
        <w:pStyle w:val="a4"/>
        <w:numPr>
          <w:ilvl w:val="0"/>
          <w:numId w:val="2"/>
        </w:numPr>
        <w:spacing w:after="60" w:line="336" w:lineRule="auto"/>
        <w:jc w:val="both"/>
      </w:pPr>
      <w:hyperlink r:id="rIdGen51" w:history="1">
        <w:r>
          <w:rPr>
            <w:rStyle w:val="a5"/>
            <w:rFonts w:eastAsia="Calibri"/>
          </w:rPr>
          <w:t>AI Ready ASEAN programme</w:t>
        </w:r>
      </w:hyperlink>
      <w:r>
        <w:rPr>
          <w:rFonts w:eastAsia="Calibri"/>
        </w:rPr>
        <w:t xml:space="preserve">; </w:t>
      </w:r>
      <w:hyperlink r:id="rIdGen52" w:history="1">
        <w:r>
          <w:rPr>
            <w:rStyle w:val="a5"/>
            <w:rFonts w:eastAsia="Calibri"/>
          </w:rPr>
          <w:t>launch of AI Class ASEAN</w:t>
        </w:r>
      </w:hyperlink>
      <w:r>
        <w:rPr>
          <w:rFonts w:eastAsia="Calibri"/>
        </w:rPr>
        <w:t xml:space="preserve"> (August 2025); </w:t>
      </w:r>
      <w:hyperlink r:id="rIdGen53" w:history="1">
        <w:r>
          <w:rPr>
            <w:rStyle w:val="a5"/>
            <w:rFonts w:eastAsia="Calibri"/>
          </w:rPr>
          <w:t>announcement of phase 2 with SOM-ED endorsement</w:t>
        </w:r>
      </w:hyperlink>
      <w:r>
        <w:rPr>
          <w:rFonts w:eastAsia="Calibri"/>
        </w:rPr>
        <w:t xml:space="preserve"> (September 2026); </w:t>
      </w:r>
      <w:hyperlink r:id="rIdGen54" w:history="1">
        <w:r>
          <w:rPr>
            <w:rStyle w:val="a5"/>
            <w:rFonts w:eastAsia="Calibri"/>
          </w:rPr>
          <w:t>AVPN AI Opportunity Fund</w:t>
        </w:r>
      </w:hyperlink>
    </w:p>
    <w:p>
      <w:pPr>
        <w:pStyle w:val="a4"/>
        <w:numPr>
          <w:ilvl w:val="0"/>
          <w:numId w:val="2"/>
        </w:numPr>
        <w:spacing w:after="60" w:line="336" w:lineRule="auto"/>
        <w:jc w:val="both"/>
      </w:pPr>
      <w:hyperlink r:id="rIdGen55" w:history="1">
        <w:r>
          <w:rPr>
            <w:rStyle w:val="a5"/>
            <w:rFonts w:eastAsia="Calibri"/>
          </w:rPr>
          <w:t>AIM ASEAN programme</w:t>
        </w:r>
      </w:hyperlink>
      <w:r>
        <w:rPr>
          <w:rFonts w:eastAsia="Calibri"/>
        </w:rPr>
        <w:t xml:space="preserve">; </w:t>
      </w:r>
      <w:hyperlink r:id="rIdGen56" w:history="1">
        <w:r>
          <w:rPr>
            <w:rStyle w:val="a5"/>
            <w:rFonts w:eastAsia="Calibri"/>
          </w:rPr>
          <w:t>announcement of local partners (AVPN, October 2025)</w:t>
        </w:r>
      </w:hyperlink>
    </w:p>
    <w:p>
      <w:pPr>
        <w:pStyle w:val="a4"/>
        <w:numPr>
          <w:ilvl w:val="0"/>
          <w:numId w:val="2"/>
        </w:numPr>
        <w:spacing w:after="60" w:line="336" w:lineRule="auto"/>
        <w:jc w:val="both"/>
      </w:pPr>
      <w:r>
        <w:rPr>
          <w:rFonts w:eastAsia="Calibri"/>
        </w:rPr>
        <w:t xml:space="preserve">National Policy Convenings: </w:t>
      </w:r>
      <w:hyperlink r:id="rIdGen57" w:history="1">
        <w:r>
          <w:rPr>
            <w:rStyle w:val="a5"/>
            <w:rFonts w:eastAsia="Calibri"/>
          </w:rPr>
          <w:t>Singapore press release</w:t>
        </w:r>
      </w:hyperlink>
      <w:r>
        <w:rPr>
          <w:rFonts w:eastAsia="Calibri"/>
        </w:rPr>
        <w:t xml:space="preserve"> (September 2026); </w:t>
      </w:r>
      <w:hyperlink r:id="rIdGen58" w:history="1">
        <w:r>
          <w:rPr>
            <w:rStyle w:val="a5"/>
            <w:rFonts w:eastAsia="Calibri"/>
          </w:rPr>
          <w:t>Indonesia (Kompas)</w:t>
        </w:r>
      </w:hyperlink>
      <w:r>
        <w:rPr>
          <w:rFonts w:eastAsia="Calibri"/>
        </w:rPr>
        <w:t xml:space="preserve"> (July 2026); </w:t>
      </w:r>
      <w:hyperlink r:id="rIdGen59" w:history="1">
        <w:r>
          <w:rPr>
            <w:rStyle w:val="a5"/>
            <w:rFonts w:eastAsia="Calibri"/>
          </w:rPr>
          <w:t>Philippines (Limitless Lab)</w:t>
        </w:r>
      </w:hyperlink>
      <w:r>
        <w:rPr>
          <w:rFonts w:eastAsia="Calibri"/>
        </w:rPr>
        <w:t xml:space="preserve"> (May 2026)</w:t>
      </w:r>
    </w:p>
    <w:p>
      <w:pPr>
        <w:pStyle w:val="a4"/>
        <w:numPr>
          <w:ilvl w:val="0"/>
          <w:numId w:val="2"/>
        </w:numPr>
        <w:spacing w:after="60" w:line="336" w:lineRule="auto"/>
        <w:jc w:val="both"/>
      </w:pPr>
      <w:hyperlink r:id="rIdGen60" w:history="1">
        <w:r>
          <w:rPr>
            <w:rStyle w:val="a5"/>
            <w:rFonts w:eastAsia="Calibri"/>
          </w:rPr>
          <w:t>Philippine DICT on the declaration on AI-driven MSME growth</w:t>
        </w:r>
      </w:hyperlink>
    </w:p>
    <w:p>
      <w:pPr>
        <w:pStyle w:val="a4"/>
        <w:numPr>
          <w:ilvl w:val="0"/>
          <w:numId w:val="2"/>
        </w:numPr>
        <w:spacing w:after="120" w:line="336" w:lineRule="auto"/>
        <w:jc w:val="both"/>
      </w:pPr>
      <w:hyperlink r:id="rIdGen61" w:history="1">
        <w:r>
          <w:rPr>
            <w:rStyle w:val="a5"/>
            <w:rFonts w:eastAsia="Calibri"/>
          </w:rPr>
          <w:t>ASEAN Digital Academy (ASEAN Foundation)</w:t>
        </w:r>
      </w:hyperlink>
      <w:r>
        <w:rPr>
          <w:rFonts w:eastAsia="Calibri"/>
        </w:rPr>
        <w:t xml:space="preserve">; </w:t>
      </w:r>
      <w:hyperlink r:id="rIdGen62" w:history="1">
        <w:r>
          <w:rPr>
            <w:rStyle w:val="a5"/>
            <w:rFonts w:eastAsia="Calibri"/>
          </w:rPr>
          <w:t>ASEAN Seeds for the Future MoU</w:t>
        </w:r>
      </w:hyperlink>
      <w:r>
        <w:rPr>
          <w:rFonts w:eastAsia="Calibri"/>
        </w:rPr>
        <w:t xml:space="preserve"> (November 2021); </w:t>
      </w:r>
      <w:hyperlink r:id="rIdGen63" w:history="1">
        <w:r>
          <w:rPr>
            <w:rStyle w:val="a5"/>
            <w:rFonts w:eastAsia="Calibri"/>
          </w:rPr>
          <w:t>Korea-ASEAN Digital Academy</w:t>
        </w:r>
      </w:hyperlink>
      <w:r>
        <w:rPr>
          <w:rFonts w:eastAsia="Calibri"/>
        </w:rPr>
        <w:t xml:space="preserve">; </w:t>
      </w:r>
      <w:hyperlink r:id="rIdGen64" w:history="1">
        <w:r>
          <w:rPr>
            <w:rStyle w:val="a5"/>
            <w:rFonts w:eastAsia="Calibri"/>
          </w:rPr>
          <w:t>Huawei TECH4ALL</w:t>
        </w:r>
      </w:hyperlink>
    </w:p>
    <w:p>
      <w:pPr>
        <w:spacing w:after="120" w:line="336" w:lineRule="auto"/>
        <w:jc w:val="both"/>
      </w:pPr>
      <w:r>
        <w:rPr>
          <w:rFonts w:eastAsia="Calibri"/>
          <w:b/>
          <w:bCs/>
        </w:rPr>
        <w:t>Singapore National Policy Convening (internal)</w:t>
      </w:r>
    </w:p>
    <w:p>
      <w:pPr>
        <w:pStyle w:val="a4"/>
        <w:numPr>
          <w:ilvl w:val="0"/>
          <w:numId w:val="2"/>
        </w:numPr>
        <w:spacing w:after="60" w:line="336" w:lineRule="auto"/>
        <w:jc w:val="both"/>
      </w:pPr>
      <w:r>
        <w:rPr>
          <w:rFonts w:eastAsia="Calibri"/>
        </w:rPr>
        <w:t>Project Asia Data (BlackStorm Group), National Policy Convening Review Notes – Singapore (AIM ASEAN). Internal</w:t>
      </w:r>
    </w:p>
    <w:p>
      <w:pPr>
        <w:pStyle w:val="a4"/>
        <w:numPr>
          <w:ilvl w:val="0"/>
          <w:numId w:val="2"/>
        </w:numPr>
        <w:spacing w:after="120" w:line="336" w:lineRule="auto"/>
        <w:jc w:val="both"/>
      </w:pPr>
      <w:r>
        <w:rPr>
          <w:rFonts w:eastAsia="Calibri"/>
        </w:rPr>
        <w:t>Project Asia Data (BlackStorm Group), National Policy Convening Report – Singapore (final version; submission date not yet set). Internal. The report's page header still carries another programme's name ('ASEAN AI for Employment Programme'); cite it as an AIM ASEAN report</w:t>
      </w:r>
    </w:p>
    <w:p>
      <w:pPr>
        <w:spacing w:after="0"/>
      </w:pPr>
    </w:p>
    <w:sectPr w:rsidR="008F3ECF">
      <w:headerReference w:type="default" r:id="rId8"/>
      <w:footerReference w:type="default" r:id="rId9"/>
      <w:pgSz w:w="11906" w:h="16838"/>
      <w:pgMar w:top="1000" w:right="1080" w:bottom="1080" w:left="1080" w:header="6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86FD56C" w14:textId="77777777" w:rsidR="000A55CA" w:rsidRDefault="000A55CA">
      <w:r>
        <w:separator/>
      </w:r>
    </w:p>
  </w:endnote>
  <w:endnote w:type="continuationSeparator" w:id="0">
    <w:p w14:paraId="4106954C" w14:textId="77777777" w:rsidR="000A55CA" w:rsidRDefault="000A55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65C15A" w14:textId="77777777" w:rsidR="005C7CC5" w:rsidRDefault="00000000">
    <w:pPr>
      <w:jc w:val="center"/>
    </w:pPr>
    <w:r>
      <w:rPr>
        <w:rFonts w:eastAsia="Calibri"/>
        <w:color w:val="6B6B6B"/>
        <w:sz w:val="16"/>
        <w:szCs w:val="16"/>
      </w:rPr>
      <w:t xml:space="preserve">Page </w:t>
    </w:r>
    <w:r>
      <w:rPr>
        <w:color w:val="6B6B6B"/>
        <w:sz w:val="16"/>
        <w:szCs w:val="16"/>
      </w:rPr>
      <w:fldChar w:fldCharType="begin"/>
    </w:r>
    <w:r>
      <w:rPr>
        <w:rFonts w:eastAsia="Calibri"/>
        <w:color w:val="6B6B6B"/>
        <w:sz w:val="16"/>
        <w:szCs w:val="16"/>
      </w:rPr>
      <w:instrText>PAGE</w:instrText>
    </w:r>
    <w:r>
      <w:rPr>
        <w:color w:val="6B6B6B"/>
        <w:sz w:val="16"/>
        <w:szCs w:val="16"/>
      </w:rPr>
      <w:fldChar w:fldCharType="separate"/>
    </w:r>
    <w:r w:rsidR="00C158DD">
      <w:rPr>
        <w:rFonts w:eastAsia="Calibri"/>
        <w:noProof/>
        <w:color w:val="6B6B6B"/>
        <w:sz w:val="16"/>
        <w:szCs w:val="16"/>
      </w:rPr>
      <w:t>1</w:t>
    </w:r>
    <w:r>
      <w:rPr>
        <w:color w:val="6B6B6B"/>
        <w:sz w:val="16"/>
        <w:szCs w:val="16"/>
      </w:rPr>
      <w:fldChar w:fldCharType="end"/>
    </w:r>
    <w:r>
      <w:rPr>
        <w:rFonts w:eastAsia="Calibri"/>
        <w:color w:val="6B6B6B"/>
        <w:sz w:val="16"/>
        <w:szCs w:val="16"/>
      </w:rPr>
      <w:t xml:space="preserve"> of </w:t>
    </w:r>
    <w:r>
      <w:rPr>
        <w:color w:val="6B6B6B"/>
        <w:sz w:val="16"/>
        <w:szCs w:val="16"/>
      </w:rPr>
      <w:fldChar w:fldCharType="begin"/>
    </w:r>
    <w:r>
      <w:rPr>
        <w:rFonts w:eastAsia="Calibri"/>
        <w:color w:val="6B6B6B"/>
        <w:sz w:val="16"/>
        <w:szCs w:val="16"/>
      </w:rPr>
      <w:instrText>NUMPAGES</w:instrText>
    </w:r>
    <w:r>
      <w:rPr>
        <w:color w:val="6B6B6B"/>
        <w:sz w:val="16"/>
        <w:szCs w:val="16"/>
      </w:rPr>
      <w:fldChar w:fldCharType="separate"/>
    </w:r>
    <w:r w:rsidR="00C158DD">
      <w:rPr>
        <w:rFonts w:eastAsia="Calibri"/>
        <w:noProof/>
        <w:color w:val="6B6B6B"/>
        <w:sz w:val="16"/>
        <w:szCs w:val="16"/>
      </w:rPr>
      <w:t>2</w:t>
    </w:r>
    <w:r>
      <w:rPr>
        <w:color w:val="6B6B6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39EBD32" w14:textId="77777777" w:rsidR="000A55CA" w:rsidRDefault="000A55CA">
      <w:r>
        <w:separator/>
      </w:r>
    </w:p>
  </w:footnote>
  <w:footnote w:type="continuationSeparator" w:id="0">
    <w:p w14:paraId="7660EA6E" w14:textId="77777777" w:rsidR="000A55CA" w:rsidRDefault="000A55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65D82B" w14:textId="77777777" w:rsidR="005C7CC5" w:rsidRDefault="00000000">
    <w:pPr>
      <w:jc w:val="right"/>
    </w:pPr>
    <w:r>
      <w:rPr>
        <w:rFonts w:eastAsia="Calibri"/>
        <w:color w:val="6B6B6B"/>
        <w:sz w:val="16"/>
        <w:szCs w:val="16"/>
      </w:rPr>
      <w:t>Research Briefing | Internal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E1136FE"/>
    <w:multiLevelType w:val="hybridMultilevel"/>
    <w:tmpl w:val="CD5CC706"/>
    <w:lvl w:ilvl="0" w:tplc="D0280DB8">
      <w:start w:val="1"/>
      <w:numFmt w:val="bullet"/>
      <w:lvlText w:val="●"/>
      <w:lvlJc w:val="left"/>
      <w:pPr>
        <w:ind w:left="356" w:hanging="356"/>
      </w:pPr>
      <w:rPr>
        <w:rFonts w:ascii="Calibri" w:eastAsia="Calibri" w:hAnsi="Calibri" w:cs="Calibri"/>
        <w:color w:val="222222"/>
        <w:sz w:val="20"/>
        <w:szCs w:val="20"/>
      </w:rPr>
    </w:lvl>
    <w:lvl w:ilvl="1" w:tplc="9B746232">
      <w:numFmt w:val="decimal"/>
      <w:lvlText w:val=""/>
      <w:lvlJc w:val="left"/>
    </w:lvl>
    <w:lvl w:ilvl="2" w:tplc="B59CD080">
      <w:numFmt w:val="decimal"/>
      <w:lvlText w:val=""/>
      <w:lvlJc w:val="left"/>
    </w:lvl>
    <w:lvl w:ilvl="3" w:tplc="459CE024">
      <w:numFmt w:val="decimal"/>
      <w:lvlText w:val=""/>
      <w:lvlJc w:val="left"/>
    </w:lvl>
    <w:lvl w:ilvl="4" w:tplc="8AF8C140">
      <w:numFmt w:val="decimal"/>
      <w:lvlText w:val=""/>
      <w:lvlJc w:val="left"/>
    </w:lvl>
    <w:lvl w:ilvl="5" w:tplc="53E039B8">
      <w:numFmt w:val="decimal"/>
      <w:lvlText w:val=""/>
      <w:lvlJc w:val="left"/>
    </w:lvl>
    <w:lvl w:ilvl="6" w:tplc="B982434E">
      <w:numFmt w:val="decimal"/>
      <w:lvlText w:val=""/>
      <w:lvlJc w:val="left"/>
    </w:lvl>
    <w:lvl w:ilvl="7" w:tplc="96444818">
      <w:numFmt w:val="decimal"/>
      <w:lvlText w:val=""/>
      <w:lvlJc w:val="left"/>
    </w:lvl>
    <w:lvl w:ilvl="8" w:tplc="51EC1EAE">
      <w:numFmt w:val="decimal"/>
      <w:lvlText w:val=""/>
      <w:lvlJc w:val="left"/>
    </w:lvl>
  </w:abstractNum>
  <w:abstractNum w:abstractNumId="1" w15:restartNumberingAfterBreak="0">
    <w:nsid w:val="4EE01F54"/>
    <w:multiLevelType w:val="hybridMultilevel"/>
    <w:tmpl w:val="0B0894F4"/>
    <w:lvl w:ilvl="0" w:tplc="D812C7FC">
      <w:start w:val="1"/>
      <w:numFmt w:val="bullet"/>
      <w:lvlText w:val="●"/>
      <w:lvlJc w:val="left"/>
      <w:pPr>
        <w:ind w:left="720" w:hanging="360"/>
      </w:pPr>
    </w:lvl>
    <w:lvl w:ilvl="1" w:tplc="C22EF0B4">
      <w:start w:val="1"/>
      <w:numFmt w:val="bullet"/>
      <w:lvlText w:val="○"/>
      <w:lvlJc w:val="left"/>
      <w:pPr>
        <w:ind w:left="1440" w:hanging="360"/>
      </w:pPr>
    </w:lvl>
    <w:lvl w:ilvl="2" w:tplc="BF9C4040">
      <w:start w:val="1"/>
      <w:numFmt w:val="bullet"/>
      <w:lvlText w:val="■"/>
      <w:lvlJc w:val="left"/>
      <w:pPr>
        <w:ind w:left="2160" w:hanging="360"/>
      </w:pPr>
    </w:lvl>
    <w:lvl w:ilvl="3" w:tplc="4F1EC27E">
      <w:start w:val="1"/>
      <w:numFmt w:val="bullet"/>
      <w:lvlText w:val="●"/>
      <w:lvlJc w:val="left"/>
      <w:pPr>
        <w:ind w:left="2880" w:hanging="360"/>
      </w:pPr>
    </w:lvl>
    <w:lvl w:ilvl="4" w:tplc="E0641076">
      <w:start w:val="1"/>
      <w:numFmt w:val="bullet"/>
      <w:lvlText w:val="○"/>
      <w:lvlJc w:val="left"/>
      <w:pPr>
        <w:ind w:left="3600" w:hanging="360"/>
      </w:pPr>
    </w:lvl>
    <w:lvl w:ilvl="5" w:tplc="C074BFAC">
      <w:start w:val="1"/>
      <w:numFmt w:val="bullet"/>
      <w:lvlText w:val="■"/>
      <w:lvlJc w:val="left"/>
      <w:pPr>
        <w:ind w:left="4320" w:hanging="360"/>
      </w:pPr>
    </w:lvl>
    <w:lvl w:ilvl="6" w:tplc="C512001C">
      <w:start w:val="1"/>
      <w:numFmt w:val="bullet"/>
      <w:lvlText w:val="●"/>
      <w:lvlJc w:val="left"/>
      <w:pPr>
        <w:ind w:left="5040" w:hanging="360"/>
      </w:pPr>
    </w:lvl>
    <w:lvl w:ilvl="7" w:tplc="ADFC12F4">
      <w:start w:val="1"/>
      <w:numFmt w:val="bullet"/>
      <w:lvlText w:val="●"/>
      <w:lvlJc w:val="left"/>
      <w:pPr>
        <w:ind w:left="5760" w:hanging="360"/>
      </w:pPr>
    </w:lvl>
    <w:lvl w:ilvl="8" w:tplc="92B8172E">
      <w:start w:val="1"/>
      <w:numFmt w:val="bullet"/>
      <w:lvlText w:val="●"/>
      <w:lvlJc w:val="left"/>
      <w:pPr>
        <w:ind w:left="6480" w:hanging="360"/>
      </w:pPr>
    </w:lvl>
  </w:abstractNum>
  <w:abstractNum w:abstractNumId="2">
    <w:nsid w:val="5A1C3E77"/>
    <w:multiLevelType w:val="hybridMultilevel"/>
    <w:tmpl w:val="7B2E4C10"/>
    <w:lvl w:ilvl="0">
      <w:start w:val="1"/>
      <w:numFmt w:val="decimal"/>
      <w:lvlText w:val="%1."/>
      <w:lvlJc w:val="left"/>
      <w:pPr>
        <w:ind w:left="356" w:hanging="356"/>
      </w:pPr>
      <w:rPr>
        <w:rFonts w:ascii="Calibri" w:eastAsia="Calibri" w:hAnsi="Calibri" w:cs="Calibri"/>
        <w:b/>
        <w:bCs/>
        <w:color w:val="00498F"/>
        <w:sz w:val="19"/>
        <w:szCs w:val="19"/>
      </w:rPr>
    </w:lvl>
    <w:lvl w:ilvl="1">
      <w:start w:val="1"/>
      <w:numFmt w:val="decimal"/>
      <w:lvlText w:val="%2."/>
      <w:lvlJc w:val="left"/>
      <w:pPr>
        <w:ind w:left="716" w:hanging="356"/>
      </w:pPr>
    </w:lvl>
    <w:lvl w:ilvl="2">
      <w:start w:val="1"/>
      <w:numFmt w:val="decimal"/>
      <w:lvlText w:val="%3."/>
      <w:lvlJc w:val="left"/>
      <w:pPr>
        <w:ind w:left="1076" w:hanging="356"/>
      </w:pPr>
    </w:lvl>
    <w:lvl w:ilvl="3">
      <w:start w:val="1"/>
      <w:numFmt w:val="decimal"/>
      <w:lvlText w:val="%4."/>
      <w:lvlJc w:val="left"/>
      <w:pPr>
        <w:ind w:left="1436" w:hanging="356"/>
      </w:pPr>
    </w:lvl>
    <w:lvl w:ilvl="4">
      <w:start w:val="1"/>
      <w:numFmt w:val="decimal"/>
      <w:lvlText w:val="%5."/>
      <w:lvlJc w:val="left"/>
      <w:pPr>
        <w:ind w:left="1796" w:hanging="356"/>
      </w:pPr>
    </w:lvl>
    <w:lvl w:ilvl="5">
      <w:start w:val="1"/>
      <w:numFmt w:val="decimal"/>
      <w:lvlText w:val="%6."/>
      <w:lvlJc w:val="left"/>
      <w:pPr>
        <w:ind w:left="2156" w:hanging="356"/>
      </w:pPr>
    </w:lvl>
    <w:lvl w:ilvl="6">
      <w:start w:val="1"/>
      <w:numFmt w:val="decimal"/>
      <w:lvlText w:val="%7."/>
      <w:lvlJc w:val="left"/>
      <w:pPr>
        <w:ind w:left="2516" w:hanging="356"/>
      </w:pPr>
    </w:lvl>
    <w:lvl w:ilvl="7">
      <w:start w:val="1"/>
      <w:numFmt w:val="decimal"/>
      <w:lvlText w:val="%8."/>
      <w:lvlJc w:val="left"/>
      <w:pPr>
        <w:ind w:left="2876" w:hanging="356"/>
      </w:pPr>
    </w:lvl>
    <w:lvl w:ilvl="8">
      <w:start w:val="1"/>
      <w:numFmt w:val="decimal"/>
      <w:lvlText w:val="%9."/>
      <w:lvlJc w:val="left"/>
      <w:pPr>
        <w:ind w:left="3236" w:hanging="356"/>
      </w:pPr>
    </w:lvl>
  </w:abstractNum>
  <w:num w:numId="1" w16cid:durableId="1318262813">
    <w:abstractNumId w:val="1"/>
    <w:lvlOverride w:ilvl="0">
      <w:startOverride w:val="1"/>
    </w:lvlOverride>
  </w:num>
  <w:num w:numId="2" w16cid:durableId="427392447">
    <w:abstractNumId w:val="0"/>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oNotDisplayPageBoundaries/>
  <w:displayBackgroundShape/>
  <w:bordersDoNotSurroundHeader/>
  <w:bordersDoNotSurroundFooter/>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7CC5"/>
    <w:rsid w:val="0005736B"/>
    <w:rsid w:val="000A55CA"/>
    <w:rsid w:val="001C20AB"/>
    <w:rsid w:val="005C7CC5"/>
    <w:rsid w:val="008F3ECF"/>
    <w:rsid w:val="00C158DD"/>
    <w:rsid w:val="00D40D2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18A9130C"/>
  <w15:docId w15:val="{F5C110E9-C2A9-4745-B459-7684602C2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heme="minorEastAsia" w:hAnsi="Calibri" w:cs="Calibri"/>
        <w:color w:val="222222"/>
        <w:sz w:val="19"/>
        <w:szCs w:val="19"/>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Gen1" Type="http://schemas.openxmlformats.org/officeDocument/2006/relationships/hyperlink" Target="https://asean.org/asean-china-joint-statement-on-facilitating-cooperation-in-building-a-sustainable-and-inclusive-digital-ecosystem" TargetMode="External"/><Relationship Id="rIdGen2" Type="http://schemas.openxmlformats.org/officeDocument/2006/relationships/hyperlink" Target="https://asean.org/secretary-general-of-asean-delivers-opening-remarks-at-the-inauguration-ceremony-of-the-asean-china-artificial-intelligence-industry-innovation-centre-in-beijing/" TargetMode="External"/><Relationship Id="rIdGen3" Type="http://schemas.openxmlformats.org/officeDocument/2006/relationships/hyperlink" Target="https://digitalpolicyalert.org/event/27928-asean-responsible-ai-roadmap-2025-2030-was-adopted" TargetMode="External"/><Relationship Id="rIdGen4" Type="http://schemas.openxmlformats.org/officeDocument/2006/relationships/hyperlink" Target="https://asean.org/wp-content/uploads/2026/01/ADOPTED-HANOI-DIGITAL-DECLARATION_14Jan2026-CLN.pdf" TargetMode="External"/><Relationship Id="rIdGen5" Type="http://schemas.openxmlformats.org/officeDocument/2006/relationships/hyperlink" Target="https://www.mfa.gov.cn/mfa_eng/wjbzhd/202409/t20240927_11498465.html" TargetMode="External"/><Relationship Id="rIdGen6" Type="http://schemas.openxmlformats.org/officeDocument/2006/relationships/hyperlink" Target="https://asean.org/asean-china-joint-statement-on-facilitating-cooperation-in-building-a-sustainable-and-inclusive-digital-ecosystem" TargetMode="External"/><Relationship Id="rIdGen7" Type="http://schemas.openxmlformats.org/officeDocument/2006/relationships/hyperlink" Target="https://asean.org/asean-china-joint-statement-on-promoting-the-development-of-smart-agriculture" TargetMode="External"/><Relationship Id="rIdGen8" Type="http://schemas.openxmlformats.org/officeDocument/2006/relationships/hyperlink" Target="https://asean.org/secretary-general-of-asean-delivers-opening-remarks-at-the-inauguration-ceremony-of-the-asean-china-artificial-intelligence-industry-innovation-centre-in-beijing/" TargetMode="External"/><Relationship Id="rIdGen9" Type="http://schemas.openxmlformats.org/officeDocument/2006/relationships/hyperlink" Target="https://asean.org/wp-content/uploads/2026/05/SG-Remarks-China-ASEAN-AI-Industry-Innovation-Center_As-Delivered-clean.pdf" TargetMode="External"/><Relationship Id="rIdGen10" Type="http://schemas.openxmlformats.org/officeDocument/2006/relationships/hyperlink" Target="https://asean.china-mission.gov.cn/eng/zgwj/202607/t20260725_11992108.htm" TargetMode="External"/><Relationship Id="rIdGen11" Type="http://schemas.openxmlformats.org/officeDocument/2006/relationships/hyperlink" Target="https://www.vietnam.vn/en/asean-trung-quoc-day-manh-hop-tac-chuyen-doi-so-ai" TargetMode="External"/><Relationship Id="rIdGen12" Type="http://schemas.openxmlformats.org/officeDocument/2006/relationships/hyperlink" Target="https://www.antaranews.com/berita/5669079/asean-china-kaji-kerja-sama-ai-di-2027" TargetMode="External"/><Relationship Id="rIdGen13" Type="http://schemas.openxmlformats.org/officeDocument/2006/relationships/hyperlink" Target="http://english.scio.gov.cn/m/internationalexchanges/2025-09/19/content_118122933.html" TargetMode="External"/><Relationship Id="rIdGen14" Type="http://schemas.openxmlformats.org/officeDocument/2006/relationships/hyperlink" Target="https://english.www.gov.cn/news/202509/18/content_WS68cbee82c6d00fa19f7a28b9.html" TargetMode="External"/><Relationship Id="rIdGen15" Type="http://schemas.openxmlformats.org/officeDocument/2006/relationships/hyperlink" Target="https://www.chinadaily.com.cn/a/202609/28/WS6ab9ce3fe4b06d4aa056080b.html" TargetMode="External"/><Relationship Id="rIdGen16" Type="http://schemas.openxmlformats.org/officeDocument/2006/relationships/hyperlink" Target="https://en.vietnamplus.vn/vietnam-seeks-to-build-safe-ai-future-with-china-asean-post352119.vnp" TargetMode="External"/><Relationship Id="rIdGen17" Type="http://schemas.openxmlformats.org/officeDocument/2006/relationships/hyperlink" Target="https://en.gmw.cn/2026-09/20/content_39010499.htm" TargetMode="External"/><Relationship Id="rIdGen18" Type="http://schemas.openxmlformats.org/officeDocument/2006/relationships/hyperlink" Target="http://www.china.org.cn/2026-09/18/content_118701794.shtml" TargetMode="External"/><Relationship Id="rIdGen19" Type="http://schemas.openxmlformats.org/officeDocument/2006/relationships/hyperlink" Target="https://www.manilatimes.net/2026/09/20/tmt-newswire/media-outreach-newswire/fourth-forum-on-china-asean-artificial-intelligence-cooperation-successfully-held-in-nanning-drawing-over-700-delegates/2428827" TargetMode="External"/><Relationship Id="rIdGen20" Type="http://schemas.openxmlformats.org/officeDocument/2006/relationships/hyperlink" Target="https://www.manilatimes.net/2026/08/03/tmt-newswire/pr-newswire/china-asean-education-cooperation-week-2026-unveils-major-initiatives/2396672" TargetMode="External"/><Relationship Id="rIdGen21" Type="http://schemas.openxmlformats.org/officeDocument/2006/relationships/hyperlink" Target="https://www.ecns.cn/m/cns-wire/2026-08-05/detail-ihfhziqh0062477.shtml" TargetMode="External"/><Relationship Id="rIdGen22" Type="http://schemas.openxmlformats.org/officeDocument/2006/relationships/hyperlink" Target="https://www.khmertimeskh.com/501900385/application-opens-for-china-asean-digital-academy-scholarships/" TargetMode="External"/><Relationship Id="rIdGen23" Type="http://schemas.openxmlformats.org/officeDocument/2006/relationships/hyperlink" Target="https://english.www.gov.cn/news/202510/29/content_WS6901698cc6d00ca5f9a0725b.html" TargetMode="External"/><Relationship Id="rIdGen24" Type="http://schemas.openxmlformats.org/officeDocument/2006/relationships/hyperlink" Target="https://www.nationthailand.com/business/trade/40069344" TargetMode="External"/><Relationship Id="rIdGen25" Type="http://schemas.openxmlformats.org/officeDocument/2006/relationships/hyperlink" Target="https://www.mofcom.gov.cn/cms_files/filemanager/policySummary/viewcore_072d185118aa4987a2dce1e6bb204a9e.html" TargetMode="External"/><Relationship Id="rIdGen26" Type="http://schemas.openxmlformats.org/officeDocument/2006/relationships/hyperlink" Target="https://www.mfa.gov.cn/mfa_eng/wjbzhd/202409/t20240927_11498465.html" TargetMode="External"/><Relationship Id="rIdGen27" Type="http://schemas.openxmlformats.org/officeDocument/2006/relationships/hyperlink" Target="https://www.mfa.gov.cn/eng/xw/zyxw/202507/t20250729_11679232.html" TargetMode="External"/><Relationship Id="rIdGen28" Type="http://schemas.openxmlformats.org/officeDocument/2006/relationships/hyperlink" Target="https://english.www.gov.cn/news/202607/17/content_WS6a59a5c3c6d00ca5f9a0c439.html" TargetMode="External"/><Relationship Id="rIdGen29" Type="http://schemas.openxmlformats.org/officeDocument/2006/relationships/hyperlink" Target="https://opengovasia.com/countries-establish-world-ai-cooperation-organization-in-shanghai/" TargetMode="External"/><Relationship Id="rIdGen30" Type="http://schemas.openxmlformats.org/officeDocument/2006/relationships/hyperlink" Target="https://www.iseas.edu.sg/articles-commentaries/iseas-perspective/2026-30-beijings-ai-governance-approach-and-its-outreach-to-southeast-asia-by-wang-zheng/" TargetMode="External"/><Relationship Id="rIdGen31" Type="http://schemas.openxmlformats.org/officeDocument/2006/relationships/hyperlink" Target="https://eastasiaforum.org/2026/07/03/asean-must-strike-a-balanced-ai-relationship-with-china/" TargetMode="External"/><Relationship Id="rIdGen32" Type="http://schemas.openxmlformats.org/officeDocument/2006/relationships/hyperlink" Target="https://thediplomat.com/2026/06/the-asean-china-ai-center-innovation-boost-or-agentic-disinformation-risk-for-southeast-asia/" TargetMode="External"/><Relationship Id="rIdGen33" Type="http://schemas.openxmlformats.org/officeDocument/2006/relationships/hyperlink" Target="https://www.iseas.edu.sg/media/event-highlights/ciis-iseas-joint-symposium-on-china-asean-ai-cooperation/" TargetMode="External"/><Relationship Id="rIdGen34" Type="http://schemas.openxmlformats.org/officeDocument/2006/relationships/hyperlink" Target="https://www.ciis.org.cn/english/ResearchOutcomes/PUBLICATIONS/202412/W020241208743034168427.pdf" TargetMode="External"/><Relationship Id="rIdGen35" Type="http://schemas.openxmlformats.org/officeDocument/2006/relationships/hyperlink" Target="https://asean.org/wp-content/uploads/2025/01/Expanded-ASEAN-Guide-on-AI-Governance-and-Ethics-Generative-AI.pdf" TargetMode="External"/><Relationship Id="rIdGen36" Type="http://schemas.openxmlformats.org/officeDocument/2006/relationships/hyperlink" Target="https://digitalpolicyalert.org/event/27928-asean-responsible-ai-roadmap-2025-2030-was-adopted" TargetMode="External"/><Relationship Id="rIdGen37" Type="http://schemas.openxmlformats.org/officeDocument/2006/relationships/hyperlink" Target="https://asean.org/wp-content/uploads/2026/01/ADOPTED-HANOI-DIGITAL-DECLARATION_14Jan2026-CLN.pdf" TargetMode="External"/><Relationship Id="rIdGen38" Type="http://schemas.openxmlformats.org/officeDocument/2006/relationships/hyperlink" Target="https://digitalpolicyalert.org/change/17016-declaration-on-the-establishment-of-an-asean-ai-safety-network-asean-ai-safe" TargetMode="External"/><Relationship Id="rIdGen39" Type="http://schemas.openxmlformats.org/officeDocument/2006/relationships/hyperlink" Target="https://en.vietnamplus.vn/asean-ai-safety-network-to-be-based-in-malaysia-post336266.vnp" TargetMode="External"/><Relationship Id="rIdGen40" Type="http://schemas.openxmlformats.org/officeDocument/2006/relationships/hyperlink" Target="https://aclanthology.org/2025.ijcnlp-long.30/" TargetMode="External"/><Relationship Id="rIdGen41" Type="http://schemas.openxmlformats.org/officeDocument/2006/relationships/hyperlink" Target="https://aseanfoundation.org/wp-content/uploads/2026/08/AI-Ready-ASEAN-Research_spread-version-1.pdf" TargetMode="External"/><Relationship Id="rIdGen42" Type="http://schemas.openxmlformats.org/officeDocument/2006/relationships/hyperlink" Target="https://asean.org/wp-content/uploads/2026/08/2026_AF_ASEAN-Digital-Outlook_05-August-26.pdf" TargetMode="External"/><Relationship Id="rIdGen43" Type="http://schemas.openxmlformats.org/officeDocument/2006/relationships/hyperlink" Target="https://www.philstar.com/business/biz-memos/2026/02/19/2508860/asean-foundation-launches-asean-digital-outlook-and-first-look-ai-readiness-research" TargetMode="External"/><Relationship Id="rIdGen44" Type="http://schemas.openxmlformats.org/officeDocument/2006/relationships/hyperlink" Target="https://technode.global/2026/10/05/singapores-digital-economy-reaches-19-3-of-gdp-as-ai-adoption-deepens-imda/" TargetMode="External"/><Relationship Id="rIdGen45" Type="http://schemas.openxmlformats.org/officeDocument/2006/relationships/hyperlink" Target="https://ambon.antaranews.com/berita/335501/menteri-umkm-lebih-dari-90-persen-umkm-belum-manfaatkan-ai" TargetMode="External"/><Relationship Id="rIdGen46" Type="http://schemas.openxmlformats.org/officeDocument/2006/relationships/hyperlink" Target="https://www.prnewswire.com/apac/news-releases/three-in-four-southeast-asian-ecommerce-sellers-require-additional-support-in-their-ai-adoption-lazada-report-reveals-302422986.html" TargetMode="External"/><Relationship Id="rIdGen47" Type="http://schemas.openxmlformats.org/officeDocument/2006/relationships/hyperlink" Target="https://www.eria.org/research/harnessing-ai-for-asean-s-future--governance--adoption--and-sustainability-under-the-defa" TargetMode="External"/><Relationship Id="rIdGen48" Type="http://schemas.openxmlformats.org/officeDocument/2006/relationships/hyperlink" Target="https://asean.org/our-communities/economic-community/resilient-and-inclusive-asean/development-of-micro-small-and-medium-enterprises-in-asean-msme/overview" TargetMode="External"/><Relationship Id="rIdGen49" Type="http://schemas.openxmlformats.org/officeDocument/2006/relationships/hyperlink" Target="https://www.eco-business.com/id/news/asean-private-sector-seeks-stronger-ai-upskilling-amid-surge-in-scams/" TargetMode="External"/><Relationship Id="rIdGen50" Type="http://schemas.openxmlformats.org/officeDocument/2006/relationships/hyperlink" Target="https://www.oecd.org/en/publications/empowering-smes-in-the-age-of-ai_bf5a9816-en.html" TargetMode="External"/><Relationship Id="rIdGen51" Type="http://schemas.openxmlformats.org/officeDocument/2006/relationships/hyperlink" Target="https://aseanfoundation.org/programme/ai_ready_asean/" TargetMode="External"/><Relationship Id="rIdGen52" Type="http://schemas.openxmlformats.org/officeDocument/2006/relationships/hyperlink" Target="https://aseanfoundation.org/?p=6964" TargetMode="External"/><Relationship Id="rIdGen53" Type="http://schemas.openxmlformats.org/officeDocument/2006/relationships/hyperlink" Target="https://www.mindanaotimes.com.ph/asean-foundation-announces-ai-ready-asean-powered-by-ai-opportunity-fund-asia-pacific-with-som-ed-endorsement-to-equip-more-than-1-7-million-students-with-practical-ai-skills/" TargetMode="External"/><Relationship Id="rIdGen54" Type="http://schemas.openxmlformats.org/officeDocument/2006/relationships/hyperlink" Target="https://avpn.asia/about/press/ai-opportunity-fund-expands-skilling-infrastructure-apac/" TargetMode="External"/><Relationship Id="rIdGen55" Type="http://schemas.openxmlformats.org/officeDocument/2006/relationships/hyperlink" Target="https://aseanfoundation.org/programme/aim-asean/" TargetMode="External"/><Relationship Id="rIdGen56" Type="http://schemas.openxmlformats.org/officeDocument/2006/relationships/hyperlink" Target="https://avpn.asia/about/press/helping-small-businesses-southeast-asia-tap-ai/" TargetMode="External"/><Relationship Id="rIdGen57" Type="http://schemas.openxmlformats.org/officeDocument/2006/relationships/hyperlink" Target="https://www.prnewswire.com/apac/news-releases/aim-asean-singapore-2026-brings-singapores-business-and-ai-ecosystems-together-to-advance-sme-ai-adoption-302879949.html" TargetMode="External"/><Relationship Id="rIdGen58" Type="http://schemas.openxmlformats.org/officeDocument/2006/relationships/hyperlink" Target="https://lestari.kompas.com/read/2026/07/10/084655886/kesenjangan-literasi-digital-masih-jadi-hambatan-umkm-adopsi-ai" TargetMode="External"/><Relationship Id="rIdGen59" Type="http://schemas.openxmlformats.org/officeDocument/2006/relationships/hyperlink" Target="https://limitlesslab.org/programs/aim-asean" TargetMode="External"/><Relationship Id="rIdGen60" Type="http://schemas.openxmlformats.org/officeDocument/2006/relationships/hyperlink" Target="https://dict.gov.ph/news-and-updates/25520" TargetMode="External"/><Relationship Id="rIdGen61" Type="http://schemas.openxmlformats.org/officeDocument/2006/relationships/hyperlink" Target="https://ada.aseanfoundation.org/about" TargetMode="External"/><Relationship Id="rIdGen62" Type="http://schemas.openxmlformats.org/officeDocument/2006/relationships/hyperlink" Target="https://www.telecomreviewasia.com/news/industry-news/2554-huawei-and-asean-foundation-partner-to-bridge-digital-talent-gap-in-asia-pacific/" TargetMode="External"/><Relationship Id="rIdGen63" Type="http://schemas.openxmlformats.org/officeDocument/2006/relationships/hyperlink" Target="https://www.aseanrokfund.com/our-works/project-korea-asean-digital-academy" TargetMode="External"/><Relationship Id="rIdGen64" Type="http://schemas.openxmlformats.org/officeDocument/2006/relationships/hyperlink" Target="https://www.intelligentcio.com/apac/2025/03/27/huawei-offers-tech4all-to-bridge-digital-divide/"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1263</Words>
  <Characters>7203</Characters>
  <Application>Microsoft Office Word</Application>
  <DocSecurity>0</DocSecurity>
  <Lines>60</Lines>
  <Paragraphs>16</Paragraphs>
  <ScaleCrop>false</ScaleCrop>
  <Company/>
  <LinksUpToDate>false</LinksUpToDate>
  <CharactersWithSpaces>8450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Lee Seongjae</cp:lastModifiedBy>
  <cp:revision>3</cp:revision>
  <dcterms:created xsi:type="dcterms:W3CDTF">2026-08-12T08:05:00Z</dcterms:created>
  <dcterms:modified xsi:type="dcterms:W3CDTF">2026-10-14T14:30:22Z</dcterms:modified>
  <dc:title>Research Briefing: ASEAN–China AI Cooperation: Where the ASEAN Foundation Can Contribute</dc:title>
</cp:coreProperties>
</file>