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5000"/>
        <w:gridCol w:w="4740"/>
      </w:tblGrid>
      <w:tr w:rsidR="005C7CC5" w14:paraId="68A00669" w14:textId="77777777">
        <w:tc>
          <w:tcPr>
            <w:tcW w:w="5000" w:type="dxa"/>
            <w:vAlign w:val="bottom"/>
          </w:tcPr>
          <w:p w14:paraId="6C2DB77E" w14:textId="77777777" w:rsidR="005C7CC5" w:rsidRDefault="00000000">
            <w:r>
              <w:rPr>
                <w:noProof/>
              </w:rPr>
              <w:drawing>
                <wp:inline distT="0" distB="0" distL="0" distR="0" wp14:anchorId="13065488" wp14:editId="74E5992E">
                  <wp:extent cx="1066800" cy="40957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66800" cy="409575"/>
                          </a:xfrm>
                          <a:prstGeom prst="rect">
                            <a:avLst/>
                          </a:prstGeom>
                        </pic:spPr>
                      </pic:pic>
                    </a:graphicData>
                  </a:graphic>
                </wp:inline>
              </w:drawing>
            </w:r>
          </w:p>
        </w:tc>
        <w:tc>
          <w:tcPr>
            <w:tcW w:w="4740" w:type="dxa"/>
            <w:vAlign w:val="bottom"/>
          </w:tcPr>
          <w:p w14:paraId="30E552A3" w14:textId="74700D2E" w:rsidR="005C7CC5" w:rsidRDefault="005C7CC5">
            <w:pPr>
              <w:jc w:val="right"/>
            </w:pPr>
          </w:p>
        </w:tc>
      </w:tr>
    </w:tbl>
    <w:p w14:paraId="5E22EA1F" w14:textId="77777777" w:rsidR="005C7CC5" w:rsidRDefault="005C7CC5">
      <w:pPr>
        <w:pBdr>
          <w:bottom w:val="single" w:sz="8" w:space="1" w:color="00498F"/>
        </w:pBdr>
        <w:spacing w:before="120" w:after="60" w:line="20" w:lineRule="exact"/>
      </w:pPr>
    </w:p>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top w:w="260" w:type="dxa"/>
          <w:left w:w="260" w:type="dxa"/>
          <w:bottom w:w="260" w:type="dxa"/>
          <w:right w:w="260" w:type="dxa"/>
        </w:tblCellMar>
        <w:tblLook w:val="04A0" w:firstRow="1" w:lastRow="0" w:firstColumn="1" w:lastColumn="0" w:noHBand="0" w:noVBand="1"/>
      </w:tblPr>
      <w:tblGrid>
        <w:gridCol w:w="9740"/>
      </w:tblGrid>
      <w:tr w:rsidR="005C7CC5" w14:paraId="3D6766BB" w14:textId="77777777">
        <w:tc>
          <w:tcPr>
            <w:tcW w:w="9740" w:type="dxa"/>
            <w:shd w:val="clear" w:color="auto" w:fill="00498F"/>
          </w:tcPr>
          <w:p w14:paraId="7C7C8A63" w14:textId="77777777" w:rsidR="005C7CC5" w:rsidRDefault="00000000">
            <w:pPr>
              <w:spacing w:after="60" w:line="300" w:lineRule="auto"/>
            </w:pPr>
            <w:r>
              <w:rPr>
                <w:rFonts w:eastAsia="Calibri"/>
                <w:b/>
                <w:bCs/>
                <w:color w:val="FFFFFF"/>
                <w:sz w:val="34"/>
                <w:szCs w:val="34"/>
              </w:rPr>
              <w:t>Research Briefing</w:t>
            </w:r>
          </w:p>
          <w:p w14:paraId="50D60414" w14:textId="77777777" w:rsidR="005C7CC5" w:rsidRDefault="00000000">
            <w:pPr>
              <w:spacing w:line="260" w:lineRule="auto"/>
            </w:pPr>
            <w:r>
              <w:rPr>
                <w:rFonts w:eastAsia="Calibri"/>
                <w:color w:val="A8CBEA"/>
              </w:rPr>
              <w:t>ASEAN–China AI Cooperation: Where the ASEAN Foundation Can Contribute</w:t>
            </w:r>
          </w:p>
        </w:tc>
      </w:tr>
    </w:tbl>
    <w:p w14:paraId="42DCEA40" w14:textId="77777777" w:rsidR="005C7CC5" w:rsidRDefault="005C7CC5">
      <w:pPr>
        <w:spacing w:after="240"/>
      </w:pP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CellMar>
          <w:top w:w="90" w:type="dxa"/>
          <w:left w:w="106" w:type="dxa"/>
          <w:bottom w:w="90" w:type="dxa"/>
          <w:right w:w="106" w:type="dxa"/>
        </w:tblCellMar>
        <w:tblLook w:val="04A0" w:firstRow="1" w:lastRow="0" w:firstColumn="1" w:lastColumn="0" w:noHBand="0" w:noVBand="1"/>
      </w:tblPr>
      <w:tblGrid>
        <w:gridCol w:w="2392"/>
        <w:gridCol w:w="7348"/>
      </w:tblGrid>
      <w:tr>
        <w:trPr>
          <w:cantSplit/>
        </w:trPr>
        <w:tc>
          <w:tcPr>
            <w:tcW w:w="2392" w:type="dxa"/>
            <w:shd w:val="clear" w:color="auto" w:fill="EAF1F8"/>
          </w:tcPr>
          <w:p>
            <w:pPr>
              <w:spacing w:line="276" w:lineRule="auto"/>
            </w:pPr>
            <w:r>
              <w:rPr>
                <w:rFonts w:eastAsia="Calibri"/>
                <w:b/>
                <w:bCs/>
              </w:rPr>
              <w:t>Subject</w:t>
            </w:r>
          </w:p>
        </w:tc>
        <w:tc>
          <w:tcPr>
            <w:tcW w:w="7348" w:type="dxa"/>
          </w:tcPr>
          <w:p>
            <w:pPr>
              <w:spacing w:line="276" w:lineRule="auto"/>
            </w:pPr>
            <w:r>
              <w:rPr>
                <w:rFonts w:eastAsia="Calibri"/>
              </w:rPr>
              <w:t>ASEAN–China AI cooperation, by AI layer, and where the ASEAN Foundation’s AI programmes (AI Ready ASEAN and AIM ASEAN) can contribute</w:t>
            </w:r>
          </w:p>
        </w:tc>
      </w:tr>
      <w:tr>
        <w:trPr>
          <w:cantSplit/>
        </w:trPr>
        <w:tc>
          <w:tcPr>
            <w:tcW w:w="2392" w:type="dxa"/>
            <w:shd w:val="clear" w:color="auto" w:fill="EAF1F8"/>
          </w:tcPr>
          <w:p>
            <w:pPr>
              <w:spacing w:line="276" w:lineRule="auto"/>
            </w:pPr>
            <w:r>
              <w:rPr>
                <w:rFonts w:eastAsia="Calibri"/>
                <w:b/>
                <w:bCs/>
              </w:rPr>
              <w:t>Purpose</w:t>
            </w:r>
          </w:p>
        </w:tc>
        <w:tc>
          <w:tcPr>
            <w:tcW w:w="7348" w:type="dxa"/>
          </w:tcPr>
          <w:p>
            <w:pPr>
              <w:spacing w:line="276" w:lineRule="auto"/>
            </w:pPr>
            <w:r>
              <w:rPr>
                <w:rFonts w:eastAsia="Calibri"/>
              </w:rPr>
              <w:t>Background for the ASEAN Foundation’s mission to China in October 2026, and the basis for the talking points for the CIIS roundtable</w:t>
            </w:r>
          </w:p>
        </w:tc>
      </w:tr>
      <w:tr>
        <w:trPr>
          <w:cantSplit/>
        </w:trPr>
        <w:tc>
          <w:tcPr>
            <w:tcW w:w="2392" w:type="dxa"/>
            <w:shd w:val="clear" w:color="auto" w:fill="EAF1F8"/>
          </w:tcPr>
          <w:p>
            <w:pPr>
              <w:spacing w:line="276" w:lineRule="auto"/>
            </w:pPr>
            <w:r>
              <w:rPr>
                <w:rFonts w:eastAsia="Calibri"/>
                <w:b/>
                <w:bCs/>
              </w:rPr>
              <w:t>Date</w:t>
            </w:r>
          </w:p>
        </w:tc>
        <w:tc>
          <w:tcPr>
            <w:tcW w:w="7348" w:type="dxa"/>
          </w:tcPr>
          <w:p>
            <w:pPr>
              <w:spacing w:line="276" w:lineRule="auto"/>
            </w:pPr>
            <w:r>
              <w:rPr>
                <w:rFonts w:eastAsia="Calibri"/>
              </w:rPr>
              <w:t>14 October 2026</w:t>
            </w:r>
          </w:p>
        </w:tc>
      </w:tr>
      <w:tr>
        <w:trPr>
          <w:cantSplit/>
        </w:trPr>
        <w:tc>
          <w:tcPr>
            <w:tcW w:w="2392" w:type="dxa"/>
            <w:shd w:val="clear" w:color="auto" w:fill="EAF1F8"/>
          </w:tcPr>
          <w:p>
            <w:pPr>
              <w:spacing w:line="276" w:lineRule="auto"/>
            </w:pPr>
            <w:r>
              <w:rPr>
                <w:rFonts w:eastAsia="Calibri"/>
                <w:b/>
                <w:bCs/>
              </w:rPr>
              <w:t>Sources</w:t>
            </w:r>
          </w:p>
        </w:tc>
        <w:tc>
          <w:tcPr>
            <w:tcW w:w="7348" w:type="dxa"/>
          </w:tcPr>
          <w:p>
            <w:pPr>
              <w:spacing w:line="276" w:lineRule="auto"/>
            </w:pPr>
            <w:r>
              <w:rPr>
                <w:rFonts w:eastAsia="Calibri"/>
              </w:rPr>
              <w:t>Official documents, press releases and media reports published up to 14 October 2026, and the local implementing partner’s two internal reports on the Singapore National Policy Convening</w:t>
            </w:r>
          </w:p>
        </w:tc>
      </w:tr>
    </w:tbl>
    <w:p>
      <w:pPr>
        <w:keepNext/>
        <w:spacing w:before="240" w:after="160" w:line="300" w:lineRule="auto"/>
      </w:pPr>
      <w:r>
        <w:rPr>
          <w:rFonts w:eastAsia="Calibri"/>
          <w:b/>
          <w:bCs/>
          <w:color w:val="00498F"/>
          <w:sz w:val="26"/>
          <w:szCs w:val="26"/>
        </w:rPr>
        <w:t>Summary</w:t>
      </w:r>
    </w:p>
    <w:p>
      <w:pPr>
        <w:spacing w:after="120" w:line="336" w:lineRule="auto"/>
        <w:jc w:val="both"/>
      </w:pPr>
      <w:r>
        <w:rPr>
          <w:rFonts w:eastAsia="Calibri"/>
          <w:b/>
          <w:bCs/>
        </w:rPr>
        <w:t>Recommendation</w:t>
      </w:r>
      <w:r>
        <w:rPr>
          <w:rFonts w:eastAsia="Calibri"/>
        </w:rPr>
        <w:t xml:space="preserve">: The ASEAN Foundation's place in ASEAN–China AI cooperation lies in the capabilities of 'people and businesses that use AI', and above all in </w:t>
      </w:r>
      <w:r>
        <w:rPr>
          <w:rFonts w:eastAsia="Calibri"/>
          <w:b/>
          <w:bCs/>
        </w:rPr>
        <w:t>the stage at which completed training translates into actual use</w:t>
      </w:r>
      <w:r>
        <w:rPr>
          <w:rFonts w:eastAsia="Calibri"/>
        </w:rPr>
        <w:t>. The MSME track is the first priority for this visit. The Foundation should open with the CIIS roundtable remarks (A3) and put forward, as the direction of its contribution, the three points that the Singapore local implementing partner (LIP) set out in the key summaries of its final report: linking training to implementation, building AI-bilingual teams, and measuring responsible use and business outcomes. The teacher track (C1) is structurally important but remains a conditional task, to be pursued after confirming whether China's Smart Education includes teachers and reporting to SOM-ED.</w:t>
      </w:r>
    </w:p>
    <w:p>
      <w:pPr>
        <w:pStyle w:val="a4"/>
        <w:numPr>
          <w:ilvl w:val="0"/>
          <w:numId w:val="3"/>
        </w:numPr>
        <w:spacing w:after="60" w:line="336" w:lineRule="auto"/>
        <w:jc w:val="both"/>
      </w:pPr>
      <w:r>
        <w:rPr>
          <w:rFonts w:eastAsia="Calibri"/>
          <w:b/>
          <w:bCs/>
        </w:rPr>
        <w:t>ASEAN–China AI cooperation has broadened to cover almost every AI layer.</w:t>
      </w:r>
      <w:r>
        <w:rPr>
          <w:rFonts w:eastAsia="Calibri"/>
        </w:rPr>
        <w:t xml:space="preserve"> It now spans governance (the ministerial roundtable on AI and the September 2026 initiative on AI ethics and safety cooperation for ASEAN), industrial application (the China–ASEAN AI Industry Innovation Centre (Beijing), the China–ASEAN AI Application Cooperation Centre (Nanning) and a casebook of 31 cases), talent (the Ministry of Science and Technology's three-year plan and training at the Innovation Centre; ASEAN's share of the 5,000 AI training sessions and seminars China has offered to developing countries as a whole is not confirmed) and language and data (the Lao national language model and the ASEAN AI open-source community). The talent programmes, however, are presented only in terms of numbers and target groups; how use after training is supported and measured has not been made public.</w:t>
      </w:r>
    </w:p>
    <w:p>
      <w:pPr>
        <w:pStyle w:val="a4"/>
        <w:numPr>
          <w:ilvl w:val="0"/>
          <w:numId w:val="3"/>
        </w:numPr>
        <w:spacing w:after="60" w:line="336" w:lineRule="auto"/>
        <w:jc w:val="both"/>
      </w:pPr>
      <w:r>
        <w:rPr>
          <w:rFonts w:eastAsia="Calibri"/>
          <w:b/>
          <w:bCs/>
        </w:rPr>
        <w:t>The gaps are 'the layer of AI users' and the stage 'after training'.</w:t>
      </w:r>
      <w:r>
        <w:rPr>
          <w:rFonts w:eastAsia="Calibri"/>
        </w:rPr>
        <w:t xml:space="preserve"> For teachers, citizens and MSMEs, there is only AI education offered by Chinese companies and platforms, together with Smart Education, whose target groups have not been disclosed; no ASEAN-led, technology-neutral AI capability programme is linked to the cooperation. Among students, 72.4 per cent have never taken an AI course; among educators, 70.5 per cent. The Singapore Convening found that even in Singapore, with its robust policy and support environment, support tends to break off between awareness, experimentation, implementation and scaling. Separately, IMDA figures put Singapore's 2025 AI adoption rate at 23.4 per cent for SMEs and 70.4 per cent for other firms (the Convening did not address adoption rates by firm size).</w:t>
      </w:r>
    </w:p>
    <w:p>
      <w:pPr>
        <w:pStyle w:val="a4"/>
        <w:numPr>
          <w:ilvl w:val="0"/>
          <w:numId w:val="3"/>
        </w:numPr>
        <w:spacing w:after="120" w:line="336" w:lineRule="auto"/>
        <w:jc w:val="both"/>
      </w:pPr>
      <w:r>
        <w:rPr>
          <w:rFonts w:eastAsia="Calibri"/>
          <w:b/>
          <w:bCs/>
        </w:rPr>
        <w:t>The Foundation has assets for this stage, and a partner's recommendations set out the role it would play (subject to agreement).</w:t>
      </w:r>
      <w:r>
        <w:rPr>
          <w:rFonts w:eastAsia="Calibri"/>
        </w:rPr>
        <w:t xml:space="preserve"> The assets are a delivery network (more than 3,000 Master Trainers and local partners) and an evidence base (the AI readiness research and the Convening records); the role is the one the Singapore partner recommended to the Foundation (a common 'pathway after training' that local partners adapt and apply, common outcome indicators and regional case exchange). The most persuasive argument pairs supply-side AI safety measures, such as model testing, with a demand-side measure: users' capability to use AI responsibly in their everyday decisions.</w:t>
      </w:r>
    </w:p>
    <w:p>
      <w:pPr>
        <w:spacing w:after="120" w:line="336" w:lineRule="auto"/>
        <w:jc w:val="both"/>
      </w:pPr>
      <w:r>
        <w:rPr>
          <w:rFonts w:eastAsia="Calibri"/>
          <w:b/>
          <w:bCs/>
        </w:rPr>
        <w:t>The preconditions</w:t>
      </w:r>
      <w:r>
        <w:rPr>
          <w:rFonts w:eastAsia="Calibri"/>
        </w:rPr>
        <w:t xml:space="preserve"> are confirmation of what the funders (Google.org, AVPN and ADB) will allow; an explicit statement of the principles of ASEAN ownership, working through member states, openness and technology neutrality; and agreement on the Foundation's role in the Singapore follow-up work, both internally and with the LIP and partners. </w:t>
      </w:r>
      <w:r>
        <w:rPr>
          <w:rFonts w:eastAsia="Calibri"/>
          <w:b/>
          <w:bCs/>
        </w:rPr>
        <w:t>The next decision point</w:t>
      </w:r>
      <w:r>
        <w:rPr>
          <w:rFonts w:eastAsia="Calibri"/>
        </w:rPr>
        <w:t xml:space="preserve"> is the Manila Summit in November 2026. At stake are the possible adoption of the 2027 ASEAN–China Year of AI Cooperation and the leaders' declaration on AI-driven MSME growth being pursued by the Philippines as ASEAN Chair.</w:t>
      </w:r>
    </w:p>
    <w:p>
      <w:pPr>
        <w:keepNext/>
        <w:spacing w:before="240" w:after="160" w:line="300" w:lineRule="auto"/>
      </w:pPr>
      <w:r>
        <w:rPr>
          <w:rFonts w:eastAsia="Calibri"/>
          <w:b/>
          <w:bCs/>
          <w:color w:val="00498F"/>
          <w:sz w:val="26"/>
          <w:szCs w:val="26"/>
        </w:rPr>
        <w:t>1. Purpose and Scope</w:t>
      </w:r>
    </w:p>
    <w:p>
      <w:pPr>
        <w:spacing w:after="120" w:line="336" w:lineRule="auto"/>
        <w:jc w:val="both"/>
      </w:pPr>
      <w:r>
        <w:rPr>
          <w:rFonts w:eastAsia="Calibri"/>
        </w:rPr>
        <w:t>This paper maps ASEAN–China AI cooperation by AI layer and examines where, by what route and under what conditions the ASEAN Foundation's AI programmes (AI Ready ASEAN and AIM ASEAN) can contribute.</w:t>
      </w:r>
    </w:p>
    <w:p>
      <w:pPr>
        <w:pStyle w:val="a4"/>
        <w:numPr>
          <w:ilvl w:val="0"/>
          <w:numId w:val="2"/>
        </w:numPr>
        <w:spacing w:after="60" w:line="336" w:lineRule="auto"/>
        <w:jc w:val="both"/>
      </w:pPr>
      <w:r>
        <w:rPr>
          <w:rFonts w:eastAsia="Calibri"/>
          <w:b/>
          <w:bCs/>
        </w:rPr>
        <w:t>Key questions</w:t>
      </w:r>
      <w:r>
        <w:rPr>
          <w:rFonts w:eastAsia="Calibri"/>
        </w:rPr>
        <w:t>: (1) How far has ASEAN–China AI cooperation progressed, and at which layers? (2) Does the cooperation address the capabilities of people and businesses that use AI, and particularly use after training? (3) Which of the Foundation's AI assets can it offer, and on what conditions?</w:t>
      </w:r>
    </w:p>
    <w:p>
      <w:pPr>
        <w:pStyle w:val="a4"/>
        <w:numPr>
          <w:ilvl w:val="0"/>
          <w:numId w:val="2"/>
        </w:numPr>
        <w:spacing w:after="60" w:line="336" w:lineRule="auto"/>
        <w:jc w:val="both"/>
      </w:pPr>
      <w:r>
        <w:rPr>
          <w:rFonts w:eastAsia="Calibri"/>
          <w:b/>
          <w:bCs/>
        </w:rPr>
        <w:t>Scope</w:t>
      </w:r>
      <w:r>
        <w:rPr>
          <w:rFonts w:eastAsia="Calibri"/>
        </w:rPr>
        <w:t>: The paper covers only agreements, institutions and programmes directly related to AI. Trade (ACFTA 3.0) and general digital and education cooperation are mentioned only insofar as they concern AI.</w:t>
      </w:r>
    </w:p>
    <w:p>
      <w:pPr>
        <w:pStyle w:val="a4"/>
        <w:numPr>
          <w:ilvl w:val="0"/>
          <w:numId w:val="2"/>
        </w:numPr>
        <w:spacing w:after="60" w:line="336" w:lineRule="auto"/>
        <w:jc w:val="both"/>
      </w:pPr>
      <w:r>
        <w:rPr>
          <w:rFonts w:eastAsia="Calibri"/>
          <w:b/>
          <w:bCs/>
        </w:rPr>
        <w:t>Sources</w:t>
      </w:r>
      <w:r>
        <w:rPr>
          <w:rFonts w:eastAsia="Calibri"/>
        </w:rPr>
        <w:t>: Official documents, press releases and media reports published up to 14 October 2026, supplemented by two internal reports from the local implementing partner of the Singapore National Policy Convening (review notes and the final report). The extent to which the internal reports may be disclosed is to be confirmed before they are cited externally. Closed-door consultations are not reflected.</w:t>
      </w:r>
    </w:p>
    <w:p>
      <w:pPr>
        <w:pStyle w:val="a4"/>
        <w:numPr>
          <w:ilvl w:val="0"/>
          <w:numId w:val="2"/>
        </w:numPr>
        <w:spacing w:after="60" w:line="336" w:lineRule="auto"/>
        <w:jc w:val="both"/>
      </w:pPr>
      <w:r>
        <w:rPr>
          <w:rFonts w:eastAsia="Calibri"/>
          <w:b/>
          <w:bCs/>
        </w:rPr>
        <w:t>Limits of assessment</w:t>
      </w:r>
      <w:r>
        <w:rPr>
          <w:rFonts w:eastAsia="Calibri"/>
        </w:rPr>
        <w:t>: In the text, "not confirmed" means "not found in public sources"; it does not prove absence.</w:t>
      </w:r>
    </w:p>
    <w:p>
      <w:pPr>
        <w:pStyle w:val="a4"/>
        <w:numPr>
          <w:ilvl w:val="0"/>
          <w:numId w:val="2"/>
        </w:numPr>
        <w:spacing w:after="120" w:line="336" w:lineRule="auto"/>
        <w:jc w:val="both"/>
      </w:pPr>
      <w:r>
        <w:rPr>
          <w:rFonts w:eastAsia="Calibri"/>
          <w:b/>
          <w:bCs/>
        </w:rPr>
        <w:t>Notation</w:t>
      </w:r>
      <w:r>
        <w:rPr>
          <w:rFonts w:eastAsia="Calibri"/>
        </w:rPr>
        <w:t xml:space="preserve">: Confirmed facts are distinguished from interpretation. Interpretations are marked </w:t>
      </w:r>
      <w:r>
        <w:rPr>
          <w:rFonts w:eastAsia="Calibri"/>
          <w:b/>
          <w:bCs/>
          <w:color w:val="0F63A8"/>
        </w:rPr>
        <w:t>[Assessment]</w:t>
      </w:r>
      <w:r>
        <w:rPr>
          <w:rFonts w:eastAsia="Calibri"/>
        </w:rPr>
        <w:t>, and anything that could not be established from sources is identified as such in the text.</w:t>
      </w:r>
    </w:p>
    <w:p>
      <w:pPr>
        <w:spacing w:after="120" w:line="336" w:lineRule="auto"/>
        <w:jc w:val="both"/>
      </w:pPr>
      <w:r>
        <w:rPr>
          <w:rFonts w:eastAsia="Calibri"/>
        </w:rPr>
        <w:t>This paper is background material for the ASEAN Foundation's mission to China in October 2026 and provides the rationale for the CIIS roundtable talking points (a separate document).</w:t>
      </w:r>
    </w:p>
    <w:p>
      <w:pPr>
        <w:keepNext/>
        <w:spacing w:before="240" w:after="160" w:line="300" w:lineRule="auto"/>
      </w:pPr>
      <w:r>
        <w:rPr>
          <w:rFonts w:eastAsia="Calibri"/>
          <w:b/>
          <w:bCs/>
          <w:color w:val="00498F"/>
          <w:sz w:val="26"/>
          <w:szCs w:val="26"/>
        </w:rPr>
        <w:t>2. The ASEAN Foundation's AI Programmes</w:t>
      </w:r>
    </w:p>
    <w:p>
      <w:pPr>
        <w:spacing w:after="120" w:line="336" w:lineRule="auto"/>
        <w:jc w:val="both"/>
      </w:pPr>
      <w:r>
        <w:rPr>
          <w:rFonts w:eastAsia="Calibri"/>
        </w:rPr>
        <w:t>The Foundation's AI programmes rest on two pillars: AI Ready ASEAN focuses on people's AI literacy, and AIM ASEAN on AI adoption by MSMEs. Both are linked to the AI Opportunity Fund: Asia-Pacific (supported by Google.org and the ADB), which is run by AVPN.</w:t>
      </w:r>
    </w:p>
    <w:p>
      <w:pPr>
        <w:keepNext/>
        <w:spacing w:before="220" w:after="110" w:line="300" w:lineRule="auto"/>
      </w:pPr>
      <w:r>
        <w:rPr>
          <w:rFonts w:eastAsia="Calibri"/>
          <w:b/>
          <w:bCs/>
          <w:color w:val="0F63A8"/>
          <w:sz w:val="22"/>
          <w:szCs w:val="22"/>
        </w:rPr>
        <w:t>2.1 AI Ready ASEAN: AI Literacy</w:t>
      </w:r>
    </w:p>
    <w:p>
      <w:pPr>
        <w:spacing w:after="120" w:line="336" w:lineRule="auto"/>
        <w:jc w:val="both"/>
      </w:pPr>
      <w:r>
        <w:rPr>
          <w:rFonts w:eastAsia="Calibri"/>
        </w:rPr>
        <w:t>With its move to Phase 2 in September 2026, AI Ready ASEAN changed character: from an AI awareness-raising programme to an applied AI education programme endorsed by the ASEAN education sector.</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690"/>
        <w:gridCol w:w="3546"/>
        <w:gridCol w:w="4504"/>
      </w:tblGrid>
      <w:tr>
        <w:trPr>
          <w:tblHeader/>
        </w:trPr>
        <w:tc>
          <w:tcPr>
            <w:tcW w:w="1690" w:type="dxa"/>
            <w:shd w:val="clear" w:color="auto" w:fill="00498F"/>
          </w:tcPr>
          <w:p>
            <w:pPr>
              <w:spacing w:line="276" w:lineRule="auto"/>
            </w:pPr>
            <w:r>
              <w:rPr>
                <w:rFonts w:eastAsia="Calibri"/>
                <w:b/>
                <w:bCs/>
                <w:color w:val="FFFFFF"/>
              </w:rPr>
              <w:t>Dimension</w:t>
            </w:r>
          </w:p>
        </w:tc>
        <w:tc>
          <w:tcPr>
            <w:tcW w:w="3546" w:type="dxa"/>
            <w:shd w:val="clear" w:color="auto" w:fill="00498F"/>
          </w:tcPr>
          <w:p>
            <w:pPr>
              <w:spacing w:line="276" w:lineRule="auto"/>
            </w:pPr>
            <w:r>
              <w:rPr>
                <w:rFonts w:eastAsia="Calibri"/>
                <w:b/>
                <w:bCs/>
                <w:color w:val="FFFFFF"/>
              </w:rPr>
              <w:t>Phase 1</w:t>
            </w:r>
          </w:p>
        </w:tc>
        <w:tc>
          <w:tcPr>
            <w:tcW w:w="4504" w:type="dxa"/>
            <w:shd w:val="clear" w:color="auto" w:fill="00498F"/>
          </w:tcPr>
          <w:p>
            <w:pPr>
              <w:spacing w:line="276" w:lineRule="auto"/>
            </w:pPr>
            <w:r>
              <w:rPr>
                <w:rFonts w:eastAsia="Calibri"/>
                <w:b/>
                <w:bCs/>
                <w:color w:val="FFFFFF"/>
              </w:rPr>
              <w:t>Phase 2</w:t>
            </w:r>
          </w:p>
        </w:tc>
      </w:tr>
      <w:tr>
        <w:trPr>
          <w:cantSplit/>
        </w:trPr>
        <w:tc>
          <w:tcPr>
            <w:tcW w:w="1690" w:type="dxa"/>
          </w:tcPr>
          <w:p>
            <w:pPr>
              <w:spacing w:line="276" w:lineRule="auto"/>
            </w:pPr>
            <w:r>
              <w:rPr>
                <w:rFonts w:eastAsia="Calibri"/>
              </w:rPr>
              <w:t>Period</w:t>
            </w:r>
          </w:p>
        </w:tc>
        <w:tc>
          <w:tcPr>
            <w:tcW w:w="3546" w:type="dxa"/>
          </w:tcPr>
          <w:p>
            <w:pPr>
              <w:spacing w:line="276" w:lineRule="auto"/>
            </w:pPr>
            <w:r>
              <w:rPr>
                <w:rFonts w:eastAsia="Calibri"/>
              </w:rPr>
              <w:t>Launched October 2024</w:t>
            </w:r>
          </w:p>
        </w:tc>
        <w:tc>
          <w:tcPr>
            <w:tcW w:w="4504" w:type="dxa"/>
          </w:tcPr>
          <w:p>
            <w:pPr>
              <w:spacing w:line="276" w:lineRule="auto"/>
            </w:pPr>
            <w:r>
              <w:rPr>
                <w:rFonts w:eastAsia="Calibri"/>
              </w:rPr>
              <w:t>Announced September 2026; runs to the end of 2028</w:t>
            </w:r>
          </w:p>
        </w:tc>
      </w:tr>
      <w:tr>
        <w:trPr>
          <w:cantSplit/>
        </w:trPr>
        <w:tc>
          <w:tcPr>
            <w:tcW w:w="1690" w:type="dxa"/>
          </w:tcPr>
          <w:p>
            <w:pPr>
              <w:spacing w:line="276" w:lineRule="auto"/>
            </w:pPr>
            <w:r>
              <w:rPr>
                <w:rFonts w:eastAsia="Calibri"/>
              </w:rPr>
              <w:t>Funding</w:t>
            </w:r>
          </w:p>
        </w:tc>
        <w:tc>
          <w:tcPr>
            <w:tcW w:w="3546" w:type="dxa"/>
          </w:tcPr>
          <w:p>
            <w:pPr>
              <w:spacing w:line="276" w:lineRule="auto"/>
            </w:pPr>
            <w:r>
              <w:rPr>
                <w:rFonts w:eastAsia="Calibri"/>
              </w:rPr>
              <w:t>US$5 million from Google.org</w:t>
            </w:r>
          </w:p>
        </w:tc>
        <w:tc>
          <w:tcPr>
            <w:tcW w:w="4504" w:type="dxa"/>
          </w:tcPr>
          <w:p>
            <w:pPr>
              <w:spacing w:line="276" w:lineRule="auto"/>
            </w:pPr>
            <w:r>
              <w:rPr>
                <w:rFonts w:eastAsia="Calibri"/>
              </w:rPr>
              <w:t>AI Opportunity Fund: Asia-Pacific; Phase 2 allocation not confirmed in public sources</w:t>
            </w:r>
          </w:p>
        </w:tc>
      </w:tr>
      <w:tr>
        <w:trPr>
          <w:cantSplit/>
        </w:trPr>
        <w:tc>
          <w:tcPr>
            <w:tcW w:w="1690" w:type="dxa"/>
          </w:tcPr>
          <w:p>
            <w:pPr>
              <w:spacing w:line="276" w:lineRule="auto"/>
            </w:pPr>
            <w:r>
              <w:rPr>
                <w:rFonts w:eastAsia="Calibri"/>
              </w:rPr>
              <w:t>Target groups</w:t>
            </w:r>
          </w:p>
        </w:tc>
        <w:tc>
          <w:tcPr>
            <w:tcW w:w="3546" w:type="dxa"/>
          </w:tcPr>
          <w:p>
            <w:pPr>
              <w:spacing w:line="276" w:lineRule="auto"/>
            </w:pPr>
            <w:r>
              <w:rPr>
                <w:rFonts w:eastAsia="Calibri"/>
              </w:rPr>
              <w:t>Young people, educators, parents and vulnerable groups</w:t>
            </w:r>
          </w:p>
        </w:tc>
        <w:tc>
          <w:tcPr>
            <w:tcW w:w="4504" w:type="dxa"/>
          </w:tcPr>
          <w:p>
            <w:pPr>
              <w:spacing w:line="276" w:lineRule="auto"/>
            </w:pPr>
            <w:r>
              <w:rPr>
                <w:rFonts w:eastAsia="Calibri"/>
              </w:rPr>
              <w:t>K-12 teachers, university students and academic staff</w:t>
            </w:r>
          </w:p>
        </w:tc>
      </w:tr>
      <w:tr>
        <w:trPr>
          <w:cantSplit/>
        </w:trPr>
        <w:tc>
          <w:tcPr>
            <w:tcW w:w="1690" w:type="dxa"/>
          </w:tcPr>
          <w:p>
            <w:pPr>
              <w:spacing w:line="276" w:lineRule="auto"/>
            </w:pPr>
            <w:r>
              <w:rPr>
                <w:rFonts w:eastAsia="Calibri"/>
              </w:rPr>
              <w:t>AI skills target</w:t>
            </w:r>
          </w:p>
        </w:tc>
        <w:tc>
          <w:tcPr>
            <w:tcW w:w="3546" w:type="dxa"/>
          </w:tcPr>
          <w:p>
            <w:pPr>
              <w:spacing w:line="276" w:lineRule="auto"/>
            </w:pPr>
            <w:r>
              <w:rPr>
                <w:rFonts w:eastAsia="Calibri"/>
              </w:rPr>
              <w:t>Foundational AI literacy, including responsible use, for 5.5 million people</w:t>
            </w:r>
          </w:p>
        </w:tc>
        <w:tc>
          <w:tcPr>
            <w:tcW w:w="4504" w:type="dxa"/>
          </w:tcPr>
          <w:p>
            <w:pPr>
              <w:spacing w:line="276" w:lineRule="auto"/>
            </w:pPr>
            <w:r>
              <w:rPr>
                <w:rFonts w:eastAsia="Calibri"/>
              </w:rPr>
              <w:t>Applied AI skills (for teaching, research and work) for more than 1.7 million people</w:t>
            </w:r>
          </w:p>
        </w:tc>
      </w:tr>
      <w:tr>
        <w:trPr>
          <w:cantSplit/>
        </w:trPr>
        <w:tc>
          <w:tcPr>
            <w:tcW w:w="1690" w:type="dxa"/>
          </w:tcPr>
          <w:p>
            <w:pPr>
              <w:spacing w:line="276" w:lineRule="auto"/>
            </w:pPr>
            <w:r>
              <w:rPr>
                <w:rFonts w:eastAsia="Calibri"/>
              </w:rPr>
              <w:t>Results</w:t>
            </w:r>
          </w:p>
        </w:tc>
        <w:tc>
          <w:tcPr>
            <w:tcW w:w="3546" w:type="dxa"/>
          </w:tcPr>
          <w:p>
            <w:pPr>
              <w:spacing w:line="276" w:lineRule="auto"/>
            </w:pPr>
            <w:r>
              <w:rPr>
                <w:rFonts w:eastAsia="Calibri"/>
              </w:rPr>
              <w:t>Reach: more than 5 million; Master Trainers: more than 3,000; in-depth course completion: more than 100,000 (February 2026)</w:t>
            </w:r>
          </w:p>
        </w:tc>
        <w:tc>
          <w:tcPr>
            <w:tcW w:w="4504" w:type="dxa"/>
          </w:tcPr>
          <w:p>
            <w:pPr>
              <w:spacing w:line="276" w:lineRule="auto"/>
            </w:pPr>
            <w:r>
              <w:rPr>
                <w:rFonts w:eastAsia="Calibri"/>
              </w:rPr>
              <w:t>Launch stage</w:t>
            </w:r>
          </w:p>
        </w:tc>
      </w:tr>
      <w:tr>
        <w:trPr>
          <w:cantSplit/>
        </w:trPr>
        <w:tc>
          <w:tcPr>
            <w:tcW w:w="1690" w:type="dxa"/>
          </w:tcPr>
          <w:p>
            <w:pPr>
              <w:spacing w:line="276" w:lineRule="auto"/>
            </w:pPr>
            <w:r>
              <w:rPr>
                <w:rFonts w:eastAsia="Calibri"/>
              </w:rPr>
              <w:t>Institutional status</w:t>
            </w:r>
          </w:p>
        </w:tc>
        <w:tc>
          <w:tcPr>
            <w:tcW w:w="3546" w:type="dxa"/>
          </w:tcPr>
          <w:p>
            <w:pPr>
              <w:spacing w:line="276" w:lineRule="auto"/>
            </w:pPr>
            <w:r>
              <w:rPr>
                <w:rFonts w:eastAsia="Calibri"/>
              </w:rPr>
              <w:t>Foundation programme</w:t>
            </w:r>
          </w:p>
        </w:tc>
        <w:tc>
          <w:tcPr>
            <w:tcW w:w="4504" w:type="dxa"/>
          </w:tcPr>
          <w:p>
            <w:pPr>
              <w:spacing w:line="276" w:lineRule="auto"/>
            </w:pPr>
            <w:r>
              <w:rPr>
                <w:rFonts w:eastAsia="Calibri"/>
              </w:rPr>
              <w:t>Endorsed by the 21st ASEAN Senior Officials Meeting on Education (SOM-ED, September 2026); implementation coordinated with member states' ministries of education</w:t>
            </w:r>
          </w:p>
        </w:tc>
      </w:tr>
    </w:tbl>
    <w:p>
      <w:pPr>
        <w:spacing w:after="60" w:line="120" w:lineRule="auto"/>
      </w:pPr>
    </w:p>
    <w:p>
      <w:pPr>
        <w:keepNext/>
        <w:spacing w:before="220" w:after="110" w:line="300" w:lineRule="auto"/>
      </w:pPr>
      <w:r>
        <w:rPr>
          <w:rFonts w:eastAsia="Calibri"/>
          <w:b/>
          <w:bCs/>
          <w:color w:val="0F63A8"/>
          <w:sz w:val="22"/>
          <w:szCs w:val="22"/>
        </w:rPr>
        <w:t>2.2 AIM ASEAN: AI Adoption by MSMEs</w:t>
      </w:r>
    </w:p>
    <w:p>
      <w:pPr>
        <w:spacing w:after="120" w:line="336" w:lineRule="auto"/>
        <w:jc w:val="both"/>
      </w:pPr>
      <w:r>
        <w:rPr>
          <w:rFonts w:eastAsia="Calibri"/>
        </w:rPr>
        <w:t>AIM ASEAN (AI for MSME Advancement in ASEAN) helps MSMEs put AI to practical use in their operations. Where the industrial application of AI is under discussion, it provides a direct evidence base.</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250"/>
        <w:gridCol w:w="8490"/>
      </w:tblGrid>
      <w:tr>
        <w:trPr>
          <w:tblHeader/>
        </w:trPr>
        <w:tc>
          <w:tcPr>
            <w:tcW w:w="1250" w:type="dxa"/>
            <w:shd w:val="clear" w:color="auto" w:fill="00498F"/>
          </w:tcPr>
          <w:p>
            <w:pPr>
              <w:spacing w:line="276" w:lineRule="auto"/>
            </w:pPr>
            <w:r>
              <w:rPr>
                <w:rFonts w:eastAsia="Calibri"/>
                <w:b/>
                <w:bCs/>
                <w:color w:val="FFFFFF"/>
              </w:rPr>
              <w:t>Item</w:t>
            </w:r>
          </w:p>
        </w:tc>
        <w:tc>
          <w:tcPr>
            <w:tcW w:w="8490" w:type="dxa"/>
            <w:shd w:val="clear" w:color="auto" w:fill="00498F"/>
          </w:tcPr>
          <w:p>
            <w:pPr>
              <w:spacing w:line="276" w:lineRule="auto"/>
            </w:pPr>
            <w:r>
              <w:rPr>
                <w:rFonts w:eastAsia="Calibri"/>
                <w:b/>
                <w:bCs/>
                <w:color w:val="FFFFFF"/>
              </w:rPr>
              <w:t>Details</w:t>
            </w:r>
          </w:p>
        </w:tc>
      </w:tr>
      <w:tr>
        <w:trPr>
          <w:cantSplit/>
        </w:trPr>
        <w:tc>
          <w:tcPr>
            <w:tcW w:w="1250" w:type="dxa"/>
          </w:tcPr>
          <w:p>
            <w:pPr>
              <w:spacing w:line="276" w:lineRule="auto"/>
            </w:pPr>
            <w:r>
              <w:rPr>
                <w:rFonts w:eastAsia="Calibri"/>
              </w:rPr>
              <w:t>Structure</w:t>
            </w:r>
          </w:p>
        </w:tc>
        <w:tc>
          <w:tcPr>
            <w:tcW w:w="8490" w:type="dxa"/>
          </w:tcPr>
          <w:p>
            <w:pPr>
              <w:spacing w:line="276" w:lineRule="auto"/>
            </w:pPr>
            <w:r>
              <w:rPr>
                <w:rFonts w:eastAsia="Calibri"/>
              </w:rPr>
              <w:t>Led by the ASEAN Foundation (regional implementing organisation), with AVPN as partner. Draws on the AI Opportunity Fund: Asia-Pacific (supported by Google.org and the ADB). Endorsed by the ASEAN Coordinating Committee on MSMEs (ACCMSME); the date of endorsement and the supporting document are not confirmed in public sources</w:t>
            </w:r>
          </w:p>
        </w:tc>
      </w:tr>
      <w:tr>
        <w:trPr>
          <w:cantSplit/>
        </w:trPr>
        <w:tc>
          <w:tcPr>
            <w:tcW w:w="1250" w:type="dxa"/>
          </w:tcPr>
          <w:p>
            <w:pPr>
              <w:spacing w:line="276" w:lineRule="auto"/>
            </w:pPr>
            <w:r>
              <w:rPr>
                <w:rFonts w:eastAsia="Calibri"/>
              </w:rPr>
              <w:t>Scale</w:t>
            </w:r>
          </w:p>
        </w:tc>
        <w:tc>
          <w:tcPr>
            <w:tcW w:w="8490" w:type="dxa"/>
          </w:tcPr>
          <w:p>
            <w:pPr>
              <w:spacing w:line="276" w:lineRule="auto"/>
            </w:pPr>
            <w:r>
              <w:rPr>
                <w:rFonts w:eastAsia="Calibri"/>
              </w:rPr>
              <w:t>Two-year programme targeting 100,000 MSMEs across the region, according to the report of the Singapore local implementing partner (LIP); how this relates to the figure of 120,000 given in other sources is not confirmed. Nine local partners announced in October 2025</w:t>
            </w:r>
          </w:p>
        </w:tc>
      </w:tr>
      <w:tr>
        <w:trPr>
          <w:cantSplit/>
        </w:trPr>
        <w:tc>
          <w:tcPr>
            <w:tcW w:w="1250" w:type="dxa"/>
          </w:tcPr>
          <w:p>
            <w:pPr>
              <w:spacing w:line="276" w:lineRule="auto"/>
            </w:pPr>
            <w:r>
              <w:rPr>
                <w:rFonts w:eastAsia="Calibri"/>
              </w:rPr>
              <w:t>AI training content</w:t>
            </w:r>
          </w:p>
        </w:tc>
        <w:tc>
          <w:tcPr>
            <w:tcW w:w="8490" w:type="dxa"/>
          </w:tcPr>
          <w:p>
            <w:pPr>
              <w:spacing w:line="276" w:lineRule="auto"/>
            </w:pPr>
            <w:r>
              <w:rPr>
                <w:rFonts w:eastAsia="Calibri"/>
              </w:rPr>
              <w:t>Practical AI for operational efficiency, online sales and financial management</w:t>
            </w:r>
          </w:p>
        </w:tc>
      </w:tr>
      <w:tr>
        <w:trPr>
          <w:cantSplit/>
        </w:trPr>
        <w:tc>
          <w:tcPr>
            <w:tcW w:w="1250" w:type="dxa"/>
          </w:tcPr>
          <w:p>
            <w:pPr>
              <w:spacing w:line="276" w:lineRule="auto"/>
            </w:pPr>
            <w:r>
              <w:rPr>
                <w:rFonts w:eastAsia="Calibri"/>
              </w:rPr>
              <w:t>Policy dialogue</w:t>
            </w:r>
          </w:p>
        </w:tc>
        <w:tc>
          <w:tcPr>
            <w:tcW w:w="8490" w:type="dxa"/>
          </w:tcPr>
          <w:p>
            <w:pPr>
              <w:spacing w:line="276" w:lineRule="auto"/>
            </w:pPr>
            <w:r>
              <w:rPr>
                <w:rFonts w:eastAsia="Calibri"/>
              </w:rPr>
              <w:t>Planned: 10 national roundtables (National Policy Convenings) and one regional policy meeting. Held: the Philippines (7 May 2026), Indonesia (8 July 2026) and Singapore (15 September 2026)</w:t>
            </w:r>
          </w:p>
        </w:tc>
      </w:tr>
      <w:tr>
        <w:trPr>
          <w:cantSplit/>
        </w:trPr>
        <w:tc>
          <w:tcPr>
            <w:tcW w:w="1250" w:type="dxa"/>
          </w:tcPr>
          <w:p>
            <w:pPr>
              <w:spacing w:line="276" w:lineRule="auto"/>
            </w:pPr>
            <w:r>
              <w:rPr>
                <w:rFonts w:eastAsia="Calibri"/>
              </w:rPr>
              <w:t>Results</w:t>
            </w:r>
          </w:p>
        </w:tc>
        <w:tc>
          <w:tcPr>
            <w:tcW w:w="8490" w:type="dxa"/>
          </w:tcPr>
          <w:p>
            <w:pPr>
              <w:spacing w:line="276" w:lineRule="auto"/>
            </w:pPr>
            <w:r>
              <w:rPr>
                <w:rFonts w:eastAsia="Calibri"/>
              </w:rPr>
              <w:t>Indonesia: 16,037 MSMEs reached (32 provinces; women made up 62.2 per cent of participants; July 2026; preliminary count by the local partner). Singapore: more than 1,500 reached (target: 3,000; count as of July 2026). Regional cumulative total not published. The Singapore LIP report notes that such figures are not evidence of sustained business integration</w:t>
            </w:r>
          </w:p>
        </w:tc>
      </w:tr>
    </w:tbl>
    <w:p>
      <w:pPr>
        <w:spacing w:after="60" w:line="120" w:lineRule="auto"/>
      </w:pPr>
    </w:p>
    <w:p>
      <w:pPr>
        <w:keepNext/>
        <w:spacing w:before="220" w:after="110" w:line="300" w:lineRule="auto"/>
      </w:pPr>
      <w:r>
        <w:rPr>
          <w:rFonts w:eastAsia="Calibri"/>
          <w:b/>
          <w:bCs/>
          <w:color w:val="0F63A8"/>
          <w:sz w:val="22"/>
          <w:szCs w:val="22"/>
        </w:rPr>
        <w:t>2.3 AI Assets: Delivery, Content and Evidence</w:t>
      </w:r>
    </w:p>
    <w:p>
      <w:pPr>
        <w:spacing w:after="120" w:line="336" w:lineRule="auto"/>
        <w:jc w:val="both"/>
      </w:pPr>
      <w:r>
        <w:rPr>
          <w:rFonts w:eastAsia="Calibri"/>
        </w:rPr>
        <w:t>Three AI assets underpin the Foundation's contribution. Of these, the scarcest in discussions of AI cooperation is the third: field data on AI readiness.</w:t>
      </w:r>
    </w:p>
    <w:p>
      <w:pPr>
        <w:pStyle w:val="a4"/>
        <w:numPr>
          <w:ilvl w:val="0"/>
          <w:numId w:val="4"/>
        </w:numPr>
        <w:spacing w:after="60" w:line="336" w:lineRule="auto"/>
        <w:jc w:val="both"/>
      </w:pPr>
      <w:r>
        <w:rPr>
          <w:rFonts w:eastAsia="Calibri"/>
          <w:b/>
          <w:bCs/>
        </w:rPr>
        <w:t>Delivery (AI trainer network)</w:t>
      </w:r>
      <w:r>
        <w:rPr>
          <w:rFonts w:eastAsia="Calibri"/>
        </w:rPr>
        <w:t>: Under AI Ready ASEAN, more than 3,000 Master Trainers and a local implementing partner (LIP) in each member state; under AIM ASEAN, nine local partners. These are the channels that carry AI training all the way to schools, local communities and small businesses.</w:t>
      </w:r>
    </w:p>
    <w:p>
      <w:pPr>
        <w:pStyle w:val="a4"/>
        <w:numPr>
          <w:ilvl w:val="0"/>
          <w:numId w:val="4"/>
        </w:numPr>
        <w:spacing w:after="60" w:line="336" w:lineRule="auto"/>
        <w:jc w:val="both"/>
      </w:pPr>
      <w:r>
        <w:rPr>
          <w:rFonts w:eastAsia="Calibri"/>
          <w:b/>
          <w:bCs/>
        </w:rPr>
        <w:t>Content (including AI Class ASEAN)</w:t>
      </w:r>
      <w:r>
        <w:rPr>
          <w:rFonts w:eastAsia="Calibri"/>
        </w:rPr>
        <w:t>: AI Class ASEAN, a free AI learning platform, was launched in August 2025. It offers 25 topics and 70 modules in member states' languages, including modules on AI ethics, privacy and misinformation, and features an AI chatbot and real-time translation. Sources differ on the number of languages supported: the announcement gives 10, the platform lists 9. Under AIM ASEAN, local partners develop AI training courses for MSMEs in each country.</w:t>
      </w:r>
    </w:p>
    <w:p>
      <w:pPr>
        <w:pStyle w:val="a4"/>
        <w:numPr>
          <w:ilvl w:val="0"/>
          <w:numId w:val="4"/>
        </w:numPr>
        <w:spacing w:after="120" w:line="336" w:lineRule="auto"/>
        <w:jc w:val="both"/>
      </w:pPr>
      <w:r>
        <w:rPr>
          <w:rFonts w:eastAsia="Calibri"/>
          <w:b/>
          <w:bCs/>
        </w:rPr>
        <w:t>Evidence (AI readiness data)</w:t>
      </w:r>
      <w:r>
        <w:rPr>
          <w:rFonts w:eastAsia="Calibri"/>
        </w:rPr>
        <w:t>: AI Ready ASEAN Research (2026) found that 72.4 per cent of students and 70.5 per cent of educators had never taken an AI course. Educators' measured AI literacy fell short of their confidence, while students overestimated their own skills. Institutional readiness was lowest, and the urban–rural gap was also pronounced. On the MSME side, the National Policy Convenings in Singapore and Indonesia pointed to a gap between awareness and use of AI, uncertainty about where to start and where to apply it, a shortage of 'AI-bilingual' talent, and gaps in digital and financial literacy. For Singapore, the local implementing partner's internal report sets out structured findings (see 2.4).</w:t>
      </w:r>
    </w:p>
    <w:p>
      <w:pPr>
        <w:spacing w:after="120" w:line="336" w:lineRule="auto"/>
        <w:jc w:val="both"/>
      </w:pPr>
      <w:r>
        <w:rPr>
          <w:rFonts w:eastAsia="Calibri"/>
          <w:b/>
          <w:bCs/>
          <w:color w:val="0F63A8"/>
        </w:rPr>
        <w:t>[Assessment]</w:t>
      </w:r>
      <w:r>
        <w:rPr>
          <w:rFonts w:eastAsia="Calibri"/>
        </w:rPr>
        <w:t xml:space="preserve"> The Foundation is one of the few institutions to hold both kinds of evidence: research that measures the AI readiness of teachers and students, and field records of the barriers MSMEs face in adopting AI, gathered through policy dialogues in member states. It can therefore put forward evidence on what AI cooperation programmes should teach, and to whom.</w:t>
      </w:r>
    </w:p>
    <w:p>
      <w:pPr>
        <w:keepNext/>
        <w:spacing w:before="220" w:after="110" w:line="300" w:lineRule="auto"/>
      </w:pPr>
      <w:r>
        <w:rPr>
          <w:rFonts w:eastAsia="Calibri"/>
          <w:b/>
          <w:bCs/>
          <w:color w:val="0F63A8"/>
          <w:sz w:val="22"/>
          <w:szCs w:val="22"/>
        </w:rPr>
        <w:t>2.4 The Singapore National Policy Convening: What It Showed</w:t>
      </w:r>
    </w:p>
    <w:p>
      <w:pPr>
        <w:spacing w:after="120" w:line="336" w:lineRule="auto"/>
        <w:jc w:val="both"/>
      </w:pPr>
      <w:r>
        <w:rPr>
          <w:rFonts w:eastAsia="Calibri"/>
        </w:rPr>
        <w:t>Of AIM ASEAN's policy dialogues, the Singapore Convening on 15 September 2026 is one whose outcomes have been systematically documented in an internal report. The summary below draws on the review notes of the local implementing partner, Project Asia Data (BlackStorm Group), and on its final report (internal material; submission date of the final version not yet fixed). Ilan Asqolani delivered the closing remarks for the Foundation.</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910"/>
        <w:gridCol w:w="7830"/>
      </w:tblGrid>
      <w:tr>
        <w:trPr>
          <w:tblHeader/>
        </w:trPr>
        <w:tc>
          <w:tcPr>
            <w:tcW w:w="1910" w:type="dxa"/>
            <w:shd w:val="clear" w:color="auto" w:fill="00498F"/>
          </w:tcPr>
          <w:p>
            <w:pPr>
              <w:spacing w:line="276" w:lineRule="auto"/>
            </w:pPr>
            <w:r>
              <w:rPr>
                <w:rFonts w:eastAsia="Calibri"/>
                <w:b/>
                <w:bCs/>
                <w:color w:val="FFFFFF"/>
              </w:rPr>
              <w:t>Item</w:t>
            </w:r>
          </w:p>
        </w:tc>
        <w:tc>
          <w:tcPr>
            <w:tcW w:w="7830" w:type="dxa"/>
            <w:shd w:val="clear" w:color="auto" w:fill="00498F"/>
          </w:tcPr>
          <w:p>
            <w:pPr>
              <w:spacing w:line="276" w:lineRule="auto"/>
            </w:pPr>
            <w:r>
              <w:rPr>
                <w:rFonts w:eastAsia="Calibri"/>
                <w:b/>
                <w:bCs/>
                <w:color w:val="FFFFFF"/>
              </w:rPr>
              <w:t>Details</w:t>
            </w:r>
          </w:p>
        </w:tc>
      </w:tr>
      <w:tr>
        <w:trPr>
          <w:cantSplit/>
        </w:trPr>
        <w:tc>
          <w:tcPr>
            <w:tcW w:w="1910" w:type="dxa"/>
          </w:tcPr>
          <w:p>
            <w:pPr>
              <w:spacing w:line="276" w:lineRule="auto"/>
            </w:pPr>
            <w:r>
              <w:rPr>
                <w:rFonts w:eastAsia="Calibri"/>
              </w:rPr>
              <w:t>Overview</w:t>
            </w:r>
          </w:p>
        </w:tc>
        <w:tc>
          <w:tcPr>
            <w:tcW w:w="7830" w:type="dxa"/>
          </w:tcPr>
          <w:p>
            <w:pPr>
              <w:spacing w:line="276" w:lineRule="auto"/>
            </w:pPr>
            <w:r>
              <w:rPr>
                <w:rFonts w:eastAsia="Calibri"/>
              </w:rPr>
              <w:t>Singapore Polytechnic Convention Centre; by invitation only; 189 registered participants. Held in collaboration with Singapore Polytechnic, the ASEAN Foundation (regional implementing organisation) and programme partners Google.org, AVPN and the ADB. Participants came from government and regional bodies (Enterprise Singapore, the ASEAN Secretariat), industry (ASME), education and talent institutions (Singapore Polytechnic, SGInnovate), and technology and practitioner communities (Singapore AI Association, The AI Capitol)</w:t>
            </w:r>
          </w:p>
        </w:tc>
      </w:tr>
      <w:tr>
        <w:trPr>
          <w:cantSplit/>
        </w:trPr>
        <w:tc>
          <w:tcPr>
            <w:tcW w:w="1910" w:type="dxa"/>
          </w:tcPr>
          <w:p>
            <w:pPr>
              <w:spacing w:line="276" w:lineRule="auto"/>
            </w:pPr>
            <w:r>
              <w:rPr>
                <w:rFonts w:eastAsia="Calibri"/>
              </w:rPr>
              <w:t>Key summaries</w:t>
            </w:r>
          </w:p>
        </w:tc>
        <w:tc>
          <w:tcPr>
            <w:tcW w:w="7830" w:type="dxa"/>
          </w:tcPr>
          <w:p>
            <w:pPr>
              <w:spacing w:line="276" w:lineRule="auto"/>
            </w:pPr>
            <w:r>
              <w:rPr>
                <w:rFonts w:eastAsia="Calibri"/>
              </w:rPr>
              <w:t>① Link training to implementation ② Build AI-bilingual teams ③ Measure responsible use and business outcomes</w:t>
            </w:r>
          </w:p>
        </w:tc>
      </w:tr>
      <w:tr>
        <w:trPr>
          <w:cantSplit/>
        </w:trPr>
        <w:tc>
          <w:tcPr>
            <w:tcW w:w="1910" w:type="dxa"/>
          </w:tcPr>
          <w:p>
            <w:pPr>
              <w:spacing w:line="276" w:lineRule="auto"/>
            </w:pPr>
            <w:r>
              <w:rPr>
                <w:rFonts w:eastAsia="Calibri"/>
              </w:rPr>
              <w:t>Diagnosis</w:t>
            </w:r>
          </w:p>
        </w:tc>
        <w:tc>
          <w:tcPr>
            <w:tcW w:w="7830" w:type="dxa"/>
          </w:tcPr>
          <w:p>
            <w:pPr>
              <w:spacing w:line="276" w:lineRule="auto"/>
            </w:pPr>
            <w:r>
              <w:rPr>
                <w:rFonts w:eastAsia="Calibri"/>
              </w:rPr>
              <w:t>Access to tools is not the same as business integration. Readiness comprises clarity of leadership, usable data, suitable workflows, staff capability and the capacity to evaluate outcomes. The core gap lies between a strong policy and support environment and MSMEs' ability to integrate AI into their day-to-day operations; support breaks off between the stages of awareness, experimentation, implementation and scaling</w:t>
            </w:r>
          </w:p>
        </w:tc>
      </w:tr>
      <w:tr>
        <w:trPr>
          <w:cantSplit/>
        </w:trPr>
        <w:tc>
          <w:tcPr>
            <w:tcW w:w="1910" w:type="dxa"/>
          </w:tcPr>
          <w:p>
            <w:pPr>
              <w:spacing w:line="276" w:lineRule="auto"/>
            </w:pPr>
            <w:r>
              <w:rPr>
                <w:rFonts w:eastAsia="Calibri"/>
              </w:rPr>
              <w:t>Barriers</w:t>
            </w:r>
          </w:p>
        </w:tc>
        <w:tc>
          <w:tcPr>
            <w:tcW w:w="7830" w:type="dxa"/>
          </w:tcPr>
          <w:p>
            <w:pPr>
              <w:spacing w:line="276" w:lineRule="auto"/>
            </w:pPr>
            <w:r>
              <w:rPr>
                <w:rFonts w:eastAsia="Calibri"/>
              </w:rPr>
              <w:t>Uncertainty about why to invest and where to use AI; fragmented data; lack of in-house capability; the opportunity cost of failed experiments; total costs beyond subscription fees (learning time, data preparation, systems integration, cybersecurity, change management); rapid model change; staff anxiety and competition with large firms for talent; privacy, security and data sovereignty. Micro enterprises are especially constrained by time, technology literacy and experimentation budgets</w:t>
            </w:r>
          </w:p>
        </w:tc>
      </w:tr>
      <w:tr>
        <w:trPr>
          <w:cantSplit/>
        </w:trPr>
        <w:tc>
          <w:tcPr>
            <w:tcW w:w="1910" w:type="dxa"/>
          </w:tcPr>
          <w:p>
            <w:pPr>
              <w:spacing w:line="276" w:lineRule="auto"/>
            </w:pPr>
            <w:r>
              <w:rPr>
                <w:rFonts w:eastAsia="Calibri"/>
              </w:rPr>
              <w:t>Technology choices</w:t>
            </w:r>
          </w:p>
        </w:tc>
        <w:tc>
          <w:tcPr>
            <w:tcW w:w="7830" w:type="dxa"/>
          </w:tcPr>
          <w:p>
            <w:pPr>
              <w:spacing w:line="276" w:lineRule="auto"/>
            </w:pPr>
            <w:r>
              <w:rPr>
                <w:rFonts w:eastAsia="Calibri"/>
              </w:rPr>
              <w:t>Local and open-source models were raised where data control matters, and familiar commercial tools as a way of lowering barriers to entry; there was no universal preference for any one type of model. It was also pointed out that the number of agents deployed is not a measure of value</w:t>
            </w:r>
          </w:p>
        </w:tc>
      </w:tr>
      <w:tr>
        <w:trPr>
          <w:cantSplit/>
        </w:trPr>
        <w:tc>
          <w:tcPr>
            <w:tcW w:w="1910" w:type="dxa"/>
          </w:tcPr>
          <w:p>
            <w:pPr>
              <w:spacing w:line="276" w:lineRule="auto"/>
            </w:pPr>
            <w:r>
              <w:rPr>
                <w:rFonts w:eastAsia="Calibri"/>
              </w:rPr>
              <w:t>Preliminary policy directions</w:t>
            </w:r>
          </w:p>
        </w:tc>
        <w:tc>
          <w:tcPr>
            <w:tcW w:w="7830" w:type="dxa"/>
          </w:tcPr>
          <w:p>
            <w:pPr>
              <w:spacing w:line="276" w:lineRule="auto"/>
            </w:pPr>
            <w:r>
              <w:rPr>
                <w:rFonts w:eastAsia="Calibri"/>
              </w:rPr>
              <w:t>Linking capacity building to deployment; treating workforce transition as part of adoption; proportionate and responsible experimentation; measuring sustained use and business value; delivery through trusted networks. These are not new funding commitments or formal policy decisions</w:t>
            </w:r>
          </w:p>
        </w:tc>
      </w:tr>
      <w:tr>
        <w:trPr>
          <w:cantSplit/>
        </w:trPr>
        <w:tc>
          <w:tcPr>
            <w:tcW w:w="1910" w:type="dxa"/>
          </w:tcPr>
          <w:p>
            <w:pPr>
              <w:spacing w:line="276" w:lineRule="auto"/>
            </w:pPr>
            <w:r>
              <w:rPr>
                <w:rFonts w:eastAsia="Calibri"/>
              </w:rPr>
              <w:t>Implications for ASEAN</w:t>
            </w:r>
          </w:p>
        </w:tc>
        <w:tc>
          <w:tcPr>
            <w:tcW w:w="7830" w:type="dxa"/>
          </w:tcPr>
          <w:p>
            <w:pPr>
              <w:spacing w:line="276" w:lineRule="auto"/>
            </w:pPr>
            <w:r>
              <w:rPr>
                <w:rFonts w:eastAsia="Calibri"/>
              </w:rPr>
              <w:t>The awareness–implementation gap is an ecosystem problem. Workforce capability and responsible use must go hand in hand with technology. Regional learning must allow for adaptation to individual markets. A phased pathway of awareness → low-risk adoption → process transformation could serve as a common direction, with case exchanges covering the business problem, data requirements, costs, workforce change, risks and results. The closing remarks linked AIM ASEAN to the ASEAN Economic Community Strategic Plan 2030 and the Strategic Action Plan on MSME Development 2026–2030</w:t>
            </w:r>
          </w:p>
        </w:tc>
      </w:tr>
      <w:tr>
        <w:trPr>
          <w:cantSplit/>
        </w:trPr>
        <w:tc>
          <w:tcPr>
            <w:tcW w:w="1910" w:type="dxa"/>
          </w:tcPr>
          <w:p>
            <w:pPr>
              <w:spacing w:line="276" w:lineRule="auto"/>
            </w:pPr>
            <w:r>
              <w:rPr>
                <w:rFonts w:eastAsia="Calibri"/>
              </w:rPr>
              <w:t>Recommendations to the Foundation</w:t>
            </w:r>
          </w:p>
        </w:tc>
        <w:tc>
          <w:tcPr>
            <w:tcW w:w="7830" w:type="dxa"/>
          </w:tcPr>
          <w:p>
            <w:pPr>
              <w:spacing w:line="276" w:lineRule="auto"/>
            </w:pPr>
            <w:r>
              <w:rPr>
                <w:rFonts w:eastAsia="Calibri"/>
              </w:rPr>
              <w:t>A common 'after training' pathway for local partners to adapt; case exchanges that include barriers to implementation; templates for data readiness, responsible use and outcome tracking. In regional reporting, distinguish reach, business integration and verified outcomes. Recognise the diversity of MSMEs, such as rural businesses and entrepreneurs with disabilities, and do not assume that every business needs AI for every function</w:t>
            </w:r>
          </w:p>
        </w:tc>
      </w:tr>
      <w:tr>
        <w:trPr>
          <w:cantSplit/>
        </w:trPr>
        <w:tc>
          <w:tcPr>
            <w:tcW w:w="1910" w:type="dxa"/>
          </w:tcPr>
          <w:p>
            <w:pPr>
              <w:spacing w:line="276" w:lineRule="auto"/>
            </w:pPr>
            <w:r>
              <w:rPr>
                <w:rFonts w:eastAsia="Calibri"/>
              </w:rPr>
              <w:t>Next steps (proposed)</w:t>
            </w:r>
          </w:p>
        </w:tc>
        <w:tc>
          <w:tcPr>
            <w:tcW w:w="7830" w:type="dxa"/>
          </w:tcPr>
          <w:p>
            <w:pPr>
              <w:spacing w:line="276" w:lineRule="auto"/>
            </w:pPr>
            <w:r>
              <w:rPr>
                <w:rFonts w:eastAsia="Calibri"/>
              </w:rPr>
              <w:t>Mapping training-to-implementation pathways (October–November 2026); tracking sustained use and exchanging cases (baseline Q4 2026, review Q1 2027; support requested from the Foundation: common outcome indicators and a regional sharing channel); clinics and peer learning after training; sector-specific training (manufacturing, wholesale, logistics). All are conditional on partner agreement</w:t>
            </w:r>
          </w:p>
        </w:tc>
      </w:tr>
    </w:tbl>
    <w:p>
      <w:pPr>
        <w:spacing w:after="60" w:line="120" w:lineRule="auto"/>
      </w:pPr>
    </w:p>
    <w:p>
      <w:pPr>
        <w:spacing w:after="120" w:line="336" w:lineRule="auto"/>
        <w:jc w:val="both"/>
      </w:pPr>
      <w:r>
        <w:rPr>
          <w:rFonts w:eastAsia="Calibri"/>
          <w:b/>
          <w:bCs/>
          <w:color w:val="0F63A8"/>
        </w:rPr>
        <w:t>[Assessment]</w:t>
      </w:r>
      <w:r>
        <w:rPr>
          <w:rFonts w:eastAsia="Calibri"/>
        </w:rPr>
        <w:t xml:space="preserve"> These findings matter for three reasons. First, they document from the field that, even in an ecosystem with strong policy and support, the bottleneck lies 'after training'. Second, the role the Foundation would play (a common pathway, outcome indicators, case exchanges) is set out in the partner's recommendations (subject to agreement), so the contribution it would offer the Chinese side is not an abstract proposal but builds on follow-up work the partner has already proposed. Third, the record that there was no single preference for any type of model provides field evidence for the principle of technology neutrality. As the report itself points out, however, Singapore has a strong institutional ecosystem and is geographically small. Any generalisation must also draw on results from other countries, such as Indonesia.</w:t>
      </w:r>
    </w:p>
    <w:p>
      <w:pPr>
        <w:keepNext/>
        <w:spacing w:before="220" w:after="110" w:line="300" w:lineRule="auto"/>
      </w:pPr>
      <w:r>
        <w:rPr>
          <w:rFonts w:eastAsia="Calibri"/>
          <w:b/>
          <w:bCs/>
          <w:color w:val="0F63A8"/>
          <w:sz w:val="22"/>
          <w:szCs w:val="22"/>
        </w:rPr>
        <w:t>2.5 Limitations: What to Resolve Before Presenting Externally</w:t>
      </w:r>
    </w:p>
    <w:p>
      <w:pPr>
        <w:pStyle w:val="a4"/>
        <w:numPr>
          <w:ilvl w:val="0"/>
          <w:numId w:val="2"/>
        </w:numPr>
        <w:spacing w:after="60" w:line="336" w:lineRule="auto"/>
        <w:jc w:val="both"/>
      </w:pPr>
      <w:r>
        <w:rPr>
          <w:rFonts w:eastAsia="Calibri"/>
          <w:b/>
          <w:bCs/>
        </w:rPr>
        <w:t>Distinguishing reach from learning outcomes</w:t>
      </w:r>
      <w:r>
        <w:rPr>
          <w:rFonts w:eastAsia="Calibri"/>
        </w:rPr>
        <w:t>: '5 million reached' and '100,000 in-depth course completions' are different indicators. Phase 1 targeted in-depth training for 800,000 people through Master Trainers. Whether the two figures are defined in the same way needs to be checked; where definitions are ambiguous, counterparts will discount the results as a whole. The Singapore LIP report likewise recommended distinguishing reach, business integration and verified outcomes in regional reporting.</w:t>
      </w:r>
    </w:p>
    <w:p>
      <w:pPr>
        <w:pStyle w:val="a4"/>
        <w:numPr>
          <w:ilvl w:val="0"/>
          <w:numId w:val="2"/>
        </w:numPr>
        <w:spacing w:after="60" w:line="336" w:lineRule="auto"/>
        <w:jc w:val="both"/>
      </w:pPr>
      <w:r>
        <w:rPr>
          <w:rFonts w:eastAsia="Calibri"/>
          <w:b/>
          <w:bCs/>
        </w:rPr>
        <w:t>Shift in target groups</w:t>
      </w:r>
      <w:r>
        <w:rPr>
          <w:rFonts w:eastAsia="Calibri"/>
        </w:rPr>
        <w:t>: Phase 2 of AI Ready ASEAN centres on teachers and universities. AI literacy for parents and vulnerable groups is left to the legacy of Phase 1 (content and trainers).</w:t>
      </w:r>
    </w:p>
    <w:p>
      <w:pPr>
        <w:pStyle w:val="a4"/>
        <w:numPr>
          <w:ilvl w:val="0"/>
          <w:numId w:val="2"/>
        </w:numPr>
        <w:spacing w:after="60" w:line="336" w:lineRule="auto"/>
        <w:jc w:val="both"/>
      </w:pPr>
      <w:r>
        <w:rPr>
          <w:rFonts w:eastAsia="Calibri"/>
          <w:b/>
          <w:bCs/>
        </w:rPr>
        <w:t>Member state coverage</w:t>
      </w:r>
      <w:r>
        <w:rPr>
          <w:rFonts w:eastAsia="Calibri"/>
        </w:rPr>
        <w:t>: Both programmes were designed for 10 member states. Timor-Leste became the 11th member state in October 2025, but Tetum-language AI content and local partners there are not confirmed.</w:t>
      </w:r>
    </w:p>
    <w:p>
      <w:pPr>
        <w:pStyle w:val="a4"/>
        <w:numPr>
          <w:ilvl w:val="0"/>
          <w:numId w:val="2"/>
        </w:numPr>
        <w:spacing w:after="60" w:line="336" w:lineRule="auto"/>
        <w:jc w:val="both"/>
      </w:pPr>
      <w:r>
        <w:rPr>
          <w:rFonts w:eastAsia="Calibri"/>
          <w:b/>
          <w:bCs/>
        </w:rPr>
        <w:t>Neutrality of funding and AI tools</w:t>
      </w:r>
      <w:r>
        <w:rPr>
          <w:rFonts w:eastAsia="Calibri"/>
        </w:rPr>
        <w:t>: Both programmes rely on private foundations and funds, and the announcement of AIM ASEAN's local partners (October 2025) includes the phrase "use of Google's suite of AI tools". In cooperation with the Chinese side, the first question could be which AI tools are used for teaching (section 6).</w:t>
      </w:r>
    </w:p>
    <w:p>
      <w:pPr>
        <w:pStyle w:val="a4"/>
        <w:numPr>
          <w:ilvl w:val="0"/>
          <w:numId w:val="2"/>
        </w:numPr>
        <w:spacing w:after="120" w:line="336" w:lineRule="auto"/>
        <w:jc w:val="both"/>
      </w:pPr>
      <w:r>
        <w:rPr>
          <w:rFonts w:eastAsia="Calibri"/>
          <w:b/>
          <w:bCs/>
        </w:rPr>
        <w:t>Scope of disclosure for internal material</w:t>
      </w:r>
      <w:r>
        <w:rPr>
          <w:rFonts w:eastAsia="Calibri"/>
        </w:rPr>
        <w:t>: The structured evidence for the Singapore findings is the LIP's internal report (submission date of the final version not yet fixed; it includes participants' names and the event budget). External documents and remarks should draw on it only to the extent covered by public press releases, or in the form of an anonymised summary.</w:t>
      </w:r>
    </w:p>
    <w:p>
      <w:pPr>
        <w:keepNext/>
        <w:spacing w:before="240" w:after="160" w:line="300" w:lineRule="auto"/>
      </w:pPr>
      <w:r>
        <w:rPr>
          <w:rFonts w:eastAsia="Calibri"/>
          <w:b/>
          <w:bCs/>
          <w:color w:val="00498F"/>
          <w:sz w:val="26"/>
          <w:szCs w:val="26"/>
        </w:rPr>
        <w:t>3. The Structure of ASEAN–China AI Cooperation</w:t>
      </w:r>
    </w:p>
    <w:p>
      <w:pPr>
        <w:spacing w:after="120" w:line="336" w:lineRule="auto"/>
        <w:jc w:val="both"/>
      </w:pPr>
      <w:r>
        <w:rPr>
          <w:rFonts w:eastAsia="Calibri"/>
        </w:rPr>
        <w:t>Within two years of the October 2024 Joint Statement, ASEAN–China AI cooperation has put institutions and programmes in place at almost every AI layer. China's channels, however, are divided among ministries and local governments, and the details of the AI talent programmes and the ethics and safety initiative have yet to be made public.</w:t>
      </w:r>
    </w:p>
    <w:p>
      <w:pPr>
        <w:keepNext/>
        <w:spacing w:before="220" w:after="110" w:line="300" w:lineRule="auto"/>
      </w:pPr>
      <w:r>
        <w:rPr>
          <w:rFonts w:eastAsia="Calibri"/>
          <w:b/>
          <w:bCs/>
          <w:color w:val="0F63A8"/>
          <w:sz w:val="22"/>
          <w:szCs w:val="22"/>
        </w:rPr>
        <w:t>3.1 Timeline: Key Moments in AI Cooperation</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900"/>
        <w:gridCol w:w="3455"/>
        <w:gridCol w:w="5385"/>
      </w:tblGrid>
      <w:tr>
        <w:trPr>
          <w:tblHeader/>
        </w:trPr>
        <w:tc>
          <w:tcPr>
            <w:tcW w:w="900" w:type="dxa"/>
            <w:shd w:val="clear" w:color="auto" w:fill="00498F"/>
          </w:tcPr>
          <w:p>
            <w:pPr>
              <w:spacing w:line="276" w:lineRule="auto"/>
            </w:pPr>
            <w:r>
              <w:rPr>
                <w:rFonts w:eastAsia="Calibri"/>
                <w:b/>
                <w:bCs/>
                <w:color w:val="FFFFFF"/>
              </w:rPr>
              <w:t>Date</w:t>
            </w:r>
          </w:p>
        </w:tc>
        <w:tc>
          <w:tcPr>
            <w:tcW w:w="3455" w:type="dxa"/>
            <w:shd w:val="clear" w:color="auto" w:fill="00498F"/>
          </w:tcPr>
          <w:p>
            <w:pPr>
              <w:spacing w:line="276" w:lineRule="auto"/>
            </w:pPr>
            <w:r>
              <w:rPr>
                <w:rFonts w:eastAsia="Calibri"/>
                <w:b/>
                <w:bCs/>
                <w:color w:val="FFFFFF"/>
              </w:rPr>
              <w:t>Event</w:t>
            </w:r>
          </w:p>
        </w:tc>
        <w:tc>
          <w:tcPr>
            <w:tcW w:w="5385" w:type="dxa"/>
            <w:shd w:val="clear" w:color="auto" w:fill="00498F"/>
          </w:tcPr>
          <w:p>
            <w:pPr>
              <w:spacing w:line="276" w:lineRule="auto"/>
            </w:pPr>
            <w:r>
              <w:rPr>
                <w:rFonts w:eastAsia="Calibri"/>
                <w:b/>
                <w:bCs/>
                <w:color w:val="FFFFFF"/>
              </w:rPr>
              <w:t>AI-related content</w:t>
            </w:r>
          </w:p>
        </w:tc>
      </w:tr>
      <w:tr>
        <w:trPr>
          <w:cantSplit/>
        </w:trPr>
        <w:tc>
          <w:tcPr>
            <w:tcW w:w="900" w:type="dxa"/>
          </w:tcPr>
          <w:p>
            <w:pPr>
              <w:spacing w:line="276" w:lineRule="auto"/>
            </w:pPr>
            <w:r>
              <w:rPr>
                <w:rFonts w:eastAsia="Calibri"/>
              </w:rPr>
              <w:t>Oct 2024</w:t>
            </w:r>
          </w:p>
        </w:tc>
        <w:tc>
          <w:tcPr>
            <w:tcW w:w="3455" w:type="dxa"/>
          </w:tcPr>
          <w:p>
            <w:pPr>
              <w:spacing w:line="276" w:lineRule="auto"/>
            </w:pPr>
            <w:r>
              <w:rPr>
                <w:rFonts w:eastAsia="Calibri"/>
              </w:rPr>
              <w:t xml:space="preserve">27th ASEAN–China Summit (Vientiane); </w:t>
            </w:r>
            <w:hyperlink r:id="rIdGen1" w:history="1">
              <w:r>
                <w:rPr>
                  <w:rStyle w:val="a5"/>
                  <w:rFonts w:eastAsia="Calibri"/>
                </w:rPr>
                <w:t>Joint Statement on a sustainable and inclusive digital ecosystem</w:t>
              </w:r>
            </w:hyperlink>
          </w:p>
        </w:tc>
        <w:tc>
          <w:tcPr>
            <w:tcW w:w="5385" w:type="dxa"/>
          </w:tcPr>
          <w:p>
            <w:pPr>
              <w:spacing w:line="276" w:lineRule="auto"/>
            </w:pPr>
            <w:r>
              <w:rPr>
                <w:rFonts w:eastAsia="Calibri"/>
              </w:rPr>
              <w:t>Explicitly provides for the exchange of best practices on AI principles, development, safety and governance. The starting point for leaders-level AI cooperation</w:t>
            </w:r>
          </w:p>
        </w:tc>
      </w:tr>
      <w:tr>
        <w:trPr>
          <w:cantSplit/>
        </w:trPr>
        <w:tc>
          <w:tcPr>
            <w:tcW w:w="900" w:type="dxa"/>
          </w:tcPr>
          <w:p>
            <w:pPr>
              <w:spacing w:line="276" w:lineRule="auto"/>
            </w:pPr>
            <w:r>
              <w:rPr>
                <w:rFonts w:eastAsia="Calibri"/>
              </w:rPr>
              <w:t>Dec 2024</w:t>
            </w:r>
          </w:p>
        </w:tc>
        <w:tc>
          <w:tcPr>
            <w:tcW w:w="3455" w:type="dxa"/>
          </w:tcPr>
          <w:p>
            <w:pPr>
              <w:spacing w:line="276" w:lineRule="auto"/>
            </w:pPr>
            <w:r>
              <w:rPr>
                <w:rFonts w:eastAsia="Calibri"/>
              </w:rPr>
              <w:t>CIIS–Cambodian ECOSOCC AI symposium (Phnom Penh); CIIS–CAICT report on AI cooperation</w:t>
            </w:r>
          </w:p>
        </w:tc>
        <w:tc>
          <w:tcPr>
            <w:tcW w:w="5385" w:type="dxa"/>
          </w:tcPr>
          <w:p>
            <w:pPr>
              <w:spacing w:line="276" w:lineRule="auto"/>
            </w:pPr>
            <w:r>
              <w:rPr>
                <w:rFonts w:eastAsia="Calibri"/>
              </w:rPr>
              <w:t>Start of an ASEAN AI track by the institute affiliated with China's Ministry of Foreign Affairs. Proposals cover infrastructure, AI application and innovation ecosystems, and governance dialogue</w:t>
            </w:r>
          </w:p>
        </w:tc>
      </w:tr>
      <w:tr>
        <w:trPr>
          <w:cantSplit/>
        </w:trPr>
        <w:tc>
          <w:tcPr>
            <w:tcW w:w="900" w:type="dxa"/>
          </w:tcPr>
          <w:p>
            <w:pPr>
              <w:spacing w:line="276" w:lineRule="auto"/>
            </w:pPr>
            <w:r>
              <w:rPr>
                <w:rFonts w:eastAsia="Calibri"/>
              </w:rPr>
              <w:t>Sep 2025</w:t>
            </w:r>
          </w:p>
        </w:tc>
        <w:tc>
          <w:tcPr>
            <w:tcW w:w="3455" w:type="dxa"/>
          </w:tcPr>
          <w:p>
            <w:pPr>
              <w:spacing w:line="276" w:lineRule="auto"/>
            </w:pPr>
            <w:r>
              <w:rPr>
                <w:rFonts w:eastAsia="Calibri"/>
              </w:rPr>
              <w:t>1st China–ASEAN ministerial roundtable on AI (Nanning; National Development and Reform Commission and Guangxi)</w:t>
            </w:r>
          </w:p>
        </w:tc>
        <w:tc>
          <w:tcPr>
            <w:tcW w:w="5385" w:type="dxa"/>
          </w:tcPr>
          <w:p>
            <w:pPr>
              <w:spacing w:line="276" w:lineRule="auto"/>
            </w:pPr>
            <w:r>
              <w:rPr>
                <w:rFonts w:eastAsia="Calibri"/>
              </w:rPr>
              <w:t>Groundbreaking for the China–ASEAN AI Application Cooperation Centre (Nanning); announcement of the Lao national language model, China–Lao PDR and China–Cambodia AI standards, and an ASEAN AI open-source community</w:t>
            </w:r>
          </w:p>
        </w:tc>
      </w:tr>
      <w:tr>
        <w:trPr>
          <w:cantSplit/>
        </w:trPr>
        <w:tc>
          <w:tcPr>
            <w:tcW w:w="900" w:type="dxa"/>
          </w:tcPr>
          <w:p>
            <w:pPr>
              <w:spacing w:line="276" w:lineRule="auto"/>
            </w:pPr>
            <w:r>
              <w:rPr>
                <w:rFonts w:eastAsia="Calibri"/>
              </w:rPr>
              <w:t>Sep 2025</w:t>
            </w:r>
          </w:p>
        </w:tc>
        <w:tc>
          <w:tcPr>
            <w:tcW w:w="3455" w:type="dxa"/>
          </w:tcPr>
          <w:p>
            <w:pPr>
              <w:spacing w:line="276" w:lineRule="auto"/>
            </w:pPr>
            <w:r>
              <w:rPr>
                <w:rFonts w:eastAsia="Calibri"/>
              </w:rPr>
              <w:t>Chinese Ministry of Science and Technology's three-year action plan on AI capacity building for ASEAN (2025–2027)</w:t>
            </w:r>
          </w:p>
        </w:tc>
        <w:tc>
          <w:tcPr>
            <w:tcW w:w="5385" w:type="dxa"/>
          </w:tcPr>
          <w:p>
            <w:pPr>
              <w:spacing w:line="276" w:lineRule="auto"/>
            </w:pPr>
            <w:r>
              <w:rPr>
                <w:rFonts w:eastAsia="Calibri"/>
              </w:rPr>
              <w:t>AI capacity building, talent exchanges, joint laboratories</w:t>
            </w:r>
          </w:p>
        </w:tc>
      </w:tr>
      <w:tr>
        <w:trPr>
          <w:cantSplit/>
        </w:trPr>
        <w:tc>
          <w:tcPr>
            <w:tcW w:w="900" w:type="dxa"/>
          </w:tcPr>
          <w:p>
            <w:pPr>
              <w:spacing w:line="276" w:lineRule="auto"/>
            </w:pPr>
            <w:r>
              <w:rPr>
                <w:rFonts w:eastAsia="Calibri"/>
              </w:rPr>
              <w:t>Dec 2025</w:t>
            </w:r>
          </w:p>
        </w:tc>
        <w:tc>
          <w:tcPr>
            <w:tcW w:w="3455" w:type="dxa"/>
          </w:tcPr>
          <w:p>
            <w:pPr>
              <w:spacing w:line="276" w:lineRule="auto"/>
            </w:pPr>
            <w:r>
              <w:rPr>
                <w:rFonts w:eastAsia="Calibri"/>
              </w:rPr>
              <w:t>CIIS–ISEAS joint AI symposium (Singapore)</w:t>
            </w:r>
          </w:p>
        </w:tc>
        <w:tc>
          <w:tcPr>
            <w:tcW w:w="5385" w:type="dxa"/>
          </w:tcPr>
          <w:p>
            <w:pPr>
              <w:spacing w:line="276" w:lineRule="auto"/>
            </w:pPr>
            <w:r>
              <w:rPr>
                <w:rFonts w:eastAsia="Calibri"/>
              </w:rPr>
              <w:t>Fair and responsible AI, cross-border data, AI and jobs</w:t>
            </w:r>
          </w:p>
        </w:tc>
      </w:tr>
      <w:tr>
        <w:trPr>
          <w:cantSplit/>
        </w:trPr>
        <w:tc>
          <w:tcPr>
            <w:tcW w:w="900" w:type="dxa"/>
          </w:tcPr>
          <w:p>
            <w:pPr>
              <w:spacing w:line="276" w:lineRule="auto"/>
            </w:pPr>
            <w:r>
              <w:rPr>
                <w:rFonts w:eastAsia="Calibri"/>
              </w:rPr>
              <w:t>Jan 2026</w:t>
            </w:r>
          </w:p>
        </w:tc>
        <w:tc>
          <w:tcPr>
            <w:tcW w:w="3455" w:type="dxa"/>
          </w:tcPr>
          <w:p>
            <w:pPr>
              <w:spacing w:line="276" w:lineRule="auto"/>
            </w:pPr>
            <w:r>
              <w:rPr>
                <w:rFonts w:eastAsia="Calibri"/>
              </w:rPr>
              <w:t>Consultations with China at the 6th ASEAN Digital Ministers' Meeting (ADGMIN, Hanoi)</w:t>
            </w:r>
          </w:p>
        </w:tc>
        <w:tc>
          <w:tcPr>
            <w:tcW w:w="5385" w:type="dxa"/>
          </w:tcPr>
          <w:p>
            <w:pPr>
              <w:spacing w:line="276" w:lineRule="auto"/>
            </w:pPr>
            <w:r>
              <w:rPr>
                <w:rFonts w:eastAsia="Calibri"/>
              </w:rPr>
              <w:t>Establishment of the China–ASEAN AI Industry Innovation Centre (Beijing) and the Digital Academy announced. The action plan (2026–2030) covers digital talent, open-source AI and AI security governance</w:t>
            </w:r>
          </w:p>
        </w:tc>
      </w:tr>
      <w:tr>
        <w:trPr>
          <w:cantSplit/>
        </w:trPr>
        <w:tc>
          <w:tcPr>
            <w:tcW w:w="900" w:type="dxa"/>
          </w:tcPr>
          <w:p>
            <w:pPr>
              <w:spacing w:line="276" w:lineRule="auto"/>
            </w:pPr>
            <w:r>
              <w:rPr>
                <w:rFonts w:eastAsia="Calibri"/>
              </w:rPr>
              <w:t>May 2026</w:t>
            </w:r>
          </w:p>
        </w:tc>
        <w:tc>
          <w:tcPr>
            <w:tcW w:w="3455" w:type="dxa"/>
          </w:tcPr>
          <w:p>
            <w:pPr>
              <w:spacing w:line="276" w:lineRule="auto"/>
            </w:pPr>
            <w:hyperlink r:id="rIdGen2" w:history="1">
              <w:r>
                <w:rPr>
                  <w:rStyle w:val="a5"/>
                  <w:rFonts w:eastAsia="Calibri"/>
                </w:rPr>
                <w:t>Launch of the China–ASEAN AI Industry Innovation Centre (Beijing)</w:t>
              </w:r>
            </w:hyperlink>
            <w:r>
              <w:rPr>
                <w:rFonts w:eastAsia="Calibri"/>
              </w:rPr>
              <w:t xml:space="preserve"> (24 May)</w:t>
            </w:r>
          </w:p>
        </w:tc>
        <w:tc>
          <w:tcPr>
            <w:tcW w:w="5385" w:type="dxa"/>
          </w:tcPr>
          <w:p>
            <w:pPr>
              <w:spacing w:line="276" w:lineRule="auto"/>
            </w:pPr>
            <w:r>
              <w:rPr>
                <w:rFonts w:eastAsia="Calibri"/>
              </w:rPr>
              <w:t>Four tasks: industrial application of large models, standards and governance tools, regional capacity building, and intelligent infrastructure. ASEAN Secretary-General: AI training for ASEAN officials, company staff and international students</w:t>
            </w:r>
          </w:p>
        </w:tc>
      </w:tr>
      <w:tr>
        <w:trPr>
          <w:cantSplit/>
        </w:trPr>
        <w:tc>
          <w:tcPr>
            <w:tcW w:w="900" w:type="dxa"/>
          </w:tcPr>
          <w:p>
            <w:pPr>
              <w:spacing w:line="276" w:lineRule="auto"/>
            </w:pPr>
            <w:r>
              <w:rPr>
                <w:rFonts w:eastAsia="Calibri"/>
              </w:rPr>
              <w:t>Jul 2026</w:t>
            </w:r>
          </w:p>
        </w:tc>
        <w:tc>
          <w:tcPr>
            <w:tcW w:w="3455" w:type="dxa"/>
          </w:tcPr>
          <w:p>
            <w:pPr>
              <w:spacing w:line="276" w:lineRule="auto"/>
            </w:pPr>
            <w:r>
              <w:rPr>
                <w:rFonts w:eastAsia="Calibri"/>
              </w:rPr>
              <w:t>ASEAN–China Foreign Ministers' Meeting (Manila, 22 July)</w:t>
            </w:r>
          </w:p>
        </w:tc>
        <w:tc>
          <w:tcPr>
            <w:tcW w:w="5385" w:type="dxa"/>
          </w:tcPr>
          <w:p>
            <w:pPr>
              <w:spacing w:line="276" w:lineRule="auto"/>
            </w:pPr>
            <w:r>
              <w:rPr>
                <w:rFonts w:eastAsia="Calibri"/>
              </w:rPr>
              <w:t>The meeting 'noted' the proposal for a 2027 'ASEAN-China AI Cooperation Year'. Who made the proposal is not confirmed in public sources</w:t>
            </w:r>
          </w:p>
        </w:tc>
      </w:tr>
      <w:tr>
        <w:trPr>
          <w:cantSplit/>
        </w:trPr>
        <w:tc>
          <w:tcPr>
            <w:tcW w:w="900" w:type="dxa"/>
          </w:tcPr>
          <w:p>
            <w:pPr>
              <w:spacing w:line="276" w:lineRule="auto"/>
            </w:pPr>
            <w:r>
              <w:rPr>
                <w:rFonts w:eastAsia="Calibri"/>
              </w:rPr>
              <w:t>Jul 2026</w:t>
            </w:r>
          </w:p>
        </w:tc>
        <w:tc>
          <w:tcPr>
            <w:tcW w:w="3455" w:type="dxa"/>
          </w:tcPr>
          <w:p>
            <w:pPr>
              <w:spacing w:line="276" w:lineRule="auto"/>
            </w:pPr>
            <w:r>
              <w:rPr>
                <w:rFonts w:eastAsia="Calibri"/>
              </w:rPr>
              <w:t>Xi Jinping's opening speech at WAIC (17 July); agreement establishing the World AI Cooperation Organization (WAICO)</w:t>
            </w:r>
          </w:p>
        </w:tc>
        <w:tc>
          <w:tcPr>
            <w:tcW w:w="5385" w:type="dxa"/>
          </w:tcPr>
          <w:p>
            <w:pPr>
              <w:spacing w:line="276" w:lineRule="auto"/>
            </w:pPr>
            <w:r>
              <w:rPr>
                <w:rFonts w:eastAsia="Calibri"/>
              </w:rPr>
              <w:t>5,000 AI training and seminar opportunities for developing countries over five years; plans for AI application cooperation centres with ASEAN and others. WAICO: signed by 29 countries, headquartered in Shanghai</w:t>
            </w:r>
          </w:p>
        </w:tc>
      </w:tr>
      <w:tr>
        <w:trPr>
          <w:cantSplit/>
        </w:trPr>
        <w:tc>
          <w:tcPr>
            <w:tcW w:w="900" w:type="dxa"/>
          </w:tcPr>
          <w:p>
            <w:pPr>
              <w:spacing w:line="276" w:lineRule="auto"/>
            </w:pPr>
            <w:r>
              <w:rPr>
                <w:rFonts w:eastAsia="Calibri"/>
              </w:rPr>
              <w:t>Late Jul 2026</w:t>
            </w:r>
          </w:p>
        </w:tc>
        <w:tc>
          <w:tcPr>
            <w:tcW w:w="3455" w:type="dxa"/>
          </w:tcPr>
          <w:p>
            <w:pPr>
              <w:spacing w:line="276" w:lineRule="auto"/>
            </w:pPr>
            <w:r>
              <w:rPr>
                <w:rFonts w:eastAsia="Calibri"/>
              </w:rPr>
              <w:t>China–ASEAN Education Cooperation Week (Guiyang)</w:t>
            </w:r>
          </w:p>
        </w:tc>
        <w:tc>
          <w:tcPr>
            <w:tcW w:w="5385" w:type="dxa"/>
          </w:tcPr>
          <w:p>
            <w:pPr>
              <w:spacing w:line="276" w:lineRule="auto"/>
            </w:pPr>
            <w:r>
              <w:rPr>
                <w:rFonts w:eastAsia="Calibri"/>
              </w:rPr>
              <w:t>Smart Education Capacity Building Project launched. Linked to China's 'AI+Education' action plan; details not disclosed</w:t>
            </w:r>
          </w:p>
        </w:tc>
      </w:tr>
      <w:tr>
        <w:trPr>
          <w:cantSplit/>
        </w:trPr>
        <w:tc>
          <w:tcPr>
            <w:tcW w:w="900" w:type="dxa"/>
          </w:tcPr>
          <w:p>
            <w:pPr>
              <w:spacing w:line="276" w:lineRule="auto"/>
            </w:pPr>
            <w:r>
              <w:rPr>
                <w:rFonts w:eastAsia="Calibri"/>
              </w:rPr>
              <w:t>Sep 2026</w:t>
            </w:r>
          </w:p>
        </w:tc>
        <w:tc>
          <w:tcPr>
            <w:tcW w:w="3455" w:type="dxa"/>
          </w:tcPr>
          <w:p>
            <w:pPr>
              <w:spacing w:line="276" w:lineRule="auto"/>
            </w:pPr>
            <w:r>
              <w:rPr>
                <w:rFonts w:eastAsia="Calibri"/>
              </w:rPr>
              <w:t>2nd ministerial roundtable on AI (Nanning, 17 September); opening of the Guangxi branch of the China–ASEAN AI Industry Innovation Centre (Beijing)</w:t>
            </w:r>
          </w:p>
        </w:tc>
        <w:tc>
          <w:tcPr>
            <w:tcW w:w="5385" w:type="dxa"/>
          </w:tcPr>
          <w:p>
            <w:pPr>
              <w:spacing w:line="276" w:lineRule="auto"/>
            </w:pPr>
            <w:r>
              <w:rPr>
                <w:rFonts w:eastAsia="Calibri"/>
              </w:rPr>
              <w:t>AI ethics and safety cooperation initiative for ASEAN announced (details not disclosed); casebook of 31 AI cooperation cases. Viet Nam proposed AI governance dialogue, safe AI research and testing, and human resource development</w:t>
            </w:r>
          </w:p>
        </w:tc>
      </w:tr>
      <w:tr>
        <w:trPr>
          <w:cantSplit/>
        </w:trPr>
        <w:tc>
          <w:tcPr>
            <w:tcW w:w="900" w:type="dxa"/>
          </w:tcPr>
          <w:p>
            <w:pPr>
              <w:spacing w:line="276" w:lineRule="auto"/>
            </w:pPr>
            <w:r>
              <w:rPr>
                <w:rFonts w:eastAsia="Calibri"/>
              </w:rPr>
              <w:t>Oct 2026</w:t>
            </w:r>
          </w:p>
        </w:tc>
        <w:tc>
          <w:tcPr>
            <w:tcW w:w="3455" w:type="dxa"/>
          </w:tcPr>
          <w:p>
            <w:pPr>
              <w:spacing w:line="276" w:lineRule="auto"/>
            </w:pPr>
            <w:r>
              <w:rPr>
                <w:rFonts w:eastAsia="Calibri"/>
              </w:rPr>
              <w:t>CIIS China–ASEAN AI governance roundtable (during the ASEAN Foundation mission)</w:t>
            </w:r>
          </w:p>
        </w:tc>
        <w:tc>
          <w:tcPr>
            <w:tcW w:w="5385" w:type="dxa"/>
          </w:tcPr>
          <w:p>
            <w:pPr>
              <w:spacing w:line="276" w:lineRule="auto"/>
            </w:pPr>
            <w:r>
              <w:rPr>
                <w:rFonts w:eastAsia="Calibri"/>
              </w:rPr>
              <w:t>Ilan Asqolani scheduled to speak in Session 2, 'Strengthening AI Capacity and Empowering Industries across China and ASEAN'. Date and time to be confirmed once the agenda is circulated</w:t>
            </w:r>
          </w:p>
        </w:tc>
      </w:tr>
    </w:tbl>
    <w:p>
      <w:pPr>
        <w:spacing w:after="60" w:line="120" w:lineRule="auto"/>
      </w:pPr>
    </w:p>
    <w:p>
      <w:pPr>
        <w:keepNext/>
        <w:spacing w:before="220" w:after="110" w:line="300" w:lineRule="auto"/>
      </w:pPr>
      <w:r>
        <w:rPr>
          <w:rFonts w:eastAsia="Calibri"/>
          <w:b/>
          <w:bCs/>
          <w:color w:val="0F63A8"/>
          <w:sz w:val="22"/>
          <w:szCs w:val="22"/>
        </w:rPr>
        <w:t>3.2 Map by AI Layer</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632"/>
        <w:gridCol w:w="2212"/>
        <w:gridCol w:w="2752"/>
        <w:gridCol w:w="1512"/>
        <w:gridCol w:w="1632"/>
      </w:tblGrid>
      <w:tr>
        <w:trPr>
          <w:tblHeader/>
        </w:trPr>
        <w:tc>
          <w:tcPr>
            <w:tcW w:w="1632" w:type="dxa"/>
            <w:shd w:val="clear" w:color="auto" w:fill="00498F"/>
          </w:tcPr>
          <w:p>
            <w:pPr>
              <w:spacing w:line="276" w:lineRule="auto"/>
            </w:pPr>
            <w:r>
              <w:rPr>
                <w:rFonts w:eastAsia="Calibri"/>
                <w:b/>
                <w:bCs/>
                <w:color w:val="FFFFFF"/>
                <w:sz w:val="17"/>
                <w:szCs w:val="17"/>
              </w:rPr>
              <w:t>AI layer</w:t>
            </w:r>
          </w:p>
        </w:tc>
        <w:tc>
          <w:tcPr>
            <w:tcW w:w="2212" w:type="dxa"/>
            <w:shd w:val="clear" w:color="auto" w:fill="00498F"/>
          </w:tcPr>
          <w:p>
            <w:pPr>
              <w:spacing w:line="276" w:lineRule="auto"/>
            </w:pPr>
            <w:r>
              <w:rPr>
                <w:rFonts w:eastAsia="Calibri"/>
                <w:b/>
                <w:bCs/>
                <w:color w:val="FFFFFF"/>
                <w:sz w:val="17"/>
                <w:szCs w:val="17"/>
              </w:rPr>
              <w:t>ASEAN's own frameworks</w:t>
            </w:r>
          </w:p>
        </w:tc>
        <w:tc>
          <w:tcPr>
            <w:tcW w:w="2752" w:type="dxa"/>
            <w:shd w:val="clear" w:color="auto" w:fill="00498F"/>
          </w:tcPr>
          <w:p>
            <w:pPr>
              <w:spacing w:line="276" w:lineRule="auto"/>
            </w:pPr>
            <w:r>
              <w:rPr>
                <w:rFonts w:eastAsia="Calibri"/>
                <w:b/>
                <w:bCs/>
                <w:color w:val="FFFFFF"/>
                <w:sz w:val="17"/>
                <w:szCs w:val="17"/>
              </w:rPr>
              <w:t>ASEAN–China cooperation</w:t>
            </w:r>
          </w:p>
        </w:tc>
        <w:tc>
          <w:tcPr>
            <w:tcW w:w="1512" w:type="dxa"/>
            <w:shd w:val="clear" w:color="auto" w:fill="00498F"/>
          </w:tcPr>
          <w:p>
            <w:pPr>
              <w:spacing w:line="276" w:lineRule="auto"/>
            </w:pPr>
            <w:r>
              <w:rPr>
                <w:rFonts w:eastAsia="Calibri"/>
                <w:b/>
                <w:bCs/>
                <w:color w:val="FFFFFF"/>
                <w:sz w:val="17"/>
                <w:szCs w:val="17"/>
              </w:rPr>
              <w:t>Chinese lead body</w:t>
            </w:r>
          </w:p>
        </w:tc>
        <w:tc>
          <w:tcPr>
            <w:tcW w:w="1632" w:type="dxa"/>
            <w:shd w:val="clear" w:color="auto" w:fill="00498F"/>
          </w:tcPr>
          <w:p>
            <w:pPr>
              <w:spacing w:line="276" w:lineRule="auto"/>
            </w:pPr>
            <w:r>
              <w:rPr>
                <w:rFonts w:eastAsia="Calibri"/>
                <w:b/>
                <w:bCs/>
                <w:color w:val="FFFFFF"/>
                <w:sz w:val="17"/>
                <w:szCs w:val="17"/>
              </w:rPr>
              <w:t>Foundation entry points</w:t>
            </w:r>
          </w:p>
        </w:tc>
      </w:tr>
      <w:tr>
        <w:trPr>
          <w:cantSplit/>
        </w:trPr>
        <w:tc>
          <w:tcPr>
            <w:tcW w:w="1632" w:type="dxa"/>
          </w:tcPr>
          <w:p>
            <w:pPr>
              <w:spacing w:line="276" w:lineRule="auto"/>
            </w:pPr>
            <w:r>
              <w:rPr>
                <w:rFonts w:eastAsia="Calibri"/>
                <w:sz w:val="17"/>
                <w:szCs w:val="17"/>
              </w:rPr>
              <w:t>Governance and safety</w:t>
            </w:r>
          </w:p>
        </w:tc>
        <w:tc>
          <w:tcPr>
            <w:tcW w:w="2212" w:type="dxa"/>
          </w:tcPr>
          <w:p>
            <w:pPr>
              <w:spacing w:line="276" w:lineRule="auto"/>
            </w:pPr>
            <w:r>
              <w:rPr>
                <w:rFonts w:eastAsia="Calibri"/>
                <w:sz w:val="17"/>
                <w:szCs w:val="17"/>
              </w:rPr>
              <w:t>ASEAN Guide on AI Governance and Ethics (2024) and Expanded ASEAN Guide on AI Governance and Ethics: Generative AI (2025); ASEAN Responsible AI Roadmap 2025–2030; Working Group on AI Governance (WG-AI); ASEAN AI Safe</w:t>
            </w:r>
          </w:p>
        </w:tc>
        <w:tc>
          <w:tcPr>
            <w:tcW w:w="2752" w:type="dxa"/>
          </w:tcPr>
          <w:p>
            <w:pPr>
              <w:spacing w:line="276" w:lineRule="auto"/>
            </w:pPr>
            <w:r>
              <w:rPr>
                <w:rFonts w:eastAsia="Calibri"/>
                <w:sz w:val="17"/>
                <w:szCs w:val="17"/>
              </w:rPr>
              <w:t>Ministerial roundtable on AI; AI ethics and safety cooperation initiative (September 2026); CIIS roundtable</w:t>
            </w:r>
          </w:p>
        </w:tc>
        <w:tc>
          <w:tcPr>
            <w:tcW w:w="1512" w:type="dxa"/>
          </w:tcPr>
          <w:p>
            <w:pPr>
              <w:spacing w:line="276" w:lineRule="auto"/>
            </w:pPr>
            <w:r>
              <w:rPr>
                <w:rFonts w:eastAsia="Calibri"/>
                <w:sz w:val="17"/>
                <w:szCs w:val="17"/>
              </w:rPr>
              <w:t>National Development and Reform Commission (NDRC) and Guangxi; Ministry of Foreign Affairs and CIIS</w:t>
            </w:r>
          </w:p>
        </w:tc>
        <w:tc>
          <w:tcPr>
            <w:tcW w:w="1632" w:type="dxa"/>
          </w:tcPr>
          <w:p>
            <w:pPr>
              <w:spacing w:line="276" w:lineRule="auto"/>
            </w:pPr>
            <w:r>
              <w:rPr>
                <w:rFonts w:eastAsia="Calibri"/>
                <w:sz w:val="17"/>
                <w:szCs w:val="17"/>
              </w:rPr>
              <w:t>Education in responsible AI use (ethics and disinformation modules)</w:t>
            </w:r>
          </w:p>
        </w:tc>
      </w:tr>
      <w:tr>
        <w:trPr>
          <w:cantSplit/>
        </w:trPr>
        <w:tc>
          <w:tcPr>
            <w:tcW w:w="1632" w:type="dxa"/>
          </w:tcPr>
          <w:p>
            <w:pPr>
              <w:spacing w:line="276" w:lineRule="auto"/>
            </w:pPr>
            <w:r>
              <w:rPr>
                <w:rFonts w:eastAsia="Calibri"/>
                <w:sz w:val="17"/>
                <w:szCs w:val="17"/>
              </w:rPr>
              <w:t>Industrial application</w:t>
            </w:r>
          </w:p>
        </w:tc>
        <w:tc>
          <w:tcPr>
            <w:tcW w:w="2212" w:type="dxa"/>
          </w:tcPr>
          <w:p>
            <w:pPr>
              <w:spacing w:line="276" w:lineRule="auto"/>
            </w:pPr>
            <w:r>
              <w:rPr>
                <w:rFonts w:eastAsia="Calibri"/>
                <w:sz w:val="17"/>
                <w:szCs w:val="17"/>
              </w:rPr>
              <w:t>ASEAN Digital Masterplan 2030; declaration on 'AI-driven MSME growth' being pursued by the Philippine Chairmanship</w:t>
            </w:r>
          </w:p>
        </w:tc>
        <w:tc>
          <w:tcPr>
            <w:tcW w:w="2752" w:type="dxa"/>
          </w:tcPr>
          <w:p>
            <w:pPr>
              <w:spacing w:line="276" w:lineRule="auto"/>
            </w:pPr>
            <w:r>
              <w:rPr>
                <w:rFonts w:eastAsia="Calibri"/>
                <w:sz w:val="17"/>
                <w:szCs w:val="17"/>
              </w:rPr>
              <w:t>China–ASEAN AI Industry Innovation Centre (Beijing) and its Guangxi branch; China–ASEAN AI Application Cooperation Centre (Nanning), with offices in Viet Nam, Lao PDR and Malaysia; casebook of 31 cases</w:t>
            </w:r>
          </w:p>
        </w:tc>
        <w:tc>
          <w:tcPr>
            <w:tcW w:w="1512" w:type="dxa"/>
          </w:tcPr>
          <w:p>
            <w:pPr>
              <w:spacing w:line="276" w:lineRule="auto"/>
            </w:pPr>
            <w:r>
              <w:rPr>
                <w:rFonts w:eastAsia="Calibri"/>
                <w:sz w:val="17"/>
                <w:szCs w:val="17"/>
              </w:rPr>
              <w:t>Ministry of Industry and Information Technology (MIIT); NDRC and Guangxi</w:t>
            </w:r>
          </w:p>
        </w:tc>
        <w:tc>
          <w:tcPr>
            <w:tcW w:w="1632" w:type="dxa"/>
          </w:tcPr>
          <w:p>
            <w:pPr>
              <w:spacing w:line="276" w:lineRule="auto"/>
            </w:pPr>
            <w:r>
              <w:rPr>
                <w:rFonts w:eastAsia="Calibri"/>
                <w:sz w:val="17"/>
                <w:szCs w:val="17"/>
              </w:rPr>
              <w:t>AIM ASEAN (AI adoption by MSMEs)</w:t>
            </w:r>
          </w:p>
        </w:tc>
      </w:tr>
      <w:tr>
        <w:trPr>
          <w:cantSplit/>
        </w:trPr>
        <w:tc>
          <w:tcPr>
            <w:tcW w:w="1632" w:type="dxa"/>
          </w:tcPr>
          <w:p>
            <w:pPr>
              <w:spacing w:line="276" w:lineRule="auto"/>
            </w:pPr>
            <w:r>
              <w:rPr>
                <w:rFonts w:eastAsia="Calibri"/>
                <w:sz w:val="17"/>
                <w:szCs w:val="17"/>
              </w:rPr>
              <w:t>Talent and capacity</w:t>
            </w:r>
          </w:p>
        </w:tc>
        <w:tc>
          <w:tcPr>
            <w:tcW w:w="2212" w:type="dxa"/>
          </w:tcPr>
          <w:p>
            <w:pPr>
              <w:spacing w:line="276" w:lineRule="auto"/>
            </w:pPr>
            <w:r>
              <w:rPr>
                <w:rFonts w:eastAsia="Calibri"/>
                <w:sz w:val="17"/>
                <w:szCs w:val="17"/>
              </w:rPr>
              <w:t>Hanoi Digital Declaration (future digital workforce)</w:t>
            </w:r>
          </w:p>
        </w:tc>
        <w:tc>
          <w:tcPr>
            <w:tcW w:w="2752" w:type="dxa"/>
          </w:tcPr>
          <w:p>
            <w:pPr>
              <w:spacing w:line="276" w:lineRule="auto"/>
            </w:pPr>
            <w:r>
              <w:rPr>
                <w:rFonts w:eastAsia="Calibri"/>
                <w:sz w:val="17"/>
                <w:szCs w:val="17"/>
              </w:rPr>
              <w:t>Ministry of Science and Technology's three-year plan; training at the China–ASEAN AI Industry Innovation Centre (Beijing); 5,000 AI training and seminar opportunities (open to all developing countries; ASEAN allocation not confirmed); Digital Academy; Smart Education (AI+Education)</w:t>
            </w:r>
          </w:p>
        </w:tc>
        <w:tc>
          <w:tcPr>
            <w:tcW w:w="1512" w:type="dxa"/>
          </w:tcPr>
          <w:p>
            <w:pPr>
              <w:spacing w:line="276" w:lineRule="auto"/>
            </w:pPr>
            <w:r>
              <w:rPr>
                <w:rFonts w:eastAsia="Calibri"/>
                <w:sz w:val="17"/>
                <w:szCs w:val="17"/>
              </w:rPr>
              <w:t>Ministry of Foreign Affairs; Ministry of Science and Technology; MIIT; Ministry of Education</w:t>
            </w:r>
          </w:p>
        </w:tc>
        <w:tc>
          <w:tcPr>
            <w:tcW w:w="1632" w:type="dxa"/>
          </w:tcPr>
          <w:p>
            <w:pPr>
              <w:spacing w:line="276" w:lineRule="auto"/>
            </w:pPr>
            <w:r>
              <w:rPr>
                <w:rFonts w:eastAsia="Calibri"/>
                <w:sz w:val="17"/>
                <w:szCs w:val="17"/>
              </w:rPr>
              <w:t>AI Ready ASEAN (teachers and students); Master Trainer</w:t>
            </w:r>
          </w:p>
        </w:tc>
      </w:tr>
      <w:tr>
        <w:trPr>
          <w:cantSplit/>
        </w:trPr>
        <w:tc>
          <w:tcPr>
            <w:tcW w:w="1632" w:type="dxa"/>
          </w:tcPr>
          <w:p>
            <w:pPr>
              <w:spacing w:line="276" w:lineRule="auto"/>
            </w:pPr>
            <w:r>
              <w:rPr>
                <w:rFonts w:eastAsia="Calibri"/>
                <w:sz w:val="17"/>
                <w:szCs w:val="17"/>
              </w:rPr>
              <w:t>Language, data and open source</w:t>
            </w:r>
          </w:p>
        </w:tc>
        <w:tc>
          <w:tcPr>
            <w:tcW w:w="2212" w:type="dxa"/>
          </w:tcPr>
          <w:p>
            <w:pPr>
              <w:spacing w:line="276" w:lineRule="auto"/>
            </w:pPr>
            <w:r>
              <w:rPr>
                <w:rFonts w:eastAsia="Calibri"/>
                <w:sz w:val="17"/>
                <w:szCs w:val="17"/>
              </w:rPr>
              <w:t>Regional language models (e.g. Singapore's SEA-LION, covering 11 regional languages)</w:t>
            </w:r>
          </w:p>
        </w:tc>
        <w:tc>
          <w:tcPr>
            <w:tcW w:w="2752" w:type="dxa"/>
          </w:tcPr>
          <w:p>
            <w:pPr>
              <w:spacing w:line="276" w:lineRule="auto"/>
            </w:pPr>
            <w:r>
              <w:rPr>
                <w:rFonts w:eastAsia="Calibri"/>
                <w:sz w:val="17"/>
                <w:szCs w:val="17"/>
              </w:rPr>
              <w:t>Lao national language model; ASEAN AI open-source community; open-source AI in the action plan</w:t>
            </w:r>
          </w:p>
        </w:tc>
        <w:tc>
          <w:tcPr>
            <w:tcW w:w="1512" w:type="dxa"/>
          </w:tcPr>
          <w:p>
            <w:pPr>
              <w:spacing w:line="276" w:lineRule="auto"/>
            </w:pPr>
            <w:r>
              <w:rPr>
                <w:rFonts w:eastAsia="Calibri"/>
                <w:sz w:val="17"/>
                <w:szCs w:val="17"/>
              </w:rPr>
              <w:t>NDRC and Guangxi; MIIT</w:t>
            </w:r>
          </w:p>
        </w:tc>
        <w:tc>
          <w:tcPr>
            <w:tcW w:w="1632" w:type="dxa"/>
          </w:tcPr>
          <w:p>
            <w:pPr>
              <w:spacing w:line="276" w:lineRule="auto"/>
            </w:pPr>
            <w:r>
              <w:rPr>
                <w:rFonts w:eastAsia="Calibri"/>
                <w:sz w:val="17"/>
                <w:szCs w:val="17"/>
              </w:rPr>
              <w:t>Local-language AI content and terminology in AI Class ASEAN</w:t>
            </w:r>
          </w:p>
        </w:tc>
      </w:tr>
      <w:tr>
        <w:trPr>
          <w:cantSplit/>
        </w:trPr>
        <w:tc>
          <w:tcPr>
            <w:tcW w:w="1632" w:type="dxa"/>
          </w:tcPr>
          <w:p>
            <w:pPr>
              <w:spacing w:line="276" w:lineRule="auto"/>
            </w:pPr>
            <w:r>
              <w:rPr>
                <w:rFonts w:eastAsia="Calibri"/>
                <w:sz w:val="17"/>
                <w:szCs w:val="17"/>
              </w:rPr>
              <w:t>Infrastructure and computing</w:t>
            </w:r>
          </w:p>
        </w:tc>
        <w:tc>
          <w:tcPr>
            <w:tcW w:w="2212" w:type="dxa"/>
          </w:tcPr>
          <w:p>
            <w:pPr>
              <w:spacing w:line="276" w:lineRule="auto"/>
            </w:pPr>
            <w:r>
              <w:rPr>
                <w:rFonts w:eastAsia="Calibri"/>
                <w:sz w:val="17"/>
                <w:szCs w:val="17"/>
              </w:rPr>
              <w:t>ASEAN Digital Masterplan 2030 (digital infrastructure)</w:t>
            </w:r>
          </w:p>
        </w:tc>
        <w:tc>
          <w:tcPr>
            <w:tcW w:w="2752" w:type="dxa"/>
          </w:tcPr>
          <w:p>
            <w:pPr>
              <w:spacing w:line="276" w:lineRule="auto"/>
            </w:pPr>
            <w:r>
              <w:rPr>
                <w:rFonts w:eastAsia="Calibri"/>
                <w:sz w:val="17"/>
                <w:szCs w:val="17"/>
              </w:rPr>
              <w:t>Joint development of intelligent infrastructure through the China–ASEAN AI Industry Innovation Centre (Beijing)</w:t>
            </w:r>
          </w:p>
        </w:tc>
        <w:tc>
          <w:tcPr>
            <w:tcW w:w="1512" w:type="dxa"/>
          </w:tcPr>
          <w:p>
            <w:pPr>
              <w:spacing w:line="276" w:lineRule="auto"/>
            </w:pPr>
            <w:r>
              <w:rPr>
                <w:rFonts w:eastAsia="Calibri"/>
                <w:sz w:val="17"/>
                <w:szCs w:val="17"/>
              </w:rPr>
              <w:t>MIIT</w:t>
            </w:r>
          </w:p>
        </w:tc>
        <w:tc>
          <w:tcPr>
            <w:tcW w:w="1632" w:type="dxa"/>
          </w:tcPr>
          <w:p>
            <w:pPr>
              <w:spacing w:line="276" w:lineRule="auto"/>
            </w:pPr>
            <w:r>
              <w:rPr>
                <w:rFonts w:eastAsia="Calibri"/>
                <w:sz w:val="17"/>
                <w:szCs w:val="17"/>
              </w:rPr>
              <w:t>—</w:t>
            </w:r>
          </w:p>
        </w:tc>
      </w:tr>
    </w:tbl>
    <w:p>
      <w:pPr>
        <w:spacing w:after="60" w:line="120" w:lineRule="auto"/>
      </w:pPr>
    </w:p>
    <w:p>
      <w:pPr>
        <w:spacing w:after="120" w:line="336" w:lineRule="auto"/>
        <w:jc w:val="both"/>
      </w:pPr>
      <w:r>
        <w:rPr>
          <w:rFonts w:eastAsia="Calibri"/>
          <w:b/>
          <w:bCs/>
          <w:color w:val="0F63A8"/>
        </w:rPr>
        <w:t>[Assessment]</w:t>
      </w:r>
      <w:r>
        <w:rPr>
          <w:rFonts w:eastAsia="Calibri"/>
        </w:rPr>
        <w:t xml:space="preserve"> Four points stand out from this map.</w:t>
      </w:r>
    </w:p>
    <w:p>
      <w:pPr>
        <w:pStyle w:val="a4"/>
        <w:numPr>
          <w:ilvl w:val="0"/>
          <w:numId w:val="5"/>
        </w:numPr>
        <w:spacing w:after="60" w:line="336" w:lineRule="auto"/>
        <w:jc w:val="both"/>
      </w:pPr>
      <w:r>
        <w:rPr>
          <w:rFonts w:eastAsia="Calibri"/>
          <w:b/>
          <w:bCs/>
        </w:rPr>
        <w:t>China offers AI as a package.</w:t>
      </w:r>
      <w:r>
        <w:rPr>
          <w:rFonts w:eastAsia="Calibri"/>
        </w:rPr>
        <w:t xml:space="preserve"> It puts everything on the table at once, from infrastructure through industrial application and talent to standards and norms. ASEAN has its governance documents in place, but platforms on the Chinese side lead most of the implementation.</w:t>
      </w:r>
    </w:p>
    <w:p>
      <w:pPr>
        <w:pStyle w:val="a4"/>
        <w:numPr>
          <w:ilvl w:val="0"/>
          <w:numId w:val="5"/>
        </w:numPr>
        <w:spacing w:after="60" w:line="336" w:lineRule="auto"/>
        <w:jc w:val="both"/>
      </w:pPr>
      <w:r>
        <w:rPr>
          <w:rFonts w:eastAsia="Calibri"/>
          <w:b/>
          <w:bCs/>
        </w:rPr>
        <w:t>The gap is 'the people who use AI'.</w:t>
      </w:r>
      <w:r>
        <w:rPr>
          <w:rFonts w:eastAsia="Calibri"/>
        </w:rPr>
        <w:t xml:space="preserve"> Talent programmes centre on officials, engineers and international students. For teachers, citizens and MSMEs, there are only courses run by Chinese companies and platforms, plus Smart Education, whose target audience has not been disclosed; no ASEAN-led, technology-neutral AI capacity programme is linked to the cooperation. How participants will be supported in applying AI after training, and how outcomes will be measured, have not been disclosed either. The Foundation's two programmes sit in this gap.</w:t>
      </w:r>
    </w:p>
    <w:p>
      <w:pPr>
        <w:pStyle w:val="a4"/>
        <w:numPr>
          <w:ilvl w:val="0"/>
          <w:numId w:val="5"/>
        </w:numPr>
        <w:spacing w:after="60" w:line="336" w:lineRule="auto"/>
        <w:jc w:val="both"/>
      </w:pPr>
      <w:r>
        <w:rPr>
          <w:rFonts w:eastAsia="Calibri"/>
          <w:b/>
          <w:bCs/>
        </w:rPr>
        <w:t>In the governance and safety layer, the Foundation's contribution is 'user-side safety'.</w:t>
      </w:r>
      <w:r>
        <w:rPr>
          <w:rFonts w:eastAsia="Calibri"/>
        </w:rPr>
        <w:t xml:space="preserve"> It pairs supply-side measures, such as model testing and standards, with a demand-side one: the ability to understand AI and use it critically. The CIIS roundtable (Track 1.5) is a venue for making this case in the Foundation's own voice. As CIIS sits under China's Ministry of Foreign Affairs, remarks should be prepared on the assumption that they will be passed on to the Chinese government.</w:t>
      </w:r>
    </w:p>
    <w:p>
      <w:pPr>
        <w:pStyle w:val="a4"/>
        <w:numPr>
          <w:ilvl w:val="0"/>
          <w:numId w:val="5"/>
        </w:numPr>
        <w:spacing w:after="120" w:line="336" w:lineRule="auto"/>
        <w:jc w:val="both"/>
      </w:pPr>
      <w:r>
        <w:rPr>
          <w:rFonts w:eastAsia="Calibri"/>
          <w:b/>
          <w:bCs/>
        </w:rPr>
        <w:t>Now is the design stage.</w:t>
      </w:r>
      <w:r>
        <w:rPr>
          <w:rFonts w:eastAsia="Calibri"/>
        </w:rPr>
        <w:t xml:space="preserve"> Details of the AI ethics and safety initiative, the training courses at the China–ASEAN AI Industry Innovation Centre (Beijing) and Smart Education have yet to be made public. The next decision point is the November 2026 Summit and whether the 2027 ASEAN–China Year of AI Cooperation is adopted. If it is, both sides will be looking for AI cooperation deliverables for 2027.</w:t>
      </w:r>
    </w:p>
    <w:p>
      <w:pPr>
        <w:keepNext/>
        <w:spacing w:before="220" w:after="110" w:line="300" w:lineRule="auto"/>
      </w:pPr>
      <w:r>
        <w:rPr>
          <w:rFonts w:eastAsia="Calibri"/>
          <w:b/>
          <w:bCs/>
          <w:color w:val="0F63A8"/>
          <w:sz w:val="22"/>
          <w:szCs w:val="22"/>
        </w:rPr>
        <w:t>3.3 Background: The Two Sides' AI Strategies</w:t>
      </w:r>
    </w:p>
    <w:p>
      <w:pPr>
        <w:spacing w:after="120" w:line="336" w:lineRule="auto"/>
        <w:jc w:val="both"/>
      </w:pPr>
      <w:r>
        <w:rPr>
          <w:rFonts w:eastAsia="Calibri"/>
          <w:b/>
          <w:bCs/>
        </w:rPr>
        <w:t>ASEAN: non-binding AI governance and phased implementation.</w:t>
      </w:r>
      <w:r>
        <w:rPr>
          <w:rFonts w:eastAsia="Calibri"/>
        </w:rPr>
        <w:t xml:space="preserve"> The pillars are the ASEAN Guide on AI Governance and Ethics (February 2024), the Expanded ASEAN Guide on AI Governance and Ethics: Generative AI (January 2025), the ASEAN </w:t>
      </w:r>
      <w:hyperlink r:id="rIdGen3" w:history="1">
        <w:r>
          <w:rPr>
            <w:rStyle w:val="a5"/>
            <w:rFonts w:eastAsia="Calibri"/>
          </w:rPr>
          <w:t>Responsible AI Roadmap 2025–2030</w:t>
        </w:r>
      </w:hyperlink>
      <w:r>
        <w:rPr>
          <w:rFonts w:eastAsia="Calibri"/>
        </w:rPr>
        <w:t xml:space="preserve"> (adopted March 2025), WG-AI and ASEAN AI Safe (Leaders' Declaration, October 2025; secretariat in Kuala Lumpur). In the </w:t>
      </w:r>
      <w:hyperlink r:id="rIdGen4" w:history="1">
        <w:r>
          <w:rPr>
            <w:rStyle w:val="a5"/>
            <w:rFonts w:eastAsia="Calibri"/>
          </w:rPr>
          <w:t>Hanoi Digital Declaration</w:t>
        </w:r>
      </w:hyperlink>
      <w:r>
        <w:rPr>
          <w:rFonts w:eastAsia="Calibri"/>
        </w:rPr>
        <w:t xml:space="preserve"> of January 2026, ASEAN agreed on AI policy harmonisation and collective safety through WG-AI and ASEAN AI Safe. All of these are non-binding, and member states implement them at their own pace. ASEAN AI Safe is an internal ASEAN mechanism, not an ASEAN–China cooperation programme.</w:t>
      </w:r>
    </w:p>
    <w:p>
      <w:pPr>
        <w:spacing w:after="120" w:line="336" w:lineRule="auto"/>
        <w:jc w:val="both"/>
      </w:pPr>
      <w:r>
        <w:rPr>
          <w:rFonts w:eastAsia="Calibri"/>
          <w:b/>
          <w:bCs/>
        </w:rPr>
        <w:t>China: AI capacity building as a pillar of its diplomacy towards developing countries.</w:t>
      </w:r>
      <w:r>
        <w:rPr>
          <w:rFonts w:eastAsia="Calibri"/>
        </w:rPr>
        <w:t xml:space="preserve"> In its </w:t>
      </w:r>
      <w:hyperlink r:id="rIdGen5" w:history="1">
        <w:r>
          <w:rPr>
            <w:rStyle w:val="a5"/>
            <w:rFonts w:eastAsia="Calibri"/>
          </w:rPr>
          <w:t>AI Capacity-Building Action Plan for Good and for All</w:t>
        </w:r>
      </w:hyperlink>
      <w:r>
        <w:rPr>
          <w:rFonts w:eastAsia="Calibri"/>
        </w:rPr>
        <w:t xml:space="preserve"> (September 2024), China set out five goals: infrastructure, industry (AI+), talent development, data and safety. It followed with the Global AI Governance Action Plan in July 2025 and, in July 2026, the establishment of WAICO and 5,000 AI training opportunities. An ISEAS analysis identifies three channels for China–ASEAN AI exchanges: research centres and laboratories, policy forums, and training programmes. East Asia Forum (July 2026) argues that ASEAN should strike a balance by sourcing from multiple AI ecosystems and investing in its own capabilities.</w:t>
      </w:r>
    </w:p>
    <w:p>
      <w:pPr>
        <w:spacing w:after="120" w:line="336" w:lineRule="auto"/>
        <w:jc w:val="both"/>
      </w:pPr>
      <w:r>
        <w:rPr>
          <w:rFonts w:eastAsia="Calibri"/>
          <w:b/>
          <w:bCs/>
          <w:color w:val="0F63A8"/>
        </w:rPr>
        <w:t>[Assessment]</w:t>
      </w:r>
      <w:r>
        <w:rPr>
          <w:rFonts w:eastAsia="Calibri"/>
        </w:rPr>
        <w:t xml:space="preserve"> For China, AI capacity building is an instrument tied to spreading its AI industry and standards. When ASEAN bodies contribute, they should therefore settle first what is off the table (learner data, lock-in to a particular AI platform), as much as what they put on it. By foregrounding alignment with ASEAN's non-binding AI governance frameworks, they can contribute while ASEAN retains the lead in the cooperation.</w:t>
      </w:r>
    </w:p>
    <w:p>
      <w:pPr>
        <w:keepNext/>
        <w:spacing w:before="240" w:after="160" w:line="300" w:lineRule="auto"/>
      </w:pPr>
      <w:r>
        <w:rPr>
          <w:rFonts w:eastAsia="Calibri"/>
          <w:b/>
          <w:bCs/>
          <w:color w:val="00498F"/>
          <w:sz w:val="26"/>
          <w:szCs w:val="26"/>
        </w:rPr>
        <w:t>4. Gap Analysis: Who Cannot Use AI, and Where Support Breaks Off</w:t>
      </w:r>
    </w:p>
    <w:p>
      <w:pPr>
        <w:spacing w:after="120" w:line="336" w:lineRule="auto"/>
        <w:jc w:val="both"/>
      </w:pPr>
      <w:r>
        <w:rPr>
          <w:rFonts w:eastAsia="Calibri"/>
        </w:rPr>
        <w:t>ASEAN–China AI cooperation programmes are weighted towards building AI (models and standards) and deploying it (infrastructure and industrial applications). Programmes aimed at those who use AI, namely AI literacy for teachers and citizens and AI adoption capacity for MSMEs, could not be found in public sources. This group is not, however, an 'empty space': Chinese companies and platforms already provide AI education. Defined precisely, the gap is 'a space where ASEAN-led, technology-neutral public goods for AI capacity are not linked to the cooperation'. A second gap overlaps with this one: the stretch between receiving training and applying AI in real work (see 4.2).</w:t>
      </w:r>
    </w:p>
    <w:p>
      <w:pPr>
        <w:keepNext/>
        <w:spacing w:before="220" w:after="110" w:line="300" w:lineRule="auto"/>
      </w:pPr>
      <w:r>
        <w:rPr>
          <w:rFonts w:eastAsia="Calibri"/>
          <w:b/>
          <w:bCs/>
          <w:color w:val="0F63A8"/>
          <w:sz w:val="22"/>
          <w:szCs w:val="22"/>
        </w:rPr>
        <w:t>4.1 AI Capacity by Target Group</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338"/>
        <w:gridCol w:w="1987"/>
        <w:gridCol w:w="3365"/>
        <w:gridCol w:w="1436"/>
        <w:gridCol w:w="1614"/>
      </w:tblGrid>
      <w:tr>
        <w:trPr>
          <w:tblHeader/>
        </w:trPr>
        <w:tc>
          <w:tcPr>
            <w:tcW w:w="1338" w:type="dxa"/>
            <w:shd w:val="clear" w:color="auto" w:fill="00498F"/>
          </w:tcPr>
          <w:p>
            <w:pPr>
              <w:spacing w:line="276" w:lineRule="auto"/>
            </w:pPr>
            <w:r>
              <w:rPr>
                <w:rFonts w:eastAsia="Calibri"/>
                <w:b/>
                <w:bCs/>
                <w:color w:val="FFFFFF"/>
                <w:sz w:val="17"/>
                <w:szCs w:val="17"/>
              </w:rPr>
              <w:t>Target group</w:t>
            </w:r>
          </w:p>
        </w:tc>
        <w:tc>
          <w:tcPr>
            <w:tcW w:w="1987" w:type="dxa"/>
            <w:shd w:val="clear" w:color="auto" w:fill="00498F"/>
          </w:tcPr>
          <w:p>
            <w:pPr>
              <w:spacing w:line="276" w:lineRule="auto"/>
            </w:pPr>
            <w:r>
              <w:rPr>
                <w:rFonts w:eastAsia="Calibri"/>
                <w:b/>
                <w:bCs/>
                <w:color w:val="FFFFFF"/>
                <w:sz w:val="17"/>
                <w:szCs w:val="17"/>
              </w:rPr>
              <w:t>AI capacity needed</w:t>
            </w:r>
          </w:p>
        </w:tc>
        <w:tc>
          <w:tcPr>
            <w:tcW w:w="3365" w:type="dxa"/>
            <w:shd w:val="clear" w:color="auto" w:fill="00498F"/>
          </w:tcPr>
          <w:p>
            <w:pPr>
              <w:spacing w:line="276" w:lineRule="auto"/>
            </w:pPr>
            <w:r>
              <w:rPr>
                <w:rFonts w:eastAsia="Calibri"/>
                <w:b/>
                <w:bCs/>
                <w:color w:val="FFFFFF"/>
                <w:sz w:val="17"/>
                <w:szCs w:val="17"/>
              </w:rPr>
              <w:t>ASEAN–China official track</w:t>
            </w:r>
          </w:p>
        </w:tc>
        <w:tc>
          <w:tcPr>
            <w:tcW w:w="1436" w:type="dxa"/>
            <w:shd w:val="clear" w:color="auto" w:fill="00498F"/>
          </w:tcPr>
          <w:p>
            <w:pPr>
              <w:spacing w:line="276" w:lineRule="auto"/>
            </w:pPr>
            <w:r>
              <w:rPr>
                <w:rFonts w:eastAsia="Calibri"/>
                <w:b/>
                <w:bCs/>
                <w:color w:val="FFFFFF"/>
                <w:sz w:val="17"/>
                <w:szCs w:val="17"/>
              </w:rPr>
              <w:t>Chinese company and local government channels</w:t>
            </w:r>
          </w:p>
        </w:tc>
        <w:tc>
          <w:tcPr>
            <w:tcW w:w="1614" w:type="dxa"/>
            <w:shd w:val="clear" w:color="auto" w:fill="00498F"/>
          </w:tcPr>
          <w:p>
            <w:pPr>
              <w:spacing w:line="276" w:lineRule="auto"/>
            </w:pPr>
            <w:r>
              <w:rPr>
                <w:rFonts w:eastAsia="Calibri"/>
                <w:b/>
                <w:bCs/>
                <w:color w:val="FFFFFF"/>
                <w:sz w:val="17"/>
                <w:szCs w:val="17"/>
              </w:rPr>
              <w:t>Foundation AI programmes</w:t>
            </w:r>
          </w:p>
        </w:tc>
      </w:tr>
      <w:tr>
        <w:trPr>
          <w:cantSplit/>
        </w:trPr>
        <w:tc>
          <w:tcPr>
            <w:tcW w:w="1338" w:type="dxa"/>
          </w:tcPr>
          <w:p>
            <w:pPr>
              <w:spacing w:line="276" w:lineRule="auto"/>
            </w:pPr>
            <w:r>
              <w:rPr>
                <w:rFonts w:eastAsia="Calibri"/>
                <w:sz w:val="17"/>
                <w:szCs w:val="17"/>
              </w:rPr>
              <w:t>Policy officials</w:t>
            </w:r>
          </w:p>
        </w:tc>
        <w:tc>
          <w:tcPr>
            <w:tcW w:w="1987" w:type="dxa"/>
          </w:tcPr>
          <w:p>
            <w:pPr>
              <w:spacing w:line="276" w:lineRule="auto"/>
            </w:pPr>
            <w:r>
              <w:rPr>
                <w:rFonts w:eastAsia="Calibri"/>
                <w:sz w:val="17"/>
                <w:szCs w:val="17"/>
              </w:rPr>
              <w:t>Designing AI policy; understanding governance standards</w:t>
            </w:r>
          </w:p>
        </w:tc>
        <w:tc>
          <w:tcPr>
            <w:tcW w:w="3365" w:type="dxa"/>
          </w:tcPr>
          <w:p>
            <w:pPr>
              <w:spacing w:line="276" w:lineRule="auto"/>
            </w:pPr>
            <w:r>
              <w:rPr>
                <w:rFonts w:eastAsia="Calibri"/>
                <w:sz w:val="17"/>
                <w:szCs w:val="17"/>
              </w:rPr>
              <w:t>China–ASEAN AI Industry Innovation Centre (Beijing) training; Ministry of Science and Technology three-year plan; 5,000 AI training sessions and seminars (open to all developing countries; ASEAN allocation not confirmed)</w:t>
            </w:r>
          </w:p>
        </w:tc>
        <w:tc>
          <w:tcPr>
            <w:tcW w:w="1436" w:type="dxa"/>
          </w:tcPr>
          <w:p>
            <w:pPr>
              <w:spacing w:line="276" w:lineRule="auto"/>
            </w:pPr>
            <w:r>
              <w:rPr>
                <w:rFonts w:eastAsia="Calibri"/>
                <w:sz w:val="17"/>
                <w:szCs w:val="17"/>
              </w:rPr>
              <w:t>—</w:t>
            </w:r>
          </w:p>
        </w:tc>
        <w:tc>
          <w:tcPr>
            <w:tcW w:w="1614" w:type="dxa"/>
          </w:tcPr>
          <w:p>
            <w:pPr>
              <w:spacing w:line="276" w:lineRule="auto"/>
            </w:pPr>
            <w:r>
              <w:rPr>
                <w:rFonts w:eastAsia="Calibri"/>
                <w:sz w:val="17"/>
                <w:szCs w:val="17"/>
              </w:rPr>
              <w:t>—</w:t>
            </w:r>
          </w:p>
        </w:tc>
      </w:tr>
      <w:tr>
        <w:trPr>
          <w:cantSplit/>
        </w:trPr>
        <w:tc>
          <w:tcPr>
            <w:tcW w:w="1338" w:type="dxa"/>
          </w:tcPr>
          <w:p>
            <w:pPr>
              <w:spacing w:line="276" w:lineRule="auto"/>
            </w:pPr>
            <w:r>
              <w:rPr>
                <w:rFonts w:eastAsia="Calibri"/>
                <w:sz w:val="17"/>
                <w:szCs w:val="17"/>
              </w:rPr>
              <w:t>AI engineers and industrial workforce</w:t>
            </w:r>
          </w:p>
        </w:tc>
        <w:tc>
          <w:tcPr>
            <w:tcW w:w="1987" w:type="dxa"/>
          </w:tcPr>
          <w:p>
            <w:pPr>
              <w:spacing w:line="276" w:lineRule="auto"/>
            </w:pPr>
            <w:r>
              <w:rPr>
                <w:rFonts w:eastAsia="Calibri"/>
                <w:sz w:val="17"/>
                <w:szCs w:val="17"/>
              </w:rPr>
              <w:t>Developing and deploying models; applying AI in industry</w:t>
            </w:r>
          </w:p>
        </w:tc>
        <w:tc>
          <w:tcPr>
            <w:tcW w:w="3365" w:type="dxa"/>
          </w:tcPr>
          <w:p>
            <w:pPr>
              <w:spacing w:line="276" w:lineRule="auto"/>
            </w:pPr>
            <w:r>
              <w:rPr>
                <w:rFonts w:eastAsia="Calibri"/>
                <w:sz w:val="17"/>
                <w:szCs w:val="17"/>
              </w:rPr>
              <w:t>China–ASEAN AI Industry Innovation Centre (Beijing) training; company matchmaking at the China–ASEAN AI Application Cooperation Centre (Nanning); Digital Academy scholarships</w:t>
            </w:r>
          </w:p>
        </w:tc>
        <w:tc>
          <w:tcPr>
            <w:tcW w:w="1436" w:type="dxa"/>
          </w:tcPr>
          <w:p>
            <w:pPr>
              <w:spacing w:line="276" w:lineRule="auto"/>
            </w:pPr>
            <w:r>
              <w:rPr>
                <w:rFonts w:eastAsia="Calibri"/>
                <w:sz w:val="17"/>
                <w:szCs w:val="17"/>
              </w:rPr>
              <w:t>Company-specific job training</w:t>
            </w:r>
          </w:p>
        </w:tc>
        <w:tc>
          <w:tcPr>
            <w:tcW w:w="1614" w:type="dxa"/>
          </w:tcPr>
          <w:p>
            <w:pPr>
              <w:spacing w:line="276" w:lineRule="auto"/>
            </w:pPr>
            <w:r>
              <w:rPr>
                <w:rFonts w:eastAsia="Calibri"/>
                <w:sz w:val="17"/>
                <w:szCs w:val="17"/>
              </w:rPr>
              <w:t>—</w:t>
            </w:r>
          </w:p>
        </w:tc>
      </w:tr>
      <w:tr>
        <w:trPr>
          <w:cantSplit/>
        </w:trPr>
        <w:tc>
          <w:tcPr>
            <w:tcW w:w="1338" w:type="dxa"/>
          </w:tcPr>
          <w:p>
            <w:pPr>
              <w:spacing w:line="276" w:lineRule="auto"/>
            </w:pPr>
            <w:r>
              <w:rPr>
                <w:rFonts w:eastAsia="Calibri"/>
                <w:sz w:val="17"/>
                <w:szCs w:val="17"/>
              </w:rPr>
              <w:t>MSMEs and small business owners</w:t>
            </w:r>
          </w:p>
        </w:tc>
        <w:tc>
          <w:tcPr>
            <w:tcW w:w="1987" w:type="dxa"/>
          </w:tcPr>
          <w:p>
            <w:pPr>
              <w:spacing w:line="276" w:lineRule="auto"/>
            </w:pPr>
            <w:r>
              <w:rPr>
                <w:rFonts w:eastAsia="Calibri"/>
                <w:sz w:val="17"/>
                <w:szCs w:val="17"/>
              </w:rPr>
              <w:t>Choosing and using AI tools for work; responding to AI scams</w:t>
            </w:r>
          </w:p>
        </w:tc>
        <w:tc>
          <w:tcPr>
            <w:tcW w:w="3365" w:type="dxa"/>
          </w:tcPr>
          <w:p>
            <w:pPr>
              <w:spacing w:line="276" w:lineRule="auto"/>
            </w:pPr>
            <w:r>
              <w:rPr>
                <w:rFonts w:eastAsia="Calibri"/>
                <w:sz w:val="17"/>
                <w:szCs w:val="17"/>
              </w:rPr>
              <w:t>MSME-specific AI training not confirmed</w:t>
            </w:r>
          </w:p>
        </w:tc>
        <w:tc>
          <w:tcPr>
            <w:tcW w:w="1436" w:type="dxa"/>
          </w:tcPr>
          <w:p>
            <w:pPr>
              <w:spacing w:line="276" w:lineRule="auto"/>
            </w:pPr>
            <w:r>
              <w:rPr>
                <w:rFonts w:eastAsia="Calibri"/>
                <w:sz w:val="17"/>
                <w:szCs w:val="17"/>
              </w:rPr>
              <w:t>Guangxi 'AI+Cross-border E-commerce' competition; platform-specific seller training</w:t>
            </w:r>
          </w:p>
        </w:tc>
        <w:tc>
          <w:tcPr>
            <w:tcW w:w="1614" w:type="dxa"/>
          </w:tcPr>
          <w:p>
            <w:pPr>
              <w:spacing w:line="276" w:lineRule="auto"/>
            </w:pPr>
            <w:r>
              <w:rPr>
                <w:rFonts w:eastAsia="Calibri"/>
                <w:sz w:val="17"/>
                <w:szCs w:val="17"/>
              </w:rPr>
              <w:t>AIM ASEAN (target of 100,000 businesses, delivered through local partners)</w:t>
            </w:r>
          </w:p>
        </w:tc>
      </w:tr>
      <w:tr>
        <w:trPr>
          <w:cantSplit/>
        </w:trPr>
        <w:tc>
          <w:tcPr>
            <w:tcW w:w="1338" w:type="dxa"/>
          </w:tcPr>
          <w:p>
            <w:pPr>
              <w:spacing w:line="276" w:lineRule="auto"/>
            </w:pPr>
            <w:r>
              <w:rPr>
                <w:rFonts w:eastAsia="Calibri"/>
                <w:sz w:val="17"/>
                <w:szCs w:val="17"/>
              </w:rPr>
              <w:t>University students and academic staff</w:t>
            </w:r>
          </w:p>
        </w:tc>
        <w:tc>
          <w:tcPr>
            <w:tcW w:w="1987" w:type="dxa"/>
          </w:tcPr>
          <w:p>
            <w:pPr>
              <w:spacing w:line="276" w:lineRule="auto"/>
            </w:pPr>
            <w:r>
              <w:rPr>
                <w:rFonts w:eastAsia="Calibri"/>
                <w:sz w:val="17"/>
                <w:szCs w:val="17"/>
              </w:rPr>
              <w:t>Using AI in study and research</w:t>
            </w:r>
          </w:p>
        </w:tc>
        <w:tc>
          <w:tcPr>
            <w:tcW w:w="3365" w:type="dxa"/>
          </w:tcPr>
          <w:p>
            <w:pPr>
              <w:spacing w:line="276" w:lineRule="auto"/>
            </w:pPr>
            <w:r>
              <w:rPr>
                <w:rFonts w:eastAsia="Calibri"/>
                <w:sz w:val="17"/>
                <w:szCs w:val="17"/>
              </w:rPr>
              <w:t>Digital Academy scholarships; tailored inter-university courses</w:t>
            </w:r>
          </w:p>
        </w:tc>
        <w:tc>
          <w:tcPr>
            <w:tcW w:w="1436" w:type="dxa"/>
          </w:tcPr>
          <w:p>
            <w:pPr>
              <w:spacing w:line="276" w:lineRule="auto"/>
            </w:pPr>
            <w:r>
              <w:rPr>
                <w:rFonts w:eastAsia="Calibri"/>
                <w:sz w:val="17"/>
                <w:szCs w:val="17"/>
              </w:rPr>
              <w:t>Huawei Seeds for the Future</w:t>
            </w:r>
          </w:p>
        </w:tc>
        <w:tc>
          <w:tcPr>
            <w:tcW w:w="1614" w:type="dxa"/>
          </w:tcPr>
          <w:p>
            <w:pPr>
              <w:spacing w:line="276" w:lineRule="auto"/>
            </w:pPr>
            <w:r>
              <w:rPr>
                <w:rFonts w:eastAsia="Calibri"/>
                <w:sz w:val="17"/>
                <w:szCs w:val="17"/>
              </w:rPr>
              <w:t>AI Ready ASEAN Phase 2</w:t>
            </w:r>
          </w:p>
        </w:tc>
      </w:tr>
      <w:tr>
        <w:trPr>
          <w:cantSplit/>
        </w:trPr>
        <w:tc>
          <w:tcPr>
            <w:tcW w:w="1338" w:type="dxa"/>
          </w:tcPr>
          <w:p>
            <w:pPr>
              <w:spacing w:line="276" w:lineRule="auto"/>
            </w:pPr>
            <w:r>
              <w:rPr>
                <w:rFonts w:eastAsia="Calibri"/>
                <w:sz w:val="17"/>
                <w:szCs w:val="17"/>
              </w:rPr>
              <w:t>Teachers</w:t>
            </w:r>
          </w:p>
        </w:tc>
        <w:tc>
          <w:tcPr>
            <w:tcW w:w="1987" w:type="dxa"/>
          </w:tcPr>
          <w:p>
            <w:pPr>
              <w:spacing w:line="276" w:lineRule="auto"/>
            </w:pPr>
            <w:r>
              <w:rPr>
                <w:rFonts w:eastAsia="Calibri"/>
                <w:sz w:val="17"/>
                <w:szCs w:val="17"/>
              </w:rPr>
              <w:t>Using AI in the classroom; teaching AI ethics</w:t>
            </w:r>
          </w:p>
        </w:tc>
        <w:tc>
          <w:tcPr>
            <w:tcW w:w="3365" w:type="dxa"/>
          </w:tcPr>
          <w:p>
            <w:pPr>
              <w:spacing w:line="276" w:lineRule="auto"/>
            </w:pPr>
            <w:r>
              <w:rPr>
                <w:rFonts w:eastAsia="Calibri"/>
                <w:sz w:val="17"/>
                <w:szCs w:val="17"/>
              </w:rPr>
              <w:t>Smart Education programme (linked to 'AI+Education'; target groups and content not made public)</w:t>
            </w:r>
          </w:p>
        </w:tc>
        <w:tc>
          <w:tcPr>
            <w:tcW w:w="1436" w:type="dxa"/>
          </w:tcPr>
          <w:p>
            <w:pPr>
              <w:spacing w:line="276" w:lineRule="auto"/>
            </w:pPr>
            <w:r>
              <w:rPr>
                <w:rFonts w:eastAsia="Calibri"/>
                <w:sz w:val="17"/>
                <w:szCs w:val="17"/>
              </w:rPr>
              <w:t>—</w:t>
            </w:r>
          </w:p>
        </w:tc>
        <w:tc>
          <w:tcPr>
            <w:tcW w:w="1614" w:type="dxa"/>
          </w:tcPr>
          <w:p>
            <w:pPr>
              <w:spacing w:line="276" w:lineRule="auto"/>
            </w:pPr>
            <w:r>
              <w:rPr>
                <w:rFonts w:eastAsia="Calibri"/>
                <w:sz w:val="17"/>
                <w:szCs w:val="17"/>
              </w:rPr>
              <w:t>AI Ready ASEAN Phase 2: K-12 teachers (core); Phase 1: educators</w:t>
            </w:r>
          </w:p>
        </w:tc>
      </w:tr>
      <w:tr>
        <w:trPr>
          <w:cantSplit/>
        </w:trPr>
        <w:tc>
          <w:tcPr>
            <w:tcW w:w="1338" w:type="dxa"/>
          </w:tcPr>
          <w:p>
            <w:pPr>
              <w:spacing w:line="276" w:lineRule="auto"/>
            </w:pPr>
            <w:r>
              <w:rPr>
                <w:rFonts w:eastAsia="Calibri"/>
                <w:sz w:val="17"/>
                <w:szCs w:val="17"/>
              </w:rPr>
              <w:t>Parents and ordinary citizens</w:t>
            </w:r>
          </w:p>
        </w:tc>
        <w:tc>
          <w:tcPr>
            <w:tcW w:w="1987" w:type="dxa"/>
          </w:tcPr>
          <w:p>
            <w:pPr>
              <w:spacing w:line="276" w:lineRule="auto"/>
            </w:pPr>
            <w:r>
              <w:rPr>
                <w:rFonts w:eastAsia="Calibri"/>
                <w:sz w:val="17"/>
                <w:szCs w:val="17"/>
              </w:rPr>
              <w:t>Understanding generative AI; identifying disinformation and deepfakes</w:t>
            </w:r>
          </w:p>
        </w:tc>
        <w:tc>
          <w:tcPr>
            <w:tcW w:w="3365" w:type="dxa"/>
          </w:tcPr>
          <w:p>
            <w:pPr>
              <w:spacing w:line="276" w:lineRule="auto"/>
            </w:pPr>
            <w:r>
              <w:rPr>
                <w:rFonts w:eastAsia="Calibri"/>
                <w:sz w:val="17"/>
                <w:szCs w:val="17"/>
              </w:rPr>
              <w:t>Not confirmed</w:t>
            </w:r>
          </w:p>
        </w:tc>
        <w:tc>
          <w:tcPr>
            <w:tcW w:w="1436" w:type="dxa"/>
          </w:tcPr>
          <w:p>
            <w:pPr>
              <w:spacing w:line="276" w:lineRule="auto"/>
            </w:pPr>
            <w:r>
              <w:rPr>
                <w:rFonts w:eastAsia="Calibri"/>
                <w:sz w:val="17"/>
                <w:szCs w:val="17"/>
              </w:rPr>
              <w:t>—</w:t>
            </w:r>
          </w:p>
        </w:tc>
        <w:tc>
          <w:tcPr>
            <w:tcW w:w="1614" w:type="dxa"/>
          </w:tcPr>
          <w:p>
            <w:pPr>
              <w:spacing w:line="276" w:lineRule="auto"/>
            </w:pPr>
            <w:r>
              <w:rPr>
                <w:rFonts w:eastAsia="Calibri"/>
                <w:sz w:val="17"/>
                <w:szCs w:val="17"/>
              </w:rPr>
              <w:t>AI Ready ASEAN Phase 1; AI Class ASEAN (free, in local languages)</w:t>
            </w:r>
          </w:p>
        </w:tc>
      </w:tr>
      <w:tr>
        <w:trPr>
          <w:cantSplit/>
        </w:trPr>
        <w:tc>
          <w:tcPr>
            <w:tcW w:w="1338" w:type="dxa"/>
          </w:tcPr>
          <w:p>
            <w:pPr>
              <w:spacing w:line="276" w:lineRule="auto"/>
            </w:pPr>
            <w:r>
              <w:rPr>
                <w:rFonts w:eastAsia="Calibri"/>
                <w:sz w:val="17"/>
                <w:szCs w:val="17"/>
              </w:rPr>
              <w:t>Rural and vulnerable communities</w:t>
            </w:r>
          </w:p>
        </w:tc>
        <w:tc>
          <w:tcPr>
            <w:tcW w:w="1987" w:type="dxa"/>
          </w:tcPr>
          <w:p>
            <w:pPr>
              <w:spacing w:line="276" w:lineRule="auto"/>
            </w:pPr>
            <w:r>
              <w:rPr>
                <w:rFonts w:eastAsia="Calibri"/>
                <w:sz w:val="17"/>
                <w:szCs w:val="17"/>
              </w:rPr>
              <w:t>Basic AI literacy and access</w:t>
            </w:r>
          </w:p>
        </w:tc>
        <w:tc>
          <w:tcPr>
            <w:tcW w:w="3365" w:type="dxa"/>
          </w:tcPr>
          <w:p>
            <w:pPr>
              <w:spacing w:line="276" w:lineRule="auto"/>
            </w:pPr>
            <w:r>
              <w:rPr>
                <w:rFonts w:eastAsia="Calibri"/>
                <w:sz w:val="17"/>
                <w:szCs w:val="17"/>
              </w:rPr>
              <w:t>Farmers' digital capacity in the joint statement on smart agriculture (at the level of principle)</w:t>
            </w:r>
          </w:p>
        </w:tc>
        <w:tc>
          <w:tcPr>
            <w:tcW w:w="1436" w:type="dxa"/>
          </w:tcPr>
          <w:p>
            <w:pPr>
              <w:spacing w:line="276" w:lineRule="auto"/>
            </w:pPr>
            <w:r>
              <w:rPr>
                <w:rFonts w:eastAsia="Calibri"/>
                <w:sz w:val="17"/>
                <w:szCs w:val="17"/>
              </w:rPr>
              <w:t>Huawei TECH4ALL and others; Southeast Asian AI literacy cases not confirmed</w:t>
            </w:r>
          </w:p>
        </w:tc>
        <w:tc>
          <w:tcPr>
            <w:tcW w:w="1614" w:type="dxa"/>
          </w:tcPr>
          <w:p>
            <w:pPr>
              <w:spacing w:line="276" w:lineRule="auto"/>
            </w:pPr>
            <w:r>
              <w:rPr>
                <w:rFonts w:eastAsia="Calibri"/>
                <w:sz w:val="17"/>
                <w:szCs w:val="17"/>
              </w:rPr>
              <w:t>AI Ready ASEAN Phase 1 (via LIPs)</w:t>
            </w:r>
          </w:p>
        </w:tc>
      </w:tr>
    </w:tbl>
    <w:p>
      <w:pPr>
        <w:spacing w:after="60" w:line="120" w:lineRule="auto"/>
      </w:pPr>
    </w:p>
    <w:p>
      <w:pPr>
        <w:keepNext/>
        <w:spacing w:before="220" w:after="110" w:line="300" w:lineRule="auto"/>
      </w:pPr>
      <w:r>
        <w:rPr>
          <w:rFonts w:eastAsia="Calibri"/>
          <w:b/>
          <w:bCs/>
          <w:color w:val="0F63A8"/>
          <w:sz w:val="22"/>
          <w:szCs w:val="22"/>
        </w:rPr>
        <w:t>4.2 Where It Breaks Off: The Gap after Training</w:t>
      </w:r>
    </w:p>
    <w:p>
      <w:pPr>
        <w:spacing w:after="120" w:line="336" w:lineRule="auto"/>
        <w:jc w:val="both"/>
      </w:pPr>
      <w:r>
        <w:rPr>
          <w:rFonts w:eastAsia="Calibri"/>
        </w:rPr>
        <w:t>The Singapore Convening viewed MSME adoption of AI as passing through the stages of awareness, experimentation, implementation and scaling, and found that support breaks off between them (see 2.4). Mapping current ASEAN–China cooperation and Foundation entry points against each stage gives the following picture.</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730"/>
        <w:gridCol w:w="1891"/>
        <w:gridCol w:w="2111"/>
        <w:gridCol w:w="2198"/>
        <w:gridCol w:w="1810"/>
      </w:tblGrid>
      <w:tr>
        <w:trPr>
          <w:tblHeader/>
        </w:trPr>
        <w:tc>
          <w:tcPr>
            <w:tcW w:w="1730" w:type="dxa"/>
            <w:shd w:val="clear" w:color="auto" w:fill="00498F"/>
          </w:tcPr>
          <w:p>
            <w:pPr>
              <w:spacing w:line="276" w:lineRule="auto"/>
            </w:pPr>
            <w:r>
              <w:rPr>
                <w:rFonts w:eastAsia="Calibri"/>
                <w:b/>
                <w:bCs/>
                <w:color w:val="FFFFFF"/>
                <w:sz w:val="17"/>
                <w:szCs w:val="17"/>
              </w:rPr>
              <w:t>Stage</w:t>
            </w:r>
          </w:p>
        </w:tc>
        <w:tc>
          <w:tcPr>
            <w:tcW w:w="1891" w:type="dxa"/>
            <w:shd w:val="clear" w:color="auto" w:fill="00498F"/>
          </w:tcPr>
          <w:p>
            <w:pPr>
              <w:spacing w:line="276" w:lineRule="auto"/>
            </w:pPr>
            <w:r>
              <w:rPr>
                <w:rFonts w:eastAsia="Calibri"/>
                <w:b/>
                <w:bCs/>
                <w:color w:val="FFFFFF"/>
                <w:sz w:val="17"/>
                <w:szCs w:val="17"/>
              </w:rPr>
              <w:t>Barriers identified in Singapore</w:t>
            </w:r>
          </w:p>
        </w:tc>
        <w:tc>
          <w:tcPr>
            <w:tcW w:w="2111" w:type="dxa"/>
            <w:shd w:val="clear" w:color="auto" w:fill="00498F"/>
          </w:tcPr>
          <w:p>
            <w:pPr>
              <w:spacing w:line="276" w:lineRule="auto"/>
            </w:pPr>
            <w:r>
              <w:rPr>
                <w:rFonts w:eastAsia="Calibri"/>
                <w:b/>
                <w:bCs/>
                <w:color w:val="FFFFFF"/>
                <w:sz w:val="17"/>
                <w:szCs w:val="17"/>
              </w:rPr>
              <w:t>Support needed (the report's policy directions)</w:t>
            </w:r>
          </w:p>
        </w:tc>
        <w:tc>
          <w:tcPr>
            <w:tcW w:w="2198" w:type="dxa"/>
            <w:shd w:val="clear" w:color="auto" w:fill="00498F"/>
          </w:tcPr>
          <w:p>
            <w:pPr>
              <w:spacing w:line="276" w:lineRule="auto"/>
            </w:pPr>
            <w:r>
              <w:rPr>
                <w:rFonts w:eastAsia="Calibri"/>
                <w:b/>
                <w:bCs/>
                <w:color w:val="FFFFFF"/>
                <w:sz w:val="17"/>
                <w:szCs w:val="17"/>
              </w:rPr>
              <w:t>ASEAN–China cooperation today</w:t>
            </w:r>
          </w:p>
        </w:tc>
        <w:tc>
          <w:tcPr>
            <w:tcW w:w="1810" w:type="dxa"/>
            <w:shd w:val="clear" w:color="auto" w:fill="00498F"/>
          </w:tcPr>
          <w:p>
            <w:pPr>
              <w:spacing w:line="276" w:lineRule="auto"/>
            </w:pPr>
            <w:r>
              <w:rPr>
                <w:rFonts w:eastAsia="Calibri"/>
                <w:b/>
                <w:bCs/>
                <w:color w:val="FFFFFF"/>
                <w:sz w:val="17"/>
                <w:szCs w:val="17"/>
              </w:rPr>
              <w:t>Foundation entry points</w:t>
            </w:r>
          </w:p>
        </w:tc>
      </w:tr>
      <w:tr>
        <w:trPr>
          <w:cantSplit/>
        </w:trPr>
        <w:tc>
          <w:tcPr>
            <w:tcW w:w="1730" w:type="dxa"/>
          </w:tcPr>
          <w:p>
            <w:pPr>
              <w:spacing w:line="276" w:lineRule="auto"/>
            </w:pPr>
            <w:r>
              <w:rPr>
                <w:rFonts w:eastAsia="Calibri"/>
                <w:sz w:val="17"/>
                <w:szCs w:val="17"/>
              </w:rPr>
              <w:t>Awareness</w:t>
            </w:r>
          </w:p>
        </w:tc>
        <w:tc>
          <w:tcPr>
            <w:tcW w:w="1891" w:type="dxa"/>
          </w:tcPr>
          <w:p>
            <w:pPr>
              <w:spacing w:line="276" w:lineRule="auto"/>
            </w:pPr>
            <w:r>
              <w:rPr>
                <w:rFonts w:eastAsia="Calibri"/>
                <w:sz w:val="17"/>
                <w:szCs w:val="17"/>
              </w:rPr>
              <w:t>Experience of using chatbots mistaken for readiness; unclear case for investment</w:t>
            </w:r>
          </w:p>
        </w:tc>
        <w:tc>
          <w:tcPr>
            <w:tcW w:w="2111" w:type="dxa"/>
          </w:tcPr>
          <w:p>
            <w:pPr>
              <w:spacing w:line="276" w:lineRule="auto"/>
            </w:pPr>
            <w:r>
              <w:rPr>
                <w:rFonts w:eastAsia="Calibri"/>
                <w:sz w:val="17"/>
                <w:szCs w:val="17"/>
              </w:rPr>
              <w:t>Sector-specific demonstrations that start from business problems</w:t>
            </w:r>
          </w:p>
        </w:tc>
        <w:tc>
          <w:tcPr>
            <w:tcW w:w="2198" w:type="dxa"/>
          </w:tcPr>
          <w:p>
            <w:pPr>
              <w:spacing w:line="276" w:lineRule="auto"/>
            </w:pPr>
            <w:r>
              <w:rPr>
                <w:rFonts w:eastAsia="Calibri"/>
                <w:sz w:val="17"/>
                <w:szCs w:val="17"/>
              </w:rPr>
              <w:t>Training and seminars: the 5,000 sessions and China–ASEAN AI Industry Innovation Centre (Beijing) training; Digital Academy scholarships</w:t>
            </w:r>
          </w:p>
        </w:tc>
        <w:tc>
          <w:tcPr>
            <w:tcW w:w="1810" w:type="dxa"/>
          </w:tcPr>
          <w:p>
            <w:pPr>
              <w:spacing w:line="276" w:lineRule="auto"/>
            </w:pPr>
            <w:r>
              <w:rPr>
                <w:rFonts w:eastAsia="Calibri"/>
                <w:sz w:val="17"/>
                <w:szCs w:val="17"/>
              </w:rPr>
              <w:t>AI Class ASEAN; AIM ASEAN introductory courses</w:t>
            </w:r>
          </w:p>
        </w:tc>
      </w:tr>
      <w:tr>
        <w:trPr>
          <w:cantSplit/>
        </w:trPr>
        <w:tc>
          <w:tcPr>
            <w:tcW w:w="1730" w:type="dxa"/>
          </w:tcPr>
          <w:p>
            <w:pPr>
              <w:spacing w:line="276" w:lineRule="auto"/>
            </w:pPr>
            <w:r>
              <w:rPr>
                <w:rFonts w:eastAsia="Calibri"/>
                <w:sz w:val="17"/>
                <w:szCs w:val="17"/>
              </w:rPr>
              <w:t>Experimentation</w:t>
            </w:r>
          </w:p>
        </w:tc>
        <w:tc>
          <w:tcPr>
            <w:tcW w:w="1891" w:type="dxa"/>
          </w:tcPr>
          <w:p>
            <w:pPr>
              <w:spacing w:line="276" w:lineRule="auto"/>
            </w:pPr>
            <w:r>
              <w:rPr>
                <w:rFonts w:eastAsia="Calibri"/>
                <w:sz w:val="17"/>
                <w:szCs w:val="17"/>
              </w:rPr>
              <w:t>Uncertain use cases; fragmented data; opportunity cost of failure</w:t>
            </w:r>
          </w:p>
        </w:tc>
        <w:tc>
          <w:tcPr>
            <w:tcW w:w="2111" w:type="dxa"/>
          </w:tcPr>
          <w:p>
            <w:pPr>
              <w:spacing w:line="276" w:lineRule="auto"/>
            </w:pPr>
            <w:r>
              <w:rPr>
                <w:rFonts w:eastAsia="Calibri"/>
                <w:sz w:val="17"/>
                <w:szCs w:val="17"/>
              </w:rPr>
              <w:t>Low-risk pilots using synthetic data and ready-made workflows; estimating total costs</w:t>
            </w:r>
          </w:p>
        </w:tc>
        <w:tc>
          <w:tcPr>
            <w:tcW w:w="2198" w:type="dxa"/>
          </w:tcPr>
          <w:p>
            <w:pPr>
              <w:spacing w:line="276" w:lineRule="auto"/>
            </w:pPr>
            <w:r>
              <w:rPr>
                <w:rFonts w:eastAsia="Calibri"/>
                <w:sz w:val="17"/>
                <w:szCs w:val="17"/>
              </w:rPr>
              <w:t>Catalogue of AI application scenarios (more than 1,000) and company matchmaking at the China–ASEAN AI Application Cooperation Centre (Nanning); pilot support for MSMEs not confirmed</w:t>
            </w:r>
          </w:p>
        </w:tc>
        <w:tc>
          <w:tcPr>
            <w:tcW w:w="1810" w:type="dxa"/>
          </w:tcPr>
          <w:p>
            <w:pPr>
              <w:spacing w:line="276" w:lineRule="auto"/>
            </w:pPr>
            <w:r>
              <w:rPr>
                <w:rFonts w:eastAsia="Calibri"/>
                <w:sz w:val="17"/>
                <w:szCs w:val="17"/>
              </w:rPr>
              <w:t>Sector-specific demonstration materials; guidance on responsible use</w:t>
            </w:r>
          </w:p>
        </w:tc>
      </w:tr>
      <w:tr>
        <w:trPr>
          <w:cantSplit/>
        </w:trPr>
        <w:tc>
          <w:tcPr>
            <w:tcW w:w="1730" w:type="dxa"/>
          </w:tcPr>
          <w:p>
            <w:pPr>
              <w:spacing w:line="276" w:lineRule="auto"/>
            </w:pPr>
            <w:r>
              <w:rPr>
                <w:rFonts w:eastAsia="Calibri"/>
                <w:sz w:val="17"/>
                <w:szCs w:val="17"/>
              </w:rPr>
              <w:t>Implementation</w:t>
            </w:r>
          </w:p>
        </w:tc>
        <w:tc>
          <w:tcPr>
            <w:tcW w:w="1891" w:type="dxa"/>
          </w:tcPr>
          <w:p>
            <w:pPr>
              <w:spacing w:line="276" w:lineRule="auto"/>
            </w:pPr>
            <w:r>
              <w:rPr>
                <w:rFonts w:eastAsia="Calibri"/>
                <w:sz w:val="17"/>
                <w:szCs w:val="17"/>
              </w:rPr>
              <w:t>Lack of in-house capacity; staff anxiety; integration and security costs</w:t>
            </w:r>
          </w:p>
        </w:tc>
        <w:tc>
          <w:tcPr>
            <w:tcW w:w="2111" w:type="dxa"/>
          </w:tcPr>
          <w:p>
            <w:pPr>
              <w:spacing w:line="276" w:lineRule="auto"/>
            </w:pPr>
            <w:r>
              <w:rPr>
                <w:rFonts w:eastAsia="Calibri"/>
                <w:sz w:val="17"/>
                <w:szCs w:val="17"/>
              </w:rPr>
              <w:t>Solution signposting and referral desks; implementation support; workforce transition (AI + X, internal champions)</w:t>
            </w:r>
          </w:p>
        </w:tc>
        <w:tc>
          <w:tcPr>
            <w:tcW w:w="2198" w:type="dxa"/>
          </w:tcPr>
          <w:p>
            <w:pPr>
              <w:spacing w:line="276" w:lineRule="auto"/>
            </w:pPr>
            <w:r>
              <w:rPr>
                <w:rFonts w:eastAsia="Calibri"/>
                <w:sz w:val="17"/>
                <w:szCs w:val="17"/>
              </w:rPr>
              <w:t>Could not be found in public sources</w:t>
            </w:r>
          </w:p>
        </w:tc>
        <w:tc>
          <w:tcPr>
            <w:tcW w:w="1810" w:type="dxa"/>
          </w:tcPr>
          <w:p>
            <w:pPr>
              <w:spacing w:line="276" w:lineRule="auto"/>
            </w:pPr>
            <w:r>
              <w:rPr>
                <w:rFonts w:eastAsia="Calibri"/>
                <w:sz w:val="17"/>
                <w:szCs w:val="17"/>
              </w:rPr>
              <w:t>Local partner network; clinics after training (proposed in Singapore)</w:t>
            </w:r>
          </w:p>
        </w:tc>
      </w:tr>
      <w:tr>
        <w:trPr>
          <w:cantSplit/>
        </w:trPr>
        <w:tc>
          <w:tcPr>
            <w:tcW w:w="1730" w:type="dxa"/>
          </w:tcPr>
          <w:p>
            <w:pPr>
              <w:spacing w:line="276" w:lineRule="auto"/>
            </w:pPr>
            <w:r>
              <w:rPr>
                <w:rFonts w:eastAsia="Calibri"/>
                <w:sz w:val="17"/>
                <w:szCs w:val="17"/>
              </w:rPr>
              <w:t>Scaling</w:t>
            </w:r>
          </w:p>
        </w:tc>
        <w:tc>
          <w:tcPr>
            <w:tcW w:w="1891" w:type="dxa"/>
          </w:tcPr>
          <w:p>
            <w:pPr>
              <w:spacing w:line="276" w:lineRule="auto"/>
            </w:pPr>
            <w:r>
              <w:rPr>
                <w:rFonts w:eastAsia="Calibri"/>
                <w:sz w:val="17"/>
                <w:szCs w:val="17"/>
              </w:rPr>
              <w:t>Support ending when one-off workshops and short pilots finish; lack of evidence of results</w:t>
            </w:r>
          </w:p>
        </w:tc>
        <w:tc>
          <w:tcPr>
            <w:tcW w:w="2111" w:type="dxa"/>
          </w:tcPr>
          <w:p>
            <w:pPr>
              <w:spacing w:line="276" w:lineRule="auto"/>
            </w:pPr>
            <w:r>
              <w:rPr>
                <w:rFonts w:eastAsia="Calibri"/>
                <w:sz w:val="17"/>
                <w:szCs w:val="17"/>
              </w:rPr>
              <w:t>Measuring sustained use and business value; delivery through trusted networks</w:t>
            </w:r>
          </w:p>
        </w:tc>
        <w:tc>
          <w:tcPr>
            <w:tcW w:w="2198" w:type="dxa"/>
          </w:tcPr>
          <w:p>
            <w:pPr>
              <w:spacing w:line="276" w:lineRule="auto"/>
            </w:pPr>
            <w:r>
              <w:rPr>
                <w:rFonts w:eastAsia="Calibri"/>
                <w:sz w:val="17"/>
                <w:szCs w:val="17"/>
              </w:rPr>
              <w:t>Could not be found in public sources</w:t>
            </w:r>
          </w:p>
        </w:tc>
        <w:tc>
          <w:tcPr>
            <w:tcW w:w="1810" w:type="dxa"/>
          </w:tcPr>
          <w:p>
            <w:pPr>
              <w:spacing w:line="276" w:lineRule="auto"/>
            </w:pPr>
            <w:r>
              <w:rPr>
                <w:rFonts w:eastAsia="Calibri"/>
                <w:sz w:val="17"/>
                <w:szCs w:val="17"/>
              </w:rPr>
              <w:t>Common outcome indicators; regional exchange of cases (recommended in Singapore)</w:t>
            </w:r>
          </w:p>
        </w:tc>
      </w:tr>
    </w:tbl>
    <w:p>
      <w:pPr>
        <w:spacing w:after="60" w:line="120" w:lineRule="auto"/>
      </w:pPr>
    </w:p>
    <w:p>
      <w:pPr>
        <w:spacing w:after="120" w:line="336" w:lineRule="auto"/>
        <w:jc w:val="both"/>
      </w:pPr>
      <w:r>
        <w:rPr>
          <w:rFonts w:eastAsia="Calibri"/>
          <w:b/>
          <w:bCs/>
          <w:color w:val="0F63A8"/>
        </w:rPr>
        <w:t>[Assessment]</w:t>
      </w:r>
      <w:r>
        <w:rPr>
          <w:rFonts w:eastAsia="Calibri"/>
        </w:rPr>
        <w:t xml:space="preserve"> ASEAN–China talent programmes are concentrated on the first stage (awareness and basic training) and on high-level talent (engineers and officials); support for the implementation and scaling stages could not be found in public sources. The more a programme's targets are framed as training counts, the more likely it is to suffer the same break. The most distinctive contribution the Foundation can offer lies in these latter two stages.</w:t>
      </w:r>
    </w:p>
    <w:p>
      <w:pPr>
        <w:keepNext/>
        <w:spacing w:before="220" w:after="110" w:line="300" w:lineRule="auto"/>
      </w:pPr>
      <w:r>
        <w:rPr>
          <w:rFonts w:eastAsia="Calibri"/>
          <w:b/>
          <w:bCs/>
          <w:color w:val="0F63A8"/>
          <w:sz w:val="22"/>
          <w:szCs w:val="22"/>
        </w:rPr>
        <w:t>4.3 Evidence</w:t>
      </w:r>
    </w:p>
    <w:p>
      <w:pPr>
        <w:spacing w:after="120" w:line="336" w:lineRule="auto"/>
        <w:jc w:val="both"/>
      </w:pPr>
      <w:r>
        <w:rPr>
          <w:rFonts w:eastAsia="Calibri"/>
          <w:b/>
          <w:bCs/>
        </w:rPr>
        <w:t>The cooperation's centre of gravity: building and deploying AI</w:t>
      </w:r>
    </w:p>
    <w:p>
      <w:pPr>
        <w:pStyle w:val="a4"/>
        <w:numPr>
          <w:ilvl w:val="0"/>
          <w:numId w:val="2"/>
        </w:numPr>
        <w:spacing w:after="60" w:line="336" w:lineRule="auto"/>
        <w:jc w:val="both"/>
      </w:pPr>
      <w:r>
        <w:rPr>
          <w:rFonts w:eastAsia="Calibri"/>
          <w:b/>
          <w:bCs/>
        </w:rPr>
        <w:t>Programme mix</w:t>
      </w:r>
      <w:r>
        <w:rPr>
          <w:rFonts w:eastAsia="Calibri"/>
        </w:rPr>
        <w:t>: The 31 cases in the September 2026 casebook centre on infrastructure, smart manufacturing and smart logistics (as reported by Chinese state media). The China–ASEAN AI Application Cooperation Centre (Nanning) has catalogued more than 1,000 AI application scenarios and formed an alliance of 55 companies (single source: Chinese state media).</w:t>
      </w:r>
    </w:p>
    <w:p>
      <w:pPr>
        <w:pStyle w:val="a4"/>
        <w:numPr>
          <w:ilvl w:val="0"/>
          <w:numId w:val="2"/>
        </w:numPr>
        <w:spacing w:after="60" w:line="336" w:lineRule="auto"/>
        <w:jc w:val="both"/>
      </w:pPr>
      <w:r>
        <w:rPr>
          <w:rFonts w:eastAsia="Calibri"/>
          <w:b/>
          <w:bCs/>
        </w:rPr>
        <w:t>Training audiences</w:t>
      </w:r>
      <w:r>
        <w:rPr>
          <w:rFonts w:eastAsia="Calibri"/>
        </w:rPr>
        <w:t>: According to the ASEAN Secretary-General, AI training at the China–ASEAN AI Industry Innovation Centre (Beijing) is aimed at officials, company employees and international students. Digital Academy is a degree and scholarship scheme. For the 5,000 AI training sessions and seminars aimed at all developing countries, the ASEAN allocation, target groups and format have not been made public.</w:t>
      </w:r>
    </w:p>
    <w:p>
      <w:pPr>
        <w:pStyle w:val="a4"/>
        <w:numPr>
          <w:ilvl w:val="0"/>
          <w:numId w:val="2"/>
        </w:numPr>
        <w:spacing w:after="120" w:line="336" w:lineRule="auto"/>
        <w:jc w:val="both"/>
      </w:pPr>
      <w:r>
        <w:rPr>
          <w:rFonts w:eastAsia="Calibri"/>
          <w:b/>
          <w:bCs/>
        </w:rPr>
        <w:t>ASEAN expectations</w:t>
      </w:r>
      <w:r>
        <w:rPr>
          <w:rFonts w:eastAsia="Calibri"/>
        </w:rPr>
        <w:t xml:space="preserve">: The Secretary-General described the China–ASEAN AI Industry Innovation Centre (Beijing) as "a joint capacity-building platform to ensure that digital transformation benefits all". This can be read as ASEAN foregrounding inclusiveness in this cooperation </w:t>
      </w:r>
      <w:r>
        <w:rPr>
          <w:rFonts w:eastAsia="Calibri"/>
          <w:b/>
          <w:bCs/>
          <w:color w:val="0F63A8"/>
        </w:rPr>
        <w:t>[Assessment]</w:t>
      </w:r>
      <w:r>
        <w:rPr>
          <w:rFonts w:eastAsia="Calibri"/>
        </w:rPr>
        <w:t>.</w:t>
      </w:r>
    </w:p>
    <w:p>
      <w:pPr>
        <w:spacing w:after="120" w:line="336" w:lineRule="auto"/>
        <w:jc w:val="both"/>
      </w:pPr>
      <w:r>
        <w:rPr>
          <w:rFonts w:eastAsia="Calibri"/>
          <w:b/>
          <w:bCs/>
        </w:rPr>
        <w:t>Readiness among AI users</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576"/>
        <w:gridCol w:w="5530"/>
        <w:gridCol w:w="2634"/>
      </w:tblGrid>
      <w:tr>
        <w:trPr>
          <w:tblHeader/>
        </w:trPr>
        <w:tc>
          <w:tcPr>
            <w:tcW w:w="1576" w:type="dxa"/>
            <w:shd w:val="clear" w:color="auto" w:fill="00498F"/>
          </w:tcPr>
          <w:p>
            <w:pPr>
              <w:spacing w:line="276" w:lineRule="auto"/>
            </w:pPr>
            <w:r>
              <w:rPr>
                <w:rFonts w:eastAsia="Calibri"/>
                <w:b/>
                <w:bCs/>
                <w:color w:val="FFFFFF"/>
              </w:rPr>
              <w:t>Group</w:t>
            </w:r>
          </w:p>
        </w:tc>
        <w:tc>
          <w:tcPr>
            <w:tcW w:w="5530" w:type="dxa"/>
            <w:shd w:val="clear" w:color="auto" w:fill="00498F"/>
          </w:tcPr>
          <w:p>
            <w:pPr>
              <w:spacing w:line="276" w:lineRule="auto"/>
            </w:pPr>
            <w:r>
              <w:rPr>
                <w:rFonts w:eastAsia="Calibri"/>
                <w:b/>
                <w:bCs/>
                <w:color w:val="FFFFFF"/>
              </w:rPr>
              <w:t>Indicator</w:t>
            </w:r>
          </w:p>
        </w:tc>
        <w:tc>
          <w:tcPr>
            <w:tcW w:w="2634" w:type="dxa"/>
            <w:shd w:val="clear" w:color="auto" w:fill="00498F"/>
          </w:tcPr>
          <w:p>
            <w:pPr>
              <w:spacing w:line="276" w:lineRule="auto"/>
            </w:pPr>
            <w:r>
              <w:rPr>
                <w:rFonts w:eastAsia="Calibri"/>
                <w:b/>
                <w:bCs/>
                <w:color w:val="FFFFFF"/>
              </w:rPr>
              <w:t>Source</w:t>
            </w:r>
          </w:p>
        </w:tc>
      </w:tr>
      <w:tr>
        <w:trPr>
          <w:cantSplit/>
        </w:trPr>
        <w:tc>
          <w:tcPr>
            <w:tcW w:w="1576" w:type="dxa"/>
          </w:tcPr>
          <w:p>
            <w:pPr>
              <w:spacing w:line="276" w:lineRule="auto"/>
            </w:pPr>
            <w:r>
              <w:rPr>
                <w:rFonts w:eastAsia="Calibri"/>
              </w:rPr>
              <w:t>Students and educators</w:t>
            </w:r>
          </w:p>
        </w:tc>
        <w:tc>
          <w:tcPr>
            <w:tcW w:w="5530" w:type="dxa"/>
          </w:tcPr>
          <w:p>
            <w:pPr>
              <w:spacing w:line="276" w:lineRule="auto"/>
            </w:pPr>
            <w:r>
              <w:rPr>
                <w:rFonts w:eastAsia="Calibri"/>
              </w:rPr>
              <w:t>72.4 per cent of students and 70.5 per cent of educators have not taken an AI course. Educators' measured AI literacy is low relative to their confidence, while students overestimate their own capacity. Institutional readiness scores lowest</w:t>
            </w:r>
          </w:p>
        </w:tc>
        <w:tc>
          <w:tcPr>
            <w:tcW w:w="2634" w:type="dxa"/>
          </w:tcPr>
          <w:p>
            <w:pPr>
              <w:spacing w:line="276" w:lineRule="auto"/>
            </w:pPr>
            <w:r>
              <w:rPr>
                <w:rFonts w:eastAsia="Calibri"/>
              </w:rPr>
              <w:t>AI Ready ASEAN Research (2026)</w:t>
            </w:r>
          </w:p>
        </w:tc>
      </w:tr>
      <w:tr>
        <w:trPr>
          <w:cantSplit/>
        </w:trPr>
        <w:tc>
          <w:tcPr>
            <w:tcW w:w="1576" w:type="dxa"/>
          </w:tcPr>
          <w:p>
            <w:pPr>
              <w:spacing w:line="276" w:lineRule="auto"/>
            </w:pPr>
            <w:r>
              <w:rPr>
                <w:rFonts w:eastAsia="Calibri"/>
              </w:rPr>
              <w:t>SMEs (Singapore)</w:t>
            </w:r>
          </w:p>
        </w:tc>
        <w:tc>
          <w:tcPr>
            <w:tcW w:w="5530" w:type="dxa"/>
          </w:tcPr>
          <w:p>
            <w:pPr>
              <w:spacing w:line="276" w:lineRule="auto"/>
            </w:pPr>
            <w:r>
              <w:rPr>
                <w:rFonts w:eastAsia="Calibri"/>
              </w:rPr>
              <w:t>AI adoption rate of 23.4 per cent among SMEs against 70.4 per cent among non-SMEs (2025)</w:t>
            </w:r>
          </w:p>
        </w:tc>
        <w:tc>
          <w:tcPr>
            <w:tcW w:w="2634" w:type="dxa"/>
          </w:tcPr>
          <w:p>
            <w:pPr>
              <w:spacing w:line="276" w:lineRule="auto"/>
            </w:pPr>
            <w:r>
              <w:rPr>
                <w:rFonts w:eastAsia="Calibri"/>
              </w:rPr>
              <w:t>IMDA (October 2026)</w:t>
            </w:r>
          </w:p>
        </w:tc>
      </w:tr>
      <w:tr>
        <w:trPr>
          <w:cantSplit/>
        </w:trPr>
        <w:tc>
          <w:tcPr>
            <w:tcW w:w="1576" w:type="dxa"/>
          </w:tcPr>
          <w:p>
            <w:pPr>
              <w:spacing w:line="276" w:lineRule="auto"/>
            </w:pPr>
            <w:r>
              <w:rPr>
                <w:rFonts w:eastAsia="Calibri"/>
              </w:rPr>
              <w:t>MSMEs on the ground (Singapore)</w:t>
            </w:r>
          </w:p>
        </w:tc>
        <w:tc>
          <w:tcPr>
            <w:tcW w:w="5530" w:type="dxa"/>
          </w:tcPr>
          <w:p>
            <w:pPr>
              <w:spacing w:line="276" w:lineRule="auto"/>
            </w:pPr>
            <w:r>
              <w:rPr>
                <w:rFonts w:eastAsia="Calibri"/>
              </w:rPr>
              <w:t>Gap between access to tools and integration into the business; breaks between awareness, experimentation, implementation and scaling; inadequate data readiness; shortage of 'AI-bilingual' talent</w:t>
            </w:r>
          </w:p>
        </w:tc>
        <w:tc>
          <w:tcPr>
            <w:tcW w:w="2634" w:type="dxa"/>
          </w:tcPr>
          <w:p>
            <w:pPr>
              <w:spacing w:line="276" w:lineRule="auto"/>
            </w:pPr>
            <w:r>
              <w:rPr>
                <w:rFonts w:eastAsia="Calibri"/>
              </w:rPr>
              <w:t>AIM ASEAN Singapore Convening (internal LIP report)</w:t>
            </w:r>
          </w:p>
        </w:tc>
      </w:tr>
      <w:tr>
        <w:trPr>
          <w:cantSplit/>
        </w:trPr>
        <w:tc>
          <w:tcPr>
            <w:tcW w:w="1576" w:type="dxa"/>
          </w:tcPr>
          <w:p>
            <w:pPr>
              <w:spacing w:line="276" w:lineRule="auto"/>
            </w:pPr>
            <w:r>
              <w:rPr>
                <w:rFonts w:eastAsia="Calibri"/>
              </w:rPr>
              <w:t>MSMEs on the ground (Indonesia)</w:t>
            </w:r>
          </w:p>
        </w:tc>
        <w:tc>
          <w:tcPr>
            <w:tcW w:w="5530" w:type="dxa"/>
          </w:tcPr>
          <w:p>
            <w:pPr>
              <w:spacing w:line="276" w:lineRule="auto"/>
            </w:pPr>
            <w:r>
              <w:rPr>
                <w:rFonts w:eastAsia="Calibri"/>
              </w:rPr>
              <w:t>Gaps in digital and financial literacy. Minister of MSMEs: more than 90 per cent of MSMEs fail to use AI properly in their work</w:t>
            </w:r>
          </w:p>
        </w:tc>
        <w:tc>
          <w:tcPr>
            <w:tcW w:w="2634" w:type="dxa"/>
          </w:tcPr>
          <w:p>
            <w:pPr>
              <w:spacing w:line="276" w:lineRule="auto"/>
            </w:pPr>
            <w:r>
              <w:rPr>
                <w:rFonts w:eastAsia="Calibri"/>
              </w:rPr>
              <w:t>Convening coverage (Kompas); opening speech as reported by Antara (single source)</w:t>
            </w:r>
          </w:p>
        </w:tc>
      </w:tr>
      <w:tr>
        <w:trPr>
          <w:cantSplit/>
        </w:trPr>
        <w:tc>
          <w:tcPr>
            <w:tcW w:w="1576" w:type="dxa"/>
          </w:tcPr>
          <w:p>
            <w:pPr>
              <w:spacing w:line="276" w:lineRule="auto"/>
            </w:pPr>
            <w:r>
              <w:rPr>
                <w:rFonts w:eastAsia="Calibri"/>
              </w:rPr>
              <w:t>E-commerce sellers (six countries)</w:t>
            </w:r>
          </w:p>
        </w:tc>
        <w:tc>
          <w:tcPr>
            <w:tcW w:w="5530" w:type="dxa"/>
          </w:tcPr>
          <w:p>
            <w:pPr>
              <w:spacing w:line="276" w:lineRule="auto"/>
            </w:pPr>
            <w:r>
              <w:rPr>
                <w:rFonts w:eastAsia="Calibri"/>
              </w:rPr>
              <w:t>68 per cent know about AI; 37 per cent actually apply it in their work. Three in four need further support</w:t>
            </w:r>
          </w:p>
        </w:tc>
        <w:tc>
          <w:tcPr>
            <w:tcW w:w="2634" w:type="dxa"/>
          </w:tcPr>
          <w:p>
            <w:pPr>
              <w:spacing w:line="276" w:lineRule="auto"/>
            </w:pPr>
            <w:r>
              <w:rPr>
                <w:rFonts w:eastAsia="Calibri"/>
              </w:rPr>
              <w:t>Lazada–Kantar (February 2025; 1,214 sellers; platform survey)</w:t>
            </w:r>
          </w:p>
        </w:tc>
      </w:tr>
      <w:tr>
        <w:trPr>
          <w:cantSplit/>
        </w:trPr>
        <w:tc>
          <w:tcPr>
            <w:tcW w:w="1576" w:type="dxa"/>
          </w:tcPr>
          <w:p>
            <w:pPr>
              <w:spacing w:line="276" w:lineRule="auto"/>
            </w:pPr>
            <w:r>
              <w:rPr>
                <w:rFonts w:eastAsia="Calibri"/>
              </w:rPr>
              <w:t>MSMEs across the region</w:t>
            </w:r>
          </w:p>
        </w:tc>
        <w:tc>
          <w:tcPr>
            <w:tcW w:w="5530" w:type="dxa"/>
          </w:tcPr>
          <w:p>
            <w:pPr>
              <w:spacing w:line="276" w:lineRule="auto"/>
            </w:pPr>
            <w:r>
              <w:rPr>
                <w:rFonts w:eastAsia="Calibri"/>
              </w:rPr>
              <w:t>Low AI adoption owing to cost, technical complexity and lack of expertise</w:t>
            </w:r>
          </w:p>
        </w:tc>
        <w:tc>
          <w:tcPr>
            <w:tcW w:w="2634" w:type="dxa"/>
          </w:tcPr>
          <w:p>
            <w:pPr>
              <w:spacing w:line="276" w:lineRule="auto"/>
            </w:pPr>
            <w:r>
              <w:rPr>
                <w:rFonts w:eastAsia="Calibri"/>
              </w:rPr>
              <w:t>ERIA Policy Brief 2025-1</w:t>
            </w:r>
          </w:p>
        </w:tc>
      </w:tr>
      <w:tr>
        <w:trPr>
          <w:cantSplit/>
        </w:trPr>
        <w:tc>
          <w:tcPr>
            <w:tcW w:w="1576" w:type="dxa"/>
          </w:tcPr>
          <w:p>
            <w:pPr>
              <w:spacing w:line="276" w:lineRule="auto"/>
            </w:pPr>
            <w:r>
              <w:rPr>
                <w:rFonts w:eastAsia="Calibri"/>
              </w:rPr>
              <w:t>SMEs in OECD countries</w:t>
            </w:r>
          </w:p>
        </w:tc>
        <w:tc>
          <w:tcPr>
            <w:tcW w:w="5530" w:type="dxa"/>
          </w:tcPr>
          <w:p>
            <w:pPr>
              <w:spacing w:line="276" w:lineRule="auto"/>
            </w:pPr>
            <w:r>
              <w:rPr>
                <w:rFonts w:eastAsia="Calibri"/>
              </w:rPr>
              <w:t>Most use off-the-shelf AI products; the extent to which they integrate them into operations strategically and safely is uneven</w:t>
            </w:r>
          </w:p>
        </w:tc>
        <w:tc>
          <w:tcPr>
            <w:tcW w:w="2634" w:type="dxa"/>
          </w:tcPr>
          <w:p>
            <w:pPr>
              <w:spacing w:line="276" w:lineRule="auto"/>
            </w:pPr>
            <w:r>
              <w:rPr>
                <w:rFonts w:eastAsia="Calibri"/>
              </w:rPr>
              <w:t>OECD 2026 D4SME survey (more than 2,000 firms in 12 countries; non-representative sample)</w:t>
            </w:r>
          </w:p>
        </w:tc>
      </w:tr>
    </w:tbl>
    <w:p>
      <w:pPr>
        <w:spacing w:after="60" w:line="120" w:lineRule="auto"/>
      </w:pPr>
    </w:p>
    <w:p>
      <w:pPr>
        <w:spacing w:after="120" w:line="336" w:lineRule="auto"/>
        <w:jc w:val="both"/>
      </w:pPr>
      <w:r>
        <w:rPr>
          <w:rFonts w:eastAsia="Calibri"/>
        </w:rPr>
        <w:t>Definitions and samples differ between surveys, so the figures should not be aggregated or compared directly. There are no official statistics on the AI adoption rate of MSMEs across ASEAN as a whole.</w:t>
      </w:r>
    </w:p>
    <w:p>
      <w:pPr>
        <w:spacing w:after="120" w:line="336" w:lineRule="auto"/>
        <w:jc w:val="both"/>
      </w:pPr>
      <w:r>
        <w:rPr>
          <w:rFonts w:eastAsia="Calibri"/>
          <w:b/>
          <w:bCs/>
        </w:rPr>
        <w:t>Risks from misuse of AI: a demand-side problem</w:t>
      </w:r>
    </w:p>
    <w:p>
      <w:pPr>
        <w:pStyle w:val="a4"/>
        <w:numPr>
          <w:ilvl w:val="0"/>
          <w:numId w:val="2"/>
        </w:numPr>
        <w:spacing w:after="60" w:line="336" w:lineRule="auto"/>
        <w:jc w:val="both"/>
      </w:pPr>
      <w:r>
        <w:rPr>
          <w:rFonts w:eastAsia="Calibri"/>
        </w:rPr>
        <w:t>ASEAN Digital Outlook 2026 identifies AI-generated threats, disinformation and scams as cross-border risks, and presents cybersecurity governance and digital literacy as two mutually complementary pillars (based on its summary).</w:t>
      </w:r>
    </w:p>
    <w:p>
      <w:pPr>
        <w:pStyle w:val="a4"/>
        <w:numPr>
          <w:ilvl w:val="0"/>
          <w:numId w:val="2"/>
        </w:numPr>
        <w:spacing w:after="120" w:line="336" w:lineRule="auto"/>
        <w:jc w:val="both"/>
      </w:pPr>
      <w:r>
        <w:rPr>
          <w:rFonts w:eastAsia="Calibri"/>
        </w:rPr>
        <w:t>A representative of the ASEAN Business Advisory Council (ASEAN-BAC) warned that MSMEs are particularly vulnerable because scammers use deepfakes and voice cloning to impersonate customers and business partners (as reported by Eco-Business). Citing Interpol data, the same report states that deepfake-related scams in Asia-Pacific rose by more than 1,500 per cent between 2022 and 2023.</w:t>
      </w:r>
    </w:p>
    <w:p>
      <w:pPr>
        <w:keepNext/>
        <w:spacing w:before="220" w:after="110" w:line="300" w:lineRule="auto"/>
      </w:pPr>
      <w:r>
        <w:rPr>
          <w:rFonts w:eastAsia="Calibri"/>
          <w:b/>
          <w:bCs/>
          <w:color w:val="0F63A8"/>
          <w:sz w:val="22"/>
          <w:szCs w:val="22"/>
        </w:rPr>
        <w:t>4.4 Counter-arguments</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2161"/>
        <w:gridCol w:w="4019"/>
        <w:gridCol w:w="3560"/>
      </w:tblGrid>
      <w:tr>
        <w:trPr>
          <w:tblHeader/>
        </w:trPr>
        <w:tc>
          <w:tcPr>
            <w:tcW w:w="2161" w:type="dxa"/>
            <w:shd w:val="clear" w:color="auto" w:fill="00498F"/>
          </w:tcPr>
          <w:p>
            <w:pPr>
              <w:spacing w:line="276" w:lineRule="auto"/>
            </w:pPr>
            <w:r>
              <w:rPr>
                <w:rFonts w:eastAsia="Calibri"/>
                <w:b/>
                <w:bCs/>
                <w:color w:val="FFFFFF"/>
              </w:rPr>
              <w:t>Anticipated counter-argument</w:t>
            </w:r>
          </w:p>
        </w:tc>
        <w:tc>
          <w:tcPr>
            <w:tcW w:w="4019" w:type="dxa"/>
            <w:shd w:val="clear" w:color="auto" w:fill="00498F"/>
          </w:tcPr>
          <w:p>
            <w:pPr>
              <w:spacing w:line="276" w:lineRule="auto"/>
            </w:pPr>
            <w:r>
              <w:rPr>
                <w:rFonts w:eastAsia="Calibri"/>
                <w:b/>
                <w:bCs/>
                <w:color w:val="FFFFFF"/>
              </w:rPr>
              <w:t>Response</w:t>
            </w:r>
          </w:p>
        </w:tc>
        <w:tc>
          <w:tcPr>
            <w:tcW w:w="3560" w:type="dxa"/>
            <w:shd w:val="clear" w:color="auto" w:fill="00498F"/>
          </w:tcPr>
          <w:p>
            <w:pPr>
              <w:spacing w:line="276" w:lineRule="auto"/>
            </w:pPr>
            <w:r>
              <w:rPr>
                <w:rFonts w:eastAsia="Calibri"/>
                <w:b/>
                <w:bCs/>
                <w:color w:val="FFFFFF"/>
              </w:rPr>
              <w:t>Adjustment to the argument</w:t>
            </w:r>
          </w:p>
        </w:tc>
      </w:tr>
      <w:tr>
        <w:trPr>
          <w:cantSplit/>
        </w:trPr>
        <w:tc>
          <w:tcPr>
            <w:tcW w:w="2161" w:type="dxa"/>
          </w:tcPr>
          <w:p>
            <w:pPr>
              <w:spacing w:line="276" w:lineRule="auto"/>
            </w:pPr>
            <w:r>
              <w:rPr>
                <w:rFonts w:eastAsia="Calibri"/>
              </w:rPr>
              <w:t>Chinese companies and platforms already provide AI education</w:t>
            </w:r>
          </w:p>
        </w:tc>
        <w:tc>
          <w:tcPr>
            <w:tcW w:w="4019" w:type="dxa"/>
          </w:tcPr>
          <w:p>
            <w:pPr>
              <w:spacing w:line="276" w:lineRule="auto"/>
            </w:pPr>
            <w:r>
              <w:rPr>
                <w:rFonts w:eastAsia="Calibri"/>
              </w:rPr>
              <w:t>True. There are Huawei Seeds for the Future and TECH4ALL, platform-specific seller training, and vocational education hubs in Guangxi and Guizhou. The Foundation, too, ran ASEAN Seeds for the Future with Huawei (2021 MoU). These efforts are, however, fragmented by provider and do not presuppose common ASEAN standards. The Foundation's own programmes use Google's suite of AI tools (see 2.5) and could face the same criticism</w:t>
            </w:r>
          </w:p>
        </w:tc>
        <w:tc>
          <w:tcPr>
            <w:tcW w:w="3560" w:type="dxa"/>
          </w:tcPr>
          <w:p>
            <w:pPr>
              <w:spacing w:line="276" w:lineRule="auto"/>
            </w:pPr>
            <w:r>
              <w:rPr>
                <w:rFonts w:eastAsia="Calibri"/>
              </w:rPr>
              <w:t>Define the gap not as an 'absence' but as an 'absence of ASEAN-led, technology-neutral public goods'. Have the Foundation itself set out the principle of technology neutrality first</w:t>
            </w:r>
          </w:p>
        </w:tc>
      </w:tr>
      <w:tr>
        <w:trPr>
          <w:cantSplit/>
        </w:trPr>
        <w:tc>
          <w:tcPr>
            <w:tcW w:w="2161" w:type="dxa"/>
          </w:tcPr>
          <w:p>
            <w:pPr>
              <w:spacing w:line="276" w:lineRule="auto"/>
            </w:pPr>
            <w:r>
              <w:rPr>
                <w:rFonts w:eastAsia="Calibri"/>
              </w:rPr>
              <w:t>The 5,000 AI training sessions and Smart Education will cover this group</w:t>
            </w:r>
          </w:p>
        </w:tc>
        <w:tc>
          <w:tcPr>
            <w:tcW w:w="4019" w:type="dxa"/>
          </w:tcPr>
          <w:p>
            <w:pPr>
              <w:spacing w:line="276" w:lineRule="auto"/>
            </w:pPr>
            <w:r>
              <w:rPr>
                <w:rFonts w:eastAsia="Calibri"/>
              </w:rPr>
              <w:t>Possibly. With the details unpublished, no firm conclusion can be drawn. If they take shape as AI training for teachers, they could target the same schools as AI Ready ASEAN Phase 2</w:t>
            </w:r>
          </w:p>
        </w:tc>
        <w:tc>
          <w:tcPr>
            <w:tcW w:w="3560" w:type="dxa"/>
          </w:tcPr>
          <w:p>
            <w:pPr>
              <w:spacing w:line="276" w:lineRule="auto"/>
            </w:pPr>
            <w:r>
              <w:rPr>
                <w:rFonts w:eastAsia="Calibri"/>
              </w:rPr>
              <w:t>Avoiding duplication and ensuring complementarity become consultation agenda items in their own right</w:t>
            </w:r>
          </w:p>
        </w:tc>
      </w:tr>
      <w:tr>
        <w:trPr>
          <w:cantSplit/>
        </w:trPr>
        <w:tc>
          <w:tcPr>
            <w:tcW w:w="2161" w:type="dxa"/>
          </w:tcPr>
          <w:p>
            <w:pPr>
              <w:spacing w:line="276" w:lineRule="auto"/>
            </w:pPr>
            <w:r>
              <w:rPr>
                <w:rFonts w:eastAsia="Calibri"/>
              </w:rPr>
              <w:t>AI literacy and MSME support are domestic policy matters for member states</w:t>
            </w:r>
          </w:p>
        </w:tc>
        <w:tc>
          <w:tcPr>
            <w:tcW w:w="4019" w:type="dxa"/>
          </w:tcPr>
          <w:p>
            <w:pPr>
              <w:spacing w:line="276" w:lineRule="auto"/>
            </w:pPr>
            <w:r>
              <w:rPr>
                <w:rFonts w:eastAsia="Calibri"/>
              </w:rPr>
              <w:t>True. Education falls within member states' sovereign remit, and MSME policy likewise rests with member states' line ministries</w:t>
            </w:r>
          </w:p>
        </w:tc>
        <w:tc>
          <w:tcPr>
            <w:tcW w:w="3560" w:type="dxa"/>
          </w:tcPr>
          <w:p>
            <w:pPr>
              <w:spacing w:line="276" w:lineRule="auto"/>
            </w:pPr>
            <w:r>
              <w:rPr>
                <w:rFonts w:eastAsia="Calibri"/>
              </w:rPr>
              <w:t>Present endorsement by SOM-ED and ACCMSME, together with member-state coordination structures, as the entry route</w:t>
            </w:r>
          </w:p>
        </w:tc>
      </w:tr>
      <w:tr>
        <w:trPr>
          <w:cantSplit/>
        </w:trPr>
        <w:tc>
          <w:tcPr>
            <w:tcW w:w="2161" w:type="dxa"/>
          </w:tcPr>
          <w:p>
            <w:pPr>
              <w:spacing w:line="276" w:lineRule="auto"/>
            </w:pPr>
            <w:r>
              <w:rPr>
                <w:rFonts w:eastAsia="Calibri"/>
              </w:rPr>
              <w:t>AI infrastructure and industrial deployment come first</w:t>
            </w:r>
          </w:p>
        </w:tc>
        <w:tc>
          <w:tcPr>
            <w:tcW w:w="4019" w:type="dxa"/>
          </w:tcPr>
          <w:p>
            <w:pPr>
              <w:spacing w:line="276" w:lineRule="auto"/>
            </w:pPr>
            <w:r>
              <w:rPr>
                <w:rFonts w:eastAsia="Calibri"/>
              </w:rPr>
              <w:t>The sequencing logic is sound. But as deployment grows, the shortfall in user capacity comes back as low utilisation, deepfake scams and disinformation. Even in Singapore, the SME adoption rate is 23.4 per cent</w:t>
            </w:r>
          </w:p>
        </w:tc>
        <w:tc>
          <w:tcPr>
            <w:tcW w:w="3560" w:type="dxa"/>
          </w:tcPr>
          <w:p>
            <w:pPr>
              <w:spacing w:line="276" w:lineRule="auto"/>
            </w:pPr>
            <w:r>
              <w:rPr>
                <w:rFonts w:eastAsia="Calibri"/>
              </w:rPr>
              <w:t>Present user capacity as a condition for a return on AI investment and as a demand-side measure for AI safety</w:t>
            </w:r>
          </w:p>
        </w:tc>
      </w:tr>
      <w:tr>
        <w:trPr>
          <w:cantSplit/>
        </w:trPr>
        <w:tc>
          <w:tcPr>
            <w:tcW w:w="2161" w:type="dxa"/>
          </w:tcPr>
          <w:p>
            <w:pPr>
              <w:spacing w:line="276" w:lineRule="auto"/>
            </w:pPr>
            <w:r>
              <w:rPr>
                <w:rFonts w:eastAsia="Calibri"/>
              </w:rPr>
              <w:t>Training numbers are already sufficient; what is needed is high-level talent</w:t>
            </w:r>
          </w:p>
        </w:tc>
        <w:tc>
          <w:tcPr>
            <w:tcW w:w="4019" w:type="dxa"/>
          </w:tcPr>
          <w:p>
            <w:pPr>
              <w:spacing w:line="276" w:lineRule="auto"/>
            </w:pPr>
            <w:r>
              <w:rPr>
                <w:rFonts w:eastAsia="Calibri"/>
              </w:rPr>
              <w:t>The official track covers high-level talent. The problem is not numbers but the fact that changes in capacity and sustained use go unmeasured. The research shows a gap between self-assessed and measured capacity, and the Singapore Convening a break between training and business integration</w:t>
            </w:r>
          </w:p>
        </w:tc>
        <w:tc>
          <w:tcPr>
            <w:tcW w:w="3560" w:type="dxa"/>
          </w:tcPr>
          <w:p>
            <w:pPr>
              <w:spacing w:line="276" w:lineRule="auto"/>
            </w:pPr>
            <w:r>
              <w:rPr>
                <w:rFonts w:eastAsia="Calibri"/>
              </w:rPr>
              <w:t>Present measurement of sustained use and business outcomes (D1) as an area of contribution</w:t>
            </w:r>
          </w:p>
        </w:tc>
      </w:tr>
      <w:tr>
        <w:trPr>
          <w:cantSplit/>
        </w:trPr>
        <w:tc>
          <w:tcPr>
            <w:tcW w:w="2161" w:type="dxa"/>
          </w:tcPr>
          <w:p>
            <w:pPr>
              <w:spacing w:line="276" w:lineRule="auto"/>
            </w:pPr>
            <w:r>
              <w:rPr>
                <w:rFonts w:eastAsia="Calibri"/>
              </w:rPr>
              <w:t>Singapore is an exceptionally advanced case, so its experience cannot be generalised</w:t>
            </w:r>
          </w:p>
        </w:tc>
        <w:tc>
          <w:tcPr>
            <w:tcW w:w="4019" w:type="dxa"/>
          </w:tcPr>
          <w:p>
            <w:pPr>
              <w:spacing w:line="276" w:lineRule="auto"/>
            </w:pPr>
            <w:r>
              <w:rPr>
                <w:rFonts w:eastAsia="Calibri"/>
              </w:rPr>
              <w:t xml:space="preserve">True. Its institutional ecosystem is robust and it is geographically small (as the report itself notes). But if training and use come apart even there, the break is likely to be greater where support is thin </w:t>
            </w:r>
            <w:r>
              <w:rPr>
                <w:rFonts w:eastAsia="Calibri"/>
                <w:b/>
                <w:bCs/>
                <w:color w:val="0F63A8"/>
              </w:rPr>
              <w:t>[Assessment]</w:t>
            </w:r>
            <w:r>
              <w:rPr>
                <w:rFonts w:eastAsia="Calibri"/>
              </w:rPr>
              <w:t>. Indonesia showed a different barrier: the literacy gap</w:t>
            </w:r>
          </w:p>
        </w:tc>
        <w:tc>
          <w:tcPr>
            <w:tcW w:w="3560" w:type="dxa"/>
          </w:tcPr>
          <w:p>
            <w:pPr>
              <w:spacing w:line="276" w:lineRule="auto"/>
            </w:pPr>
            <w:r>
              <w:rPr>
                <w:rFonts w:eastAsia="Calibri"/>
              </w:rPr>
              <w:t>Present it not as a copy of the same programme but as a common pathway (awareness → low-risk adoption → process transformation) adapted by each country. Use the Singapore evidence alongside that from Indonesia and elsewhere</w:t>
            </w:r>
          </w:p>
        </w:tc>
      </w:tr>
    </w:tbl>
    <w:p>
      <w:pPr>
        <w:spacing w:after="60" w:line="120" w:lineRule="auto"/>
      </w:pPr>
    </w:p>
    <w:p>
      <w:pPr>
        <w:spacing w:after="120" w:line="336" w:lineRule="auto"/>
        <w:jc w:val="both"/>
      </w:pPr>
      <w:r>
        <w:rPr>
          <w:rFonts w:eastAsia="Calibri"/>
          <w:b/>
          <w:bCs/>
          <w:color w:val="0F63A8"/>
        </w:rPr>
        <w:t>[Assessment]</w:t>
      </w:r>
      <w:r>
        <w:rPr>
          <w:rFonts w:eastAsia="Calibri"/>
        </w:rPr>
        <w:t xml:space="preserve"> There are three gaps: in target groups (the capacity of teachers, citizens and MSMEs to use AI); in stages (support and measurement for implementation and scaling after training); and in coordination (between dispersed AI channels on the Chinese side and existing AI programmes on the ASEAN side). Since both sides have made AI safety a major agenda item (ASEAN AI Safe; the September 2026 initiative on AI ethics and safety cooperation), the most persuasive argument pairs supply-side measures, such as model testing and standards, with demand-side measures: users' AI literacy and responsible use. At the CIIS session on industry, the MSME 'after training' phase is the most concrete illustration of this gap. The same argument should be made for teachers and citizens in the education track and for MSMEs in the industry track.</w:t>
      </w:r>
    </w:p>
    <w:p>
      <w:pPr>
        <w:keepNext/>
        <w:spacing w:before="240" w:after="160" w:line="300" w:lineRule="auto"/>
      </w:pPr>
      <w:r>
        <w:rPr>
          <w:rFonts w:eastAsia="Calibri"/>
          <w:b/>
          <w:bCs/>
          <w:color w:val="00498F"/>
          <w:sz w:val="26"/>
          <w:szCs w:val="26"/>
        </w:rPr>
        <w:t>5. How the Foundation Can Contribute</w:t>
      </w:r>
    </w:p>
    <w:p>
      <w:pPr>
        <w:spacing w:after="120" w:line="336" w:lineRule="auto"/>
        <w:jc w:val="both"/>
      </w:pPr>
      <w:r>
        <w:rPr>
          <w:rFonts w:eastAsia="Calibri"/>
        </w:rPr>
        <w:t>The recommendation runs on two tracks.</w:t>
      </w:r>
    </w:p>
    <w:p>
      <w:pPr>
        <w:spacing w:after="120" w:line="336" w:lineRule="auto"/>
        <w:jc w:val="both"/>
      </w:pPr>
      <w:r>
        <w:rPr>
          <w:rFonts w:eastAsia="Calibri"/>
          <w:b/>
          <w:bCs/>
        </w:rPr>
        <w:t>The immediate track is MSMEs.</w:t>
      </w:r>
      <w:r>
        <w:rPr>
          <w:rFonts w:eastAsia="Calibri"/>
        </w:rPr>
        <w:t xml:space="preserve"> Everything is already in place: evidence (the record of the Singapore Convening), an institutional basis (AIM ASEAN, endorsed by ACCMSME), proposed follow-up tasks (common outcome indicators and case exchange, subject to partner agreement) and opportunities (the CIIS industry session and the declaration of the Philippine-chaired summit in November). The Foundation presents A3, A4, B4, D1 and C5 together under a single message: 'we take on what comes after training'.</w:t>
      </w:r>
    </w:p>
    <w:p>
      <w:pPr>
        <w:spacing w:after="120" w:line="336" w:lineRule="auto"/>
        <w:jc w:val="both"/>
      </w:pPr>
      <w:r>
        <w:rPr>
          <w:rFonts w:eastAsia="Calibri"/>
          <w:b/>
          <w:bCs/>
        </w:rPr>
        <w:t>The structural track is teachers.</w:t>
      </w:r>
      <w:r>
        <w:rPr>
          <w:rFonts w:eastAsia="Calibri"/>
        </w:rPr>
        <w:t xml:space="preserve"> Teachers' AI competence (C1) ties directly into Phase 2 of AI Ready ASEAN, endorsed by SOM-ED, but the target groups of China's Smart Education have not been made public, so exploration must come first. If teachers are included, the timing is right to prevent duplication now; if not, C1 shifts to complementarity, filling a gap (a proposal to link up at the teacher level). Either way, the Foundation reports to SOM-ED before proceeding.</w:t>
      </w:r>
    </w:p>
    <w:p>
      <w:pPr>
        <w:spacing w:after="120" w:line="336" w:lineRule="auto"/>
        <w:jc w:val="both"/>
      </w:pPr>
      <w:r>
        <w:rPr>
          <w:rFonts w:eastAsia="Calibri"/>
          <w:b/>
          <w:bCs/>
        </w:rPr>
        <w:t>[Assessment] Why MSMEs are the first priority.</w:t>
      </w:r>
      <w:r>
        <w:rPr>
          <w:rFonts w:eastAsia="Calibri"/>
        </w:rPr>
        <w:t xml:space="preserve"> First, the evidence on the MSME side is more specific and more recent. Second, partners have recommended the role the Foundation would play (subject to agreement). Third, AIM ASEAN is scheduled to end in 2027, so securing a follow-up link is urgent. Fourth, C1 rests on a premise not yet confirmed (whether Smart Education covers teachers).</w:t>
      </w:r>
    </w:p>
    <w:p>
      <w:pPr>
        <w:spacing w:after="120" w:line="336" w:lineRule="auto"/>
        <w:jc w:val="both"/>
      </w:pPr>
      <w:r>
        <w:rPr>
          <w:rFonts w:eastAsia="Calibri"/>
        </w:rPr>
        <w:t>On this visit, Session 2 of the CIIS roundtable is the first opportunity to act. The meeting with the Ministry of Education will go no further than introducing A1 and A2 and confirming Smart Education's target groups and the channel for consultation. Both tracks share the same logic: ASEAN has the networks that carry AI through to the ground, and the evidence of how it is used after training.</w:t>
      </w:r>
    </w:p>
    <w:p>
      <w:pPr>
        <w:keepNext/>
        <w:spacing w:before="220" w:after="110" w:line="300" w:lineRule="auto"/>
      </w:pPr>
      <w:r>
        <w:rPr>
          <w:rFonts w:eastAsia="Calibri"/>
          <w:b/>
          <w:bCs/>
          <w:color w:val="0F63A8"/>
          <w:sz w:val="22"/>
          <w:szCs w:val="22"/>
        </w:rPr>
        <w:t>5.1 Principles</w:t>
      </w:r>
    </w:p>
    <w:p>
      <w:pPr>
        <w:pStyle w:val="a4"/>
        <w:numPr>
          <w:ilvl w:val="0"/>
          <w:numId w:val="6"/>
        </w:numPr>
        <w:spacing w:after="60" w:line="336" w:lineRule="auto"/>
        <w:jc w:val="both"/>
      </w:pPr>
      <w:r>
        <w:rPr>
          <w:rFonts w:eastAsia="Calibri"/>
          <w:b/>
          <w:bCs/>
        </w:rPr>
        <w:t>ASEAN ownership</w:t>
      </w:r>
      <w:r>
        <w:rPr>
          <w:rFonts w:eastAsia="Calibri"/>
        </w:rPr>
        <w:t>: Ownership and branding of AI education content, trainer networks and AI readiness data rest with ASEAN.</w:t>
      </w:r>
    </w:p>
    <w:p>
      <w:pPr>
        <w:pStyle w:val="a4"/>
        <w:numPr>
          <w:ilvl w:val="0"/>
          <w:numId w:val="6"/>
        </w:numPr>
        <w:spacing w:after="60" w:line="336" w:lineRule="auto"/>
        <w:jc w:val="both"/>
      </w:pPr>
      <w:r>
        <w:rPr>
          <w:rFonts w:eastAsia="Calibri"/>
          <w:b/>
          <w:bCs/>
        </w:rPr>
        <w:t>Through member states</w:t>
      </w:r>
      <w:r>
        <w:rPr>
          <w:rFonts w:eastAsia="Calibri"/>
        </w:rPr>
        <w:t>: Education work goes through SOM-ED and member states' Ministries of Education, and MSME work through ACCMSME and member states' ministries responsible for MSMEs. In digital and AI governance, proposals go to ADGSOM and WG-AI via the ASEAN Secretariat.</w:t>
      </w:r>
    </w:p>
    <w:p>
      <w:pPr>
        <w:pStyle w:val="a4"/>
        <w:numPr>
          <w:ilvl w:val="0"/>
          <w:numId w:val="6"/>
        </w:numPr>
        <w:spacing w:after="60" w:line="336" w:lineRule="auto"/>
        <w:jc w:val="both"/>
      </w:pPr>
      <w:r>
        <w:rPr>
          <w:rFonts w:eastAsia="Calibri"/>
          <w:b/>
          <w:bCs/>
        </w:rPr>
        <w:t>Openness</w:t>
      </w:r>
      <w:r>
        <w:rPr>
          <w:rFonts w:eastAsia="Calibri"/>
        </w:rPr>
        <w:t>: The same proposals remain open to other Dialogue Partners. Nothing is designed as a China-only programme.</w:t>
      </w:r>
    </w:p>
    <w:p>
      <w:pPr>
        <w:pStyle w:val="a4"/>
        <w:numPr>
          <w:ilvl w:val="0"/>
          <w:numId w:val="6"/>
        </w:numPr>
        <w:spacing w:after="60" w:line="336" w:lineRule="auto"/>
        <w:jc w:val="both"/>
      </w:pPr>
      <w:r>
        <w:rPr>
          <w:rFonts w:eastAsia="Calibri"/>
          <w:b/>
          <w:bCs/>
        </w:rPr>
        <w:t>Technology neutrality</w:t>
      </w:r>
      <w:r>
        <w:rPr>
          <w:rFonts w:eastAsia="Calibri"/>
        </w:rPr>
        <w:t>: Nothing is made conditional on adopting AI models or platforms from a particular country or company. Education centres on competences rather than tools (judging where to use AI, verifying results, using it responsibly). The Singapore Convening, too, showed no single preference for any type of model.</w:t>
      </w:r>
    </w:p>
    <w:p>
      <w:pPr>
        <w:pStyle w:val="a4"/>
        <w:numPr>
          <w:ilvl w:val="0"/>
          <w:numId w:val="6"/>
        </w:numPr>
        <w:spacing w:after="60" w:line="336" w:lineRule="auto"/>
        <w:jc w:val="both"/>
      </w:pPr>
      <w:r>
        <w:rPr>
          <w:rFonts w:eastAsia="Calibri"/>
          <w:b/>
          <w:bCs/>
        </w:rPr>
        <w:t>Complementarity</w:t>
      </w:r>
      <w:r>
        <w:rPr>
          <w:rFonts w:eastAsia="Calibri"/>
        </w:rPr>
        <w:t>: The Foundation does not replace China's AI programmes; it concentrates on gaps in target groups (teachers, citizens, MSMEs), in stages (after training) and in coordination (preventing duplication).</w:t>
      </w:r>
    </w:p>
    <w:p>
      <w:pPr>
        <w:pStyle w:val="a4"/>
        <w:numPr>
          <w:ilvl w:val="0"/>
          <w:numId w:val="6"/>
        </w:numPr>
        <w:spacing w:after="120" w:line="336" w:lineRule="auto"/>
        <w:jc w:val="both"/>
      </w:pPr>
      <w:r>
        <w:rPr>
          <w:rFonts w:eastAsia="Calibri"/>
          <w:b/>
          <w:bCs/>
        </w:rPr>
        <w:t>Speak through outcomes</w:t>
      </w:r>
      <w:r>
        <w:rPr>
          <w:rFonts w:eastAsia="Calibri"/>
        </w:rPr>
        <w:t>: Reach (number of people trained), business integration and verified outcomes are reported separately. There is no assumption that every enterprise needs AI in every function.</w:t>
      </w:r>
    </w:p>
    <w:p>
      <w:pPr>
        <w:keepNext/>
        <w:spacing w:before="220" w:after="110" w:line="300" w:lineRule="auto"/>
      </w:pPr>
      <w:r>
        <w:rPr>
          <w:rFonts w:eastAsia="Calibri"/>
          <w:b/>
          <w:bCs/>
          <w:color w:val="0F63A8"/>
          <w:sz w:val="22"/>
          <w:szCs w:val="22"/>
        </w:rPr>
        <w:t>5.2 Options</w:t>
      </w:r>
    </w:p>
    <w:p>
      <w:pPr>
        <w:spacing w:after="120" w:line="336" w:lineRule="auto"/>
        <w:jc w:val="both"/>
      </w:pPr>
      <w:r>
        <w:rPr>
          <w:rFonts w:eastAsia="Calibri"/>
        </w:rPr>
        <w:t>The options fall into four groups, in order of difficulty: A, sharing experience and evidence; B, linking AI content and materials; C, joint programmes; and D, measuring AI competence.</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500"/>
        <w:gridCol w:w="1901"/>
        <w:gridCol w:w="1364"/>
        <w:gridCol w:w="1568"/>
        <w:gridCol w:w="1456"/>
        <w:gridCol w:w="1679"/>
        <w:gridCol w:w="1272"/>
      </w:tblGrid>
      <w:tr>
        <w:trPr>
          <w:tblHeader/>
        </w:trPr>
        <w:tc>
          <w:tcPr>
            <w:tcW w:w="500" w:type="dxa"/>
            <w:shd w:val="clear" w:color="auto" w:fill="00498F"/>
          </w:tcPr>
          <w:p>
            <w:pPr>
              <w:spacing w:line="276" w:lineRule="auto"/>
              <w:jc w:val="center"/>
            </w:pPr>
            <w:r>
              <w:rPr>
                <w:rFonts w:eastAsia="Calibri"/>
                <w:b/>
                <w:bCs/>
                <w:color w:val="FFFFFF"/>
                <w:sz w:val="16"/>
                <w:szCs w:val="16"/>
              </w:rPr>
              <w:t>#</w:t>
            </w:r>
          </w:p>
        </w:tc>
        <w:tc>
          <w:tcPr>
            <w:tcW w:w="1901" w:type="dxa"/>
            <w:shd w:val="clear" w:color="auto" w:fill="00498F"/>
          </w:tcPr>
          <w:p>
            <w:pPr>
              <w:spacing w:line="276" w:lineRule="auto"/>
            </w:pPr>
            <w:r>
              <w:rPr>
                <w:rFonts w:eastAsia="Calibri"/>
                <w:b/>
                <w:bCs/>
                <w:color w:val="FFFFFF"/>
                <w:sz w:val="16"/>
                <w:szCs w:val="16"/>
              </w:rPr>
              <w:t>Contribution</w:t>
            </w:r>
          </w:p>
        </w:tc>
        <w:tc>
          <w:tcPr>
            <w:tcW w:w="1364" w:type="dxa"/>
            <w:shd w:val="clear" w:color="auto" w:fill="00498F"/>
          </w:tcPr>
          <w:p>
            <w:pPr>
              <w:spacing w:line="276" w:lineRule="auto"/>
            </w:pPr>
            <w:r>
              <w:rPr>
                <w:rFonts w:eastAsia="Calibri"/>
                <w:b/>
                <w:bCs/>
                <w:color w:val="FFFFFF"/>
                <w:sz w:val="16"/>
                <w:szCs w:val="16"/>
              </w:rPr>
              <w:t>AI layer and asset</w:t>
            </w:r>
          </w:p>
        </w:tc>
        <w:tc>
          <w:tcPr>
            <w:tcW w:w="1568" w:type="dxa"/>
            <w:shd w:val="clear" w:color="auto" w:fill="00498F"/>
          </w:tcPr>
          <w:p>
            <w:pPr>
              <w:spacing w:line="276" w:lineRule="auto"/>
            </w:pPr>
            <w:r>
              <w:rPr>
                <w:rFonts w:eastAsia="Calibri"/>
                <w:b/>
                <w:bCs/>
                <w:color w:val="FFFFFF"/>
                <w:sz w:val="16"/>
                <w:szCs w:val="16"/>
              </w:rPr>
              <w:t>Channel and counterpart</w:t>
            </w:r>
          </w:p>
        </w:tc>
        <w:tc>
          <w:tcPr>
            <w:tcW w:w="1456" w:type="dxa"/>
            <w:shd w:val="clear" w:color="auto" w:fill="00498F"/>
          </w:tcPr>
          <w:p>
            <w:pPr>
              <w:spacing w:line="276" w:lineRule="auto"/>
            </w:pPr>
            <w:r>
              <w:rPr>
                <w:rFonts w:eastAsia="Calibri"/>
                <w:b/>
                <w:bCs/>
                <w:color w:val="FFFFFF"/>
                <w:sz w:val="16"/>
                <w:szCs w:val="16"/>
              </w:rPr>
              <w:t>Counterpart's incentive</w:t>
            </w:r>
          </w:p>
        </w:tc>
        <w:tc>
          <w:tcPr>
            <w:tcW w:w="1679" w:type="dxa"/>
            <w:shd w:val="clear" w:color="auto" w:fill="00498F"/>
          </w:tcPr>
          <w:p>
            <w:pPr>
              <w:spacing w:line="276" w:lineRule="auto"/>
            </w:pPr>
            <w:r>
              <w:rPr>
                <w:rFonts w:eastAsia="Calibri"/>
                <w:b/>
                <w:bCs/>
                <w:color w:val="FFFFFF"/>
                <w:sz w:val="16"/>
                <w:szCs w:val="16"/>
              </w:rPr>
              <w:t>Preconditions</w:t>
            </w:r>
          </w:p>
        </w:tc>
        <w:tc>
          <w:tcPr>
            <w:tcW w:w="1272" w:type="dxa"/>
            <w:shd w:val="clear" w:color="auto" w:fill="00498F"/>
          </w:tcPr>
          <w:p>
            <w:pPr>
              <w:spacing w:line="276" w:lineRule="auto"/>
            </w:pPr>
            <w:r>
              <w:rPr>
                <w:rFonts w:eastAsia="Calibri"/>
                <w:b/>
                <w:bCs/>
                <w:color w:val="FFFFFF"/>
                <w:sz w:val="16"/>
                <w:szCs w:val="16"/>
              </w:rPr>
              <w:t>Timing</w:t>
            </w:r>
          </w:p>
        </w:tc>
      </w:tr>
      <w:tr>
        <w:trPr>
          <w:cantSplit/>
        </w:trPr>
        <w:tc>
          <w:tcPr>
            <w:tcW w:w="500" w:type="dxa"/>
          </w:tcPr>
          <w:p>
            <w:pPr>
              <w:spacing w:line="276" w:lineRule="auto"/>
              <w:jc w:val="center"/>
            </w:pPr>
            <w:r>
              <w:rPr>
                <w:rFonts w:eastAsia="Calibri"/>
                <w:sz w:val="16"/>
                <w:szCs w:val="16"/>
              </w:rPr>
              <w:t>A1</w:t>
            </w:r>
          </w:p>
        </w:tc>
        <w:tc>
          <w:tcPr>
            <w:tcW w:w="1901" w:type="dxa"/>
          </w:tcPr>
          <w:p>
            <w:pPr>
              <w:spacing w:line="276" w:lineRule="auto"/>
            </w:pPr>
            <w:r>
              <w:rPr>
                <w:rFonts w:eastAsia="Calibri"/>
                <w:sz w:val="16"/>
                <w:szCs w:val="16"/>
              </w:rPr>
              <w:t>Sharing experience of the AI literacy Training-of-Trainers model (Master Trainer selection, local implementing partner (LIP) operations, quality assurance, tracking indicators of reach and in-depth completion)</w:t>
            </w:r>
          </w:p>
        </w:tc>
        <w:tc>
          <w:tcPr>
            <w:tcW w:w="1364" w:type="dxa"/>
          </w:tcPr>
          <w:p>
            <w:pPr>
              <w:spacing w:line="276" w:lineRule="auto"/>
            </w:pPr>
            <w:r>
              <w:rPr>
                <w:rFonts w:eastAsia="Calibri"/>
                <w:sz w:val="16"/>
                <w:szCs w:val="16"/>
              </w:rPr>
              <w:t>Talent · delivery</w:t>
            </w:r>
          </w:p>
        </w:tc>
        <w:tc>
          <w:tcPr>
            <w:tcW w:w="1568" w:type="dxa"/>
          </w:tcPr>
          <w:p>
            <w:pPr>
              <w:spacing w:line="276" w:lineRule="auto"/>
            </w:pPr>
            <w:r>
              <w:rPr>
                <w:rFonts w:eastAsia="Calibri"/>
                <w:sz w:val="16"/>
                <w:szCs w:val="16"/>
              </w:rPr>
              <w:t>Smart Education working-level officials; training staff at the China–ASEAN AI Industry Innovation Centre (Beijing); the roundtable</w:t>
            </w:r>
          </w:p>
        </w:tc>
        <w:tc>
          <w:tcPr>
            <w:tcW w:w="1456" w:type="dxa"/>
          </w:tcPr>
          <w:p>
            <w:pPr>
              <w:spacing w:line="276" w:lineRule="auto"/>
            </w:pPr>
            <w:r>
              <w:rPr>
                <w:rFonts w:eastAsia="Calibri"/>
                <w:sz w:val="16"/>
                <w:szCs w:val="16"/>
              </w:rPr>
              <w:t>Know-how in designing AI training at scale</w:t>
            </w:r>
          </w:p>
        </w:tc>
        <w:tc>
          <w:tcPr>
            <w:tcW w:w="1679" w:type="dxa"/>
          </w:tcPr>
          <w:p>
            <w:pPr>
              <w:spacing w:line="276" w:lineRule="auto"/>
            </w:pPr>
            <w:r>
              <w:rPr>
                <w:rFonts w:eastAsia="Calibri"/>
                <w:sz w:val="16"/>
                <w:szCs w:val="16"/>
              </w:rPr>
              <w:t>Compilation of cases that can be made public</w:t>
            </w:r>
          </w:p>
        </w:tc>
        <w:tc>
          <w:tcPr>
            <w:tcW w:w="1272" w:type="dxa"/>
          </w:tcPr>
          <w:p>
            <w:pPr>
              <w:spacing w:line="276" w:lineRule="auto"/>
            </w:pPr>
            <w:r>
              <w:rPr>
                <w:rFonts w:eastAsia="Calibri"/>
                <w:sz w:val="16"/>
                <w:szCs w:val="16"/>
              </w:rPr>
              <w:t>Immediately</w:t>
            </w:r>
          </w:p>
        </w:tc>
      </w:tr>
      <w:tr>
        <w:trPr>
          <w:cantSplit/>
        </w:trPr>
        <w:tc>
          <w:tcPr>
            <w:tcW w:w="500" w:type="dxa"/>
          </w:tcPr>
          <w:p>
            <w:pPr>
              <w:spacing w:line="276" w:lineRule="auto"/>
              <w:jc w:val="center"/>
            </w:pPr>
            <w:r>
              <w:rPr>
                <w:rFonts w:eastAsia="Calibri"/>
                <w:sz w:val="16"/>
                <w:szCs w:val="16"/>
              </w:rPr>
              <w:t>A2</w:t>
            </w:r>
          </w:p>
        </w:tc>
        <w:tc>
          <w:tcPr>
            <w:tcW w:w="1901" w:type="dxa"/>
          </w:tcPr>
          <w:p>
            <w:pPr>
              <w:spacing w:line="276" w:lineRule="auto"/>
            </w:pPr>
            <w:r>
              <w:rPr>
                <w:rFonts w:eastAsia="Calibri"/>
                <w:sz w:val="16"/>
                <w:szCs w:val="16"/>
              </w:rPr>
              <w:t>Evidence briefing on AI readiness (gaps by country and between urban and rural areas, the gap between teachers' self-assessment and measured competence, MSMEs' 'after training' barriers)</w:t>
            </w:r>
          </w:p>
        </w:tc>
        <w:tc>
          <w:tcPr>
            <w:tcW w:w="1364" w:type="dxa"/>
          </w:tcPr>
          <w:p>
            <w:pPr>
              <w:spacing w:line="276" w:lineRule="auto"/>
            </w:pPr>
            <w:r>
              <w:rPr>
                <w:rFonts w:eastAsia="Calibri"/>
                <w:sz w:val="16"/>
                <w:szCs w:val="16"/>
              </w:rPr>
              <w:t>Talent · evidence</w:t>
            </w:r>
          </w:p>
        </w:tc>
        <w:tc>
          <w:tcPr>
            <w:tcW w:w="1568" w:type="dxa"/>
          </w:tcPr>
          <w:p>
            <w:pPr>
              <w:spacing w:line="276" w:lineRule="auto"/>
            </w:pPr>
            <w:r>
              <w:rPr>
                <w:rFonts w:eastAsia="Calibri"/>
                <w:sz w:val="16"/>
                <w:szCs w:val="16"/>
              </w:rPr>
              <w:t>As above, plus the ADGSOM–China senior officials' meeting, via the ASEAN Secretariat</w:t>
            </w:r>
          </w:p>
        </w:tc>
        <w:tc>
          <w:tcPr>
            <w:tcW w:w="1456" w:type="dxa"/>
          </w:tcPr>
          <w:p>
            <w:pPr>
              <w:spacing w:line="276" w:lineRule="auto"/>
            </w:pPr>
            <w:r>
              <w:rPr>
                <w:rFonts w:eastAsia="Calibri"/>
                <w:sz w:val="16"/>
                <w:szCs w:val="16"/>
              </w:rPr>
              <w:t>Evidence for diagnosing demand for AI training</w:t>
            </w:r>
          </w:p>
        </w:tc>
        <w:tc>
          <w:tcPr>
            <w:tcW w:w="1679" w:type="dxa"/>
          </w:tcPr>
          <w:p>
            <w:pPr>
              <w:spacing w:line="276" w:lineRule="auto"/>
            </w:pPr>
            <w:r>
              <w:rPr>
                <w:rFonts w:eastAsia="Calibri"/>
                <w:sz w:val="16"/>
                <w:szCs w:val="16"/>
              </w:rPr>
              <w:t>Within the scope of published reports and press releases; the Singapore LIP report used only as an anonymised summary</w:t>
            </w:r>
          </w:p>
        </w:tc>
        <w:tc>
          <w:tcPr>
            <w:tcW w:w="1272" w:type="dxa"/>
          </w:tcPr>
          <w:p>
            <w:pPr>
              <w:spacing w:line="276" w:lineRule="auto"/>
            </w:pPr>
            <w:r>
              <w:rPr>
                <w:rFonts w:eastAsia="Calibri"/>
                <w:sz w:val="16"/>
                <w:szCs w:val="16"/>
              </w:rPr>
              <w:t>Immediately</w:t>
            </w:r>
          </w:p>
        </w:tc>
      </w:tr>
      <w:tr>
        <w:trPr>
          <w:cantSplit/>
        </w:trPr>
        <w:tc>
          <w:tcPr>
            <w:tcW w:w="500" w:type="dxa"/>
          </w:tcPr>
          <w:p>
            <w:pPr>
              <w:spacing w:line="276" w:lineRule="auto"/>
              <w:jc w:val="center"/>
            </w:pPr>
            <w:r>
              <w:rPr>
                <w:rFonts w:eastAsia="Calibri"/>
                <w:sz w:val="16"/>
                <w:szCs w:val="16"/>
              </w:rPr>
              <w:t>A3</w:t>
            </w:r>
          </w:p>
        </w:tc>
        <w:tc>
          <w:tcPr>
            <w:tcW w:w="1901" w:type="dxa"/>
          </w:tcPr>
          <w:p>
            <w:pPr>
              <w:spacing w:line="276" w:lineRule="auto"/>
            </w:pPr>
            <w:r>
              <w:rPr>
                <w:rFonts w:eastAsia="Calibri"/>
                <w:sz w:val="16"/>
                <w:szCs w:val="16"/>
              </w:rPr>
              <w:t>Remarks at the CIIS roundtable: built around the 'after training' question, sharing the Singapore lessons (the difference between tool use and business integration, AI-bilingual talent, support after training and responsible use) and proposing pathway design, a wider talent scope and measurement of sustained use</w:t>
            </w:r>
          </w:p>
        </w:tc>
        <w:tc>
          <w:tcPr>
            <w:tcW w:w="1364" w:type="dxa"/>
          </w:tcPr>
          <w:p>
            <w:pPr>
              <w:spacing w:line="276" w:lineRule="auto"/>
            </w:pPr>
            <w:r>
              <w:rPr>
                <w:rFonts w:eastAsia="Calibri"/>
                <w:sz w:val="16"/>
                <w:szCs w:val="16"/>
              </w:rPr>
              <w:t>Industrial application · evidence, delivery</w:t>
            </w:r>
          </w:p>
        </w:tc>
        <w:tc>
          <w:tcPr>
            <w:tcW w:w="1568" w:type="dxa"/>
          </w:tcPr>
          <w:p>
            <w:pPr>
              <w:spacing w:line="276" w:lineRule="auto"/>
            </w:pPr>
            <w:r>
              <w:rPr>
                <w:rFonts w:eastAsia="Calibri"/>
                <w:sz w:val="16"/>
                <w:szCs w:val="16"/>
              </w:rPr>
              <w:t>CIIS Session 2 (Chinese Mission to ASEAN copied in)</w:t>
            </w:r>
          </w:p>
        </w:tc>
        <w:tc>
          <w:tcPr>
            <w:tcW w:w="1456" w:type="dxa"/>
          </w:tcPr>
          <w:p>
            <w:pPr>
              <w:spacing w:line="276" w:lineRule="auto"/>
            </w:pPr>
            <w:r>
              <w:rPr>
                <w:rFonts w:eastAsia="Calibri"/>
                <w:sz w:val="16"/>
                <w:szCs w:val="16"/>
              </w:rPr>
              <w:t>MSME cases of building industrial AI capability</w:t>
            </w:r>
          </w:p>
        </w:tc>
        <w:tc>
          <w:tcPr>
            <w:tcW w:w="1679" w:type="dxa"/>
          </w:tcPr>
          <w:p>
            <w:pPr>
              <w:spacing w:line="276" w:lineRule="auto"/>
            </w:pPr>
            <w:r>
              <w:rPr>
                <w:rFonts w:eastAsia="Calibri"/>
                <w:sz w:val="16"/>
                <w:szCs w:val="16"/>
              </w:rPr>
              <w:t>Confirmation of what funders permit; advance sharing with the ASEAN Secretariat and the ACCMSME Chair; confirmation of the content of Ilan's closing remarks; submission of talking points (internally, by 14 October)</w:t>
            </w:r>
          </w:p>
        </w:tc>
        <w:tc>
          <w:tcPr>
            <w:tcW w:w="1272" w:type="dxa"/>
          </w:tcPr>
          <w:p>
            <w:pPr>
              <w:spacing w:line="276" w:lineRule="auto"/>
            </w:pPr>
            <w:r>
              <w:rPr>
                <w:rFonts w:eastAsia="Calibri"/>
                <w:sz w:val="16"/>
                <w:szCs w:val="16"/>
              </w:rPr>
              <w:t>October 2026</w:t>
            </w:r>
          </w:p>
        </w:tc>
      </w:tr>
      <w:tr>
        <w:trPr>
          <w:cantSplit/>
        </w:trPr>
        <w:tc>
          <w:tcPr>
            <w:tcW w:w="500" w:type="dxa"/>
          </w:tcPr>
          <w:p>
            <w:pPr>
              <w:spacing w:line="276" w:lineRule="auto"/>
              <w:jc w:val="center"/>
            </w:pPr>
            <w:r>
              <w:rPr>
                <w:rFonts w:eastAsia="Calibri"/>
                <w:sz w:val="16"/>
                <w:szCs w:val="16"/>
              </w:rPr>
              <w:t>A4</w:t>
            </w:r>
          </w:p>
        </w:tc>
        <w:tc>
          <w:tcPr>
            <w:tcW w:w="1901" w:type="dxa"/>
          </w:tcPr>
          <w:p>
            <w:pPr>
              <w:spacing w:line="276" w:lineRule="auto"/>
            </w:pPr>
            <w:r>
              <w:rPr>
                <w:rFonts w:eastAsia="Calibri"/>
                <w:sz w:val="16"/>
                <w:szCs w:val="16"/>
              </w:rPr>
              <w:t>Structured sharing of MSME AI use cases (business problem, data requirements, cost, workforce change, risks and results, including cases that did not work well)</w:t>
            </w:r>
          </w:p>
        </w:tc>
        <w:tc>
          <w:tcPr>
            <w:tcW w:w="1364" w:type="dxa"/>
          </w:tcPr>
          <w:p>
            <w:pPr>
              <w:spacing w:line="276" w:lineRule="auto"/>
            </w:pPr>
            <w:r>
              <w:rPr>
                <w:rFonts w:eastAsia="Calibri"/>
                <w:sz w:val="16"/>
                <w:szCs w:val="16"/>
              </w:rPr>
              <w:t>Industrial application · evidence</w:t>
            </w:r>
          </w:p>
        </w:tc>
        <w:tc>
          <w:tcPr>
            <w:tcW w:w="1568" w:type="dxa"/>
          </w:tcPr>
          <w:p>
            <w:pPr>
              <w:spacing w:line="276" w:lineRule="auto"/>
            </w:pPr>
            <w:r>
              <w:rPr>
                <w:rFonts w:eastAsia="Calibri"/>
                <w:sz w:val="16"/>
                <w:szCs w:val="16"/>
              </w:rPr>
              <w:t>Regional case exchange on the ASEAN side (AIM ASEAN regional policy meeting, ACCMSME); public cases only at ASEAN–China forums</w:t>
            </w:r>
          </w:p>
        </w:tc>
        <w:tc>
          <w:tcPr>
            <w:tcW w:w="1456" w:type="dxa"/>
          </w:tcPr>
          <w:p>
            <w:pPr>
              <w:spacing w:line="276" w:lineRule="auto"/>
            </w:pPr>
            <w:r>
              <w:rPr>
                <w:rFonts w:eastAsia="Calibri"/>
                <w:sz w:val="16"/>
                <w:szCs w:val="16"/>
              </w:rPr>
              <w:t>Comparability of cases; less trial and error</w:t>
            </w:r>
          </w:p>
        </w:tc>
        <w:tc>
          <w:tcPr>
            <w:tcW w:w="1679" w:type="dxa"/>
          </w:tcPr>
          <w:p>
            <w:pPr>
              <w:spacing w:line="276" w:lineRule="auto"/>
            </w:pPr>
            <w:r>
              <w:rPr>
                <w:rFonts w:eastAsia="Calibri"/>
                <w:sz w:val="16"/>
                <w:szCs w:val="16"/>
              </w:rPr>
              <w:t>Company consent and anonymisation; LIP agreement</w:t>
            </w:r>
          </w:p>
        </w:tc>
        <w:tc>
          <w:tcPr>
            <w:tcW w:w="1272" w:type="dxa"/>
          </w:tcPr>
          <w:p>
            <w:pPr>
              <w:spacing w:line="276" w:lineRule="auto"/>
            </w:pPr>
            <w:r>
              <w:rPr>
                <w:rFonts w:eastAsia="Calibri"/>
                <w:sz w:val="16"/>
                <w:szCs w:val="16"/>
              </w:rPr>
              <w:t>First half of 2027 (after the Singapore review in Q1 2027)</w:t>
            </w:r>
          </w:p>
        </w:tc>
      </w:tr>
      <w:tr>
        <w:trPr>
          <w:cantSplit/>
        </w:trPr>
        <w:tc>
          <w:tcPr>
            <w:tcW w:w="500" w:type="dxa"/>
          </w:tcPr>
          <w:p>
            <w:pPr>
              <w:spacing w:line="276" w:lineRule="auto"/>
              <w:jc w:val="center"/>
            </w:pPr>
            <w:r>
              <w:rPr>
                <w:rFonts w:eastAsia="Calibri"/>
                <w:sz w:val="16"/>
                <w:szCs w:val="16"/>
              </w:rPr>
              <w:t>B1</w:t>
            </w:r>
          </w:p>
        </w:tc>
        <w:tc>
          <w:tcPr>
            <w:tcW w:w="1901" w:type="dxa"/>
          </w:tcPr>
          <w:p>
            <w:pPr>
              <w:spacing w:line="276" w:lineRule="auto"/>
            </w:pPr>
            <w:r>
              <w:rPr>
                <w:rFonts w:eastAsia="Calibri"/>
                <w:sz w:val="16"/>
                <w:szCs w:val="16"/>
              </w:rPr>
              <w:t>Proposing AI Class ASEAN as pre-learning material for cooperative AI training (courses for teachers and MSMEs first)</w:t>
            </w:r>
          </w:p>
        </w:tc>
        <w:tc>
          <w:tcPr>
            <w:tcW w:w="1364" w:type="dxa"/>
          </w:tcPr>
          <w:p>
            <w:pPr>
              <w:spacing w:line="276" w:lineRule="auto"/>
            </w:pPr>
            <w:r>
              <w:rPr>
                <w:rFonts w:eastAsia="Calibri"/>
                <w:sz w:val="16"/>
                <w:szCs w:val="16"/>
              </w:rPr>
              <w:t>Talent · content</w:t>
            </w:r>
          </w:p>
        </w:tc>
        <w:tc>
          <w:tcPr>
            <w:tcW w:w="1568" w:type="dxa"/>
          </w:tcPr>
          <w:p>
            <w:pPr>
              <w:spacing w:line="276" w:lineRule="auto"/>
            </w:pPr>
            <w:r>
              <w:rPr>
                <w:rFonts w:eastAsia="Calibri"/>
                <w:sz w:val="16"/>
                <w:szCs w:val="16"/>
              </w:rPr>
              <w:t>Smart Education teacher training; the China–ASEAN AI Industry Innovation Centre (Beijing), if it sets up an MSME course; Digital Academy</w:t>
            </w:r>
          </w:p>
        </w:tc>
        <w:tc>
          <w:tcPr>
            <w:tcW w:w="1456" w:type="dxa"/>
          </w:tcPr>
          <w:p>
            <w:pPr>
              <w:spacing w:line="276" w:lineRule="auto"/>
            </w:pPr>
            <w:r>
              <w:rPr>
                <w:rFonts w:eastAsia="Calibri"/>
                <w:sz w:val="16"/>
                <w:szCs w:val="16"/>
              </w:rPr>
              <w:t>Participants' basic AI literacy brought to a common level; no additional cost</w:t>
            </w:r>
          </w:p>
        </w:tc>
        <w:tc>
          <w:tcPr>
            <w:tcW w:w="1679" w:type="dxa"/>
          </w:tcPr>
          <w:p>
            <w:pPr>
              <w:spacing w:line="276" w:lineRule="auto"/>
            </w:pPr>
            <w:r>
              <w:rPr>
                <w:rFonts w:eastAsia="Calibri"/>
                <w:sz w:val="16"/>
                <w:szCs w:val="16"/>
              </w:rPr>
              <w:t>Review of terms of use and data processing; consultation with funders</w:t>
            </w:r>
          </w:p>
        </w:tc>
        <w:tc>
          <w:tcPr>
            <w:tcW w:w="1272" w:type="dxa"/>
          </w:tcPr>
          <w:p>
            <w:pPr>
              <w:spacing w:line="276" w:lineRule="auto"/>
            </w:pPr>
            <w:r>
              <w:rPr>
                <w:rFonts w:eastAsia="Calibri"/>
                <w:sz w:val="16"/>
                <w:szCs w:val="16"/>
              </w:rPr>
              <w:t>First half of 2027</w:t>
            </w:r>
          </w:p>
        </w:tc>
      </w:tr>
      <w:tr>
        <w:trPr>
          <w:cantSplit/>
        </w:trPr>
        <w:tc>
          <w:tcPr>
            <w:tcW w:w="500" w:type="dxa"/>
          </w:tcPr>
          <w:p>
            <w:pPr>
              <w:spacing w:line="276" w:lineRule="auto"/>
              <w:jc w:val="center"/>
            </w:pPr>
            <w:r>
              <w:rPr>
                <w:rFonts w:eastAsia="Calibri"/>
                <w:sz w:val="16"/>
                <w:szCs w:val="16"/>
              </w:rPr>
              <w:t>B2</w:t>
            </w:r>
          </w:p>
        </w:tc>
        <w:tc>
          <w:tcPr>
            <w:tcW w:w="1901" w:type="dxa"/>
          </w:tcPr>
          <w:p>
            <w:pPr>
              <w:spacing w:line="276" w:lineRule="auto"/>
            </w:pPr>
            <w:r>
              <w:rPr>
                <w:rFonts w:eastAsia="Calibri"/>
                <w:sz w:val="16"/>
                <w:szCs w:val="16"/>
              </w:rPr>
              <w:t>Proposing an AI ethics and safety module (disinformation, deepfakes, personal data) as a common foundation course for citizens and MSMEs</w:t>
            </w:r>
          </w:p>
        </w:tc>
        <w:tc>
          <w:tcPr>
            <w:tcW w:w="1364" w:type="dxa"/>
          </w:tcPr>
          <w:p>
            <w:pPr>
              <w:spacing w:line="276" w:lineRule="auto"/>
            </w:pPr>
            <w:r>
              <w:rPr>
                <w:rFonts w:eastAsia="Calibri"/>
                <w:sz w:val="16"/>
                <w:szCs w:val="16"/>
              </w:rPr>
              <w:t>Governance and safety · content</w:t>
            </w:r>
          </w:p>
        </w:tc>
        <w:tc>
          <w:tcPr>
            <w:tcW w:w="1568" w:type="dxa"/>
          </w:tcPr>
          <w:p>
            <w:pPr>
              <w:spacing w:line="276" w:lineRule="auto"/>
            </w:pPr>
            <w:r>
              <w:rPr>
                <w:rFonts w:eastAsia="Calibri"/>
                <w:sz w:val="16"/>
                <w:szCs w:val="16"/>
              </w:rPr>
              <w:t>Proposal to ADGSOM and WG-AI through the ASEAN Secretariat's digital division; whether to link it with China's AI ethics and safety initiative (September 2026) is left to ASEAN's judgement</w:t>
            </w:r>
          </w:p>
        </w:tc>
        <w:tc>
          <w:tcPr>
            <w:tcW w:w="1456" w:type="dxa"/>
          </w:tcPr>
          <w:p>
            <w:pPr>
              <w:spacing w:line="276" w:lineRule="auto"/>
            </w:pPr>
            <w:r>
              <w:rPr>
                <w:rFonts w:eastAsia="Calibri"/>
                <w:sz w:val="16"/>
                <w:szCs w:val="16"/>
              </w:rPr>
              <w:t>ASEAN AI governance standards made concrete at the user's level</w:t>
            </w:r>
          </w:p>
        </w:tc>
        <w:tc>
          <w:tcPr>
            <w:tcW w:w="1679" w:type="dxa"/>
          </w:tcPr>
          <w:p>
            <w:pPr>
              <w:spacing w:line="276" w:lineRule="auto"/>
            </w:pPr>
            <w:r>
              <w:rPr>
                <w:rFonts w:eastAsia="Calibri"/>
                <w:sz w:val="16"/>
                <w:szCs w:val="16"/>
              </w:rPr>
              <w:t>Mapping against the ASEAN Guide and the Responsible AI Roadmap</w:t>
            </w:r>
          </w:p>
        </w:tc>
        <w:tc>
          <w:tcPr>
            <w:tcW w:w="1272" w:type="dxa"/>
          </w:tcPr>
          <w:p>
            <w:pPr>
              <w:spacing w:line="276" w:lineRule="auto"/>
            </w:pPr>
            <w:r>
              <w:rPr>
                <w:rFonts w:eastAsia="Calibri"/>
                <w:sz w:val="16"/>
                <w:szCs w:val="16"/>
              </w:rPr>
              <w:t>First half of 2027</w:t>
            </w:r>
          </w:p>
        </w:tc>
      </w:tr>
      <w:tr>
        <w:trPr>
          <w:cantSplit/>
        </w:trPr>
        <w:tc>
          <w:tcPr>
            <w:tcW w:w="500" w:type="dxa"/>
          </w:tcPr>
          <w:p>
            <w:pPr>
              <w:spacing w:line="276" w:lineRule="auto"/>
              <w:jc w:val="center"/>
            </w:pPr>
            <w:r>
              <w:rPr>
                <w:rFonts w:eastAsia="Calibri"/>
                <w:sz w:val="16"/>
                <w:szCs w:val="16"/>
              </w:rPr>
              <w:t>B3</w:t>
            </w:r>
          </w:p>
        </w:tc>
        <w:tc>
          <w:tcPr>
            <w:tcW w:w="1901" w:type="dxa"/>
          </w:tcPr>
          <w:p>
            <w:pPr>
              <w:spacing w:line="276" w:lineRule="auto"/>
            </w:pPr>
            <w:r>
              <w:rPr>
                <w:rFonts w:eastAsia="Calibri"/>
                <w:sz w:val="16"/>
                <w:szCs w:val="16"/>
              </w:rPr>
              <w:t>Sharing experience of AI education in local languages and AI glossaries (including low-resource languages)</w:t>
            </w:r>
          </w:p>
        </w:tc>
        <w:tc>
          <w:tcPr>
            <w:tcW w:w="1364" w:type="dxa"/>
          </w:tcPr>
          <w:p>
            <w:pPr>
              <w:spacing w:line="276" w:lineRule="auto"/>
            </w:pPr>
            <w:r>
              <w:rPr>
                <w:rFonts w:eastAsia="Calibri"/>
                <w:sz w:val="16"/>
                <w:szCs w:val="16"/>
              </w:rPr>
              <w:t>Language and data · content</w:t>
            </w:r>
          </w:p>
        </w:tc>
        <w:tc>
          <w:tcPr>
            <w:tcW w:w="1568" w:type="dxa"/>
          </w:tcPr>
          <w:p>
            <w:pPr>
              <w:spacing w:line="276" w:lineRule="auto"/>
            </w:pPr>
            <w:r>
              <w:rPr>
                <w:rFonts w:eastAsia="Calibri"/>
                <w:sz w:val="16"/>
                <w:szCs w:val="16"/>
              </w:rPr>
              <w:t>The roundtable's discussion of language models and open source; the ASEAN AI open-source community</w:t>
            </w:r>
          </w:p>
        </w:tc>
        <w:tc>
          <w:tcPr>
            <w:tcW w:w="1456" w:type="dxa"/>
          </w:tcPr>
          <w:p>
            <w:pPr>
              <w:spacing w:line="276" w:lineRule="auto"/>
            </w:pPr>
            <w:r>
              <w:rPr>
                <w:rFonts w:eastAsia="Calibri"/>
                <w:sz w:val="16"/>
                <w:szCs w:val="16"/>
              </w:rPr>
              <w:t>AI education resources for low-resource languages</w:t>
            </w:r>
          </w:p>
        </w:tc>
        <w:tc>
          <w:tcPr>
            <w:tcW w:w="1679" w:type="dxa"/>
          </w:tcPr>
          <w:p>
            <w:pPr>
              <w:spacing w:line="276" w:lineRule="auto"/>
            </w:pPr>
            <w:r>
              <w:rPr>
                <w:rFonts w:eastAsia="Calibri"/>
                <w:sz w:val="16"/>
                <w:szCs w:val="16"/>
              </w:rPr>
              <w:t>Learner data excluded; limited scope of disclosure</w:t>
            </w:r>
          </w:p>
        </w:tc>
        <w:tc>
          <w:tcPr>
            <w:tcW w:w="1272" w:type="dxa"/>
          </w:tcPr>
          <w:p>
            <w:pPr>
              <w:spacing w:line="276" w:lineRule="auto"/>
            </w:pPr>
            <w:r>
              <w:rPr>
                <w:rFonts w:eastAsia="Calibri"/>
                <w:sz w:val="16"/>
                <w:szCs w:val="16"/>
              </w:rPr>
              <w:t>2027</w:t>
            </w:r>
          </w:p>
        </w:tc>
      </w:tr>
      <w:tr>
        <w:trPr>
          <w:cantSplit/>
        </w:trPr>
        <w:tc>
          <w:tcPr>
            <w:tcW w:w="500" w:type="dxa"/>
          </w:tcPr>
          <w:p>
            <w:pPr>
              <w:spacing w:line="276" w:lineRule="auto"/>
              <w:jc w:val="center"/>
            </w:pPr>
            <w:r>
              <w:rPr>
                <w:rFonts w:eastAsia="Calibri"/>
                <w:sz w:val="16"/>
                <w:szCs w:val="16"/>
              </w:rPr>
              <w:t>B4</w:t>
            </w:r>
          </w:p>
        </w:tc>
        <w:tc>
          <w:tcPr>
            <w:tcW w:w="1901" w:type="dxa"/>
          </w:tcPr>
          <w:p>
            <w:pPr>
              <w:spacing w:line="276" w:lineRule="auto"/>
            </w:pPr>
            <w:r>
              <w:rPr>
                <w:rFonts w:eastAsia="Calibri"/>
                <w:sz w:val="16"/>
                <w:szCs w:val="16"/>
              </w:rPr>
              <w:t>Proposing open materials on the 'after training' pathway (stages for choosing use cases, low-risk pilots and implementation support; templates for data readiness, responsible use and outcome tracking) as supplementary materials for cooperative training for MSMEs</w:t>
            </w:r>
          </w:p>
        </w:tc>
        <w:tc>
          <w:tcPr>
            <w:tcW w:w="1364" w:type="dxa"/>
          </w:tcPr>
          <w:p>
            <w:pPr>
              <w:spacing w:line="276" w:lineRule="auto"/>
            </w:pPr>
            <w:r>
              <w:rPr>
                <w:rFonts w:eastAsia="Calibri"/>
                <w:sz w:val="16"/>
                <w:szCs w:val="16"/>
              </w:rPr>
              <w:t>Industrial application, governance · content</w:t>
            </w:r>
          </w:p>
        </w:tc>
        <w:tc>
          <w:tcPr>
            <w:tcW w:w="1568" w:type="dxa"/>
          </w:tcPr>
          <w:p>
            <w:pPr>
              <w:spacing w:line="276" w:lineRule="auto"/>
            </w:pPr>
            <w:r>
              <w:rPr>
                <w:rFonts w:eastAsia="Calibri"/>
                <w:sz w:val="16"/>
                <w:szCs w:val="16"/>
              </w:rPr>
              <w:t>After reporting to ACCMSME, an MSME course at the China–ASEAN AI Industry Innovation Centre (Beijing), if one is set up</w:t>
            </w:r>
          </w:p>
        </w:tc>
        <w:tc>
          <w:tcPr>
            <w:tcW w:w="1456" w:type="dxa"/>
          </w:tcPr>
          <w:p>
            <w:pPr>
              <w:spacing w:line="276" w:lineRule="auto"/>
            </w:pPr>
            <w:r>
              <w:rPr>
                <w:rFonts w:eastAsia="Calibri"/>
                <w:sz w:val="16"/>
                <w:szCs w:val="16"/>
              </w:rPr>
              <w:t>Higher rate of workplace application of training; low additional cost</w:t>
            </w:r>
          </w:p>
        </w:tc>
        <w:tc>
          <w:tcPr>
            <w:tcW w:w="1679" w:type="dxa"/>
          </w:tcPr>
          <w:p>
            <w:pPr>
              <w:spacing w:line="276" w:lineRule="auto"/>
            </w:pPr>
            <w:r>
              <w:rPr>
                <w:rFonts w:eastAsia="Calibri"/>
                <w:sz w:val="16"/>
                <w:szCs w:val="16"/>
              </w:rPr>
              <w:t>Templates developed by the Foundation and LIP (a Singapore recommendation, subject to agreement); consultation with funders</w:t>
            </w:r>
          </w:p>
        </w:tc>
        <w:tc>
          <w:tcPr>
            <w:tcW w:w="1272" w:type="dxa"/>
          </w:tcPr>
          <w:p>
            <w:pPr>
              <w:spacing w:line="276" w:lineRule="auto"/>
            </w:pPr>
            <w:r>
              <w:rPr>
                <w:rFonts w:eastAsia="Calibri"/>
                <w:sz w:val="16"/>
                <w:szCs w:val="16"/>
              </w:rPr>
              <w:t>2027</w:t>
            </w:r>
          </w:p>
        </w:tc>
      </w:tr>
      <w:tr>
        <w:trPr>
          <w:cantSplit/>
        </w:trPr>
        <w:tc>
          <w:tcPr>
            <w:tcW w:w="500" w:type="dxa"/>
          </w:tcPr>
          <w:p>
            <w:pPr>
              <w:spacing w:line="276" w:lineRule="auto"/>
              <w:jc w:val="center"/>
            </w:pPr>
            <w:r>
              <w:rPr>
                <w:rFonts w:eastAsia="Calibri"/>
                <w:sz w:val="16"/>
                <w:szCs w:val="16"/>
              </w:rPr>
              <w:t>C1</w:t>
            </w:r>
          </w:p>
        </w:tc>
        <w:tc>
          <w:tcPr>
            <w:tcW w:w="1901" w:type="dxa"/>
          </w:tcPr>
          <w:p>
            <w:pPr>
              <w:spacing w:line="276" w:lineRule="auto"/>
            </w:pPr>
            <w:r>
              <w:rPr>
                <w:rFonts w:eastAsia="Calibri"/>
                <w:sz w:val="16"/>
                <w:szCs w:val="16"/>
              </w:rPr>
              <w:t>Consultation on the division of roles and common standards for teachers' AI competence</w:t>
            </w:r>
          </w:p>
        </w:tc>
        <w:tc>
          <w:tcPr>
            <w:tcW w:w="1364" w:type="dxa"/>
          </w:tcPr>
          <w:p>
            <w:pPr>
              <w:spacing w:line="276" w:lineRule="auto"/>
            </w:pPr>
            <w:r>
              <w:rPr>
                <w:rFonts w:eastAsia="Calibri"/>
                <w:sz w:val="16"/>
                <w:szCs w:val="16"/>
              </w:rPr>
              <w:t>Talent · delivery, evidence</w:t>
            </w:r>
          </w:p>
        </w:tc>
        <w:tc>
          <w:tcPr>
            <w:tcW w:w="1568" w:type="dxa"/>
          </w:tcPr>
          <w:p>
            <w:pPr>
              <w:spacing w:line="276" w:lineRule="auto"/>
            </w:pPr>
            <w:r>
              <w:rPr>
                <w:rFonts w:eastAsia="Calibri"/>
                <w:sz w:val="16"/>
                <w:szCs w:val="16"/>
              </w:rPr>
              <w:t>SOM-ED ↔ China's Ministry of Education (Smart Education, AI+Education)</w:t>
            </w:r>
          </w:p>
        </w:tc>
        <w:tc>
          <w:tcPr>
            <w:tcW w:w="1456" w:type="dxa"/>
          </w:tcPr>
          <w:p>
            <w:pPr>
              <w:spacing w:line="276" w:lineRule="auto"/>
            </w:pPr>
            <w:r>
              <w:rPr>
                <w:rFonts w:eastAsia="Calibri"/>
                <w:sz w:val="16"/>
                <w:szCs w:val="16"/>
              </w:rPr>
              <w:t>Avoiding duplication; use of local delivery networks</w:t>
            </w:r>
          </w:p>
        </w:tc>
        <w:tc>
          <w:tcPr>
            <w:tcW w:w="1679" w:type="dxa"/>
          </w:tcPr>
          <w:p>
            <w:pPr>
              <w:spacing w:line="276" w:lineRule="auto"/>
            </w:pPr>
            <w:r>
              <w:rPr>
                <w:rFonts w:eastAsia="Calibri"/>
                <w:sz w:val="16"/>
                <w:szCs w:val="16"/>
              </w:rPr>
              <w:t>Confirmation of whether Smart Education covers teachers; report to SOM-ED; consent of member states' Ministries of Education</w:t>
            </w:r>
          </w:p>
        </w:tc>
        <w:tc>
          <w:tcPr>
            <w:tcW w:w="1272" w:type="dxa"/>
          </w:tcPr>
          <w:p>
            <w:pPr>
              <w:spacing w:line="276" w:lineRule="auto"/>
            </w:pPr>
            <w:r>
              <w:rPr>
                <w:rFonts w:eastAsia="Calibri"/>
                <w:sz w:val="16"/>
                <w:szCs w:val="16"/>
              </w:rPr>
              <w:t>2027–2028</w:t>
            </w:r>
          </w:p>
        </w:tc>
      </w:tr>
      <w:tr>
        <w:trPr>
          <w:cantSplit/>
        </w:trPr>
        <w:tc>
          <w:tcPr>
            <w:tcW w:w="500" w:type="dxa"/>
          </w:tcPr>
          <w:p>
            <w:pPr>
              <w:spacing w:line="276" w:lineRule="auto"/>
              <w:jc w:val="center"/>
            </w:pPr>
            <w:r>
              <w:rPr>
                <w:rFonts w:eastAsia="Calibri"/>
                <w:sz w:val="16"/>
                <w:szCs w:val="16"/>
              </w:rPr>
              <w:t>C2</w:t>
            </w:r>
          </w:p>
        </w:tc>
        <w:tc>
          <w:tcPr>
            <w:tcW w:w="1901" w:type="dxa"/>
          </w:tcPr>
          <w:p>
            <w:pPr>
              <w:spacing w:line="276" w:lineRule="auto"/>
            </w:pPr>
            <w:r>
              <w:rPr>
                <w:rFonts w:eastAsia="Calibri"/>
                <w:sz w:val="16"/>
                <w:szCs w:val="16"/>
              </w:rPr>
              <w:t>Building user AI literacy into AI application project sites (modules for local residents, workers and farmers)</w:t>
            </w:r>
          </w:p>
        </w:tc>
        <w:tc>
          <w:tcPr>
            <w:tcW w:w="1364" w:type="dxa"/>
          </w:tcPr>
          <w:p>
            <w:pPr>
              <w:spacing w:line="276" w:lineRule="auto"/>
            </w:pPr>
            <w:r>
              <w:rPr>
                <w:rFonts w:eastAsia="Calibri"/>
                <w:sz w:val="16"/>
                <w:szCs w:val="16"/>
              </w:rPr>
              <w:t>Industrial application · delivery</w:t>
            </w:r>
          </w:p>
        </w:tc>
        <w:tc>
          <w:tcPr>
            <w:tcW w:w="1568" w:type="dxa"/>
          </w:tcPr>
          <w:p>
            <w:pPr>
              <w:spacing w:line="276" w:lineRule="auto"/>
            </w:pPr>
            <w:r>
              <w:rPr>
                <w:rFonts w:eastAsia="Calibri"/>
                <w:sz w:val="16"/>
                <w:szCs w:val="16"/>
              </w:rPr>
              <w:t>With the consent of the relevant member state's line ministry (opt-in by interested countries): the China–ASEAN AI Application Cooperation Centre (Nanning) and project sites in the casebook (e.g. agricultural AI in Lao PDR and Cambodia)</w:t>
            </w:r>
          </w:p>
        </w:tc>
        <w:tc>
          <w:tcPr>
            <w:tcW w:w="1456" w:type="dxa"/>
          </w:tcPr>
          <w:p>
            <w:pPr>
              <w:spacing w:line="276" w:lineRule="auto"/>
            </w:pPr>
            <w:r>
              <w:rPr>
                <w:rFonts w:eastAsia="Calibri"/>
                <w:sz w:val="16"/>
                <w:szCs w:val="16"/>
              </w:rPr>
              <w:t>Greater local acceptance and AI uptake</w:t>
            </w:r>
          </w:p>
        </w:tc>
        <w:tc>
          <w:tcPr>
            <w:tcW w:w="1679" w:type="dxa"/>
          </w:tcPr>
          <w:p>
            <w:pPr>
              <w:spacing w:line="276" w:lineRule="auto"/>
            </w:pPr>
            <w:r>
              <w:rPr>
                <w:rFonts w:eastAsia="Calibri"/>
                <w:sz w:val="16"/>
                <w:szCs w:val="16"/>
              </w:rPr>
              <w:t>Consent of the member state's government; ASEAN content and branding retained; delivery partners and funding secured</w:t>
            </w:r>
          </w:p>
        </w:tc>
        <w:tc>
          <w:tcPr>
            <w:tcW w:w="1272" w:type="dxa"/>
          </w:tcPr>
          <w:p>
            <w:pPr>
              <w:spacing w:line="276" w:lineRule="auto"/>
            </w:pPr>
            <w:r>
              <w:rPr>
                <w:rFonts w:eastAsia="Calibri"/>
                <w:sz w:val="16"/>
                <w:szCs w:val="16"/>
              </w:rPr>
              <w:t>Pilot, 2027–2028</w:t>
            </w:r>
          </w:p>
        </w:tc>
      </w:tr>
      <w:tr>
        <w:trPr>
          <w:cantSplit/>
        </w:trPr>
        <w:tc>
          <w:tcPr>
            <w:tcW w:w="500" w:type="dxa"/>
          </w:tcPr>
          <w:p>
            <w:pPr>
              <w:spacing w:line="276" w:lineRule="auto"/>
              <w:jc w:val="center"/>
            </w:pPr>
            <w:r>
              <w:rPr>
                <w:rFonts w:eastAsia="Calibri"/>
                <w:sz w:val="16"/>
                <w:szCs w:val="16"/>
              </w:rPr>
              <w:t>C3</w:t>
            </w:r>
          </w:p>
        </w:tc>
        <w:tc>
          <w:tcPr>
            <w:tcW w:w="1901" w:type="dxa"/>
          </w:tcPr>
          <w:p>
            <w:pPr>
              <w:spacing w:line="276" w:lineRule="auto"/>
            </w:pPr>
            <w:r>
              <w:rPr>
                <w:rFonts w:eastAsia="Calibri"/>
                <w:sz w:val="16"/>
                <w:szCs w:val="16"/>
              </w:rPr>
              <w:t>Proposed deliverable for the 2027 Year of AI Cooperation (if adopted): a package on user AI competence and 'after training'</w:t>
            </w:r>
          </w:p>
        </w:tc>
        <w:tc>
          <w:tcPr>
            <w:tcW w:w="1364" w:type="dxa"/>
          </w:tcPr>
          <w:p>
            <w:pPr>
              <w:spacing w:line="276" w:lineRule="auto"/>
            </w:pPr>
            <w:r>
              <w:rPr>
                <w:rFonts w:eastAsia="Calibri"/>
                <w:sz w:val="16"/>
                <w:szCs w:val="16"/>
              </w:rPr>
              <w:t>All</w:t>
            </w:r>
          </w:p>
        </w:tc>
        <w:tc>
          <w:tcPr>
            <w:tcW w:w="1568" w:type="dxa"/>
          </w:tcPr>
          <w:p>
            <w:pPr>
              <w:spacing w:line="276" w:lineRule="auto"/>
            </w:pPr>
            <w:r>
              <w:rPr>
                <w:rFonts w:eastAsia="Calibri"/>
                <w:sz w:val="16"/>
                <w:szCs w:val="16"/>
              </w:rPr>
              <w:t>ASEAN–China Cooperation Fund (ACCF) and Joint Cooperation Committee (ACJCC) procedures</w:t>
            </w:r>
          </w:p>
        </w:tc>
        <w:tc>
          <w:tcPr>
            <w:tcW w:w="1456" w:type="dxa"/>
          </w:tcPr>
          <w:p>
            <w:pPr>
              <w:spacing w:line="276" w:lineRule="auto"/>
            </w:pPr>
            <w:r>
              <w:rPr>
                <w:rFonts w:eastAsia="Calibri"/>
                <w:sz w:val="16"/>
                <w:szCs w:val="16"/>
              </w:rPr>
              <w:t>Visible deliverables</w:t>
            </w:r>
          </w:p>
        </w:tc>
        <w:tc>
          <w:tcPr>
            <w:tcW w:w="1679" w:type="dxa"/>
          </w:tcPr>
          <w:p>
            <w:pPr>
              <w:spacing w:line="276" w:lineRule="auto"/>
            </w:pPr>
            <w:r>
              <w:rPr>
                <w:rFonts w:eastAsia="Calibri"/>
                <w:sz w:val="16"/>
                <w:szCs w:val="16"/>
              </w:rPr>
              <w:t>Adoption of the Year of AI Cooperation; approval of the project proposal (including confirmation of the approval procedure)</w:t>
            </w:r>
          </w:p>
        </w:tc>
        <w:tc>
          <w:tcPr>
            <w:tcW w:w="1272" w:type="dxa"/>
          </w:tcPr>
          <w:p>
            <w:pPr>
              <w:spacing w:line="276" w:lineRule="auto"/>
            </w:pPr>
            <w:r>
              <w:rPr>
                <w:rFonts w:eastAsia="Calibri"/>
                <w:sz w:val="16"/>
                <w:szCs w:val="16"/>
              </w:rPr>
              <w:t>2027</w:t>
            </w:r>
          </w:p>
        </w:tc>
      </w:tr>
      <w:tr>
        <w:trPr>
          <w:cantSplit/>
        </w:trPr>
        <w:tc>
          <w:tcPr>
            <w:tcW w:w="500" w:type="dxa"/>
          </w:tcPr>
          <w:p>
            <w:pPr>
              <w:spacing w:line="276" w:lineRule="auto"/>
              <w:jc w:val="center"/>
            </w:pPr>
            <w:r>
              <w:rPr>
                <w:rFonts w:eastAsia="Calibri"/>
                <w:sz w:val="16"/>
                <w:szCs w:val="16"/>
              </w:rPr>
              <w:t>C4</w:t>
            </w:r>
          </w:p>
        </w:tc>
        <w:tc>
          <w:tcPr>
            <w:tcW w:w="1901" w:type="dxa"/>
          </w:tcPr>
          <w:p>
            <w:pPr>
              <w:spacing w:line="276" w:lineRule="auto"/>
            </w:pPr>
            <w:r>
              <w:rPr>
                <w:rFonts w:eastAsia="Calibri"/>
                <w:sz w:val="16"/>
                <w:szCs w:val="16"/>
              </w:rPr>
              <w:t>Expansion to Timor-Leste (AI content in Tetum, a local LIP)</w:t>
            </w:r>
          </w:p>
        </w:tc>
        <w:tc>
          <w:tcPr>
            <w:tcW w:w="1364" w:type="dxa"/>
          </w:tcPr>
          <w:p>
            <w:pPr>
              <w:spacing w:line="276" w:lineRule="auto"/>
            </w:pPr>
            <w:r>
              <w:rPr>
                <w:rFonts w:eastAsia="Calibri"/>
                <w:sz w:val="16"/>
                <w:szCs w:val="16"/>
              </w:rPr>
              <w:t>Talent, language · delivery, content</w:t>
            </w:r>
          </w:p>
        </w:tc>
        <w:tc>
          <w:tcPr>
            <w:tcW w:w="1568" w:type="dxa"/>
          </w:tcPr>
          <w:p>
            <w:pPr>
              <w:spacing w:line="276" w:lineRule="auto"/>
            </w:pPr>
            <w:r>
              <w:rPr>
                <w:rFonts w:eastAsia="Calibri"/>
                <w:sz w:val="16"/>
                <w:szCs w:val="16"/>
              </w:rPr>
              <w:t>IAI (Initiative for ASEAN Integration) Work Plan; multiple Dialogue Partners</w:t>
            </w:r>
          </w:p>
        </w:tc>
        <w:tc>
          <w:tcPr>
            <w:tcW w:w="1456" w:type="dxa"/>
          </w:tcPr>
          <w:p>
            <w:pPr>
              <w:spacing w:line="276" w:lineRule="auto"/>
            </w:pPr>
            <w:r>
              <w:rPr>
                <w:rFonts w:eastAsia="Calibri"/>
                <w:sz w:val="16"/>
                <w:szCs w:val="16"/>
              </w:rPr>
              <w:t>Closing the AI gap for the new member state</w:t>
            </w:r>
          </w:p>
        </w:tc>
        <w:tc>
          <w:tcPr>
            <w:tcW w:w="1679" w:type="dxa"/>
          </w:tcPr>
          <w:p>
            <w:pPr>
              <w:spacing w:line="276" w:lineRule="auto"/>
            </w:pPr>
            <w:r>
              <w:rPr>
                <w:rFonts w:eastAsia="Calibri"/>
                <w:sz w:val="16"/>
                <w:szCs w:val="16"/>
              </w:rPr>
              <w:t>Funding to develop content and partners</w:t>
            </w:r>
          </w:p>
        </w:tc>
        <w:tc>
          <w:tcPr>
            <w:tcW w:w="1272" w:type="dxa"/>
          </w:tcPr>
          <w:p>
            <w:pPr>
              <w:spacing w:line="276" w:lineRule="auto"/>
            </w:pPr>
            <w:r>
              <w:rPr>
                <w:rFonts w:eastAsia="Calibri"/>
                <w:sz w:val="16"/>
                <w:szCs w:val="16"/>
              </w:rPr>
              <w:t>2027–2028</w:t>
            </w:r>
          </w:p>
        </w:tc>
      </w:tr>
      <w:tr>
        <w:trPr>
          <w:cantSplit/>
        </w:trPr>
        <w:tc>
          <w:tcPr>
            <w:tcW w:w="500" w:type="dxa"/>
          </w:tcPr>
          <w:p>
            <w:pPr>
              <w:spacing w:line="276" w:lineRule="auto"/>
              <w:jc w:val="center"/>
            </w:pPr>
            <w:r>
              <w:rPr>
                <w:rFonts w:eastAsia="Calibri"/>
                <w:sz w:val="16"/>
                <w:szCs w:val="16"/>
              </w:rPr>
              <w:t>C5</w:t>
            </w:r>
          </w:p>
        </w:tc>
        <w:tc>
          <w:tcPr>
            <w:tcW w:w="1901" w:type="dxa"/>
          </w:tcPr>
          <w:p>
            <w:pPr>
              <w:spacing w:line="276" w:lineRule="auto"/>
            </w:pPr>
            <w:r>
              <w:rPr>
                <w:rFonts w:eastAsia="Calibri"/>
                <w:sz w:val="16"/>
                <w:szCs w:val="16"/>
              </w:rPr>
              <w:t>Cooperation on MSME AI adoption: linking AIM ASEAN's 'after training' experience (pathways, AI-bilingual talent, measurement) to the regional capacity building tasks of the China–ASEAN AI Industry Innovation Centre (Beijing) and to the follow-up to the Philippine Chair's 'AI-driven MSME growth' declaration (if adopted)</w:t>
            </w:r>
          </w:p>
        </w:tc>
        <w:tc>
          <w:tcPr>
            <w:tcW w:w="1364" w:type="dxa"/>
          </w:tcPr>
          <w:p>
            <w:pPr>
              <w:spacing w:line="276" w:lineRule="auto"/>
            </w:pPr>
            <w:r>
              <w:rPr>
                <w:rFonts w:eastAsia="Calibri"/>
                <w:sz w:val="16"/>
                <w:szCs w:val="16"/>
              </w:rPr>
              <w:t>Industrial application · delivery, evidence</w:t>
            </w:r>
          </w:p>
        </w:tc>
        <w:tc>
          <w:tcPr>
            <w:tcW w:w="1568" w:type="dxa"/>
          </w:tcPr>
          <w:p>
            <w:pPr>
              <w:spacing w:line="276" w:lineRule="auto"/>
            </w:pPr>
            <w:r>
              <w:rPr>
                <w:rFonts w:eastAsia="Calibri"/>
                <w:sz w:val="16"/>
                <w:szCs w:val="16"/>
              </w:rPr>
              <w:t>ACCMSME ↔ Ministry of Industry and Information Technology and Ministry of Commerce</w:t>
            </w:r>
          </w:p>
        </w:tc>
        <w:tc>
          <w:tcPr>
            <w:tcW w:w="1456" w:type="dxa"/>
          </w:tcPr>
          <w:p>
            <w:pPr>
              <w:spacing w:line="276" w:lineRule="auto"/>
            </w:pPr>
            <w:r>
              <w:rPr>
                <w:rFonts w:eastAsia="Calibri"/>
                <w:sz w:val="16"/>
                <w:szCs w:val="16"/>
              </w:rPr>
              <w:t>Extending training at the China–ASEAN AI Industry Innovation Centre (Beijing) to MSMEs and demonstrating outcomes</w:t>
            </w:r>
          </w:p>
        </w:tc>
        <w:tc>
          <w:tcPr>
            <w:tcW w:w="1679" w:type="dxa"/>
          </w:tcPr>
          <w:p>
            <w:pPr>
              <w:spacing w:line="276" w:lineRule="auto"/>
            </w:pPr>
            <w:r>
              <w:rPr>
                <w:rFonts w:eastAsia="Calibri"/>
                <w:sz w:val="16"/>
                <w:szCs w:val="16"/>
              </w:rPr>
              <w:t>Report to ACCMSME; consultation with funders; follow-up funding for AIM ASEAN (due to end in 2027); evidence from D1 and A4</w:t>
            </w:r>
          </w:p>
        </w:tc>
        <w:tc>
          <w:tcPr>
            <w:tcW w:w="1272" w:type="dxa"/>
          </w:tcPr>
          <w:p>
            <w:pPr>
              <w:spacing w:line="276" w:lineRule="auto"/>
            </w:pPr>
            <w:r>
              <w:rPr>
                <w:rFonts w:eastAsia="Calibri"/>
                <w:sz w:val="16"/>
                <w:szCs w:val="16"/>
              </w:rPr>
              <w:t>2027</w:t>
            </w:r>
          </w:p>
        </w:tc>
      </w:tr>
      <w:tr>
        <w:trPr>
          <w:cantSplit/>
        </w:trPr>
        <w:tc>
          <w:tcPr>
            <w:tcW w:w="500" w:type="dxa"/>
          </w:tcPr>
          <w:p>
            <w:pPr>
              <w:spacing w:line="276" w:lineRule="auto"/>
              <w:jc w:val="center"/>
            </w:pPr>
            <w:r>
              <w:rPr>
                <w:rFonts w:eastAsia="Calibri"/>
                <w:sz w:val="16"/>
                <w:szCs w:val="16"/>
              </w:rPr>
              <w:t>D1</w:t>
            </w:r>
          </w:p>
        </w:tc>
        <w:tc>
          <w:tcPr>
            <w:tcW w:w="1901" w:type="dxa"/>
          </w:tcPr>
          <w:p>
            <w:pPr>
              <w:spacing w:line="276" w:lineRule="auto"/>
            </w:pPr>
            <w:r>
              <w:rPr>
                <w:rFonts w:eastAsia="Calibri"/>
                <w:sz w:val="16"/>
                <w:szCs w:val="16"/>
              </w:rPr>
              <w:t>Joint development of indicators that measure AI training outcomes as sustained use and business value (MSMEs: continued use, time saved, fewer errors, customer outcomes, employee experience; teachers: measured AI literacy), distinguishing reach, business integration and verified outcomes</w:t>
            </w:r>
          </w:p>
        </w:tc>
        <w:tc>
          <w:tcPr>
            <w:tcW w:w="1364" w:type="dxa"/>
          </w:tcPr>
          <w:p>
            <w:pPr>
              <w:spacing w:line="276" w:lineRule="auto"/>
            </w:pPr>
            <w:r>
              <w:rPr>
                <w:rFonts w:eastAsia="Calibri"/>
                <w:sz w:val="16"/>
                <w:szCs w:val="16"/>
              </w:rPr>
              <w:t>Talent, industrial application · evidence</w:t>
            </w:r>
          </w:p>
        </w:tc>
        <w:tc>
          <w:tcPr>
            <w:tcW w:w="1568" w:type="dxa"/>
          </w:tcPr>
          <w:p>
            <w:pPr>
              <w:spacing w:line="276" w:lineRule="auto"/>
            </w:pPr>
            <w:r>
              <w:rPr>
                <w:rFonts w:eastAsia="Calibri"/>
                <w:sz w:val="16"/>
                <w:szCs w:val="16"/>
              </w:rPr>
              <w:t>All AI talent programmes; CIIS (joint research); building on the Singapore baseline (Q4 2026) and review (Q1 2027)</w:t>
            </w:r>
          </w:p>
        </w:tc>
        <w:tc>
          <w:tcPr>
            <w:tcW w:w="1456" w:type="dxa"/>
          </w:tcPr>
          <w:p>
            <w:pPr>
              <w:spacing w:line="276" w:lineRule="auto"/>
            </w:pPr>
            <w:r>
              <w:rPr>
                <w:rFonts w:eastAsia="Calibri"/>
                <w:sz w:val="16"/>
                <w:szCs w:val="16"/>
              </w:rPr>
              <w:t>Proof through outcomes, not just numbers trained</w:t>
            </w:r>
          </w:p>
        </w:tc>
        <w:tc>
          <w:tcPr>
            <w:tcW w:w="1679" w:type="dxa"/>
          </w:tcPr>
          <w:p>
            <w:pPr>
              <w:spacing w:line="276" w:lineRule="auto"/>
            </w:pPr>
            <w:r>
              <w:rPr>
                <w:rFonts w:eastAsia="Calibri"/>
                <w:sz w:val="16"/>
                <w:szCs w:val="16"/>
              </w:rPr>
              <w:t>Scope of disclosure for measurement tools; results of the Singapore follow-up</w:t>
            </w:r>
          </w:p>
        </w:tc>
        <w:tc>
          <w:tcPr>
            <w:tcW w:w="1272" w:type="dxa"/>
          </w:tcPr>
          <w:p>
            <w:pPr>
              <w:spacing w:line="276" w:lineRule="auto"/>
            </w:pPr>
            <w:r>
              <w:rPr>
                <w:rFonts w:eastAsia="Calibri"/>
                <w:sz w:val="16"/>
                <w:szCs w:val="16"/>
              </w:rPr>
              <w:t>2027</w:t>
            </w:r>
          </w:p>
        </w:tc>
      </w:tr>
    </w:tbl>
    <w:p>
      <w:pPr>
        <w:spacing w:after="60" w:line="120" w:lineRule="auto"/>
      </w:pPr>
    </w:p>
    <w:p>
      <w:pPr>
        <w:keepNext/>
        <w:spacing w:before="220" w:after="110" w:line="300" w:lineRule="auto"/>
      </w:pPr>
      <w:r>
        <w:rPr>
          <w:rFonts w:eastAsia="Calibri"/>
          <w:b/>
          <w:bCs/>
          <w:color w:val="0F63A8"/>
          <w:sz w:val="22"/>
          <w:szCs w:val="22"/>
        </w:rPr>
        <w:t>5.3 Priorities</w:t>
      </w:r>
    </w:p>
    <w:p>
      <w:pPr>
        <w:spacing w:after="120" w:line="336" w:lineRule="auto"/>
        <w:jc w:val="both"/>
      </w:pPr>
      <w:r>
        <w:rPr>
          <w:rFonts w:eastAsia="Calibri"/>
          <w:b/>
          <w:bCs/>
        </w:rPr>
        <w:t>The first action is A3.</w:t>
      </w:r>
      <w:r>
        <w:rPr>
          <w:rFonts w:eastAsia="Calibri"/>
        </w:rPr>
        <w:t xml:space="preserve"> It costs nothing, and the Foundation has already been invited. Framed by the 'after training' question, it presents the lessons from Singapore at a level that can be made public and raises the need for pathway design, a wider talent scope and measurement of sustained use (with A1 covered in the Q&amp;A). As A4, B4, C5 and D1 have not yet been reported to ACCMSME, they are mentioned only as the Foundation's view of the problem and as tasks under consideration, not as concrete cooperation proposals. The structural priorities are as follows.</w:t>
      </w:r>
    </w:p>
    <w:p>
      <w:pPr>
        <w:pStyle w:val="a4"/>
        <w:numPr>
          <w:ilvl w:val="0"/>
          <w:numId w:val="7"/>
        </w:numPr>
        <w:spacing w:after="60" w:line="336" w:lineRule="auto"/>
        <w:jc w:val="both"/>
      </w:pPr>
      <w:r>
        <w:rPr>
          <w:rFonts w:eastAsia="Calibri"/>
          <w:b/>
          <w:bCs/>
        </w:rPr>
        <w:t>MSME track (D1, A4, B4 → C5)</w:t>
      </w:r>
      <w:r>
        <w:rPr>
          <w:rFonts w:eastAsia="Calibri"/>
        </w:rPr>
        <w:t xml:space="preserve">: Its timing matches the Singapore follow-up plan (baseline Q4 2026, review Q1 2027), and it is the role partners have recommended for the Foundation. Measurement (D1) and cases (A4) must be built up first to give C5 evidence to put forward. China, which has set a target of 5,000 AI training opportunities, also needs to demonstrate outcomes, so receptiveness is likely to be high </w:t>
      </w:r>
      <w:r>
        <w:rPr>
          <w:rFonts w:eastAsia="Calibri"/>
          <w:b/>
          <w:bCs/>
          <w:color w:val="0F63A8"/>
        </w:rPr>
        <w:t>[Assessment]</w:t>
      </w:r>
      <w:r>
        <w:rPr>
          <w:rFonts w:eastAsia="Calibri"/>
        </w:rPr>
        <w:t>.</w:t>
      </w:r>
    </w:p>
    <w:p>
      <w:pPr>
        <w:pStyle w:val="a4"/>
        <w:numPr>
          <w:ilvl w:val="0"/>
          <w:numId w:val="7"/>
        </w:numPr>
        <w:spacing w:after="60" w:line="336" w:lineRule="auto"/>
        <w:jc w:val="both"/>
      </w:pPr>
      <w:r>
        <w:rPr>
          <w:rFonts w:eastAsia="Calibri"/>
          <w:b/>
          <w:bCs/>
        </w:rPr>
        <w:t>Teacher track (C1, with A1 and A2 as the entry point)</w:t>
      </w:r>
      <w:r>
        <w:rPr>
          <w:rFonts w:eastAsia="Calibri"/>
        </w:rPr>
        <w:t>: It links directly to a programme endorsed by SOM-ED. The Foundation proceeds after confirming whether Smart Education covers teachers and reporting to SOM-ED.</w:t>
      </w:r>
    </w:p>
    <w:p>
      <w:pPr>
        <w:pStyle w:val="a4"/>
        <w:numPr>
          <w:ilvl w:val="0"/>
          <w:numId w:val="7"/>
        </w:numPr>
        <w:spacing w:after="60" w:line="336" w:lineRule="auto"/>
        <w:jc w:val="both"/>
      </w:pPr>
      <w:r>
        <w:rPr>
          <w:rFonts w:eastAsia="Calibri"/>
          <w:b/>
          <w:bCs/>
        </w:rPr>
        <w:t>B1 and B2</w:t>
      </w:r>
      <w:r>
        <w:rPr>
          <w:rFonts w:eastAsia="Calibri"/>
        </w:rPr>
        <w:t>: Both are low-cost and deliver quick results. B2 is the most direct way to add user-side content to both sides' AI safety agendas. Consultation with funders and a review of terms of use must come first.</w:t>
      </w:r>
    </w:p>
    <w:p>
      <w:pPr>
        <w:pStyle w:val="a4"/>
        <w:numPr>
          <w:ilvl w:val="0"/>
          <w:numId w:val="7"/>
        </w:numPr>
        <w:spacing w:after="60" w:line="336" w:lineRule="auto"/>
        <w:jc w:val="both"/>
      </w:pPr>
      <w:r>
        <w:rPr>
          <w:rFonts w:eastAsia="Calibri"/>
          <w:b/>
          <w:bCs/>
        </w:rPr>
        <w:t>C2</w:t>
      </w:r>
      <w:r>
        <w:rPr>
          <w:rFonts w:eastAsia="Calibri"/>
        </w:rPr>
        <w:t>: It responds most directly to the gaps but requires negotiation and funding project by project, so it starts with 1–2 pilots.</w:t>
      </w:r>
    </w:p>
    <w:p>
      <w:pPr>
        <w:pStyle w:val="a4"/>
        <w:numPr>
          <w:ilvl w:val="0"/>
          <w:numId w:val="7"/>
        </w:numPr>
        <w:spacing w:after="120" w:line="336" w:lineRule="auto"/>
        <w:jc w:val="both"/>
      </w:pPr>
      <w:r>
        <w:rPr>
          <w:rFonts w:eastAsia="Calibri"/>
          <w:b/>
          <w:bCs/>
        </w:rPr>
        <w:t>C3 and C4</w:t>
      </w:r>
      <w:r>
        <w:rPr>
          <w:rFonts w:eastAsia="Calibri"/>
        </w:rPr>
        <w:t>: C3 depends on the Year of AI Cooperation being adopted. C4 is an internal ASEAN priority, and neutrality shows most clearly when it is designed around multiple Dialogue Partners.</w:t>
      </w:r>
    </w:p>
    <w:p>
      <w:pPr>
        <w:spacing w:after="120" w:line="336" w:lineRule="auto"/>
        <w:jc w:val="both"/>
      </w:pPr>
      <w:r>
        <w:rPr>
          <w:rFonts w:eastAsia="Calibri"/>
          <w:b/>
          <w:bCs/>
        </w:rPr>
        <w:t>Where C5 fits.</w:t>
      </w:r>
      <w:r>
        <w:rPr>
          <w:rFonts w:eastAsia="Calibri"/>
        </w:rPr>
        <w:t xml:space="preserve"> It is the end point of the MSME track. As AIM ASEAN is scheduled to end in 2027, follow-up funding will be discussed alongside it, with the aim of starting in the first half of 2027, depending on whether the MSME declaration is adopted at the November summit.</w:t>
      </w:r>
    </w:p>
    <w:p>
      <w:pPr>
        <w:spacing w:after="120" w:line="336" w:lineRule="auto"/>
        <w:jc w:val="both"/>
      </w:pPr>
      <w:r>
        <w:rPr>
          <w:rFonts w:eastAsia="Calibri"/>
          <w:b/>
          <w:bCs/>
        </w:rPr>
        <w:t>The limits of B3.</w:t>
      </w:r>
      <w:r>
        <w:rPr>
          <w:rFonts w:eastAsia="Calibri"/>
        </w:rPr>
        <w:t xml:space="preserve"> The language-model layer is not the Foundation's core business. Its contribution is confined to experience of AI education in local languages and to terminology; it does not release learner data for model training.</w:t>
      </w:r>
    </w:p>
    <w:p>
      <w:pPr>
        <w:keepNext/>
        <w:spacing w:before="220" w:after="110" w:line="300" w:lineRule="auto"/>
      </w:pPr>
      <w:r>
        <w:rPr>
          <w:rFonts w:eastAsia="Calibri"/>
          <w:b/>
          <w:bCs/>
          <w:color w:val="0F63A8"/>
          <w:sz w:val="22"/>
          <w:szCs w:val="22"/>
        </w:rPr>
        <w:t>5.4 What the Foundation Will Not Do</w:t>
      </w:r>
    </w:p>
    <w:p>
      <w:pPr>
        <w:pStyle w:val="a4"/>
        <w:numPr>
          <w:ilvl w:val="0"/>
          <w:numId w:val="2"/>
        </w:numPr>
        <w:spacing w:after="60" w:line="336" w:lineRule="auto"/>
        <w:jc w:val="both"/>
      </w:pPr>
      <w:r>
        <w:rPr>
          <w:rFonts w:eastAsia="Calibri"/>
        </w:rPr>
        <w:t>Transferring or jointly holding learners' personal data and learning data, or providing data for AI model training</w:t>
      </w:r>
    </w:p>
    <w:p>
      <w:pPr>
        <w:pStyle w:val="a4"/>
        <w:numPr>
          <w:ilvl w:val="0"/>
          <w:numId w:val="2"/>
        </w:numPr>
        <w:spacing w:after="60" w:line="336" w:lineRule="auto"/>
        <w:jc w:val="both"/>
      </w:pPr>
      <w:r>
        <w:rPr>
          <w:rFonts w:eastAsia="Calibri"/>
        </w:rPr>
        <w:t>Linkages conditional on adopting AI models or platforms from a particular country or company</w:t>
      </w:r>
    </w:p>
    <w:p>
      <w:pPr>
        <w:pStyle w:val="a4"/>
        <w:numPr>
          <w:ilvl w:val="0"/>
          <w:numId w:val="2"/>
        </w:numPr>
        <w:spacing w:after="60" w:line="336" w:lineRule="auto"/>
        <w:jc w:val="both"/>
      </w:pPr>
      <w:r>
        <w:rPr>
          <w:rFonts w:eastAsia="Calibri"/>
        </w:rPr>
        <w:t>Repackaging ASEAN assets under the counterpart's programme brands</w:t>
      </w:r>
    </w:p>
    <w:p>
      <w:pPr>
        <w:pStyle w:val="a4"/>
        <w:numPr>
          <w:ilvl w:val="0"/>
          <w:numId w:val="2"/>
        </w:numPr>
        <w:spacing w:after="60" w:line="336" w:lineRule="auto"/>
        <w:jc w:val="both"/>
      </w:pPr>
      <w:r>
        <w:rPr>
          <w:rFonts w:eastAsia="Calibri"/>
        </w:rPr>
        <w:t>School-level programmes run directly, bypassing member states' Ministries of Education</w:t>
      </w:r>
    </w:p>
    <w:p>
      <w:pPr>
        <w:pStyle w:val="a4"/>
        <w:numPr>
          <w:ilvl w:val="0"/>
          <w:numId w:val="2"/>
        </w:numPr>
        <w:spacing w:after="60" w:line="336" w:lineRule="auto"/>
        <w:jc w:val="both"/>
      </w:pPr>
      <w:r>
        <w:rPr>
          <w:rFonts w:eastAsia="Calibri"/>
        </w:rPr>
        <w:t>Stating ASEAN positions on AI standards or norms (beyond the Foundation's mandate)</w:t>
      </w:r>
    </w:p>
    <w:p>
      <w:pPr>
        <w:pStyle w:val="a4"/>
        <w:numPr>
          <w:ilvl w:val="0"/>
          <w:numId w:val="2"/>
        </w:numPr>
        <w:spacing w:after="60" w:line="336" w:lineRule="auto"/>
        <w:jc w:val="both"/>
      </w:pPr>
      <w:r>
        <w:rPr>
          <w:rFonts w:eastAsia="Calibri"/>
        </w:rPr>
        <w:t>Using internal reports or information on participating companies in external materials without the consent of the LIP and the companies</w:t>
      </w:r>
    </w:p>
    <w:p>
      <w:pPr>
        <w:pStyle w:val="a4"/>
        <w:numPr>
          <w:ilvl w:val="0"/>
          <w:numId w:val="2"/>
        </w:numPr>
        <w:spacing w:after="120" w:line="336" w:lineRule="auto"/>
        <w:jc w:val="both"/>
      </w:pPr>
      <w:r>
        <w:rPr>
          <w:rFonts w:eastAsia="Calibri"/>
        </w:rPr>
        <w:t>Presenting follow-up plans still subject to partner agreement as if they were Foundation commitments</w:t>
      </w:r>
    </w:p>
    <w:p>
      <w:pPr>
        <w:keepNext/>
        <w:spacing w:before="220" w:after="110" w:line="300" w:lineRule="auto"/>
      </w:pPr>
      <w:r>
        <w:rPr>
          <w:rFonts w:eastAsia="Calibri"/>
          <w:b/>
          <w:bCs/>
          <w:color w:val="0F63A8"/>
          <w:sz w:val="22"/>
          <w:szCs w:val="22"/>
        </w:rPr>
        <w:t>5.5 Phased Roadmap</w:t>
      </w:r>
    </w:p>
    <w:p>
      <w:pPr>
        <w:spacing w:after="120" w:line="336" w:lineRule="auto"/>
        <w:jc w:val="both"/>
      </w:pPr>
      <w:r>
        <w:rPr>
          <w:rFonts w:eastAsia="Calibri"/>
          <w:b/>
          <w:bCs/>
        </w:rPr>
        <w:t>Enter through sharing now; open joint programmes only after two decision points</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338"/>
        <w:gridCol w:w="1142"/>
        <w:gridCol w:w="4569"/>
        <w:gridCol w:w="2691"/>
      </w:tblGrid>
      <w:tr>
        <w:trPr>
          <w:tblHeader/>
        </w:trPr>
        <w:tc>
          <w:tcPr>
            <w:tcW w:w="1338" w:type="dxa"/>
            <w:shd w:val="clear" w:color="auto" w:fill="00498F"/>
          </w:tcPr>
          <w:p>
            <w:pPr>
              <w:spacing w:line="276" w:lineRule="auto"/>
            </w:pPr>
            <w:r>
              <w:rPr>
                <w:rFonts w:eastAsia="Calibri"/>
                <w:b/>
                <w:bCs/>
                <w:color w:val="FFFFFF"/>
                <w:sz w:val="17"/>
                <w:szCs w:val="17"/>
              </w:rPr>
              <w:t>Stage</w:t>
            </w:r>
          </w:p>
        </w:tc>
        <w:tc>
          <w:tcPr>
            <w:tcW w:w="1142" w:type="dxa"/>
            <w:shd w:val="clear" w:color="auto" w:fill="00498F"/>
          </w:tcPr>
          <w:p>
            <w:pPr>
              <w:spacing w:line="276" w:lineRule="auto"/>
            </w:pPr>
            <w:r>
              <w:rPr>
                <w:rFonts w:eastAsia="Calibri"/>
                <w:b/>
                <w:bCs/>
                <w:color w:val="FFFFFF"/>
                <w:sz w:val="17"/>
                <w:szCs w:val="17"/>
              </w:rPr>
              <w:t>Timeframe</w:t>
            </w:r>
          </w:p>
        </w:tc>
        <w:tc>
          <w:tcPr>
            <w:tcW w:w="4569" w:type="dxa"/>
            <w:shd w:val="clear" w:color="auto" w:fill="00498F"/>
          </w:tcPr>
          <w:p>
            <w:pPr>
              <w:spacing w:line="276" w:lineRule="auto"/>
            </w:pPr>
            <w:r>
              <w:rPr>
                <w:rFonts w:eastAsia="Calibri"/>
                <w:b/>
                <w:bCs/>
                <w:color w:val="FFFFFF"/>
                <w:sz w:val="17"/>
                <w:szCs w:val="17"/>
              </w:rPr>
              <w:t>Main activities</w:t>
            </w:r>
          </w:p>
        </w:tc>
        <w:tc>
          <w:tcPr>
            <w:tcW w:w="2691" w:type="dxa"/>
            <w:shd w:val="clear" w:color="auto" w:fill="00498F"/>
          </w:tcPr>
          <w:p>
            <w:pPr>
              <w:spacing w:line="276" w:lineRule="auto"/>
            </w:pPr>
            <w:r>
              <w:rPr>
                <w:rFonts w:eastAsia="Calibri"/>
                <w:b/>
                <w:bCs/>
                <w:color w:val="FFFFFF"/>
                <w:sz w:val="17"/>
                <w:szCs w:val="17"/>
              </w:rPr>
              <w:t>Next decision point</w:t>
            </w:r>
          </w:p>
        </w:tc>
      </w:tr>
      <w:tr>
        <w:trPr>
          <w:cantSplit/>
        </w:trPr>
        <w:tc>
          <w:tcPr>
            <w:tcW w:w="1338" w:type="dxa"/>
          </w:tcPr>
          <w:p>
            <w:pPr>
              <w:spacing w:line="276" w:lineRule="auto"/>
            </w:pPr>
            <w:r>
              <w:rPr>
                <w:rFonts w:eastAsia="Calibri"/>
                <w:sz w:val="17"/>
                <w:szCs w:val="17"/>
              </w:rPr>
              <w:t>1. Exploration (now)</w:t>
            </w:r>
          </w:p>
        </w:tc>
        <w:tc>
          <w:tcPr>
            <w:tcW w:w="1142" w:type="dxa"/>
          </w:tcPr>
          <w:p>
            <w:pPr>
              <w:spacing w:line="276" w:lineRule="auto"/>
            </w:pPr>
            <w:r>
              <w:rPr>
                <w:rFonts w:eastAsia="Calibri"/>
                <w:sz w:val="17"/>
                <w:szCs w:val="17"/>
              </w:rPr>
              <w:t>October–November 2026</w:t>
            </w:r>
          </w:p>
        </w:tc>
        <w:tc>
          <w:tcPr>
            <w:tcW w:w="4569" w:type="dxa"/>
          </w:tcPr>
          <w:p>
            <w:pPr>
              <w:spacing w:line="276" w:lineRule="auto"/>
            </w:pPr>
            <w:r>
              <w:rPr>
                <w:rFonts w:eastAsia="Calibri"/>
                <w:sz w:val="17"/>
                <w:szCs w:val="17"/>
              </w:rPr>
              <w:t>A3: remarks at the CIIS roundtable; A1 and A2: sharing of experience and research; prior consultation with funders; advance sharing with the Secretariat, SOM-ED and ACCMSME</w:t>
            </w:r>
          </w:p>
        </w:tc>
        <w:tc>
          <w:tcPr>
            <w:tcW w:w="2691" w:type="dxa"/>
          </w:tcPr>
          <w:p>
            <w:pPr>
              <w:spacing w:line="276" w:lineRule="auto"/>
            </w:pPr>
            <w:r>
              <w:rPr>
                <w:rFonts w:eastAsia="Calibri"/>
                <w:sz w:val="17"/>
                <w:szCs w:val="17"/>
              </w:rPr>
              <w:t>The Manila Summit in November (Year of AI Cooperation, MSME AI declaration)</w:t>
            </w:r>
          </w:p>
        </w:tc>
      </w:tr>
      <w:tr>
        <w:trPr>
          <w:cantSplit/>
        </w:trPr>
        <w:tc>
          <w:tcPr>
            <w:tcW w:w="1338" w:type="dxa"/>
          </w:tcPr>
          <w:p>
            <w:pPr>
              <w:spacing w:line="276" w:lineRule="auto"/>
            </w:pPr>
            <w:r>
              <w:rPr>
                <w:rFonts w:eastAsia="Calibri"/>
                <w:sz w:val="17"/>
                <w:szCs w:val="17"/>
              </w:rPr>
              <w:t>2. Linkage</w:t>
            </w:r>
          </w:p>
        </w:tc>
        <w:tc>
          <w:tcPr>
            <w:tcW w:w="1142" w:type="dxa"/>
          </w:tcPr>
          <w:p>
            <w:pPr>
              <w:spacing w:line="276" w:lineRule="auto"/>
            </w:pPr>
            <w:r>
              <w:rPr>
                <w:rFonts w:eastAsia="Calibri"/>
                <w:sz w:val="17"/>
                <w:szCs w:val="17"/>
              </w:rPr>
              <w:t>First half of 2027</w:t>
            </w:r>
          </w:p>
        </w:tc>
        <w:tc>
          <w:tcPr>
            <w:tcW w:w="4569" w:type="dxa"/>
          </w:tcPr>
          <w:p>
            <w:pPr>
              <w:spacing w:line="276" w:lineRule="auto"/>
            </w:pPr>
            <w:r>
              <w:rPr>
                <w:rFonts w:eastAsia="Calibri"/>
                <w:sz w:val="17"/>
                <w:szCs w:val="17"/>
              </w:rPr>
              <w:t>D1: indicators of sustained use (Singapore baseline); A4 and B4: MSME cases and 'after training' materials; B1 and B2: AI Class and the ethics and safety courses; C1 and C5: draft proposals reported to SOM-ED and ACCMSME</w:t>
            </w:r>
          </w:p>
        </w:tc>
        <w:tc>
          <w:tcPr>
            <w:tcW w:w="2691" w:type="dxa"/>
          </w:tcPr>
          <w:p>
            <w:pPr>
              <w:spacing w:line="276" w:lineRule="auto"/>
            </w:pPr>
            <w:r>
              <w:rPr>
                <w:rFonts w:eastAsia="Calibri"/>
                <w:sz w:val="17"/>
                <w:szCs w:val="17"/>
              </w:rPr>
              <w:t>Decisions by SOM-ED and ACCMSME (consent of member states' line ministries)</w:t>
            </w:r>
          </w:p>
        </w:tc>
      </w:tr>
      <w:tr>
        <w:trPr>
          <w:cantSplit/>
        </w:trPr>
        <w:tc>
          <w:tcPr>
            <w:tcW w:w="1338" w:type="dxa"/>
          </w:tcPr>
          <w:p>
            <w:pPr>
              <w:spacing w:line="276" w:lineRule="auto"/>
            </w:pPr>
            <w:r>
              <w:rPr>
                <w:rFonts w:eastAsia="Calibri"/>
                <w:sz w:val="17"/>
                <w:szCs w:val="17"/>
              </w:rPr>
              <w:t>3. Joint programmes</w:t>
            </w:r>
          </w:p>
        </w:tc>
        <w:tc>
          <w:tcPr>
            <w:tcW w:w="1142" w:type="dxa"/>
          </w:tcPr>
          <w:p>
            <w:pPr>
              <w:spacing w:line="276" w:lineRule="auto"/>
            </w:pPr>
            <w:r>
              <w:rPr>
                <w:rFonts w:eastAsia="Calibri"/>
                <w:sz w:val="17"/>
                <w:szCs w:val="17"/>
              </w:rPr>
              <w:t>Second half of 2027 to 2028</w:t>
            </w:r>
          </w:p>
        </w:tc>
        <w:tc>
          <w:tcPr>
            <w:tcW w:w="4569" w:type="dxa"/>
          </w:tcPr>
          <w:p>
            <w:pPr>
              <w:spacing w:line="276" w:lineRule="auto"/>
            </w:pPr>
            <w:r>
              <w:rPr>
                <w:rFonts w:eastAsia="Calibri"/>
                <w:sz w:val="17"/>
                <w:szCs w:val="17"/>
              </w:rPr>
              <w:t>C5 and C1: implementation of MSME cooperation and teacher role-sharing; C2: industrial-site integration pilots; C3: Year of AI Cooperation deliverables (if adopted); C4: expansion to Timor-Leste</w:t>
            </w:r>
          </w:p>
        </w:tc>
        <w:tc>
          <w:tcPr>
            <w:tcW w:w="2691" w:type="dxa"/>
          </w:tcPr>
          <w:p>
            <w:pPr>
              <w:spacing w:line="276" w:lineRule="auto"/>
            </w:pPr>
            <w:r>
              <w:rPr>
                <w:rFonts w:eastAsia="Calibri"/>
                <w:sz w:val="17"/>
                <w:szCs w:val="17"/>
              </w:rPr>
              <w:t>End of Phase 2 at the end of 2028 (a plan to sustain the trainer network secured)</w:t>
            </w:r>
          </w:p>
        </w:tc>
      </w:tr>
    </w:tbl>
    <w:p>
      <w:pPr>
        <w:spacing w:after="60" w:line="120" w:lineRule="auto"/>
      </w:pPr>
    </w:p>
    <w:p>
      <w:pPr>
        <w:spacing w:after="120" w:line="336" w:lineRule="auto"/>
        <w:jc w:val="both"/>
      </w:pPr>
      <w:r>
        <w:rPr>
          <w:rFonts w:eastAsia="Calibri"/>
        </w:rPr>
        <w:t>Stage 1 involves almost no cost or risk, so it can be proposed straight away on this visit. The MSME items in Stage 2 (D1, A4, B4) are aligned with the timing of the review under the Singapore follow-up plan (Q1 2027). The scope of Stage 3 will be determined by the outcome of the November summit and the consent of SOM-ED, ACCMSME and member states' line ministries.</w:t>
      </w:r>
    </w:p>
    <w:p>
      <w:pPr>
        <w:keepNext/>
        <w:spacing w:before="240" w:after="160" w:line="300" w:lineRule="auto"/>
      </w:pPr>
      <w:r>
        <w:rPr>
          <w:rFonts w:eastAsia="Calibri"/>
          <w:b/>
          <w:bCs/>
          <w:color w:val="00498F"/>
          <w:sz w:val="26"/>
          <w:szCs w:val="26"/>
        </w:rPr>
        <w:t>6. Preconditions and Risks</w:t>
      </w:r>
    </w:p>
    <w:p>
      <w:pPr>
        <w:spacing w:after="120" w:line="336" w:lineRule="auto"/>
        <w:jc w:val="both"/>
      </w:pPr>
      <w:r>
        <w:rPr>
          <w:rFonts w:eastAsia="Calibri"/>
        </w:rPr>
        <w:t>The foremost precondition is to put the relationship with funders on a clear footing. A US corporate foundation provides the funding, and AIM ASEAN explicitly promotes the "use of Google's suite of AI tools". Because the arrangement would link programmes of this kind to the Chinese government's AI initiatives, every option could stall unless the limits of what is permissible are confirmed before the visit.</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800"/>
        <w:gridCol w:w="3971"/>
        <w:gridCol w:w="3969"/>
      </w:tblGrid>
      <w:tr>
        <w:trPr>
          <w:tblHeader/>
        </w:trPr>
        <w:tc>
          <w:tcPr>
            <w:tcW w:w="1800" w:type="dxa"/>
            <w:shd w:val="clear" w:color="auto" w:fill="00498F"/>
          </w:tcPr>
          <w:p>
            <w:pPr>
              <w:spacing w:line="276" w:lineRule="auto"/>
            </w:pPr>
            <w:r>
              <w:rPr>
                <w:rFonts w:eastAsia="Calibri"/>
                <w:b/>
                <w:bCs/>
                <w:color w:val="FFFFFF"/>
              </w:rPr>
              <w:t>Risk</w:t>
            </w:r>
          </w:p>
        </w:tc>
        <w:tc>
          <w:tcPr>
            <w:tcW w:w="3971" w:type="dxa"/>
            <w:shd w:val="clear" w:color="auto" w:fill="00498F"/>
          </w:tcPr>
          <w:p>
            <w:pPr>
              <w:spacing w:line="276" w:lineRule="auto"/>
            </w:pPr>
            <w:r>
              <w:rPr>
                <w:rFonts w:eastAsia="Calibri"/>
                <w:b/>
                <w:bCs/>
                <w:color w:val="FFFFFF"/>
              </w:rPr>
              <w:t>Issue</w:t>
            </w:r>
          </w:p>
        </w:tc>
        <w:tc>
          <w:tcPr>
            <w:tcW w:w="3969" w:type="dxa"/>
            <w:shd w:val="clear" w:color="auto" w:fill="00498F"/>
          </w:tcPr>
          <w:p>
            <w:pPr>
              <w:spacing w:line="276" w:lineRule="auto"/>
            </w:pPr>
            <w:r>
              <w:rPr>
                <w:rFonts w:eastAsia="Calibri"/>
                <w:b/>
                <w:bCs/>
                <w:color w:val="FFFFFF"/>
              </w:rPr>
              <w:t>Response</w:t>
            </w:r>
          </w:p>
        </w:tc>
      </w:tr>
      <w:tr>
        <w:trPr>
          <w:cantSplit/>
        </w:trPr>
        <w:tc>
          <w:tcPr>
            <w:tcW w:w="1800" w:type="dxa"/>
          </w:tcPr>
          <w:p>
            <w:pPr>
              <w:spacing w:line="276" w:lineRule="auto"/>
            </w:pPr>
            <w:r>
              <w:rPr>
                <w:rFonts w:eastAsia="Calibri"/>
              </w:rPr>
              <w:t>Relations with funders</w:t>
            </w:r>
          </w:p>
        </w:tc>
        <w:tc>
          <w:tcPr>
            <w:tcW w:w="3971" w:type="dxa"/>
          </w:tcPr>
          <w:p>
            <w:pPr>
              <w:spacing w:line="276" w:lineRule="auto"/>
            </w:pPr>
            <w:r>
              <w:rPr>
                <w:rFonts w:eastAsia="Calibri"/>
              </w:rPr>
              <w:t>It is unclear how far the agreements with Google.org, AVPN and ADB permit the sharing of AI content and cooperation with third parties. Amid US–China AI rivalry, funders also bear a political burden.</w:t>
            </w:r>
          </w:p>
        </w:tc>
        <w:tc>
          <w:tcPr>
            <w:tcW w:w="3969" w:type="dxa"/>
          </w:tcPr>
          <w:p>
            <w:pPr>
              <w:spacing w:line="276" w:lineRule="auto"/>
            </w:pPr>
            <w:r>
              <w:rPr>
                <w:rFonts w:eastAsia="Calibri"/>
              </w:rPr>
              <w:t>Consult funders before the visit. Frame the contribution as "sharing experience of running a public good for AI capacity in ASEAN".</w:t>
            </w:r>
          </w:p>
        </w:tc>
      </w:tr>
      <w:tr>
        <w:trPr>
          <w:cantSplit/>
        </w:trPr>
        <w:tc>
          <w:tcPr>
            <w:tcW w:w="1800" w:type="dxa"/>
          </w:tcPr>
          <w:p>
            <w:pPr>
              <w:spacing w:line="276" w:lineRule="auto"/>
            </w:pPr>
            <w:r>
              <w:rPr>
                <w:rFonts w:eastAsia="Calibri"/>
              </w:rPr>
              <w:t>Technology neutrality</w:t>
            </w:r>
          </w:p>
        </w:tc>
        <w:tc>
          <w:tcPr>
            <w:tcW w:w="3971" w:type="dxa"/>
          </w:tcPr>
          <w:p>
            <w:pPr>
              <w:spacing w:line="276" w:lineRule="auto"/>
            </w:pPr>
            <w:r>
              <w:rPr>
                <w:rFonts w:eastAsia="Calibri"/>
              </w:rPr>
              <w:t xml:space="preserve">The Foundation's programmes could be criticised as reliant on a particular company's AI tools. The Chinese side may also make the use of Chinese AI models and platforms a condition for collaboration </w:t>
            </w:r>
            <w:r>
              <w:rPr>
                <w:rFonts w:eastAsia="Calibri"/>
                <w:b/>
                <w:bCs/>
                <w:color w:val="0F63A8"/>
              </w:rPr>
              <w:t>[Assessment]</w:t>
            </w:r>
            <w:r>
              <w:rPr>
                <w:rFonts w:eastAsia="Calibri"/>
              </w:rPr>
              <w:t>.</w:t>
            </w:r>
          </w:p>
        </w:tc>
        <w:tc>
          <w:tcPr>
            <w:tcW w:w="3969" w:type="dxa"/>
          </w:tcPr>
          <w:p>
            <w:pPr>
              <w:spacing w:line="276" w:lineRule="auto"/>
            </w:pPr>
            <w:r>
              <w:rPr>
                <w:rFonts w:eastAsia="Calibri"/>
              </w:rPr>
              <w:t>Apply the technology neutrality principle in 5.1. Describe training content in terms of competencies rather than tools, and leave the choice of tools to member states and learners. Cite as evidence the record showing no single preferred model type at the Singapore Convening, and the operational experience of working with Google and Huawei separately (2021 ASEAN Seeds for the Future MoU).</w:t>
            </w:r>
          </w:p>
        </w:tc>
      </w:tr>
      <w:tr>
        <w:trPr>
          <w:cantSplit/>
        </w:trPr>
        <w:tc>
          <w:tcPr>
            <w:tcW w:w="1800" w:type="dxa"/>
          </w:tcPr>
          <w:p>
            <w:pPr>
              <w:spacing w:line="276" w:lineRule="auto"/>
            </w:pPr>
            <w:r>
              <w:rPr>
                <w:rFonts w:eastAsia="Calibri"/>
              </w:rPr>
              <w:t>ASEAN neutrality and centrality</w:t>
            </w:r>
          </w:p>
        </w:tc>
        <w:tc>
          <w:tcPr>
            <w:tcW w:w="3971" w:type="dxa"/>
          </w:tcPr>
          <w:p>
            <w:pPr>
              <w:spacing w:line="276" w:lineRule="auto"/>
            </w:pPr>
            <w:r>
              <w:rPr>
                <w:rFonts w:eastAsia="Calibri"/>
              </w:rPr>
              <w:t>Amid US–China AI rivalry, such cooperation could give the impression of tilting towards a particular Dialogue Partner. Digital academies linked to individual Dialogue Partners also operate in parallel (e.g. the China-ASEAN Digital Academy and the Korea-ASEAN Digital Academy).</w:t>
            </w:r>
          </w:p>
        </w:tc>
        <w:tc>
          <w:tcPr>
            <w:tcW w:w="3969" w:type="dxa"/>
          </w:tcPr>
          <w:p>
            <w:pPr>
              <w:spacing w:line="276" w:lineRule="auto"/>
            </w:pPr>
            <w:r>
              <w:rPr>
                <w:rFonts w:eastAsia="Calibri"/>
              </w:rPr>
              <w:t>Make the principle of openness explicit. Presenting AI Ready ASEAN as a common baseline for multiple AI cooperation programmes would strengthen ASEAN's ability to coordinate.</w:t>
            </w:r>
          </w:p>
        </w:tc>
      </w:tr>
      <w:tr>
        <w:trPr>
          <w:cantSplit/>
        </w:trPr>
        <w:tc>
          <w:tcPr>
            <w:tcW w:w="1800" w:type="dxa"/>
          </w:tcPr>
          <w:p>
            <w:pPr>
              <w:spacing w:line="276" w:lineRule="auto"/>
            </w:pPr>
            <w:r>
              <w:rPr>
                <w:rFonts w:eastAsia="Calibri"/>
              </w:rPr>
              <w:t>Mandate</w:t>
            </w:r>
          </w:p>
        </w:tc>
        <w:tc>
          <w:tcPr>
            <w:tcW w:w="3971" w:type="dxa"/>
          </w:tcPr>
          <w:p>
            <w:pPr>
              <w:spacing w:line="276" w:lineRule="auto"/>
            </w:pPr>
            <w:r>
              <w:rPr>
                <w:rFonts w:eastAsia="Calibri"/>
              </w:rPr>
              <w:t>The ASEAN Foundation does not represent ASEAN in external negotiations and has no mandate to state ASEAN's position on AI standards and norms.</w:t>
            </w:r>
          </w:p>
        </w:tc>
        <w:tc>
          <w:tcPr>
            <w:tcW w:w="3969" w:type="dxa"/>
          </w:tcPr>
          <w:p>
            <w:pPr>
              <w:spacing w:line="276" w:lineRule="auto"/>
            </w:pPr>
            <w:r>
              <w:rPr>
                <w:rFonts w:eastAsia="Calibri"/>
              </w:rPr>
              <w:t>Coordinate in advance through the SOM-ED and ACCMSME reporting lines and the relevant ASEAN Secretariat divisions. Present the visit's outcomes as "exploration", not consultation.</w:t>
            </w:r>
          </w:p>
        </w:tc>
      </w:tr>
      <w:tr>
        <w:trPr>
          <w:cantSplit/>
        </w:trPr>
        <w:tc>
          <w:tcPr>
            <w:tcW w:w="1800" w:type="dxa"/>
          </w:tcPr>
          <w:p>
            <w:pPr>
              <w:spacing w:line="276" w:lineRule="auto"/>
            </w:pPr>
            <w:r>
              <w:rPr>
                <w:rFonts w:eastAsia="Calibri"/>
              </w:rPr>
              <w:t>Public remarks</w:t>
            </w:r>
          </w:p>
        </w:tc>
        <w:tc>
          <w:tcPr>
            <w:tcW w:w="3971" w:type="dxa"/>
          </w:tcPr>
          <w:p>
            <w:pPr>
              <w:spacing w:line="276" w:lineRule="auto"/>
            </w:pPr>
            <w:r>
              <w:rPr>
                <w:rFonts w:eastAsia="Calibri"/>
              </w:rPr>
              <w:t>Remarks at the CIIS roundtable are recorded, quoted and passed on to the Chinese government. As this is an AI governance event, remarks could be quoted as support for Chinese initiatives (the Global AI Governance Action Plan and WAICO).</w:t>
            </w:r>
          </w:p>
        </w:tc>
        <w:tc>
          <w:tcPr>
            <w:tcW w:w="3969" w:type="dxa"/>
          </w:tcPr>
          <w:p>
            <w:pPr>
              <w:spacing w:line="276" w:lineRule="auto"/>
            </w:pPr>
            <w:r>
              <w:rPr>
                <w:rFonts w:eastAsia="Calibri"/>
              </w:rPr>
              <w:t>Keep remarks centred on the Foundation's experience, and avoid speaking for ASEAN's position or using language of endorsement for any particular initiative.</w:t>
            </w:r>
          </w:p>
        </w:tc>
      </w:tr>
      <w:tr>
        <w:trPr>
          <w:cantSplit/>
        </w:trPr>
        <w:tc>
          <w:tcPr>
            <w:tcW w:w="1800" w:type="dxa"/>
          </w:tcPr>
          <w:p>
            <w:pPr>
              <w:spacing w:line="276" w:lineRule="auto"/>
            </w:pPr>
            <w:r>
              <w:rPr>
                <w:rFonts w:eastAsia="Calibri"/>
              </w:rPr>
              <w:t>Citing internal material</w:t>
            </w:r>
          </w:p>
        </w:tc>
        <w:tc>
          <w:tcPr>
            <w:tcW w:w="3971" w:type="dxa"/>
          </w:tcPr>
          <w:p>
            <w:pPr>
              <w:spacing w:line="276" w:lineRule="auto"/>
            </w:pPr>
            <w:r>
              <w:rPr>
                <w:rFonts w:eastAsia="Calibri"/>
              </w:rPr>
              <w:t>The structured evidence for the Singapore results is an internal LIP report (submission date for the final version not yet set; includes participants' real names and budgets). Citing it without consent would forfeit the partner's trust.</w:t>
            </w:r>
          </w:p>
        </w:tc>
        <w:tc>
          <w:tcPr>
            <w:tcW w:w="3969" w:type="dxa"/>
          </w:tcPr>
          <w:p>
            <w:pPr>
              <w:spacing w:line="276" w:lineRule="auto"/>
            </w:pPr>
            <w:r>
              <w:rPr>
                <w:rFonts w:eastAsia="Calibri"/>
              </w:rPr>
              <w:t>In external documents and remarks, draw on it only within the scope of public press releases or as anonymised summaries. Clear any use of case examples with the LIP.</w:t>
            </w:r>
          </w:p>
        </w:tc>
      </w:tr>
      <w:tr>
        <w:trPr>
          <w:cantSplit/>
        </w:trPr>
        <w:tc>
          <w:tcPr>
            <w:tcW w:w="1800" w:type="dxa"/>
          </w:tcPr>
          <w:p>
            <w:pPr>
              <w:spacing w:line="276" w:lineRule="auto"/>
            </w:pPr>
            <w:r>
              <w:rPr>
                <w:rFonts w:eastAsia="Calibri"/>
              </w:rPr>
              <w:t>Confusing proposals with commitments</w:t>
            </w:r>
          </w:p>
        </w:tc>
        <w:tc>
          <w:tcPr>
            <w:tcW w:w="3971" w:type="dxa"/>
          </w:tcPr>
          <w:p>
            <w:pPr>
              <w:spacing w:line="276" w:lineRule="auto"/>
            </w:pPr>
            <w:r>
              <w:rPr>
                <w:rFonts w:eastAsia="Calibri"/>
              </w:rPr>
              <w:t>The Singapore follow-up plans (such as common outcome indicators and a regional sharing channel) are at the proposal stage and require the agreement of partners.</w:t>
            </w:r>
          </w:p>
        </w:tc>
        <w:tc>
          <w:tcPr>
            <w:tcW w:w="3969" w:type="dxa"/>
          </w:tcPr>
          <w:p>
            <w:pPr>
              <w:spacing w:line="276" w:lineRule="auto"/>
            </w:pPr>
            <w:r>
              <w:rPr>
                <w:rFonts w:eastAsia="Calibri"/>
              </w:rPr>
              <w:t>Use the wording "under consideration" or "has been proposed", and give no timelines. Finalise the Foundation's role once internal agreement is reached.</w:t>
            </w:r>
          </w:p>
        </w:tc>
      </w:tr>
      <w:tr>
        <w:trPr>
          <w:cantSplit/>
        </w:trPr>
        <w:tc>
          <w:tcPr>
            <w:tcW w:w="1800" w:type="dxa"/>
          </w:tcPr>
          <w:p>
            <w:pPr>
              <w:spacing w:line="276" w:lineRule="auto"/>
            </w:pPr>
            <w:r>
              <w:rPr>
                <w:rFonts w:eastAsia="Calibri"/>
              </w:rPr>
              <w:t>Generalising from Singapore</w:t>
            </w:r>
          </w:p>
        </w:tc>
        <w:tc>
          <w:tcPr>
            <w:tcW w:w="3971" w:type="dxa"/>
          </w:tcPr>
          <w:p>
            <w:pPr>
              <w:spacing w:line="276" w:lineRule="auto"/>
            </w:pPr>
            <w:r>
              <w:rPr>
                <w:rFonts w:eastAsia="Calibri"/>
              </w:rPr>
              <w:t>Singapore has a robust institutional ecosystem and is geographically small. Generalising from it to ASEAN as a whole weakens the case.</w:t>
            </w:r>
          </w:p>
        </w:tc>
        <w:tc>
          <w:tcPr>
            <w:tcW w:w="3969" w:type="dxa"/>
          </w:tcPr>
          <w:p>
            <w:pPr>
              <w:spacing w:line="276" w:lineRule="auto"/>
            </w:pPr>
            <w:r>
              <w:rPr>
                <w:rFonts w:eastAsia="Calibri"/>
              </w:rPr>
              <w:t>Build the argument on the logic of "even where support is strong", and present it alongside results from other countries such as Indonesia.</w:t>
            </w:r>
          </w:p>
        </w:tc>
      </w:tr>
      <w:tr>
        <w:trPr>
          <w:cantSplit/>
        </w:trPr>
        <w:tc>
          <w:tcPr>
            <w:tcW w:w="1800" w:type="dxa"/>
          </w:tcPr>
          <w:p>
            <w:pPr>
              <w:spacing w:line="276" w:lineRule="auto"/>
            </w:pPr>
            <w:r>
              <w:rPr>
                <w:rFonts w:eastAsia="Calibri"/>
              </w:rPr>
              <w:t>Data and security</w:t>
            </w:r>
          </w:p>
        </w:tc>
        <w:tc>
          <w:tcPr>
            <w:tcW w:w="3971" w:type="dxa"/>
          </w:tcPr>
          <w:p>
            <w:pPr>
              <w:spacing w:line="276" w:lineRule="auto"/>
            </w:pPr>
            <w:r>
              <w:rPr>
                <w:rFonts w:eastAsia="Calibri"/>
              </w:rPr>
              <w:t>Integrating AI platforms or operating them jointly raises the issues of transferring learner data and using it for model training.</w:t>
            </w:r>
          </w:p>
        </w:tc>
        <w:tc>
          <w:tcPr>
            <w:tcW w:w="3969" w:type="dxa"/>
          </w:tcPr>
          <w:p>
            <w:pPr>
              <w:spacing w:line="276" w:lineRule="auto"/>
            </w:pPr>
            <w:r>
              <w:rPr>
                <w:rFonts w:eastAsia="Calibri"/>
              </w:rPr>
              <w:t>Apply a no-data-transfer principle. Connect only through links to publicly available content.</w:t>
            </w:r>
          </w:p>
        </w:tc>
      </w:tr>
      <w:tr>
        <w:trPr>
          <w:cantSplit/>
        </w:trPr>
        <w:tc>
          <w:tcPr>
            <w:tcW w:w="1800" w:type="dxa"/>
          </w:tcPr>
          <w:p>
            <w:pPr>
              <w:spacing w:line="276" w:lineRule="auto"/>
            </w:pPr>
            <w:r>
              <w:rPr>
                <w:rFonts w:eastAsia="Calibri"/>
              </w:rPr>
              <w:t>Sensitivities by member state</w:t>
            </w:r>
          </w:p>
        </w:tc>
        <w:tc>
          <w:tcPr>
            <w:tcW w:w="3971" w:type="dxa"/>
          </w:tcPr>
          <w:p>
            <w:pPr>
              <w:spacing w:line="276" w:lineRule="auto"/>
            </w:pPr>
            <w:r>
              <w:rPr>
                <w:rFonts w:eastAsia="Calibri"/>
              </w:rPr>
              <w:t xml:space="preserve">Member states differ in the extent of their AI cooperation with China. For example, the signatories to the agreement establishing WAICO (16 July 2026) were reported to include Lao PDR and Indonesia (the full list of 29 countries is not confirmed). Counter-disinformation training also varies in sensitivity, as it is bound up with member states' information policies </w:t>
            </w:r>
            <w:r>
              <w:rPr>
                <w:rFonts w:eastAsia="Calibri"/>
                <w:b/>
                <w:bCs/>
                <w:color w:val="0F63A8"/>
              </w:rPr>
              <w:t>[Assessment]</w:t>
            </w:r>
            <w:r>
              <w:rPr>
                <w:rFonts w:eastAsia="Calibri"/>
              </w:rPr>
              <w:t>.</w:t>
            </w:r>
          </w:p>
        </w:tc>
        <w:tc>
          <w:tcPr>
            <w:tcW w:w="3969" w:type="dxa"/>
          </w:tcPr>
          <w:p>
            <w:pPr>
              <w:spacing w:line="276" w:lineRule="auto"/>
            </w:pPr>
            <w:r>
              <w:rPr>
                <w:rFonts w:eastAsia="Calibri"/>
              </w:rPr>
              <w:t>Make participation opt-in for interested member states rather than involving all member states en bloc. For content, use the agreed language of the ASEAN Guide and the Responsible AI Roadmap.</w:t>
            </w:r>
          </w:p>
        </w:tc>
      </w:tr>
      <w:tr>
        <w:trPr>
          <w:cantSplit/>
        </w:trPr>
        <w:tc>
          <w:tcPr>
            <w:tcW w:w="1800" w:type="dxa"/>
          </w:tcPr>
          <w:p>
            <w:pPr>
              <w:spacing w:line="276" w:lineRule="auto"/>
            </w:pPr>
            <w:r>
              <w:rPr>
                <w:rFonts w:eastAsia="Calibri"/>
              </w:rPr>
              <w:t>Sustainability</w:t>
            </w:r>
          </w:p>
        </w:tc>
        <w:tc>
          <w:tcPr>
            <w:tcW w:w="3971" w:type="dxa"/>
          </w:tcPr>
          <w:p>
            <w:pPr>
              <w:spacing w:line="276" w:lineRule="auto"/>
            </w:pPr>
            <w:r>
              <w:rPr>
                <w:rFonts w:eastAsia="Calibri"/>
              </w:rPr>
              <w:t>AI Ready ASEAN Phase 2 is scheduled to close at the end of 2028, and AIM ASEAN in 2027. Networks of trainers and local partners disperse once funding dries up. AI tools change quickly, so content also dates quickly.</w:t>
            </w:r>
          </w:p>
        </w:tc>
        <w:tc>
          <w:tcPr>
            <w:tcW w:w="3969" w:type="dxa"/>
          </w:tcPr>
          <w:p>
            <w:pPr>
              <w:spacing w:line="276" w:lineRule="auto"/>
            </w:pPr>
            <w:r>
              <w:rPr>
                <w:rFonts w:eastAsia="Calibri"/>
              </w:rPr>
              <w:t>Where cooperation programmes draw on trainers, include a remuneration and certification framework. Build a content update cycle into the terms of cooperation.</w:t>
            </w:r>
          </w:p>
        </w:tc>
      </w:tr>
      <w:tr>
        <w:trPr>
          <w:cantSplit/>
        </w:trPr>
        <w:tc>
          <w:tcPr>
            <w:tcW w:w="1800" w:type="dxa"/>
          </w:tcPr>
          <w:p>
            <w:pPr>
              <w:spacing w:line="276" w:lineRule="auto"/>
            </w:pPr>
            <w:r>
              <w:rPr>
                <w:rFonts w:eastAsia="Calibri"/>
              </w:rPr>
              <w:t>Presenting results</w:t>
            </w:r>
          </w:p>
        </w:tc>
        <w:tc>
          <w:tcPr>
            <w:tcW w:w="3971" w:type="dxa"/>
          </w:tcPr>
          <w:p>
            <w:pPr>
              <w:spacing w:line="276" w:lineRule="auto"/>
            </w:pPr>
            <w:r>
              <w:rPr>
                <w:rFonts w:eastAsia="Calibri"/>
              </w:rPr>
              <w:t>Conflating reach, completion and business integration undermines the credibility of the results as a whole.</w:t>
            </w:r>
          </w:p>
        </w:tc>
        <w:tc>
          <w:tcPr>
            <w:tcW w:w="3969" w:type="dxa"/>
          </w:tcPr>
          <w:p>
            <w:pPr>
              <w:spacing w:line="276" w:lineRule="auto"/>
            </w:pPr>
            <w:r>
              <w:rPr>
                <w:rFonts w:eastAsia="Calibri"/>
              </w:rPr>
              <w:t>State the definition and reference date for each indicator. Distinguish between reach, business integration and verified outcomes (5.1, Principle 6).</w:t>
            </w:r>
          </w:p>
        </w:tc>
      </w:tr>
      <w:tr>
        <w:trPr>
          <w:cantSplit/>
        </w:trPr>
        <w:tc>
          <w:tcPr>
            <w:tcW w:w="1800" w:type="dxa"/>
          </w:tcPr>
          <w:p>
            <w:pPr>
              <w:spacing w:line="276" w:lineRule="auto"/>
            </w:pPr>
            <w:r>
              <w:rPr>
                <w:rFonts w:eastAsia="Calibri"/>
              </w:rPr>
              <w:t>Confusion over names</w:t>
            </w:r>
          </w:p>
        </w:tc>
        <w:tc>
          <w:tcPr>
            <w:tcW w:w="3971" w:type="dxa"/>
          </w:tcPr>
          <w:p>
            <w:pPr>
              <w:spacing w:line="276" w:lineRule="auto"/>
            </w:pPr>
            <w:r>
              <w:rPr>
                <w:rFonts w:eastAsia="Calibri"/>
              </w:rPr>
              <w:t>The ASEAN Foundation's ASEAN Digital Academy is distinct from the Chinese side's China-ASEAN Digital Academy.</w:t>
            </w:r>
          </w:p>
        </w:tc>
        <w:tc>
          <w:tcPr>
            <w:tcW w:w="3969" w:type="dxa"/>
          </w:tcPr>
          <w:p>
            <w:pPr>
              <w:spacing w:line="276" w:lineRule="auto"/>
            </w:pPr>
            <w:r>
              <w:rPr>
                <w:rFonts w:eastAsia="Calibri"/>
              </w:rPr>
              <w:t>Use the official names in documents and discussions.</w:t>
            </w:r>
          </w:p>
        </w:tc>
      </w:tr>
    </w:tbl>
    <w:p>
      <w:pPr>
        <w:spacing w:after="60" w:line="120" w:lineRule="auto"/>
      </w:pPr>
    </w:p>
    <w:p>
      <w:pPr>
        <w:keepNext/>
        <w:spacing w:before="240" w:after="160" w:line="300" w:lineRule="auto"/>
      </w:pPr>
      <w:r>
        <w:rPr>
          <w:rFonts w:eastAsia="Calibri"/>
          <w:b/>
          <w:bCs/>
          <w:color w:val="00498F"/>
          <w:sz w:val="26"/>
          <w:szCs w:val="26"/>
        </w:rPr>
        <w:t>Appendix: Sources</w:t>
      </w:r>
    </w:p>
    <w:p>
      <w:pPr>
        <w:spacing w:after="120" w:line="336" w:lineRule="auto"/>
        <w:jc w:val="both"/>
      </w:pPr>
      <w:r>
        <w:rPr>
          <w:rFonts w:eastAsia="Calibri"/>
        </w:rPr>
        <w:t>These are the sources for the facts in this briefing. Public sources are current as of 14 October 2026 and should be checked against the originals before they are cited externally. The Singapore convening material comes from the local implementing partner's internal reports, so confirm what may be made public before citing it. Figures whose only source is Chinese state media (the Application Cooperation Centre's results and the casebook) and platform or company surveys (Lazada–Kantar) should be cited with their source.</w:t>
      </w:r>
    </w:p>
    <w:p>
      <w:pPr>
        <w:spacing w:after="120" w:line="336" w:lineRule="auto"/>
        <w:jc w:val="both"/>
      </w:pPr>
      <w:r>
        <w:rPr>
          <w:rFonts w:eastAsia="Calibri"/>
          <w:b/>
          <w:bCs/>
        </w:rPr>
        <w:t>ASEAN–China AI agreements and institutions</w:t>
      </w:r>
    </w:p>
    <w:p>
      <w:pPr>
        <w:pStyle w:val="a4"/>
        <w:numPr>
          <w:ilvl w:val="0"/>
          <w:numId w:val="2"/>
        </w:numPr>
        <w:spacing w:after="60" w:line="336" w:lineRule="auto"/>
        <w:jc w:val="both"/>
      </w:pPr>
      <w:hyperlink r:id="rIdGen6" w:history="1">
        <w:r>
          <w:rPr>
            <w:rStyle w:val="a5"/>
            <w:rFonts w:eastAsia="Calibri"/>
          </w:rPr>
          <w:t>ASEAN–China Joint Statement on Facilitating Cooperation in Building a Sustainable and Inclusive Digital Ecosystem</w:t>
        </w:r>
      </w:hyperlink>
      <w:r>
        <w:rPr>
          <w:rFonts w:eastAsia="Calibri"/>
        </w:rPr>
        <w:t xml:space="preserve"> (October 2024); </w:t>
      </w:r>
      <w:hyperlink r:id="rIdGen7" w:history="1">
        <w:r>
          <w:rPr>
            <w:rStyle w:val="a5"/>
            <w:rFonts w:eastAsia="Calibri"/>
          </w:rPr>
          <w:t>Joint Statement on Promoting the Development of Smart Agriculture</w:t>
        </w:r>
      </w:hyperlink>
      <w:r>
        <w:rPr>
          <w:rFonts w:eastAsia="Calibri"/>
        </w:rPr>
        <w:t xml:space="preserve"> (October 2024)</w:t>
      </w:r>
    </w:p>
    <w:p>
      <w:pPr>
        <w:pStyle w:val="a4"/>
        <w:numPr>
          <w:ilvl w:val="0"/>
          <w:numId w:val="2"/>
        </w:numPr>
        <w:spacing w:after="60" w:line="336" w:lineRule="auto"/>
        <w:jc w:val="both"/>
      </w:pPr>
      <w:hyperlink r:id="rIdGen8" w:history="1">
        <w:r>
          <w:rPr>
            <w:rStyle w:val="a5"/>
            <w:rFonts w:eastAsia="Calibri"/>
          </w:rPr>
          <w:t>ASEAN Secretary-General's remarks at the inauguration of the Innovation Centre</w:t>
        </w:r>
      </w:hyperlink>
      <w:r>
        <w:rPr>
          <w:rFonts w:eastAsia="Calibri"/>
        </w:rPr>
        <w:t xml:space="preserve"> (</w:t>
      </w:r>
      <w:hyperlink r:id="rIdGen9" w:history="1">
        <w:r>
          <w:rPr>
            <w:rStyle w:val="a5"/>
            <w:rFonts w:eastAsia="Calibri"/>
          </w:rPr>
          <w:t>text of the remarks (PDF)</w:t>
        </w:r>
      </w:hyperlink>
      <w:r>
        <w:rPr>
          <w:rFonts w:eastAsia="Calibri"/>
        </w:rPr>
        <w:t>, May 2026)</w:t>
      </w:r>
    </w:p>
    <w:p>
      <w:pPr>
        <w:pStyle w:val="a4"/>
        <w:numPr>
          <w:ilvl w:val="0"/>
          <w:numId w:val="2"/>
        </w:numPr>
        <w:spacing w:after="60" w:line="336" w:lineRule="auto"/>
        <w:jc w:val="both"/>
      </w:pPr>
      <w:hyperlink r:id="rIdGen10" w:history="1">
        <w:r>
          <w:rPr>
            <w:rStyle w:val="a5"/>
            <w:rFonts w:eastAsia="Calibri"/>
          </w:rPr>
          <w:t>ASEAN–China Foreign Ministers' Meeting (Manila)</w:t>
        </w:r>
      </w:hyperlink>
      <w:r>
        <w:rPr>
          <w:rFonts w:eastAsia="Calibri"/>
        </w:rPr>
        <w:t xml:space="preserve">; </w:t>
      </w:r>
      <w:hyperlink r:id="rIdGen11" w:history="1">
        <w:r>
          <w:rPr>
            <w:rStyle w:val="a5"/>
            <w:rFonts w:eastAsia="Calibri"/>
          </w:rPr>
          <w:t>report on the Year of AI Cooperation and the Action Plan</w:t>
        </w:r>
      </w:hyperlink>
      <w:r>
        <w:rPr>
          <w:rFonts w:eastAsia="Calibri"/>
        </w:rPr>
        <w:t xml:space="preserve">; </w:t>
      </w:r>
      <w:hyperlink r:id="rIdGen12" w:history="1">
        <w:r>
          <w:rPr>
            <w:rStyle w:val="a5"/>
            <w:rFonts w:eastAsia="Calibri"/>
          </w:rPr>
          <w:t>Antara: ASEAN and China consider AI cooperation in 2027</w:t>
        </w:r>
      </w:hyperlink>
      <w:r>
        <w:rPr>
          <w:rFonts w:eastAsia="Calibri"/>
        </w:rPr>
        <w:t xml:space="preserve"> (July 2026). The source document for this wording has not been confirmed</w:t>
      </w:r>
    </w:p>
    <w:p>
      <w:pPr>
        <w:pStyle w:val="a4"/>
        <w:numPr>
          <w:ilvl w:val="0"/>
          <w:numId w:val="2"/>
        </w:numPr>
        <w:spacing w:after="60" w:line="336" w:lineRule="auto"/>
        <w:jc w:val="both"/>
      </w:pPr>
      <w:hyperlink r:id="rIdGen13" w:history="1">
        <w:r>
          <w:rPr>
            <w:rStyle w:val="a5"/>
            <w:rFonts w:eastAsia="Calibri"/>
          </w:rPr>
          <w:t>First ministerial roundtable on AI</w:t>
        </w:r>
      </w:hyperlink>
      <w:r>
        <w:rPr>
          <w:rFonts w:eastAsia="Calibri"/>
        </w:rPr>
        <w:t xml:space="preserve"> (September 2025); </w:t>
      </w:r>
      <w:hyperlink r:id="rIdGen14" w:history="1">
        <w:r>
          <w:rPr>
            <w:rStyle w:val="a5"/>
            <w:rFonts w:eastAsia="Calibri"/>
          </w:rPr>
          <w:t>groundbreaking of the China–ASEAN AI Application Cooperation Centre</w:t>
        </w:r>
      </w:hyperlink>
    </w:p>
    <w:p>
      <w:pPr>
        <w:pStyle w:val="a4"/>
        <w:numPr>
          <w:ilvl w:val="0"/>
          <w:numId w:val="2"/>
        </w:numPr>
        <w:spacing w:after="60" w:line="336" w:lineRule="auto"/>
        <w:jc w:val="both"/>
      </w:pPr>
      <w:hyperlink r:id="rIdGen15" w:history="1">
        <w:r>
          <w:rPr>
            <w:rStyle w:val="a5"/>
            <w:rFonts w:eastAsia="Calibri"/>
          </w:rPr>
          <w:t>Second ministerial roundtable on AI</w:t>
        </w:r>
      </w:hyperlink>
      <w:r>
        <w:rPr>
          <w:rFonts w:eastAsia="Calibri"/>
        </w:rPr>
        <w:t xml:space="preserve">; </w:t>
      </w:r>
      <w:hyperlink r:id="rIdGen16" w:history="1">
        <w:r>
          <w:rPr>
            <w:rStyle w:val="a5"/>
            <w:rFonts w:eastAsia="Calibri"/>
          </w:rPr>
          <w:t>Viet Nam's proposal</w:t>
        </w:r>
      </w:hyperlink>
      <w:r>
        <w:rPr>
          <w:rFonts w:eastAsia="Calibri"/>
        </w:rPr>
        <w:t xml:space="preserve">; </w:t>
      </w:r>
      <w:hyperlink r:id="rIdGen17" w:history="1">
        <w:r>
          <w:rPr>
            <w:rStyle w:val="a5"/>
            <w:rFonts w:eastAsia="Calibri"/>
          </w:rPr>
          <w:t>casebook of 31 cases</w:t>
        </w:r>
      </w:hyperlink>
      <w:r>
        <w:rPr>
          <w:rFonts w:eastAsia="Calibri"/>
        </w:rPr>
        <w:t xml:space="preserve">; </w:t>
      </w:r>
      <w:hyperlink r:id="rIdGen18" w:history="1">
        <w:r>
          <w:rPr>
            <w:rStyle w:val="a5"/>
            <w:rFonts w:eastAsia="Calibri"/>
          </w:rPr>
          <w:t>the Application Cooperation Centre's results</w:t>
        </w:r>
      </w:hyperlink>
      <w:r>
        <w:rPr>
          <w:rFonts w:eastAsia="Calibri"/>
        </w:rPr>
        <w:t xml:space="preserve">; </w:t>
      </w:r>
      <w:hyperlink r:id="rIdGen19" w:history="1">
        <w:r>
          <w:rPr>
            <w:rStyle w:val="a5"/>
            <w:rFonts w:eastAsia="Calibri"/>
          </w:rPr>
          <w:t>Fourth Forum on China–ASEAN AI Cooperation</w:t>
        </w:r>
      </w:hyperlink>
      <w:r>
        <w:rPr>
          <w:rFonts w:eastAsia="Calibri"/>
        </w:rPr>
        <w:t xml:space="preserve"> (September 2026)</w:t>
      </w:r>
    </w:p>
    <w:p>
      <w:pPr>
        <w:pStyle w:val="a4"/>
        <w:numPr>
          <w:ilvl w:val="0"/>
          <w:numId w:val="2"/>
        </w:numPr>
        <w:spacing w:after="60" w:line="336" w:lineRule="auto"/>
        <w:jc w:val="both"/>
      </w:pPr>
      <w:hyperlink r:id="rIdGen20" w:history="1">
        <w:r>
          <w:rPr>
            <w:rStyle w:val="a5"/>
            <w:rFonts w:eastAsia="Calibri"/>
          </w:rPr>
          <w:t>China–ASEAN Education Cooperation Week 2026</w:t>
        </w:r>
      </w:hyperlink>
      <w:r>
        <w:rPr>
          <w:rFonts w:eastAsia="Calibri"/>
        </w:rPr>
        <w:t xml:space="preserve">; </w:t>
      </w:r>
      <w:hyperlink r:id="rIdGen21" w:history="1">
        <w:r>
          <w:rPr>
            <w:rStyle w:val="a5"/>
            <w:rFonts w:eastAsia="Calibri"/>
          </w:rPr>
          <w:t>coverage of the closing</w:t>
        </w:r>
      </w:hyperlink>
      <w:r>
        <w:rPr>
          <w:rFonts w:eastAsia="Calibri"/>
        </w:rPr>
        <w:t xml:space="preserve">; </w:t>
      </w:r>
      <w:hyperlink r:id="rIdGen22" w:history="1">
        <w:r>
          <w:rPr>
            <w:rStyle w:val="a5"/>
            <w:rFonts w:eastAsia="Calibri"/>
          </w:rPr>
          <w:t>call for China–ASEAN Digital Academy scholarships</w:t>
        </w:r>
      </w:hyperlink>
    </w:p>
    <w:p>
      <w:pPr>
        <w:pStyle w:val="a4"/>
        <w:numPr>
          <w:ilvl w:val="0"/>
          <w:numId w:val="2"/>
        </w:numPr>
        <w:spacing w:after="120" w:line="336" w:lineRule="auto"/>
        <w:jc w:val="both"/>
      </w:pPr>
      <w:r>
        <w:rPr>
          <w:rFonts w:eastAsia="Calibri"/>
        </w:rPr>
        <w:t xml:space="preserve">For reference (not AI-specific): </w:t>
      </w:r>
      <w:hyperlink r:id="rIdGen23" w:history="1">
        <w:r>
          <w:rPr>
            <w:rStyle w:val="a5"/>
            <w:rFonts w:eastAsia="Calibri"/>
          </w:rPr>
          <w:t>signing of the ACFTA 3.0 upgrade</w:t>
        </w:r>
      </w:hyperlink>
      <w:r>
        <w:rPr>
          <w:rFonts w:eastAsia="Calibri"/>
        </w:rPr>
        <w:t xml:space="preserve"> (October 2025); </w:t>
      </w:r>
      <w:hyperlink r:id="rIdGen24" w:history="1">
        <w:r>
          <w:rPr>
            <w:rStyle w:val="a5"/>
            <w:rFonts w:eastAsia="Calibri"/>
          </w:rPr>
          <w:t>ratification status</w:t>
        </w:r>
      </w:hyperlink>
      <w:r>
        <w:rPr>
          <w:rFonts w:eastAsia="Calibri"/>
        </w:rPr>
        <w:t xml:space="preserve">; </w:t>
      </w:r>
      <w:hyperlink r:id="rIdGen25" w:history="1">
        <w:r>
          <w:rPr>
            <w:rStyle w:val="a5"/>
            <w:rFonts w:eastAsia="Calibri"/>
          </w:rPr>
          <w:t>MOFCOM summary</w:t>
        </w:r>
      </w:hyperlink>
    </w:p>
    <w:p>
      <w:pPr>
        <w:spacing w:after="120" w:line="336" w:lineRule="auto"/>
        <w:jc w:val="both"/>
      </w:pPr>
      <w:r>
        <w:rPr>
          <w:rFonts w:eastAsia="Calibri"/>
          <w:b/>
          <w:bCs/>
        </w:rPr>
        <w:t>China's AI strategy and external analysis</w:t>
      </w:r>
    </w:p>
    <w:p>
      <w:pPr>
        <w:pStyle w:val="a4"/>
        <w:numPr>
          <w:ilvl w:val="0"/>
          <w:numId w:val="2"/>
        </w:numPr>
        <w:spacing w:after="60" w:line="336" w:lineRule="auto"/>
        <w:jc w:val="both"/>
      </w:pPr>
      <w:hyperlink r:id="rIdGen26" w:history="1">
        <w:r>
          <w:rPr>
            <w:rStyle w:val="a5"/>
            <w:rFonts w:eastAsia="Calibri"/>
          </w:rPr>
          <w:t>AI Capacity-Building Action Plan for Good and for All</w:t>
        </w:r>
      </w:hyperlink>
      <w:r>
        <w:rPr>
          <w:rFonts w:eastAsia="Calibri"/>
        </w:rPr>
        <w:t xml:space="preserve"> (September 2024); </w:t>
      </w:r>
      <w:hyperlink r:id="rIdGen27" w:history="1">
        <w:r>
          <w:rPr>
            <w:rStyle w:val="a5"/>
            <w:rFonts w:eastAsia="Calibri"/>
          </w:rPr>
          <w:t>Global AI Governance Action Plan</w:t>
        </w:r>
      </w:hyperlink>
      <w:r>
        <w:rPr>
          <w:rFonts w:eastAsia="Calibri"/>
        </w:rPr>
        <w:t xml:space="preserve"> (July 2025)</w:t>
      </w:r>
    </w:p>
    <w:p>
      <w:pPr>
        <w:pStyle w:val="a4"/>
        <w:numPr>
          <w:ilvl w:val="0"/>
          <w:numId w:val="2"/>
        </w:numPr>
        <w:spacing w:after="60" w:line="336" w:lineRule="auto"/>
        <w:jc w:val="both"/>
      </w:pPr>
      <w:hyperlink r:id="rIdGen28" w:history="1">
        <w:r>
          <w:rPr>
            <w:rStyle w:val="a5"/>
            <w:rFonts w:eastAsia="Calibri"/>
          </w:rPr>
          <w:t>Report on President Xi Jinping's WAIC speech</w:t>
        </w:r>
      </w:hyperlink>
      <w:r>
        <w:rPr>
          <w:rFonts w:eastAsia="Calibri"/>
        </w:rPr>
        <w:t xml:space="preserve">; </w:t>
      </w:r>
      <w:hyperlink r:id="rIdGen29" w:history="1">
        <w:r>
          <w:rPr>
            <w:rStyle w:val="a5"/>
            <w:rFonts w:eastAsia="Calibri"/>
          </w:rPr>
          <w:t>report on the signing of the agreement establishing WAICO</w:t>
        </w:r>
      </w:hyperlink>
      <w:r>
        <w:rPr>
          <w:rFonts w:eastAsia="Calibri"/>
        </w:rPr>
        <w:t xml:space="preserve"> (July 2026; the full list of signatories has not been confirmed)</w:t>
      </w:r>
    </w:p>
    <w:p>
      <w:pPr>
        <w:pStyle w:val="a4"/>
        <w:numPr>
          <w:ilvl w:val="0"/>
          <w:numId w:val="2"/>
        </w:numPr>
        <w:spacing w:after="60" w:line="336" w:lineRule="auto"/>
        <w:jc w:val="both"/>
      </w:pPr>
      <w:hyperlink r:id="rIdGen30" w:history="1">
        <w:r>
          <w:rPr>
            <w:rStyle w:val="a5"/>
            <w:rFonts w:eastAsia="Calibri"/>
          </w:rPr>
          <w:t>ISEAS Perspective 2026/30, Wang Zheng</w:t>
        </w:r>
      </w:hyperlink>
      <w:r>
        <w:rPr>
          <w:rFonts w:eastAsia="Calibri"/>
        </w:rPr>
        <w:t xml:space="preserve"> (covers the Ministry of Science and Technology's three-year action plan)</w:t>
      </w:r>
    </w:p>
    <w:p>
      <w:pPr>
        <w:pStyle w:val="a4"/>
        <w:numPr>
          <w:ilvl w:val="0"/>
          <w:numId w:val="2"/>
        </w:numPr>
        <w:spacing w:after="60" w:line="336" w:lineRule="auto"/>
        <w:jc w:val="both"/>
      </w:pPr>
      <w:hyperlink r:id="rIdGen31" w:history="1">
        <w:r>
          <w:rPr>
            <w:rStyle w:val="a5"/>
            <w:rFonts w:eastAsia="Calibri"/>
          </w:rPr>
          <w:t>East Asia Forum, Forbes &amp; Maughan</w:t>
        </w:r>
      </w:hyperlink>
      <w:r>
        <w:rPr>
          <w:rFonts w:eastAsia="Calibri"/>
        </w:rPr>
        <w:t xml:space="preserve"> (July 2026); </w:t>
      </w:r>
      <w:hyperlink r:id="rIdGen32" w:history="1">
        <w:r>
          <w:rPr>
            <w:rStyle w:val="a5"/>
            <w:rFonts w:eastAsia="Calibri"/>
          </w:rPr>
          <w:t>The Diplomat</w:t>
        </w:r>
      </w:hyperlink>
      <w:r>
        <w:rPr>
          <w:rFonts w:eastAsia="Calibri"/>
        </w:rPr>
        <w:t xml:space="preserve"> (June 2026)</w:t>
      </w:r>
    </w:p>
    <w:p>
      <w:pPr>
        <w:pStyle w:val="a4"/>
        <w:numPr>
          <w:ilvl w:val="0"/>
          <w:numId w:val="2"/>
        </w:numPr>
        <w:spacing w:after="120" w:line="336" w:lineRule="auto"/>
        <w:jc w:val="both"/>
      </w:pPr>
      <w:hyperlink r:id="rIdGen33" w:history="1">
        <w:r>
          <w:rPr>
            <w:rStyle w:val="a5"/>
            <w:rFonts w:eastAsia="Calibri"/>
          </w:rPr>
          <w:t>CIIS–ISEAS joint symposium</w:t>
        </w:r>
      </w:hyperlink>
      <w:r>
        <w:rPr>
          <w:rFonts w:eastAsia="Calibri"/>
        </w:rPr>
        <w:t xml:space="preserve"> (December 2025); </w:t>
      </w:r>
      <w:hyperlink r:id="rIdGen34" w:history="1">
        <w:r>
          <w:rPr>
            <w:rStyle w:val="a5"/>
            <w:rFonts w:eastAsia="Calibri"/>
          </w:rPr>
          <w:t>CIIS–CAICT report</w:t>
        </w:r>
      </w:hyperlink>
      <w:r>
        <w:rPr>
          <w:rFonts w:eastAsia="Calibri"/>
        </w:rPr>
        <w:t xml:space="preserve"> (December 2024)</w:t>
      </w:r>
    </w:p>
    <w:p>
      <w:pPr>
        <w:spacing w:after="120" w:line="336" w:lineRule="auto"/>
        <w:jc w:val="both"/>
      </w:pPr>
      <w:r>
        <w:rPr>
          <w:rFonts w:eastAsia="Calibri"/>
          <w:b/>
          <w:bCs/>
        </w:rPr>
        <w:t>ASEAN's AI governance and language models</w:t>
      </w:r>
    </w:p>
    <w:p>
      <w:pPr>
        <w:pStyle w:val="a4"/>
        <w:numPr>
          <w:ilvl w:val="0"/>
          <w:numId w:val="2"/>
        </w:numPr>
        <w:spacing w:after="60" w:line="336" w:lineRule="auto"/>
        <w:jc w:val="both"/>
      </w:pPr>
      <w:hyperlink r:id="rIdGen35" w:history="1">
        <w:r>
          <w:rPr>
            <w:rStyle w:val="a5"/>
            <w:rFonts w:eastAsia="Calibri"/>
          </w:rPr>
          <w:t>Expanded ASEAN Guide on AI Governance and Ethics: Generative AI</w:t>
        </w:r>
      </w:hyperlink>
      <w:r>
        <w:rPr>
          <w:rFonts w:eastAsia="Calibri"/>
        </w:rPr>
        <w:t xml:space="preserve"> (January 2025); </w:t>
      </w:r>
      <w:hyperlink r:id="rIdGen36" w:history="1">
        <w:r>
          <w:rPr>
            <w:rStyle w:val="a5"/>
            <w:rFonts w:eastAsia="Calibri"/>
          </w:rPr>
          <w:t>adoption of the Responsible AI Roadmap 2025–2030</w:t>
        </w:r>
      </w:hyperlink>
      <w:r>
        <w:rPr>
          <w:rFonts w:eastAsia="Calibri"/>
        </w:rPr>
        <w:t xml:space="preserve"> (March 2025)</w:t>
      </w:r>
    </w:p>
    <w:p>
      <w:pPr>
        <w:pStyle w:val="a4"/>
        <w:numPr>
          <w:ilvl w:val="0"/>
          <w:numId w:val="2"/>
        </w:numPr>
        <w:spacing w:after="60" w:line="336" w:lineRule="auto"/>
        <w:jc w:val="both"/>
      </w:pPr>
      <w:hyperlink r:id="rIdGen37" w:history="1">
        <w:r>
          <w:rPr>
            <w:rStyle w:val="a5"/>
            <w:rFonts w:eastAsia="Calibri"/>
          </w:rPr>
          <w:t>Hanoi Digital Declaration</w:t>
        </w:r>
      </w:hyperlink>
      <w:r>
        <w:rPr>
          <w:rFonts w:eastAsia="Calibri"/>
        </w:rPr>
        <w:t xml:space="preserve"> (January 2026)</w:t>
      </w:r>
    </w:p>
    <w:p>
      <w:pPr>
        <w:pStyle w:val="a4"/>
        <w:numPr>
          <w:ilvl w:val="0"/>
          <w:numId w:val="2"/>
        </w:numPr>
        <w:spacing w:after="60" w:line="336" w:lineRule="auto"/>
        <w:jc w:val="both"/>
      </w:pPr>
      <w:hyperlink r:id="rIdGen38" w:history="1">
        <w:r>
          <w:rPr>
            <w:rStyle w:val="a5"/>
            <w:rFonts w:eastAsia="Calibri"/>
          </w:rPr>
          <w:t>Declaration on the Establishment of an ASEAN AI Safety Network (ASEAN AI Safe)</w:t>
        </w:r>
      </w:hyperlink>
      <w:r>
        <w:rPr>
          <w:rFonts w:eastAsia="Calibri"/>
        </w:rPr>
        <w:t xml:space="preserve"> (October 2025); </w:t>
      </w:r>
      <w:hyperlink r:id="rIdGen39" w:history="1">
        <w:r>
          <w:rPr>
            <w:rStyle w:val="a5"/>
            <w:rFonts w:eastAsia="Calibri"/>
          </w:rPr>
          <w:t>its base in Malaysia</w:t>
        </w:r>
      </w:hyperlink>
    </w:p>
    <w:p>
      <w:pPr>
        <w:pStyle w:val="a4"/>
        <w:numPr>
          <w:ilvl w:val="0"/>
          <w:numId w:val="2"/>
        </w:numPr>
        <w:spacing w:after="120" w:line="336" w:lineRule="auto"/>
        <w:jc w:val="both"/>
      </w:pPr>
      <w:hyperlink r:id="rIdGen40" w:history="1">
        <w:r>
          <w:rPr>
            <w:rStyle w:val="a5"/>
            <w:rFonts w:eastAsia="Calibri"/>
          </w:rPr>
          <w:t>SEA-LION paper (IJCNLP 2025)</w:t>
        </w:r>
      </w:hyperlink>
      <w:r>
        <w:rPr>
          <w:rFonts w:eastAsia="Calibri"/>
        </w:rPr>
        <w:t xml:space="preserve"> (11 regional languages)</w:t>
      </w:r>
    </w:p>
    <w:p>
      <w:pPr>
        <w:spacing w:after="120" w:line="336" w:lineRule="auto"/>
        <w:jc w:val="both"/>
      </w:pPr>
      <w:r>
        <w:rPr>
          <w:rFonts w:eastAsia="Calibri"/>
          <w:b/>
          <w:bCs/>
        </w:rPr>
        <w:t>People and firms using AI: readiness and risks</w:t>
      </w:r>
    </w:p>
    <w:p>
      <w:pPr>
        <w:pStyle w:val="a4"/>
        <w:numPr>
          <w:ilvl w:val="0"/>
          <w:numId w:val="2"/>
        </w:numPr>
        <w:spacing w:after="60" w:line="336" w:lineRule="auto"/>
        <w:jc w:val="both"/>
      </w:pPr>
      <w:hyperlink r:id="rIdGen41" w:history="1">
        <w:r>
          <w:rPr>
            <w:rStyle w:val="a5"/>
            <w:rFonts w:eastAsia="Calibri"/>
          </w:rPr>
          <w:t>AI Ready ASEAN Research</w:t>
        </w:r>
      </w:hyperlink>
      <w:r>
        <w:rPr>
          <w:rFonts w:eastAsia="Calibri"/>
        </w:rPr>
        <w:t xml:space="preserve"> (2026); </w:t>
      </w:r>
      <w:hyperlink r:id="rIdGen42" w:history="1">
        <w:r>
          <w:rPr>
            <w:rStyle w:val="a5"/>
            <w:rFonts w:eastAsia="Calibri"/>
          </w:rPr>
          <w:t>ASEAN Digital Outlook 2026</w:t>
        </w:r>
      </w:hyperlink>
      <w:r>
        <w:rPr>
          <w:rFonts w:eastAsia="Calibri"/>
        </w:rPr>
        <w:t xml:space="preserve"> (executive summary only); </w:t>
      </w:r>
      <w:hyperlink r:id="rIdGen43" w:history="1">
        <w:r>
          <w:rPr>
            <w:rStyle w:val="a5"/>
            <w:rFonts w:eastAsia="Calibri"/>
          </w:rPr>
          <w:t>launch coverage</w:t>
        </w:r>
      </w:hyperlink>
      <w:r>
        <w:rPr>
          <w:rFonts w:eastAsia="Calibri"/>
        </w:rPr>
        <w:t xml:space="preserve"> (February 2026)</w:t>
      </w:r>
    </w:p>
    <w:p>
      <w:pPr>
        <w:pStyle w:val="a4"/>
        <w:numPr>
          <w:ilvl w:val="0"/>
          <w:numId w:val="2"/>
        </w:numPr>
        <w:spacing w:after="60" w:line="336" w:lineRule="auto"/>
        <w:jc w:val="both"/>
      </w:pPr>
      <w:hyperlink r:id="rIdGen44" w:history="1">
        <w:r>
          <w:rPr>
            <w:rStyle w:val="a5"/>
            <w:rFonts w:eastAsia="Calibri"/>
          </w:rPr>
          <w:t>Coverage of the IMDA Singapore Digital Economy Report</w:t>
        </w:r>
      </w:hyperlink>
      <w:r>
        <w:rPr>
          <w:rFonts w:eastAsia="Calibri"/>
        </w:rPr>
        <w:t xml:space="preserve"> (October 2026); </w:t>
      </w:r>
      <w:hyperlink r:id="rIdGen45" w:history="1">
        <w:r>
          <w:rPr>
            <w:rStyle w:val="a5"/>
            <w:rFonts w:eastAsia="Calibri"/>
          </w:rPr>
          <w:t>remarks by Indonesia's Minister of MSMEs (Antara)</w:t>
        </w:r>
      </w:hyperlink>
      <w:r>
        <w:rPr>
          <w:rFonts w:eastAsia="Calibri"/>
        </w:rPr>
        <w:t xml:space="preserve"> (July 2026)</w:t>
      </w:r>
    </w:p>
    <w:p>
      <w:pPr>
        <w:pStyle w:val="a4"/>
        <w:numPr>
          <w:ilvl w:val="0"/>
          <w:numId w:val="2"/>
        </w:numPr>
        <w:spacing w:after="60" w:line="336" w:lineRule="auto"/>
        <w:jc w:val="both"/>
      </w:pPr>
      <w:hyperlink r:id="rIdGen46" w:history="1">
        <w:r>
          <w:rPr>
            <w:rStyle w:val="a5"/>
            <w:rFonts w:eastAsia="Calibri"/>
          </w:rPr>
          <w:t>Lazada–Kantar, Bridging the AI Gap</w:t>
        </w:r>
      </w:hyperlink>
      <w:r>
        <w:rPr>
          <w:rFonts w:eastAsia="Calibri"/>
        </w:rPr>
        <w:t xml:space="preserve"> (April 2025 release); </w:t>
      </w:r>
      <w:hyperlink r:id="rIdGen47" w:history="1">
        <w:r>
          <w:rPr>
            <w:rStyle w:val="a5"/>
            <w:rFonts w:eastAsia="Calibri"/>
          </w:rPr>
          <w:t>ERIA Policy Brief 2025-1</w:t>
        </w:r>
      </w:hyperlink>
      <w:r>
        <w:rPr>
          <w:rFonts w:eastAsia="Calibri"/>
        </w:rPr>
        <w:t xml:space="preserve"> (May 2025); </w:t>
      </w:r>
      <w:hyperlink r:id="rIdGen48" w:history="1">
        <w:r>
          <w:rPr>
            <w:rStyle w:val="a5"/>
            <w:rFonts w:eastAsia="Calibri"/>
          </w:rPr>
          <w:t>ASEAN Secretariat, MSME overview</w:t>
        </w:r>
      </w:hyperlink>
    </w:p>
    <w:p>
      <w:pPr>
        <w:pStyle w:val="a4"/>
        <w:numPr>
          <w:ilvl w:val="0"/>
          <w:numId w:val="2"/>
        </w:numPr>
        <w:spacing w:after="60" w:line="336" w:lineRule="auto"/>
        <w:jc w:val="both"/>
      </w:pPr>
      <w:hyperlink r:id="rIdGen49" w:history="1">
        <w:r>
          <w:rPr>
            <w:rStyle w:val="a5"/>
            <w:rFonts w:eastAsia="Calibri"/>
          </w:rPr>
          <w:t>ASEAN-BAC warning on deepfake scams (Eco-Business)</w:t>
        </w:r>
      </w:hyperlink>
    </w:p>
    <w:p>
      <w:pPr>
        <w:pStyle w:val="a4"/>
        <w:numPr>
          <w:ilvl w:val="0"/>
          <w:numId w:val="2"/>
        </w:numPr>
        <w:spacing w:after="120" w:line="336" w:lineRule="auto"/>
        <w:jc w:val="both"/>
      </w:pPr>
      <w:hyperlink r:id="rIdGen50" w:history="1">
        <w:r>
          <w:rPr>
            <w:rStyle w:val="a5"/>
            <w:rFonts w:eastAsia="Calibri"/>
          </w:rPr>
          <w:t>OECD, Empowering SMEs in the Age of AI (2026 D4SME survey)</w:t>
        </w:r>
      </w:hyperlink>
      <w:r>
        <w:rPr>
          <w:rFonts w:eastAsia="Calibri"/>
        </w:rPr>
        <w:t xml:space="preserve"> (summary only; the '76 per cent' cited in the Google.org message could not be verified)</w:t>
      </w:r>
    </w:p>
    <w:p>
      <w:pPr>
        <w:spacing w:after="120" w:line="336" w:lineRule="auto"/>
        <w:jc w:val="both"/>
      </w:pPr>
      <w:r>
        <w:rPr>
          <w:rFonts w:eastAsia="Calibri"/>
          <w:b/>
          <w:bCs/>
        </w:rPr>
        <w:t>The ASEAN Foundation's AI programmes</w:t>
      </w:r>
    </w:p>
    <w:p>
      <w:pPr>
        <w:pStyle w:val="a4"/>
        <w:numPr>
          <w:ilvl w:val="0"/>
          <w:numId w:val="2"/>
        </w:numPr>
        <w:spacing w:after="60" w:line="336" w:lineRule="auto"/>
        <w:jc w:val="both"/>
      </w:pPr>
      <w:hyperlink r:id="rIdGen51" w:history="1">
        <w:r>
          <w:rPr>
            <w:rStyle w:val="a5"/>
            <w:rFonts w:eastAsia="Calibri"/>
          </w:rPr>
          <w:t>AI Ready ASEAN programme</w:t>
        </w:r>
      </w:hyperlink>
      <w:r>
        <w:rPr>
          <w:rFonts w:eastAsia="Calibri"/>
        </w:rPr>
        <w:t xml:space="preserve">; </w:t>
      </w:r>
      <w:hyperlink r:id="rIdGen52" w:history="1">
        <w:r>
          <w:rPr>
            <w:rStyle w:val="a5"/>
            <w:rFonts w:eastAsia="Calibri"/>
          </w:rPr>
          <w:t>launch of AI Class ASEAN</w:t>
        </w:r>
      </w:hyperlink>
      <w:r>
        <w:rPr>
          <w:rFonts w:eastAsia="Calibri"/>
        </w:rPr>
        <w:t xml:space="preserve"> (August 2025); </w:t>
      </w:r>
      <w:hyperlink r:id="rIdGen53" w:history="1">
        <w:r>
          <w:rPr>
            <w:rStyle w:val="a5"/>
            <w:rFonts w:eastAsia="Calibri"/>
          </w:rPr>
          <w:t>announcement of phase 2 with SOM-ED endorsement</w:t>
        </w:r>
      </w:hyperlink>
      <w:r>
        <w:rPr>
          <w:rFonts w:eastAsia="Calibri"/>
        </w:rPr>
        <w:t xml:space="preserve"> (September 2026); </w:t>
      </w:r>
      <w:hyperlink r:id="rIdGen54" w:history="1">
        <w:r>
          <w:rPr>
            <w:rStyle w:val="a5"/>
            <w:rFonts w:eastAsia="Calibri"/>
          </w:rPr>
          <w:t>AVPN AI Opportunity Fund</w:t>
        </w:r>
      </w:hyperlink>
    </w:p>
    <w:p>
      <w:pPr>
        <w:pStyle w:val="a4"/>
        <w:numPr>
          <w:ilvl w:val="0"/>
          <w:numId w:val="2"/>
        </w:numPr>
        <w:spacing w:after="60" w:line="336" w:lineRule="auto"/>
        <w:jc w:val="both"/>
      </w:pPr>
      <w:hyperlink r:id="rIdGen55" w:history="1">
        <w:r>
          <w:rPr>
            <w:rStyle w:val="a5"/>
            <w:rFonts w:eastAsia="Calibri"/>
          </w:rPr>
          <w:t>AIM ASEAN programme</w:t>
        </w:r>
      </w:hyperlink>
      <w:r>
        <w:rPr>
          <w:rFonts w:eastAsia="Calibri"/>
        </w:rPr>
        <w:t xml:space="preserve">; </w:t>
      </w:r>
      <w:hyperlink r:id="rIdGen56" w:history="1">
        <w:r>
          <w:rPr>
            <w:rStyle w:val="a5"/>
            <w:rFonts w:eastAsia="Calibri"/>
          </w:rPr>
          <w:t>announcement of local partners (AVPN, October 2025)</w:t>
        </w:r>
      </w:hyperlink>
    </w:p>
    <w:p>
      <w:pPr>
        <w:pStyle w:val="a4"/>
        <w:numPr>
          <w:ilvl w:val="0"/>
          <w:numId w:val="2"/>
        </w:numPr>
        <w:spacing w:after="60" w:line="336" w:lineRule="auto"/>
        <w:jc w:val="both"/>
      </w:pPr>
      <w:r>
        <w:rPr>
          <w:rFonts w:eastAsia="Calibri"/>
        </w:rPr>
        <w:t xml:space="preserve">National Policy Convenings: </w:t>
      </w:r>
      <w:hyperlink r:id="rIdGen57" w:history="1">
        <w:r>
          <w:rPr>
            <w:rStyle w:val="a5"/>
            <w:rFonts w:eastAsia="Calibri"/>
          </w:rPr>
          <w:t>Singapore press release</w:t>
        </w:r>
      </w:hyperlink>
      <w:r>
        <w:rPr>
          <w:rFonts w:eastAsia="Calibri"/>
        </w:rPr>
        <w:t xml:space="preserve"> (September 2026); </w:t>
      </w:r>
      <w:hyperlink r:id="rIdGen58" w:history="1">
        <w:r>
          <w:rPr>
            <w:rStyle w:val="a5"/>
            <w:rFonts w:eastAsia="Calibri"/>
          </w:rPr>
          <w:t>Indonesia (Kompas)</w:t>
        </w:r>
      </w:hyperlink>
      <w:r>
        <w:rPr>
          <w:rFonts w:eastAsia="Calibri"/>
        </w:rPr>
        <w:t xml:space="preserve"> (July 2026); </w:t>
      </w:r>
      <w:hyperlink r:id="rIdGen59" w:history="1">
        <w:r>
          <w:rPr>
            <w:rStyle w:val="a5"/>
            <w:rFonts w:eastAsia="Calibri"/>
          </w:rPr>
          <w:t>Philippines (Limitless Lab)</w:t>
        </w:r>
      </w:hyperlink>
      <w:r>
        <w:rPr>
          <w:rFonts w:eastAsia="Calibri"/>
        </w:rPr>
        <w:t xml:space="preserve"> (May 2026)</w:t>
      </w:r>
    </w:p>
    <w:p>
      <w:pPr>
        <w:pStyle w:val="a4"/>
        <w:numPr>
          <w:ilvl w:val="0"/>
          <w:numId w:val="2"/>
        </w:numPr>
        <w:spacing w:after="60" w:line="336" w:lineRule="auto"/>
        <w:jc w:val="both"/>
      </w:pPr>
      <w:hyperlink r:id="rIdGen60" w:history="1">
        <w:r>
          <w:rPr>
            <w:rStyle w:val="a5"/>
            <w:rFonts w:eastAsia="Calibri"/>
          </w:rPr>
          <w:t>Philippine DICT on the declaration on AI-driven MSME growth</w:t>
        </w:r>
      </w:hyperlink>
    </w:p>
    <w:p>
      <w:pPr>
        <w:pStyle w:val="a4"/>
        <w:numPr>
          <w:ilvl w:val="0"/>
          <w:numId w:val="2"/>
        </w:numPr>
        <w:spacing w:after="120" w:line="336" w:lineRule="auto"/>
        <w:jc w:val="both"/>
      </w:pPr>
      <w:hyperlink r:id="rIdGen61" w:history="1">
        <w:r>
          <w:rPr>
            <w:rStyle w:val="a5"/>
            <w:rFonts w:eastAsia="Calibri"/>
          </w:rPr>
          <w:t>ASEAN Digital Academy (ASEAN Foundation)</w:t>
        </w:r>
      </w:hyperlink>
      <w:r>
        <w:rPr>
          <w:rFonts w:eastAsia="Calibri"/>
        </w:rPr>
        <w:t xml:space="preserve">; </w:t>
      </w:r>
      <w:hyperlink r:id="rIdGen62" w:history="1">
        <w:r>
          <w:rPr>
            <w:rStyle w:val="a5"/>
            <w:rFonts w:eastAsia="Calibri"/>
          </w:rPr>
          <w:t>ASEAN Seeds for the Future MoU</w:t>
        </w:r>
      </w:hyperlink>
      <w:r>
        <w:rPr>
          <w:rFonts w:eastAsia="Calibri"/>
        </w:rPr>
        <w:t xml:space="preserve"> (November 2021); </w:t>
      </w:r>
      <w:hyperlink r:id="rIdGen63" w:history="1">
        <w:r>
          <w:rPr>
            <w:rStyle w:val="a5"/>
            <w:rFonts w:eastAsia="Calibri"/>
          </w:rPr>
          <w:t>Korea-ASEAN Digital Academy</w:t>
        </w:r>
      </w:hyperlink>
      <w:r>
        <w:rPr>
          <w:rFonts w:eastAsia="Calibri"/>
        </w:rPr>
        <w:t xml:space="preserve">; </w:t>
      </w:r>
      <w:hyperlink r:id="rIdGen64" w:history="1">
        <w:r>
          <w:rPr>
            <w:rStyle w:val="a5"/>
            <w:rFonts w:eastAsia="Calibri"/>
          </w:rPr>
          <w:t>Huawei TECH4ALL</w:t>
        </w:r>
      </w:hyperlink>
    </w:p>
    <w:p>
      <w:pPr>
        <w:spacing w:after="120" w:line="336" w:lineRule="auto"/>
        <w:jc w:val="both"/>
      </w:pPr>
      <w:r>
        <w:rPr>
          <w:rFonts w:eastAsia="Calibri"/>
          <w:b/>
          <w:bCs/>
        </w:rPr>
        <w:t>Singapore National Policy Convening (internal)</w:t>
      </w:r>
    </w:p>
    <w:p>
      <w:pPr>
        <w:pStyle w:val="a4"/>
        <w:numPr>
          <w:ilvl w:val="0"/>
          <w:numId w:val="2"/>
        </w:numPr>
        <w:spacing w:after="60" w:line="336" w:lineRule="auto"/>
        <w:jc w:val="both"/>
      </w:pPr>
      <w:r>
        <w:rPr>
          <w:rFonts w:eastAsia="Calibri"/>
        </w:rPr>
        <w:t>Project Asia Data (BlackStorm Group), National Policy Convening Review Notes – Singapore (AIM ASEAN). Internal</w:t>
      </w:r>
    </w:p>
    <w:p>
      <w:pPr>
        <w:pStyle w:val="a4"/>
        <w:numPr>
          <w:ilvl w:val="0"/>
          <w:numId w:val="2"/>
        </w:numPr>
        <w:spacing w:after="120" w:line="336" w:lineRule="auto"/>
        <w:jc w:val="both"/>
      </w:pPr>
      <w:r>
        <w:rPr>
          <w:rFonts w:eastAsia="Calibri"/>
        </w:rPr>
        <w:t>Project Asia Data (BlackStorm Group), National Policy Convening Report – Singapore (final version; submission date not yet set). Internal. The report's page header still carries another programme's name ('ASEAN AI for Employment Programme'); cite it as an AIM ASEAN report</w:t>
      </w:r>
    </w:p>
    <w:p>
      <w:pPr>
        <w:spacing w:after="0"/>
      </w:pPr>
    </w:p>
    <w:sectPr w:rsidR="008F3ECF">
      <w:headerReference w:type="default" r:id="rId8"/>
      <w:footerReference w:type="default" r:id="rId9"/>
      <w:pgSz w:w="11906" w:h="16838"/>
      <w:pgMar w:top="1000" w:right="1080" w:bottom="1080" w:left="1080" w:header="6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6FD56C" w14:textId="77777777" w:rsidR="000A55CA" w:rsidRDefault="000A55CA">
      <w:r>
        <w:separator/>
      </w:r>
    </w:p>
  </w:endnote>
  <w:endnote w:type="continuationSeparator" w:id="0">
    <w:p w14:paraId="4106954C" w14:textId="77777777" w:rsidR="000A55CA" w:rsidRDefault="000A5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65C15A" w14:textId="77777777" w:rsidR="005C7CC5" w:rsidRDefault="00000000">
    <w:pPr>
      <w:jc w:val="center"/>
    </w:pPr>
    <w:r>
      <w:rPr>
        <w:rFonts w:eastAsia="Calibri"/>
        <w:color w:val="6B6B6B"/>
        <w:sz w:val="16"/>
        <w:szCs w:val="16"/>
      </w:rPr>
      <w:t xml:space="preserve">Page </w:t>
    </w:r>
    <w:r>
      <w:rPr>
        <w:color w:val="6B6B6B"/>
        <w:sz w:val="16"/>
        <w:szCs w:val="16"/>
      </w:rPr>
      <w:fldChar w:fldCharType="begin"/>
    </w:r>
    <w:r>
      <w:rPr>
        <w:rFonts w:eastAsia="Calibri"/>
        <w:color w:val="6B6B6B"/>
        <w:sz w:val="16"/>
        <w:szCs w:val="16"/>
      </w:rPr>
      <w:instrText>PAGE</w:instrText>
    </w:r>
    <w:r>
      <w:rPr>
        <w:color w:val="6B6B6B"/>
        <w:sz w:val="16"/>
        <w:szCs w:val="16"/>
      </w:rPr>
      <w:fldChar w:fldCharType="separate"/>
    </w:r>
    <w:r w:rsidR="00C158DD">
      <w:rPr>
        <w:rFonts w:eastAsia="Calibri"/>
        <w:noProof/>
        <w:color w:val="6B6B6B"/>
        <w:sz w:val="16"/>
        <w:szCs w:val="16"/>
      </w:rPr>
      <w:t>1</w:t>
    </w:r>
    <w:r>
      <w:rPr>
        <w:color w:val="6B6B6B"/>
        <w:sz w:val="16"/>
        <w:szCs w:val="16"/>
      </w:rPr>
      <w:fldChar w:fldCharType="end"/>
    </w:r>
    <w:r>
      <w:rPr>
        <w:rFonts w:eastAsia="Calibri"/>
        <w:color w:val="6B6B6B"/>
        <w:sz w:val="16"/>
        <w:szCs w:val="16"/>
      </w:rPr>
      <w:t xml:space="preserve"> of </w:t>
    </w:r>
    <w:r>
      <w:rPr>
        <w:color w:val="6B6B6B"/>
        <w:sz w:val="16"/>
        <w:szCs w:val="16"/>
      </w:rPr>
      <w:fldChar w:fldCharType="begin"/>
    </w:r>
    <w:r>
      <w:rPr>
        <w:rFonts w:eastAsia="Calibri"/>
        <w:color w:val="6B6B6B"/>
        <w:sz w:val="16"/>
        <w:szCs w:val="16"/>
      </w:rPr>
      <w:instrText>NUMPAGES</w:instrText>
    </w:r>
    <w:r>
      <w:rPr>
        <w:color w:val="6B6B6B"/>
        <w:sz w:val="16"/>
        <w:szCs w:val="16"/>
      </w:rPr>
      <w:fldChar w:fldCharType="separate"/>
    </w:r>
    <w:r w:rsidR="00C158DD">
      <w:rPr>
        <w:rFonts w:eastAsia="Calibri"/>
        <w:noProof/>
        <w:color w:val="6B6B6B"/>
        <w:sz w:val="16"/>
        <w:szCs w:val="16"/>
      </w:rPr>
      <w:t>2</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9EBD32" w14:textId="77777777" w:rsidR="000A55CA" w:rsidRDefault="000A55CA">
      <w:r>
        <w:separator/>
      </w:r>
    </w:p>
  </w:footnote>
  <w:footnote w:type="continuationSeparator" w:id="0">
    <w:p w14:paraId="7660EA6E" w14:textId="77777777" w:rsidR="000A55CA" w:rsidRDefault="000A5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65D82B" w14:textId="77777777" w:rsidR="005C7CC5" w:rsidRDefault="00000000">
    <w:pPr>
      <w:jc w:val="right"/>
    </w:pPr>
    <w:r>
      <w:rPr>
        <w:rFonts w:eastAsia="Calibri"/>
        <w:color w:val="6B6B6B"/>
        <w:sz w:val="16"/>
        <w:szCs w:val="16"/>
      </w:rPr>
      <w:t>Research Briefing | Internal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1136FE"/>
    <w:multiLevelType w:val="hybridMultilevel"/>
    <w:tmpl w:val="CD5CC706"/>
    <w:lvl w:ilvl="0" w:tplc="D0280DB8">
      <w:start w:val="1"/>
      <w:numFmt w:val="bullet"/>
      <w:lvlText w:val="●"/>
      <w:lvlJc w:val="left"/>
      <w:pPr>
        <w:ind w:left="356" w:hanging="356"/>
      </w:pPr>
      <w:rPr>
        <w:rFonts w:ascii="Calibri" w:eastAsia="Calibri" w:hAnsi="Calibri" w:cs="Calibri"/>
        <w:color w:val="222222"/>
        <w:sz w:val="20"/>
        <w:szCs w:val="20"/>
      </w:rPr>
    </w:lvl>
    <w:lvl w:ilvl="1" w:tplc="9B746232">
      <w:numFmt w:val="decimal"/>
      <w:lvlText w:val=""/>
      <w:lvlJc w:val="left"/>
    </w:lvl>
    <w:lvl w:ilvl="2" w:tplc="B59CD080">
      <w:numFmt w:val="decimal"/>
      <w:lvlText w:val=""/>
      <w:lvlJc w:val="left"/>
    </w:lvl>
    <w:lvl w:ilvl="3" w:tplc="459CE024">
      <w:numFmt w:val="decimal"/>
      <w:lvlText w:val=""/>
      <w:lvlJc w:val="left"/>
    </w:lvl>
    <w:lvl w:ilvl="4" w:tplc="8AF8C140">
      <w:numFmt w:val="decimal"/>
      <w:lvlText w:val=""/>
      <w:lvlJc w:val="left"/>
    </w:lvl>
    <w:lvl w:ilvl="5" w:tplc="53E039B8">
      <w:numFmt w:val="decimal"/>
      <w:lvlText w:val=""/>
      <w:lvlJc w:val="left"/>
    </w:lvl>
    <w:lvl w:ilvl="6" w:tplc="B982434E">
      <w:numFmt w:val="decimal"/>
      <w:lvlText w:val=""/>
      <w:lvlJc w:val="left"/>
    </w:lvl>
    <w:lvl w:ilvl="7" w:tplc="96444818">
      <w:numFmt w:val="decimal"/>
      <w:lvlText w:val=""/>
      <w:lvlJc w:val="left"/>
    </w:lvl>
    <w:lvl w:ilvl="8" w:tplc="51EC1EAE">
      <w:numFmt w:val="decimal"/>
      <w:lvlText w:val=""/>
      <w:lvlJc w:val="left"/>
    </w:lvl>
  </w:abstractNum>
  <w:abstractNum w:abstractNumId="1" w15:restartNumberingAfterBreak="0">
    <w:nsid w:val="4EE01F54"/>
    <w:multiLevelType w:val="hybridMultilevel"/>
    <w:tmpl w:val="0B0894F4"/>
    <w:lvl w:ilvl="0" w:tplc="D812C7FC">
      <w:start w:val="1"/>
      <w:numFmt w:val="bullet"/>
      <w:lvlText w:val="●"/>
      <w:lvlJc w:val="left"/>
      <w:pPr>
        <w:ind w:left="720" w:hanging="360"/>
      </w:pPr>
    </w:lvl>
    <w:lvl w:ilvl="1" w:tplc="C22EF0B4">
      <w:start w:val="1"/>
      <w:numFmt w:val="bullet"/>
      <w:lvlText w:val="○"/>
      <w:lvlJc w:val="left"/>
      <w:pPr>
        <w:ind w:left="1440" w:hanging="360"/>
      </w:pPr>
    </w:lvl>
    <w:lvl w:ilvl="2" w:tplc="BF9C4040">
      <w:start w:val="1"/>
      <w:numFmt w:val="bullet"/>
      <w:lvlText w:val="■"/>
      <w:lvlJc w:val="left"/>
      <w:pPr>
        <w:ind w:left="2160" w:hanging="360"/>
      </w:pPr>
    </w:lvl>
    <w:lvl w:ilvl="3" w:tplc="4F1EC27E">
      <w:start w:val="1"/>
      <w:numFmt w:val="bullet"/>
      <w:lvlText w:val="●"/>
      <w:lvlJc w:val="left"/>
      <w:pPr>
        <w:ind w:left="2880" w:hanging="360"/>
      </w:pPr>
    </w:lvl>
    <w:lvl w:ilvl="4" w:tplc="E0641076">
      <w:start w:val="1"/>
      <w:numFmt w:val="bullet"/>
      <w:lvlText w:val="○"/>
      <w:lvlJc w:val="left"/>
      <w:pPr>
        <w:ind w:left="3600" w:hanging="360"/>
      </w:pPr>
    </w:lvl>
    <w:lvl w:ilvl="5" w:tplc="C074BFAC">
      <w:start w:val="1"/>
      <w:numFmt w:val="bullet"/>
      <w:lvlText w:val="■"/>
      <w:lvlJc w:val="left"/>
      <w:pPr>
        <w:ind w:left="4320" w:hanging="360"/>
      </w:pPr>
    </w:lvl>
    <w:lvl w:ilvl="6" w:tplc="C512001C">
      <w:start w:val="1"/>
      <w:numFmt w:val="bullet"/>
      <w:lvlText w:val="●"/>
      <w:lvlJc w:val="left"/>
      <w:pPr>
        <w:ind w:left="5040" w:hanging="360"/>
      </w:pPr>
    </w:lvl>
    <w:lvl w:ilvl="7" w:tplc="ADFC12F4">
      <w:start w:val="1"/>
      <w:numFmt w:val="bullet"/>
      <w:lvlText w:val="●"/>
      <w:lvlJc w:val="left"/>
      <w:pPr>
        <w:ind w:left="5760" w:hanging="360"/>
      </w:pPr>
    </w:lvl>
    <w:lvl w:ilvl="8" w:tplc="92B8172E">
      <w:start w:val="1"/>
      <w:numFmt w:val="bullet"/>
      <w:lvlText w:val="●"/>
      <w:lvlJc w:val="left"/>
      <w:pPr>
        <w:ind w:left="6480" w:hanging="360"/>
      </w:pPr>
    </w:lvl>
  </w:abstractNum>
  <w:abstractNum w:abstractNumId="2">
    <w:nsid w:val="5A1C3E77"/>
    <w:multiLevelType w:val="hybridMultilevel"/>
    <w:tmpl w:val="7B2E4C10"/>
    <w:lvl w:ilvl="0">
      <w:start w:val="1"/>
      <w:numFmt w:val="decimal"/>
      <w:lvlText w:val="%1."/>
      <w:lvlJc w:val="left"/>
      <w:pPr>
        <w:ind w:left="356" w:hanging="356"/>
      </w:pPr>
      <w:rPr>
        <w:rFonts w:ascii="Calibri" w:eastAsia="Calibri" w:hAnsi="Calibri" w:cs="Calibri"/>
        <w:b/>
        <w:bCs/>
        <w:color w:val="00498F"/>
        <w:sz w:val="19"/>
        <w:szCs w:val="19"/>
      </w:rPr>
    </w:lvl>
    <w:lvl w:ilvl="1">
      <w:start w:val="1"/>
      <w:numFmt w:val="decimal"/>
      <w:lvlText w:val="%2."/>
      <w:lvlJc w:val="left"/>
      <w:pPr>
        <w:ind w:left="716" w:hanging="356"/>
      </w:pPr>
    </w:lvl>
    <w:lvl w:ilvl="2">
      <w:start w:val="1"/>
      <w:numFmt w:val="decimal"/>
      <w:lvlText w:val="%3."/>
      <w:lvlJc w:val="left"/>
      <w:pPr>
        <w:ind w:left="1076" w:hanging="356"/>
      </w:pPr>
    </w:lvl>
    <w:lvl w:ilvl="3">
      <w:start w:val="1"/>
      <w:numFmt w:val="decimal"/>
      <w:lvlText w:val="%4."/>
      <w:lvlJc w:val="left"/>
      <w:pPr>
        <w:ind w:left="1436" w:hanging="356"/>
      </w:pPr>
    </w:lvl>
    <w:lvl w:ilvl="4">
      <w:start w:val="1"/>
      <w:numFmt w:val="decimal"/>
      <w:lvlText w:val="%5."/>
      <w:lvlJc w:val="left"/>
      <w:pPr>
        <w:ind w:left="1796" w:hanging="356"/>
      </w:pPr>
    </w:lvl>
    <w:lvl w:ilvl="5">
      <w:start w:val="1"/>
      <w:numFmt w:val="decimal"/>
      <w:lvlText w:val="%6."/>
      <w:lvlJc w:val="left"/>
      <w:pPr>
        <w:ind w:left="2156" w:hanging="356"/>
      </w:pPr>
    </w:lvl>
    <w:lvl w:ilvl="6">
      <w:start w:val="1"/>
      <w:numFmt w:val="decimal"/>
      <w:lvlText w:val="%7."/>
      <w:lvlJc w:val="left"/>
      <w:pPr>
        <w:ind w:left="2516" w:hanging="356"/>
      </w:pPr>
    </w:lvl>
    <w:lvl w:ilvl="7">
      <w:start w:val="1"/>
      <w:numFmt w:val="decimal"/>
      <w:lvlText w:val="%8."/>
      <w:lvlJc w:val="left"/>
      <w:pPr>
        <w:ind w:left="2876" w:hanging="356"/>
      </w:pPr>
    </w:lvl>
    <w:lvl w:ilvl="8">
      <w:start w:val="1"/>
      <w:numFmt w:val="decimal"/>
      <w:lvlText w:val="%9."/>
      <w:lvlJc w:val="left"/>
      <w:pPr>
        <w:ind w:left="3236" w:hanging="356"/>
      </w:pPr>
    </w:lvl>
  </w:abstractNum>
  <w:num w:numId="1" w16cid:durableId="1318262813">
    <w:abstractNumId w:val="1"/>
    <w:lvlOverride w:ilvl="0">
      <w:startOverride w:val="1"/>
    </w:lvlOverride>
  </w:num>
  <w:num w:numId="2" w16cid:durableId="427392447">
    <w:abstractNumId w:val="0"/>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oNotDisplayPageBoundaries/>
  <w:displayBackgroundShape/>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CC5"/>
    <w:rsid w:val="0005736B"/>
    <w:rsid w:val="000A55CA"/>
    <w:rsid w:val="001C20AB"/>
    <w:rsid w:val="005C7CC5"/>
    <w:rsid w:val="008F3ECF"/>
    <w:rsid w:val="00C158DD"/>
    <w:rsid w:val="00D40D2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8A9130C"/>
  <w15:docId w15:val="{F5C110E9-C2A9-4745-B459-7684602C2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heme="minorEastAsia" w:hAnsi="Calibri" w:cs="Calibri"/>
        <w:color w:val="222222"/>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Gen1" Type="http://schemas.openxmlformats.org/officeDocument/2006/relationships/hyperlink" Target="https://asean.org/asean-china-joint-statement-on-facilitating-cooperation-in-building-a-sustainable-and-inclusive-digital-ecosystem" TargetMode="External"/><Relationship Id="rIdGen2" Type="http://schemas.openxmlformats.org/officeDocument/2006/relationships/hyperlink" Target="https://asean.org/secretary-general-of-asean-delivers-opening-remarks-at-the-inauguration-ceremony-of-the-asean-china-artificial-intelligence-industry-innovation-centre-in-beijing/" TargetMode="External"/><Relationship Id="rIdGen3" Type="http://schemas.openxmlformats.org/officeDocument/2006/relationships/hyperlink" Target="https://digitalpolicyalert.org/event/27928-asean-responsible-ai-roadmap-2025-2030-was-adopted" TargetMode="External"/><Relationship Id="rIdGen4" Type="http://schemas.openxmlformats.org/officeDocument/2006/relationships/hyperlink" Target="https://asean.org/wp-content/uploads/2026/01/ADOPTED-HANOI-DIGITAL-DECLARATION_14Jan2026-CLN.pdf" TargetMode="External"/><Relationship Id="rIdGen5" Type="http://schemas.openxmlformats.org/officeDocument/2006/relationships/hyperlink" Target="https://www.mfa.gov.cn/mfa_eng/wjbzhd/202409/t20240927_11498465.html" TargetMode="External"/><Relationship Id="rIdGen6" Type="http://schemas.openxmlformats.org/officeDocument/2006/relationships/hyperlink" Target="https://asean.org/asean-china-joint-statement-on-facilitating-cooperation-in-building-a-sustainable-and-inclusive-digital-ecosystem" TargetMode="External"/><Relationship Id="rIdGen7" Type="http://schemas.openxmlformats.org/officeDocument/2006/relationships/hyperlink" Target="https://asean.org/asean-china-joint-statement-on-promoting-the-development-of-smart-agriculture" TargetMode="External"/><Relationship Id="rIdGen8" Type="http://schemas.openxmlformats.org/officeDocument/2006/relationships/hyperlink" Target="https://asean.org/secretary-general-of-asean-delivers-opening-remarks-at-the-inauguration-ceremony-of-the-asean-china-artificial-intelligence-industry-innovation-centre-in-beijing/" TargetMode="External"/><Relationship Id="rIdGen9" Type="http://schemas.openxmlformats.org/officeDocument/2006/relationships/hyperlink" Target="https://asean.org/wp-content/uploads/2026/05/SG-Remarks-China-ASEAN-AI-Industry-Innovation-Center_As-Delivered-clean.pdf" TargetMode="External"/><Relationship Id="rIdGen10" Type="http://schemas.openxmlformats.org/officeDocument/2006/relationships/hyperlink" Target="https://asean.china-mission.gov.cn/eng/zgwj/202607/t20260725_11992108.htm" TargetMode="External"/><Relationship Id="rIdGen11" Type="http://schemas.openxmlformats.org/officeDocument/2006/relationships/hyperlink" Target="https://www.vietnam.vn/en/asean-trung-quoc-day-manh-hop-tac-chuyen-doi-so-ai" TargetMode="External"/><Relationship Id="rIdGen12" Type="http://schemas.openxmlformats.org/officeDocument/2006/relationships/hyperlink" Target="https://www.antaranews.com/berita/5669079/asean-china-kaji-kerja-sama-ai-di-2027" TargetMode="External"/><Relationship Id="rIdGen13" Type="http://schemas.openxmlformats.org/officeDocument/2006/relationships/hyperlink" Target="http://english.scio.gov.cn/m/internationalexchanges/2025-09/19/content_118122933.html" TargetMode="External"/><Relationship Id="rIdGen14" Type="http://schemas.openxmlformats.org/officeDocument/2006/relationships/hyperlink" Target="https://english.www.gov.cn/news/202509/18/content_WS68cbee82c6d00fa19f7a28b9.html" TargetMode="External"/><Relationship Id="rIdGen15" Type="http://schemas.openxmlformats.org/officeDocument/2006/relationships/hyperlink" Target="https://www.chinadaily.com.cn/a/202609/28/WS6ab9ce3fe4b06d4aa056080b.html" TargetMode="External"/><Relationship Id="rIdGen16" Type="http://schemas.openxmlformats.org/officeDocument/2006/relationships/hyperlink" Target="https://en.vietnamplus.vn/vietnam-seeks-to-build-safe-ai-future-with-china-asean-post352119.vnp" TargetMode="External"/><Relationship Id="rIdGen17" Type="http://schemas.openxmlformats.org/officeDocument/2006/relationships/hyperlink" Target="https://en.gmw.cn/2026-09/20/content_39010499.htm" TargetMode="External"/><Relationship Id="rIdGen18" Type="http://schemas.openxmlformats.org/officeDocument/2006/relationships/hyperlink" Target="http://www.china.org.cn/2026-09/18/content_118701794.shtml" TargetMode="External"/><Relationship Id="rIdGen19" Type="http://schemas.openxmlformats.org/officeDocument/2006/relationships/hyperlink" Target="https://www.manilatimes.net/2026/09/20/tmt-newswire/media-outreach-newswire/fourth-forum-on-china-asean-artificial-intelligence-cooperation-successfully-held-in-nanning-drawing-over-700-delegates/2428827" TargetMode="External"/><Relationship Id="rIdGen20" Type="http://schemas.openxmlformats.org/officeDocument/2006/relationships/hyperlink" Target="https://www.manilatimes.net/2026/08/03/tmt-newswire/pr-newswire/china-asean-education-cooperation-week-2026-unveils-major-initiatives/2396672" TargetMode="External"/><Relationship Id="rIdGen21" Type="http://schemas.openxmlformats.org/officeDocument/2006/relationships/hyperlink" Target="https://www.ecns.cn/m/cns-wire/2026-08-05/detail-ihfhziqh0062477.shtml" TargetMode="External"/><Relationship Id="rIdGen22" Type="http://schemas.openxmlformats.org/officeDocument/2006/relationships/hyperlink" Target="https://www.khmertimeskh.com/501900385/application-opens-for-china-asean-digital-academy-scholarships/" TargetMode="External"/><Relationship Id="rIdGen23" Type="http://schemas.openxmlformats.org/officeDocument/2006/relationships/hyperlink" Target="https://english.www.gov.cn/news/202510/29/content_WS6901698cc6d00ca5f9a0725b.html" TargetMode="External"/><Relationship Id="rIdGen24" Type="http://schemas.openxmlformats.org/officeDocument/2006/relationships/hyperlink" Target="https://www.nationthailand.com/business/trade/40069344" TargetMode="External"/><Relationship Id="rIdGen25" Type="http://schemas.openxmlformats.org/officeDocument/2006/relationships/hyperlink" Target="https://www.mofcom.gov.cn/cms_files/filemanager/policySummary/viewcore_072d185118aa4987a2dce1e6bb204a9e.html" TargetMode="External"/><Relationship Id="rIdGen26" Type="http://schemas.openxmlformats.org/officeDocument/2006/relationships/hyperlink" Target="https://www.mfa.gov.cn/mfa_eng/wjbzhd/202409/t20240927_11498465.html" TargetMode="External"/><Relationship Id="rIdGen27" Type="http://schemas.openxmlformats.org/officeDocument/2006/relationships/hyperlink" Target="https://www.mfa.gov.cn/eng/xw/zyxw/202507/t20250729_11679232.html" TargetMode="External"/><Relationship Id="rIdGen28" Type="http://schemas.openxmlformats.org/officeDocument/2006/relationships/hyperlink" Target="https://english.www.gov.cn/news/202607/17/content_WS6a59a5c3c6d00ca5f9a0c439.html" TargetMode="External"/><Relationship Id="rIdGen29" Type="http://schemas.openxmlformats.org/officeDocument/2006/relationships/hyperlink" Target="https://opengovasia.com/countries-establish-world-ai-cooperation-organization-in-shanghai/" TargetMode="External"/><Relationship Id="rIdGen30" Type="http://schemas.openxmlformats.org/officeDocument/2006/relationships/hyperlink" Target="https://www.iseas.edu.sg/articles-commentaries/iseas-perspective/2026-30-beijings-ai-governance-approach-and-its-outreach-to-southeast-asia-by-wang-zheng/" TargetMode="External"/><Relationship Id="rIdGen31" Type="http://schemas.openxmlformats.org/officeDocument/2006/relationships/hyperlink" Target="https://eastasiaforum.org/2026/07/03/asean-must-strike-a-balanced-ai-relationship-with-china/" TargetMode="External"/><Relationship Id="rIdGen32" Type="http://schemas.openxmlformats.org/officeDocument/2006/relationships/hyperlink" Target="https://thediplomat.com/2026/06/the-asean-china-ai-center-innovation-boost-or-agentic-disinformation-risk-for-southeast-asia/" TargetMode="External"/><Relationship Id="rIdGen33" Type="http://schemas.openxmlformats.org/officeDocument/2006/relationships/hyperlink" Target="https://www.iseas.edu.sg/media/event-highlights/ciis-iseas-joint-symposium-on-china-asean-ai-cooperation/" TargetMode="External"/><Relationship Id="rIdGen34" Type="http://schemas.openxmlformats.org/officeDocument/2006/relationships/hyperlink" Target="https://www.ciis.org.cn/english/ResearchOutcomes/PUBLICATIONS/202412/W020241208743034168427.pdf" TargetMode="External"/><Relationship Id="rIdGen35" Type="http://schemas.openxmlformats.org/officeDocument/2006/relationships/hyperlink" Target="https://asean.org/wp-content/uploads/2025/01/Expanded-ASEAN-Guide-on-AI-Governance-and-Ethics-Generative-AI.pdf" TargetMode="External"/><Relationship Id="rIdGen36" Type="http://schemas.openxmlformats.org/officeDocument/2006/relationships/hyperlink" Target="https://digitalpolicyalert.org/event/27928-asean-responsible-ai-roadmap-2025-2030-was-adopted" TargetMode="External"/><Relationship Id="rIdGen37" Type="http://schemas.openxmlformats.org/officeDocument/2006/relationships/hyperlink" Target="https://asean.org/wp-content/uploads/2026/01/ADOPTED-HANOI-DIGITAL-DECLARATION_14Jan2026-CLN.pdf" TargetMode="External"/><Relationship Id="rIdGen38" Type="http://schemas.openxmlformats.org/officeDocument/2006/relationships/hyperlink" Target="https://digitalpolicyalert.org/change/17016-declaration-on-the-establishment-of-an-asean-ai-safety-network-asean-ai-safe" TargetMode="External"/><Relationship Id="rIdGen39" Type="http://schemas.openxmlformats.org/officeDocument/2006/relationships/hyperlink" Target="https://en.vietnamplus.vn/asean-ai-safety-network-to-be-based-in-malaysia-post336266.vnp" TargetMode="External"/><Relationship Id="rIdGen40" Type="http://schemas.openxmlformats.org/officeDocument/2006/relationships/hyperlink" Target="https://aclanthology.org/2025.ijcnlp-long.30/" TargetMode="External"/><Relationship Id="rIdGen41" Type="http://schemas.openxmlformats.org/officeDocument/2006/relationships/hyperlink" Target="https://aseanfoundation.org/wp-content/uploads/2026/08/AI-Ready-ASEAN-Research_spread-version-1.pdf" TargetMode="External"/><Relationship Id="rIdGen42" Type="http://schemas.openxmlformats.org/officeDocument/2006/relationships/hyperlink" Target="https://asean.org/wp-content/uploads/2026/08/2026_AF_ASEAN-Digital-Outlook_05-August-26.pdf" TargetMode="External"/><Relationship Id="rIdGen43" Type="http://schemas.openxmlformats.org/officeDocument/2006/relationships/hyperlink" Target="https://www.philstar.com/business/biz-memos/2026/02/19/2508860/asean-foundation-launches-asean-digital-outlook-and-first-look-ai-readiness-research" TargetMode="External"/><Relationship Id="rIdGen44" Type="http://schemas.openxmlformats.org/officeDocument/2006/relationships/hyperlink" Target="https://technode.global/2026/10/05/singapores-digital-economy-reaches-19-3-of-gdp-as-ai-adoption-deepens-imda/" TargetMode="External"/><Relationship Id="rIdGen45" Type="http://schemas.openxmlformats.org/officeDocument/2006/relationships/hyperlink" Target="https://ambon.antaranews.com/berita/335501/menteri-umkm-lebih-dari-90-persen-umkm-belum-manfaatkan-ai" TargetMode="External"/><Relationship Id="rIdGen46" Type="http://schemas.openxmlformats.org/officeDocument/2006/relationships/hyperlink" Target="https://www.prnewswire.com/apac/news-releases/three-in-four-southeast-asian-ecommerce-sellers-require-additional-support-in-their-ai-adoption-lazada-report-reveals-302422986.html" TargetMode="External"/><Relationship Id="rIdGen47" Type="http://schemas.openxmlformats.org/officeDocument/2006/relationships/hyperlink" Target="https://www.eria.org/research/harnessing-ai-for-asean-s-future--governance--adoption--and-sustainability-under-the-defa" TargetMode="External"/><Relationship Id="rIdGen48" Type="http://schemas.openxmlformats.org/officeDocument/2006/relationships/hyperlink" Target="https://asean.org/our-communities/economic-community/resilient-and-inclusive-asean/development-of-micro-small-and-medium-enterprises-in-asean-msme/overview" TargetMode="External"/><Relationship Id="rIdGen49" Type="http://schemas.openxmlformats.org/officeDocument/2006/relationships/hyperlink" Target="https://www.eco-business.com/id/news/asean-private-sector-seeks-stronger-ai-upskilling-amid-surge-in-scams/" TargetMode="External"/><Relationship Id="rIdGen50" Type="http://schemas.openxmlformats.org/officeDocument/2006/relationships/hyperlink" Target="https://www.oecd.org/en/publications/empowering-smes-in-the-age-of-ai_bf5a9816-en.html" TargetMode="External"/><Relationship Id="rIdGen51" Type="http://schemas.openxmlformats.org/officeDocument/2006/relationships/hyperlink" Target="https://aseanfoundation.org/programme/ai_ready_asean/" TargetMode="External"/><Relationship Id="rIdGen52" Type="http://schemas.openxmlformats.org/officeDocument/2006/relationships/hyperlink" Target="https://aseanfoundation.org/?p=6964" TargetMode="External"/><Relationship Id="rIdGen53" Type="http://schemas.openxmlformats.org/officeDocument/2006/relationships/hyperlink" Target="https://www.mindanaotimes.com.ph/asean-foundation-announces-ai-ready-asean-powered-by-ai-opportunity-fund-asia-pacific-with-som-ed-endorsement-to-equip-more-than-1-7-million-students-with-practical-ai-skills/" TargetMode="External"/><Relationship Id="rIdGen54" Type="http://schemas.openxmlformats.org/officeDocument/2006/relationships/hyperlink" Target="https://avpn.asia/about/press/ai-opportunity-fund-expands-skilling-infrastructure-apac/" TargetMode="External"/><Relationship Id="rIdGen55" Type="http://schemas.openxmlformats.org/officeDocument/2006/relationships/hyperlink" Target="https://aseanfoundation.org/programme/aim-asean/" TargetMode="External"/><Relationship Id="rIdGen56" Type="http://schemas.openxmlformats.org/officeDocument/2006/relationships/hyperlink" Target="https://avpn.asia/about/press/helping-small-businesses-southeast-asia-tap-ai/" TargetMode="External"/><Relationship Id="rIdGen57" Type="http://schemas.openxmlformats.org/officeDocument/2006/relationships/hyperlink" Target="https://www.prnewswire.com/apac/news-releases/aim-asean-singapore-2026-brings-singapores-business-and-ai-ecosystems-together-to-advance-sme-ai-adoption-302879949.html" TargetMode="External"/><Relationship Id="rIdGen58" Type="http://schemas.openxmlformats.org/officeDocument/2006/relationships/hyperlink" Target="https://lestari.kompas.com/read/2026/07/10/084655886/kesenjangan-literasi-digital-masih-jadi-hambatan-umkm-adopsi-ai" TargetMode="External"/><Relationship Id="rIdGen59" Type="http://schemas.openxmlformats.org/officeDocument/2006/relationships/hyperlink" Target="https://limitlesslab.org/programs/aim-asean" TargetMode="External"/><Relationship Id="rIdGen60" Type="http://schemas.openxmlformats.org/officeDocument/2006/relationships/hyperlink" Target="https://dict.gov.ph/news-and-updates/25520" TargetMode="External"/><Relationship Id="rIdGen61" Type="http://schemas.openxmlformats.org/officeDocument/2006/relationships/hyperlink" Target="https://ada.aseanfoundation.org/about" TargetMode="External"/><Relationship Id="rIdGen62" Type="http://schemas.openxmlformats.org/officeDocument/2006/relationships/hyperlink" Target="https://www.telecomreviewasia.com/news/industry-news/2554-huawei-and-asean-foundation-partner-to-bridge-digital-talent-gap-in-asia-pacific/" TargetMode="External"/><Relationship Id="rIdGen63" Type="http://schemas.openxmlformats.org/officeDocument/2006/relationships/hyperlink" Target="https://www.aseanrokfund.com/our-works/project-korea-asean-digital-academy" TargetMode="External"/><Relationship Id="rIdGen64" Type="http://schemas.openxmlformats.org/officeDocument/2006/relationships/hyperlink" Target="https://www.intelligentcio.com/apac/2025/03/27/huawei-offers-tech4all-to-bridge-digital-divide/"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1263</Words>
  <Characters>7203</Characters>
  <Application>Microsoft Office Word</Application>
  <DocSecurity>0</DocSecurity>
  <Lines>60</Lines>
  <Paragraphs>16</Paragraphs>
  <ScaleCrop>false</ScaleCrop>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Seongjae</cp:lastModifiedBy>
  <cp:revision>3</cp:revision>
  <dcterms:created xsi:type="dcterms:W3CDTF">2026-08-12T08:05:00Z</dcterms:created>
  <dcterms:modified xsi:type="dcterms:W3CDTF">2026-10-14T14:11:00Z</dcterms:modified>
  <dc:title>Research Briefing: ASEAN–China AI Cooperation: Where the ASEAN Foundation Can Contribute</dc:title>
</cp:coreProperties>
</file>