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ASEAN–중국 AI 협력과 ASEAN Foundation의 기여 방안</w:t>
      </w:r>
    </w:p>
    <w:p>
      <w:pPr/>
      <w:r>
        <w:rPr>
          <w:i/>
        </w:rPr>
        <w:t xml:space="preserve">ASEAN–China AI Cooperation: Where the ASEAN Foundation Can Contribute</w:t>
      </w:r>
    </w:p>
    <w:p>
      <w:pPr/>
      <w:r>
        <w:t xml:space="preserve">2026년 10월 14일</w:t>
      </w:r>
    </w:p>
    <w:p>
      <w:pPr>
        <w:pStyle w:val="Heading2"/>
      </w:pPr>
      <w:r>
        <w:t xml:space="preserve">요약</w:t>
      </w:r>
    </w:p>
    <w:p>
      <w:pPr/>
      <w:r>
        <w:rPr>
          <w:b/>
        </w:rPr>
        <w:t xml:space="preserve">권고</w:t>
      </w:r>
      <w:r>
        <w:t xml:space="preserve">: ASEAN–중국 AI 협력에서 ASEAN Foundation이 맡을 자리는 'AI를 쓰는 사람과 기업'의 역량, 그중에서도 </w:t>
      </w:r>
      <w:r>
        <w:rPr>
          <w:b/>
        </w:rPr>
        <w:t xml:space="preserve">연수가 끝난 뒤 실제 활용으로 이어지는 구간</w:t>
      </w:r>
      <w:r>
        <w:t xml:space="preserve">이다. 이번 방문의 1순위는 MSME 트랙이다. CIIS 라운드테이블 발언(A3)으로 시작해, 싱가포르 LIP 최종 보고서가 핵심 요약으로 정리한 세 가지(연수를 실행으로 잇기, AI-bilingual 팀 구축, 책임 있는 사용과 사업 성과 측정)를 재단의 기여 방향으로 제시한다. 교사 트랙(C1)은 구조적으로 중요하지만, 중국 측 Smart Education의 교사 포함 여부를 확인하고 SOM-ED에 보고한 뒤 추진하는 조건부 과제로 둔다.</w:t>
      </w:r>
    </w:p>
    <w:p>
      <w:pPr>
        <w:pStyle w:val="ListParagraph"/>
        <w:numPr>
          <w:ilvl w:val="0"/>
          <w:numId w:val="2"/>
        </w:numPr>
      </w:pPr>
      <w:r>
        <w:rPr>
          <w:b/>
        </w:rPr>
        <w:t xml:space="preserve">ASEAN–중국 AI 협력은 AI의 거의 전 층위로 넓어졌다.</w:t>
      </w:r>
      <w:r>
        <w:t xml:space="preserve"> 거버넌스(AI 장관급 라운드테이블, 2026년 9월 ASEAN 대상 AI 윤리·안전 협력 이니셔티브), 산업 응용(베이징 AI 산업혁신센터, 난닝 AI 응용협력센터, 사례집 31건), 인재(과학기술부 3개년 계획, 혁신센터 연수. 중국이 개도국 전체에 제시한 AI 연수·세미나 5,000건의 ASEAN 몫은 미확인), 언어·데이터(라오스 국가 언어모델, ASEAN AI 오픈소스 커뮤니티)까지 갖추었다. 다만 인재 사업은 건수와 대상으로만 제시되고, 연수 이후의 활용을 어떻게 지원하고 측정하는지는 공개되지 않았다.</w:t>
      </w:r>
    </w:p>
    <w:p>
      <w:pPr>
        <w:pStyle w:val="ListParagraph"/>
        <w:numPr>
          <w:ilvl w:val="0"/>
          <w:numId w:val="2"/>
        </w:numPr>
      </w:pPr>
      <w:r>
        <w:rPr>
          <w:b/>
        </w:rPr>
        <w:t xml:space="preserve">비어 있는 것은 'AI를 쓰는 층'과 '연수 이후'다.</w:t>
      </w:r>
      <w:r>
        <w:t xml:space="preserve"> 교사·시민·MSME 대상으로는 중국 기업·플랫폼의 AI 교육과 대상이 공개되지 않은 Smart Education이 있을 뿐, ASEAN이 주도하는 기술 중립적 AI 역량 사업은 협력에 연결되어 있지 않다. 학생의 72.4%, 교육자의 70.5%는 AI 강좌를 들은 적이 없다. 싱가포르 Convening은 정책·지원 환경이 탄탄한 싱가포르에서도 인식·실험·적용·확산 사이에서 지원이 끊기기 쉽다고 진단했다. 별도로 IMDA 집계로는 싱가포르의 2025년 AI 도입률이 중소기업 23.4%, 그 외 기업 70.4%다(Convening은 기업 규모별 도입률을 다루지 않았다).</w:t>
      </w:r>
    </w:p>
    <w:p>
      <w:pPr>
        <w:pStyle w:val="ListParagraph"/>
        <w:numPr>
          <w:ilvl w:val="0"/>
          <w:numId w:val="2"/>
        </w:numPr>
      </w:pPr>
      <w:r>
        <w:rPr>
          <w:b/>
        </w:rPr>
        <w:t xml:space="preserve">재단은 이 구간에 쓸 자산을 갖추었고, 맡을 역할도 파트너 권고로 제시되어 있다(합의 전).</w:t>
      </w:r>
      <w:r>
        <w:t xml:space="preserve"> 전달망(Master Trainer 3,000명 이상, 현지 파트너), 근거(AI 준비도 연구, Convening 기록), 그리고 싱가포르 파트너가 재단에 권고한 역할(현지 파트너가 조정해 쓰는 공통 '연수 이후 경로', 공통 성과 지표, 지역 사례 교류)이다. 모델 시험 같은 공급 측 AI 안전 대책에, 사용자가 일상 결정에서 AI를 책임 있게 쓰는 역량이라는 수요 측 대책을 짝짓는 논리가 가장 설득력 있다.</w:t>
      </w:r>
    </w:p>
    <w:p>
      <w:pPr/>
      <w:r>
        <w:rPr>
          <w:b/>
        </w:rPr>
        <w:t xml:space="preserve">선행 조건</w:t>
      </w:r>
      <w:r>
        <w:t xml:space="preserve">은 재원 제공자(Google.org·AVPN·ADB)의 허용 범위 확인, ASEAN 소유·회원국 경유·개방형·기술 중립 원칙의 명시, 그리고 싱가포르 후속 과제에서 재단이 맡을 역할에 대한 내부 합의와 LIP·파트너와의 합의다. </w:t>
      </w:r>
      <w:r>
        <w:rPr>
          <w:b/>
        </w:rPr>
        <w:t xml:space="preserve">다음 분기점</w:t>
      </w:r>
      <w:r>
        <w:t xml:space="preserve">은 2026년 11월 마닐라 정상회의다. 2027 ASEAN–중국 AI 협력의 해 채택 여부와, 의장국 필리핀이 추진하는 'AI 기반 MSME 성장' 정상 선언이 걸려 있다.</w:t>
      </w:r>
    </w:p>
    <w:p>
      <w:pPr>
        <w:pStyle w:val="Heading2"/>
      </w:pPr>
      <w:r>
        <w:t xml:space="preserve">1. 목적과 범위</w:t>
      </w:r>
    </w:p>
    <w:p>
      <w:pPr/>
      <w:r>
        <w:t xml:space="preserve">이 문서는 ASEAN–중국 AI 협력을 AI 층위별로 정리하고, ASEAN Foundation의 AI 사업(AI Ready ASEAN·AIM ASEAN)이 어디에, 어떤 경로로, 어떤 조건에서 기여할 수 있는지 검토한다.</w:t>
      </w:r>
    </w:p>
    <w:p>
      <w:pPr>
        <w:pStyle w:val="ListParagraph"/>
        <w:numPr>
          <w:ilvl w:val="0"/>
          <w:numId w:val="3"/>
        </w:numPr>
      </w:pPr>
      <w:r>
        <w:rPr>
          <w:b/>
        </w:rPr>
        <w:t xml:space="preserve">핵심 질문</w:t>
      </w:r>
      <w:r>
        <w:t xml:space="preserve">: (1) ASEAN–중국 AI 협력은 어느 층위에서 어디까지 와 있는가. (2) AI를 쓰는 사람과 기업의 역량, 특히 연수 이후의 활용은 협력에서 다뤄지는가. (3) 재단의 AI 자산 중 무엇을, 어떤 조건에서 내놓을 수 있는가.</w:t>
      </w:r>
    </w:p>
    <w:p>
      <w:pPr>
        <w:pStyle w:val="ListParagraph"/>
        <w:numPr>
          <w:ilvl w:val="0"/>
          <w:numId w:val="3"/>
        </w:numPr>
      </w:pPr>
      <w:r>
        <w:rPr>
          <w:b/>
        </w:rPr>
        <w:t xml:space="preserve">범위</w:t>
      </w:r>
      <w:r>
        <w:t xml:space="preserve">: AI와 직접 관련된 합의·기관·사업만 다룬다. 무역(ACFTA 3.0)과 일반 디지털·교육 협력은 AI 관련 내용에 한해 언급한다.</w:t>
      </w:r>
    </w:p>
    <w:p>
      <w:pPr>
        <w:pStyle w:val="ListParagraph"/>
        <w:numPr>
          <w:ilvl w:val="0"/>
          <w:numId w:val="3"/>
        </w:numPr>
      </w:pPr>
      <w:r>
        <w:rPr>
          <w:b/>
        </w:rPr>
        <w:t xml:space="preserve">자료 기준</w:t>
      </w:r>
      <w:r>
        <w:t xml:space="preserve">: 2026년 10월 14일까지 공개된 공식 문서, 보도자료, 언론 보도. 여기에 싱가포르 National Policy Convening의 현지 이행 파트너 내부 보고서 2종(검토 노트, 최종 보고서)을 더했다. 내부 보고서는 대외 인용 전에 공개 범위를 확인한다. 비공개 협의 내용은 반영하지 않았다.</w:t>
      </w:r>
    </w:p>
    <w:p>
      <w:pPr>
        <w:pStyle w:val="ListParagraph"/>
        <w:numPr>
          <w:ilvl w:val="0"/>
          <w:numId w:val="3"/>
        </w:numPr>
      </w:pPr>
      <w:r>
        <w:rPr>
          <w:b/>
        </w:rPr>
        <w:t xml:space="preserve">판단의 한계</w:t>
      </w:r>
      <w:r>
        <w:t xml:space="preserve">: 본문의 "확인되지 않는다"는 "공개 자료에서 찾지 못했다"는 뜻이며, 부재를 입증하지 않는다. 7장의 확인 사항은 이 한계를 메우기 위한 것이다.</w:t>
      </w:r>
    </w:p>
    <w:p>
      <w:pPr>
        <w:pStyle w:val="ListParagraph"/>
        <w:numPr>
          <w:ilvl w:val="0"/>
          <w:numId w:val="3"/>
        </w:numPr>
      </w:pPr>
      <w:r>
        <w:rPr>
          <w:b/>
        </w:rPr>
        <w:t xml:space="preserve">표기</w:t>
      </w:r>
      <w:r>
        <w:t xml:space="preserve">: 확인된 사실과 해석을 구분한다. 해석에는 </w:t>
      </w:r>
      <w:r>
        <w:rPr>
          <w:b/>
        </w:rPr>
        <w:t xml:space="preserve">[판단]</w:t>
      </w:r>
      <w:r>
        <w:t xml:space="preserve"> 표시를 붙이고, 출처로 확정하지 못한 사항은 본문에 그렇다고 밝힌다.</w:t>
      </w:r>
    </w:p>
    <w:p>
      <w:pPr/>
      <w:r>
        <w:t xml:space="preserve">이 문서는 2026년 10월 ASEAN Foundation 중국 미션의 배경 자료이며, CIIS 라운드테이블 발언 요지(별도 문서)의 논리적 근거다.</w:t>
      </w:r>
    </w:p>
    <w:p>
      <w:pPr>
        <w:pStyle w:val="Heading2"/>
      </w:pPr>
      <w:r>
        <w:t xml:space="preserve">2. ASEAN Foundation의 AI 사업 현황</w:t>
      </w:r>
    </w:p>
    <w:p>
      <w:pPr/>
      <w:r>
        <w:t xml:space="preserve">재단의 AI 사업은 두 축이다. AI Ready ASEAN은 사람의 AI 리터러시를, AIM ASEAN은 MSME의 AI 도입을 다룬다. 두 사업 모두 AVPN이 운영하는 AI Opportunity Fund: Asia-Pacific(Google.org·ADB 지원)와 연결되어 있다.</w:t>
      </w:r>
    </w:p>
    <w:p>
      <w:pPr>
        <w:pStyle w:val="Heading3"/>
      </w:pPr>
      <w:r>
        <w:t xml:space="preserve">2.1 AI Ready ASEAN: AI 리터러시</w:t>
      </w:r>
    </w:p>
    <w:p>
      <w:pPr/>
      <w:r>
        <w:t xml:space="preserve">2026년 9월 2단계로 넘어가면서 AI 인식 제고 사업에서, ASEAN 교육 부문이 승인한 실용 AI(applied AI) 교육 사업으로 성격이 바뀌었다.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구분</w:t>
            </w:r>
          </w:p>
        </w:tc>
        <w:tc>
          <w:tcPr>
            <w:tcW w:w="3120" w:type="dxa"/>
            <w:shd w:val="clear" w:color="auto" w:fill="F2F2F2"/>
          </w:tcPr>
          <w:p>
            <w:pPr/>
            <w:r>
              <w:t xml:space="preserve">1단계</w:t>
            </w:r>
          </w:p>
        </w:tc>
        <w:tc>
          <w:tcPr>
            <w:tcW w:w="3120" w:type="dxa"/>
            <w:shd w:val="clear" w:color="auto" w:fill="F2F2F2"/>
          </w:tcPr>
          <w:p>
            <w:pPr/>
            <w:r>
              <w:t xml:space="preserve">2단계</w:t>
            </w:r>
          </w:p>
        </w:tc>
      </w:tr>
      <w:tr>
        <w:tc>
          <w:tcPr>
            <w:tcW w:w="3120" w:type="dxa"/>
          </w:tcPr>
          <w:p>
            <w:pPr/>
            <w:r>
              <w:t xml:space="preserve">기간</w:t>
            </w:r>
          </w:p>
        </w:tc>
        <w:tc>
          <w:tcPr>
            <w:tcW w:w="3120" w:type="dxa"/>
          </w:tcPr>
          <w:p>
            <w:pPr/>
            <w:r>
              <w:t xml:space="preserve">2024년 10월 출범</w:t>
            </w:r>
          </w:p>
        </w:tc>
        <w:tc>
          <w:tcPr>
            <w:tcW w:w="3120" w:type="dxa"/>
          </w:tcPr>
          <w:p>
            <w:pPr/>
            <w:r>
              <w:t xml:space="preserve">2026년 9월 발표, 2028년 말까지</w:t>
            </w:r>
          </w:p>
        </w:tc>
      </w:tr>
      <w:tr>
        <w:tc>
          <w:tcPr>
            <w:tcW w:w="3120" w:type="dxa"/>
          </w:tcPr>
          <w:p>
            <w:pPr/>
            <w:r>
              <w:t xml:space="preserve">재원</w:t>
            </w:r>
          </w:p>
        </w:tc>
        <w:tc>
          <w:tcPr>
            <w:tcW w:w="3120" w:type="dxa"/>
          </w:tcPr>
          <w:p>
            <w:pPr/>
            <w:r>
              <w:t xml:space="preserve">Google.org 500만 달러</w:t>
            </w:r>
          </w:p>
        </w:tc>
        <w:tc>
          <w:tcPr>
            <w:tcW w:w="3120" w:type="dxa"/>
          </w:tcPr>
          <w:p>
            <w:pPr/>
            <w:r>
              <w:t xml:space="preserve">AI Opportunity Fund: Asia-Pacific. 2단계 배정액은 공개 자료에서 확인되지 않음</w:t>
            </w:r>
          </w:p>
        </w:tc>
      </w:tr>
      <w:tr>
        <w:tc>
          <w:tcPr>
            <w:tcW w:w="3120" w:type="dxa"/>
          </w:tcPr>
          <w:p>
            <w:pPr/>
            <w:r>
              <w:t xml:space="preserve">대상</w:t>
            </w:r>
          </w:p>
        </w:tc>
        <w:tc>
          <w:tcPr>
            <w:tcW w:w="3120" w:type="dxa"/>
          </w:tcPr>
          <w:p>
            <w:pPr/>
            <w:r>
              <w:t xml:space="preserve">청년, 교육자, 학부모, 취약계층</w:t>
            </w:r>
          </w:p>
        </w:tc>
        <w:tc>
          <w:tcPr>
            <w:tcW w:w="3120" w:type="dxa"/>
          </w:tcPr>
          <w:p>
            <w:pPr/>
            <w:r>
              <w:t xml:space="preserve">K-12 교사, 대학생, 대학 교원</w:t>
            </w:r>
          </w:p>
        </w:tc>
      </w:tr>
      <w:tr>
        <w:tc>
          <w:tcPr>
            <w:tcW w:w="3120" w:type="dxa"/>
          </w:tcPr>
          <w:p>
            <w:pPr/>
            <w:r>
              <w:t xml:space="preserve">AI 역량 목표</w:t>
            </w:r>
          </w:p>
        </w:tc>
        <w:tc>
          <w:tcPr>
            <w:tcW w:w="3120" w:type="dxa"/>
          </w:tcPr>
          <w:p>
            <w:pPr/>
            <w:r>
              <w:t xml:space="preserve">550만 명의 기초 AI 리터러시(책임 있는 사용 포함)</w:t>
            </w:r>
          </w:p>
        </w:tc>
        <w:tc>
          <w:tcPr>
            <w:tcW w:w="3120" w:type="dxa"/>
          </w:tcPr>
          <w:p>
            <w:pPr/>
            <w:r>
              <w:t xml:space="preserve">170만 명 이상의 실용 AI 역량(수업·연구·업무 활용)</w:t>
            </w:r>
          </w:p>
        </w:tc>
      </w:tr>
      <w:tr>
        <w:tc>
          <w:tcPr>
            <w:tcW w:w="3120" w:type="dxa"/>
          </w:tcPr>
          <w:p>
            <w:pPr/>
            <w:r>
              <w:t xml:space="preserve">실적</w:t>
            </w:r>
          </w:p>
        </w:tc>
        <w:tc>
          <w:tcPr>
            <w:tcW w:w="3120" w:type="dxa"/>
          </w:tcPr>
          <w:p>
            <w:pPr/>
            <w:r>
              <w:t xml:space="preserve">500만 명 이상 도달, Master Trainer 3,000명 이상, 심화 과정 이수 10만 명 이상(2026년 2월)</w:t>
            </w:r>
          </w:p>
        </w:tc>
        <w:tc>
          <w:tcPr>
            <w:tcW w:w="3120" w:type="dxa"/>
          </w:tcPr>
          <w:p>
            <w:pPr/>
            <w:r>
              <w:t xml:space="preserve">착수 단계</w:t>
            </w:r>
          </w:p>
        </w:tc>
      </w:tr>
      <w:tr>
        <w:tc>
          <w:tcPr>
            <w:tcW w:w="3120" w:type="dxa"/>
          </w:tcPr>
          <w:p>
            <w:pPr/>
            <w:r>
              <w:t xml:space="preserve">제도적 위상</w:t>
            </w:r>
          </w:p>
        </w:tc>
        <w:tc>
          <w:tcPr>
            <w:tcW w:w="3120" w:type="dxa"/>
          </w:tcPr>
          <w:p>
            <w:pPr/>
            <w:r>
              <w:t xml:space="preserve">재단 사업</w:t>
            </w:r>
          </w:p>
        </w:tc>
        <w:tc>
          <w:tcPr>
            <w:tcW w:w="3120" w:type="dxa"/>
          </w:tcPr>
          <w:p>
            <w:pPr/>
            <w:r>
              <w:t xml:space="preserve">제21차 ASEAN 교육고위관회의(SOM-ED, 2026년 9월) 승인. 회원국 교육부와 이행 조율</w:t>
            </w:r>
          </w:p>
        </w:tc>
      </w:tr>
    </w:tbl>
    <w:p>
      <w:pPr>
        <w:pStyle w:val="Heading3"/>
      </w:pPr>
      <w:r>
        <w:t xml:space="preserve">2.2 AIM ASEAN: MSME의 AI 도입</w:t>
      </w:r>
    </w:p>
    <w:p>
      <w:pPr/>
      <w:r>
        <w:t xml:space="preserve">AIM ASEAN(AI for MSME Advancement in ASEAN)은 MSME가 AI를 실제 업무에 쓰도록 돕는 사업이다. AI의 산업 적용을 다루는 자리에서는 이 사업이 직접적인 근거가 된다.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구조</w:t>
            </w:r>
          </w:p>
        </w:tc>
        <w:tc>
          <w:tcPr>
            <w:tcW w:w="4680" w:type="dxa"/>
          </w:tcPr>
          <w:p>
            <w:pPr/>
            <w:r>
              <w:t xml:space="preserve">ASEAN Foundation 주도(지역 이행 기관), AVPN 파트너. AI Opportunity Fund: Asia-Pacific(Google.org·ADB 지원) 활용. ASEAN MSME조정위원회(ACCMSME) 승인(승인 일자와 근거 문서는 공개 자료에서 확인되지 않음)</w:t>
            </w:r>
          </w:p>
        </w:tc>
      </w:tr>
      <w:tr>
        <w:tc>
          <w:tcPr>
            <w:tcW w:w="4680" w:type="dxa"/>
          </w:tcPr>
          <w:p>
            <w:pPr/>
            <w:r>
              <w:t xml:space="preserve">규모</w:t>
            </w:r>
          </w:p>
        </w:tc>
        <w:tc>
          <w:tcPr>
            <w:tcW w:w="4680" w:type="dxa"/>
          </w:tcPr>
          <w:p>
            <w:pPr/>
            <w:r>
              <w:t xml:space="preserve">2년 사업, 역내 MSME 10만 곳 목표(싱가포르 LIP 보고서 기준. 다른 자료의 12만 곳 표기와의 관계는 확인되지 않음). 2025년 10월 현지 파트너 9곳 발표</w:t>
            </w:r>
          </w:p>
        </w:tc>
      </w:tr>
      <w:tr>
        <w:tc>
          <w:tcPr>
            <w:tcW w:w="4680" w:type="dxa"/>
          </w:tcPr>
          <w:p>
            <w:pPr/>
            <w:r>
              <w:t xml:space="preserve">AI 교육 내용</w:t>
            </w:r>
          </w:p>
        </w:tc>
        <w:tc>
          <w:tcPr>
            <w:tcW w:w="4680" w:type="dxa"/>
          </w:tcPr>
          <w:p>
            <w:pPr/>
            <w:r>
              <w:t xml:space="preserve">업무 효율, 온라인 판매, 재무 관리에 쓰는 실무 AI.</w:t>
            </w:r>
          </w:p>
        </w:tc>
      </w:tr>
      <w:tr>
        <w:tc>
          <w:tcPr>
            <w:tcW w:w="4680" w:type="dxa"/>
          </w:tcPr>
          <w:p>
            <w:pPr/>
            <w:r>
              <w:t xml:space="preserve">정책 대화</w:t>
            </w:r>
          </w:p>
        </w:tc>
        <w:tc>
          <w:tcPr>
            <w:tcW w:w="4680" w:type="dxa"/>
          </w:tcPr>
          <w:p>
            <w:pPr/>
            <w:r>
              <w:t xml:space="preserve">국가 라운드테이블(National Policy Convening) 10회와 지역 정책 회의 1회 계획. 필리핀(2026.5.7), 인도네시아(7.8), 싱가포르(9.15) 개최</w:t>
            </w:r>
          </w:p>
        </w:tc>
      </w:tr>
      <w:tr>
        <w:tc>
          <w:tcPr>
            <w:tcW w:w="4680" w:type="dxa"/>
          </w:tcPr>
          <w:p>
            <w:pPr/>
            <w:r>
              <w:t xml:space="preserve">실적</w:t>
            </w:r>
          </w:p>
        </w:tc>
        <w:tc>
          <w:tcPr>
            <w:tcW w:w="4680" w:type="dxa"/>
          </w:tcPr>
          <w:p>
            <w:pPr/>
            <w:r>
              <w:t xml:space="preserve">인도네시아 16,037곳 도달(32개 주, 참여자 중 여성 62.2%, 2026.7, 현지 파트너 예비 집계), 싱가포르 1,500곳 이상 도달(목표 3,000곳, 2026년 7월 집계). 지역 누적치는 미공개. 싱가포르 LIP 보고서는 이 수치가 지속적 사업 통합의 증거가 아니라고 적었다</w:t>
            </w:r>
          </w:p>
        </w:tc>
      </w:tr>
    </w:tbl>
    <w:p>
      <w:pPr>
        <w:pStyle w:val="Heading3"/>
      </w:pPr>
      <w:r>
        <w:t xml:space="preserve">2.3 AI 자산: 전달·콘텐츠·근거</w:t>
      </w:r>
    </w:p>
    <w:p>
      <w:pPr/>
      <w:r>
        <w:t xml:space="preserve">기여의 근거가 되는 AI 자산은 세 가지다. 이 가운데 AI 협력 논의에서 가장 희소한 것은 세 번째인 AI 준비도 현장 데이터다.</w:t>
      </w:r>
    </w:p>
    <w:p>
      <w:pPr>
        <w:pStyle w:val="ListParagraph"/>
        <w:numPr>
          <w:ilvl w:val="0"/>
          <w:numId w:val="4"/>
        </w:numPr>
      </w:pPr>
      <w:r>
        <w:rPr>
          <w:b/>
        </w:rPr>
        <w:t xml:space="preserve">전달(AI 트레이너망)</w:t>
      </w:r>
      <w:r>
        <w:t xml:space="preserve">: AI Ready ASEAN의 Master Trainer 3,000명 이상과 회원국별 Local Implementing Partner(LIP), AIM ASEAN의 현지 파트너 9곳. 학교와 지역, 소상공인까지 AI 교육을 전달하는 경로다.</w:t>
      </w:r>
    </w:p>
    <w:p>
      <w:pPr>
        <w:pStyle w:val="ListParagraph"/>
        <w:numPr>
          <w:ilvl w:val="0"/>
          <w:numId w:val="4"/>
        </w:numPr>
      </w:pPr>
      <w:r>
        <w:rPr>
          <w:b/>
        </w:rPr>
        <w:t xml:space="preserve">콘텐츠(AI Class ASEAN 등)</w:t>
      </w:r>
      <w:r>
        <w:t xml:space="preserve">: 2025년 8월 공개된 무료 AI 학습 플랫폼. 25개 주제, 70개 모듈을 회원국 언어로 제공하며, AI 윤리·개인정보·허위정보 모듈과 AI 챗봇·실시간 번역을 갖추었다. 지원 언어 수는 발표문 10개, 플랫폼 표기 9개로 엇갈린다. AIM ASEAN은 나라별 MSME용 AI 교육 과정을 현지 파트너가 만든다.</w:t>
      </w:r>
    </w:p>
    <w:p>
      <w:pPr>
        <w:pStyle w:val="ListParagraph"/>
        <w:numPr>
          <w:ilvl w:val="0"/>
          <w:numId w:val="4"/>
        </w:numPr>
      </w:pPr>
      <w:r>
        <w:rPr>
          <w:b/>
        </w:rPr>
        <w:t xml:space="preserve">근거(AI 준비도 데이터)</w:t>
      </w:r>
      <w:r>
        <w:t xml:space="preserve">: AI Ready ASEAN Research(2026)에서 학생의 72.4%, 교육자의 70.5%가 AI 강좌를 들은 적이 없었다. 교육자는 자신감에 비해 실측 AI 리터러시가 낮고, 학생은 자기 역량을 과대평가했다. 기관 준비도가 가장 낮고 도농 격차도 뚜렷하다. MSME 쪽에서는 싱가포르·인도네시아 National Policy Convening이 AI 인식과 활용 사이의 간극, 시작점·활용처의 불확실성, 'AI-bilingual' 인재 부족, 디지털·금융 리터러시 격차를 짚었다(싱가포르는 현지 이행 파트너의 내부 보고서에 구조화된 결과가 있다. 2.4 참조).</w:t>
      </w:r>
    </w:p>
    <w:p>
      <w:pPr/>
      <w:r>
        <w:rPr>
          <w:b/>
        </w:rPr>
        <w:t xml:space="preserve">[판단]</w:t>
      </w:r>
      <w:r>
        <w:t xml:space="preserve"> 재단은 교사·학생의 AI 준비도를 실측한 연구와, MSME의 AI 도입 장벽을 회원국 정책 대화에서 모은 현장 기록을 함께 가진 드문 기관이다. AI 협력 사업이 누구에게 무엇을 가르쳐야 하는지에 대한 근거를 내놓을 수 있다.</w:t>
      </w:r>
    </w:p>
    <w:p>
      <w:pPr>
        <w:pStyle w:val="Heading3"/>
      </w:pPr>
      <w:r>
        <w:t xml:space="preserve">2.4 싱가포르 National Policy Convening: 무엇을 보여 주었나</w:t>
      </w:r>
    </w:p>
    <w:p>
      <w:pPr/>
      <w:r>
        <w:t xml:space="preserve">2026년 9월 15일 싱가포르 Convening은 AIM ASEAN의 정책 대화 가운데 결과가 내부 보고서로 체계적으로 정리된 사례다. 아래는 현지 이행 파트너 Project Asia Data(BlackStorm Group)의 검토 노트와 최종 보고서(내부 자료, 최종본 제출일 미확정)를 정리한 것이다. 재단에서는 Ilan Asqolani가 폐회사를 맡았다.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항목</w:t>
            </w:r>
          </w:p>
        </w:tc>
        <w:tc>
          <w:tcPr>
            <w:tcW w:w="4680" w:type="dxa"/>
            <w:shd w:val="clear" w:color="auto" w:fill="F2F2F2"/>
          </w:tcPr>
          <w:p>
            <w:pPr/>
            <w:r>
              <w:t xml:space="preserve">내용</w:t>
            </w:r>
          </w:p>
        </w:tc>
      </w:tr>
      <w:tr>
        <w:tc>
          <w:tcPr>
            <w:tcW w:w="4680" w:type="dxa"/>
          </w:tcPr>
          <w:p>
            <w:pPr/>
            <w:r>
              <w:t xml:space="preserve">개요</w:t>
            </w:r>
          </w:p>
        </w:tc>
        <w:tc>
          <w:tcPr>
            <w:tcW w:w="4680" w:type="dxa"/>
          </w:tcPr>
          <w:p>
            <w:pPr/>
            <w:r>
              <w:t xml:space="preserve">Singapore Polytechnic Convention Centre, 초청제, 등록 189명. 협력: Singapore Polytechnic, ASEAN Foundation(지역 이행 기관), 프로그램 파트너 Google.org·AVPN·ADB. 정부·지역 기구(Enterprise Singapore, ASEAN 사무국), 업계(ASME), 교육·인재 기관(Singapore Polytechnic, SGInnovate), 기술·실무 커뮤니티(Singapore AI Association, The AI Capitol)가 참여</w:t>
            </w:r>
          </w:p>
        </w:tc>
      </w:tr>
      <w:tr>
        <w:tc>
          <w:tcPr>
            <w:tcW w:w="4680" w:type="dxa"/>
          </w:tcPr>
          <w:p>
            <w:pPr/>
            <w:r>
              <w:t xml:space="preserve">핵심 요약</w:t>
            </w:r>
          </w:p>
        </w:tc>
        <w:tc>
          <w:tcPr>
            <w:tcW w:w="4680" w:type="dxa"/>
          </w:tcPr>
          <w:p>
            <w:pPr/>
            <w:r>
              <w:t xml:space="preserve">① 연수를 실행으로 잇기 ② AI-bilingual 팀 구축 ③ 책임 있는 사용과 사업 성과 측정</w:t>
            </w:r>
          </w:p>
        </w:tc>
      </w:tr>
      <w:tr>
        <w:tc>
          <w:tcPr>
            <w:tcW w:w="4680" w:type="dxa"/>
          </w:tcPr>
          <w:p>
            <w:pPr/>
            <w:r>
              <w:t xml:space="preserve">진단</w:t>
            </w:r>
          </w:p>
        </w:tc>
        <w:tc>
          <w:tcPr>
            <w:tcW w:w="4680" w:type="dxa"/>
          </w:tcPr>
          <w:p>
            <w:pPr/>
            <w:r>
              <w:t xml:space="preserve">도구 접근과 사업 통합은 다르다. 준비도는 리더십의 명확성, 쓸 수 있는 데이터, 맞는 업무 흐름, 직원 역량, 성과 평가 역량으로 이뤄진다. 핵심 공백은 강한 정책·지원 환경과 MSME의 일상 업무 통합 능력 사이에 있으며, 인식·실험·적용·확산 사이에서 지원이 끊긴다</w:t>
            </w:r>
          </w:p>
        </w:tc>
      </w:tr>
      <w:tr>
        <w:tc>
          <w:tcPr>
            <w:tcW w:w="4680" w:type="dxa"/>
          </w:tcPr>
          <w:p>
            <w:pPr/>
            <w:r>
              <w:t xml:space="preserve">장벽</w:t>
            </w:r>
          </w:p>
        </w:tc>
        <w:tc>
          <w:tcPr>
            <w:tcW w:w="4680" w:type="dxa"/>
          </w:tcPr>
          <w:p>
            <w:pPr/>
            <w:r>
              <w:t xml:space="preserve">투자 이유와 활용처의 불확실성, 분절된 데이터, 내부 역량 부족, 실패한 실험의 기회비용, 구독료를 넘는 총비용(학습 시간·데이터 준비·연동·사이버보안·변화 관리), 빠른 모델 변화, 직원 불안과 대기업과의 인재 경쟁, 프라이버시·보안·데이터 주권. 영세기업은 시간·기술 리터러시·실험 예산의 제약이 특히 크다</w:t>
            </w:r>
          </w:p>
        </w:tc>
      </w:tr>
      <w:tr>
        <w:tc>
          <w:tcPr>
            <w:tcW w:w="4680" w:type="dxa"/>
          </w:tcPr>
          <w:p>
            <w:pPr/>
            <w:r>
              <w:t xml:space="preserve">기술 선택</w:t>
            </w:r>
          </w:p>
        </w:tc>
        <w:tc>
          <w:tcPr>
            <w:tcW w:w="4680" w:type="dxa"/>
          </w:tcPr>
          <w:p>
            <w:pPr/>
            <w:r>
              <w:t xml:space="preserve">데이터 통제가 중요할 때는 현지·오픈소스 모델이, 진입 장벽을 낮추는 데는 익숙한 상용 도구가 거론되었고, 모델 유형에 대한 보편적 선호는 없었다. 배치한 에이전트 수는 가치의 척도가 아니라는 지적도 있었다</w:t>
            </w:r>
          </w:p>
        </w:tc>
      </w:tr>
      <w:tr>
        <w:tc>
          <w:tcPr>
            <w:tcW w:w="4680" w:type="dxa"/>
          </w:tcPr>
          <w:p>
            <w:pPr/>
            <w:r>
              <w:t xml:space="preserve">예비 정책 방향</w:t>
            </w:r>
          </w:p>
        </w:tc>
        <w:tc>
          <w:tcPr>
            <w:tcW w:w="4680" w:type="dxa"/>
          </w:tcPr>
          <w:p>
            <w:pPr/>
            <w:r>
              <w:t xml:space="preserve">역량 강화를 배치와 연결, 인력 전환을 도입의 일부로, 비례적이고 책임 있는 실험, 지속적 활용과 사업 가치 측정, 신뢰받는 네트워크를 통한 전달. 새 재원 약속이나 공식 정책 결정은 아니다</w:t>
            </w:r>
          </w:p>
        </w:tc>
      </w:tr>
      <w:tr>
        <w:tc>
          <w:tcPr>
            <w:tcW w:w="4680" w:type="dxa"/>
          </w:tcPr>
          <w:p>
            <w:pPr/>
            <w:r>
              <w:t xml:space="preserve">ASEAN 차원 시사점</w:t>
            </w:r>
          </w:p>
        </w:tc>
        <w:tc>
          <w:tcPr>
            <w:tcW w:w="4680" w:type="dxa"/>
          </w:tcPr>
          <w:p>
            <w:pPr/>
            <w:r>
              <w:t xml:space="preserve">인식-실행 격차는 생태계 문제다. 인력 역량과 책임 있는 사용은 기술과 함께 가야 한다. 지역 학습은 시장별 적응을 허용해야 한다. 인식 → 저위험 도입 → 공정 전환의 단계적 경로가 공통 방향이 될 수 있으며, 사례 교류에는 사업 문제·데이터 요건·비용·인력 변화·위험·결과를 담는다. 폐회사는 AIM ASEAN을 AEC 전략계획 2030과 MSME 개발 전략행동계획 2026–2030에 연결했다</w:t>
            </w:r>
          </w:p>
        </w:tc>
      </w:tr>
      <w:tr>
        <w:tc>
          <w:tcPr>
            <w:tcW w:w="4680" w:type="dxa"/>
          </w:tcPr>
          <w:p>
            <w:pPr/>
            <w:r>
              <w:t xml:space="preserve">재단에 대한 권고</w:t>
            </w:r>
          </w:p>
        </w:tc>
        <w:tc>
          <w:tcPr>
            <w:tcW w:w="4680" w:type="dxa"/>
          </w:tcPr>
          <w:p>
            <w:pPr/>
            <w:r>
              <w:t xml:space="preserve">현지 파트너가 조정해 쓰는 공통 '연수 이후 경로', 실행 장벽을 포함한 사례 교류, 데이터 준비도·책임 있는 사용·성과 추적 템플릿. 지역 보고에서 도달, 사업 통합, 검증된 성과를 구분. 농촌 기업·장애 창업가 등 MSME의 다양성을 인정하고, 모든 기업이 모든 기능에 AI가 필요하다고 가정하지 않기</w:t>
            </w:r>
          </w:p>
        </w:tc>
      </w:tr>
      <w:tr>
        <w:tc>
          <w:tcPr>
            <w:tcW w:w="4680" w:type="dxa"/>
          </w:tcPr>
          <w:p>
            <w:pPr/>
            <w:r>
              <w:t xml:space="preserve">후속 계획(제안 단계)</w:t>
            </w:r>
          </w:p>
        </w:tc>
        <w:tc>
          <w:tcPr>
            <w:tcW w:w="4680" w:type="dxa"/>
          </w:tcPr>
          <w:p>
            <w:pPr/>
            <w:r>
              <w:t xml:space="preserve">연수-실행 연계 경로 지도화(2026.10–11), 지속 활용 추적과 사례 교류(기준선 2026년 4분기, 검토 2027년 1분기. 재단에 요청된 지원: 공통 성과 지표·지역 공유 채널), 연수 이후 클리닉·동료 학습, 분야별 연수(제조·도매·물류). 모두 파트너 합의가 전제다</w:t>
            </w:r>
          </w:p>
        </w:tc>
      </w:tr>
    </w:tbl>
    <w:p>
      <w:pPr/>
      <w:r>
        <w:rPr>
          <w:b/>
        </w:rPr>
        <w:t xml:space="preserve">[판단]</w:t>
      </w:r>
      <w:r>
        <w:t xml:space="preserve"> 이 결과가 중요한 이유는 세 가지다. 첫째, 정책과 지원이 탄탄한 생태계에서도 병목이 '연수 이후'에 있다는 점을 현장 기록으로 보여 준다. 둘째, 재단이 맡을 역할(공통 경로, 성과 지표, 사례 교류)이 파트너 권고로 제시되어 있어(합의 전), 중국 측에 내놓을 기여가 추상적 제안이 아니라 파트너가 이미 제안해 둔 후속 과제와 이어진다. 셋째, 모델 유형에 대한 단일 선호가 없었다는 기록은 기술 중립 원칙의 현장 근거다. 다만 보고서도 짚었듯 싱가포르는 제도 생태계가 탄탄하고 국토가 작다. 일반화는 인도네시아 등 다른 나라의 결과와 함께 해야 한다.</w:t>
      </w:r>
    </w:p>
    <w:p>
      <w:pPr>
        <w:pStyle w:val="Heading3"/>
      </w:pPr>
      <w:r>
        <w:t xml:space="preserve">2.5 한계: 외부에 제시하기 전에 정리할 점</w:t>
      </w:r>
    </w:p>
    <w:p>
      <w:pPr>
        <w:pStyle w:val="ListParagraph"/>
        <w:numPr>
          <w:ilvl w:val="0"/>
          <w:numId w:val="5"/>
        </w:numPr>
      </w:pPr>
      <w:r>
        <w:rPr>
          <w:b/>
        </w:rPr>
        <w:t xml:space="preserve">도달과 학습 성과의 구분</w:t>
      </w:r>
      <w:r>
        <w:t xml:space="preserve">: '500만 명 도달'과 '10만 명 심화 이수'는 다른 지표다. 1단계는 Master Trainer를 통한 심화 교육 80만 명을 목표로 했다. 두 수치의 정의가 같은지 확인해야 하며, 정의가 모호하면 상대측은 성과 전체를 할인해 읽는다. 싱가포르 LIP 보고서도 지역 보고에서 도달, 사업 통합, 검증된 성과를 구분하라고 권고했다.</w:t>
      </w:r>
    </w:p>
    <w:p>
      <w:pPr>
        <w:pStyle w:val="ListParagraph"/>
        <w:numPr>
          <w:ilvl w:val="0"/>
          <w:numId w:val="5"/>
        </w:numPr>
      </w:pPr>
      <w:r>
        <w:rPr>
          <w:b/>
        </w:rPr>
        <w:t xml:space="preserve">대상의 이동</w:t>
      </w:r>
      <w:r>
        <w:t xml:space="preserve">: AI Ready ASEAN 2단계는 교사·대학 중심이다. 학부모와 취약계층의 AI 리터러시는 1단계의 유산(콘텐츠, 트레이너)으로 남는다.</w:t>
      </w:r>
    </w:p>
    <w:p>
      <w:pPr>
        <w:pStyle w:val="ListParagraph"/>
        <w:numPr>
          <w:ilvl w:val="0"/>
          <w:numId w:val="5"/>
        </w:numPr>
      </w:pPr>
      <w:r>
        <w:rPr>
          <w:b/>
        </w:rPr>
        <w:t xml:space="preserve">회원국 범위</w:t>
      </w:r>
      <w:r>
        <w:t xml:space="preserve">: 두 사업 모두 10개 회원국 기준으로 설계되었다. 2025년 10월 동티모르가 11번째 회원국이 되었으나, 테툼어 AI 콘텐츠나 현지 파트너는 확인되지 않는다.</w:t>
      </w:r>
    </w:p>
    <w:p>
      <w:pPr>
        <w:pStyle w:val="ListParagraph"/>
        <w:numPr>
          <w:ilvl w:val="0"/>
          <w:numId w:val="5"/>
        </w:numPr>
      </w:pPr>
      <w:r>
        <w:rPr>
          <w:b/>
        </w:rPr>
        <w:t xml:space="preserve">재원과 AI 도구의 중립성</w:t>
      </w:r>
      <w:r>
        <w:t xml:space="preserve">: 민간 재단과 기금에 기대고 있고, AIM ASEAN 현지 파트너 발표(2025.10)에는 'Google의 AI 도구군 활용' 문구가 있다. 중국 측 협력에서는 어떤 AI 도구로 가르치는가가 첫 질문이 될 수 있다(6장).</w:t>
      </w:r>
    </w:p>
    <w:p>
      <w:pPr>
        <w:pStyle w:val="ListParagraph"/>
        <w:numPr>
          <w:ilvl w:val="0"/>
          <w:numId w:val="5"/>
        </w:numPr>
      </w:pPr>
      <w:r>
        <w:rPr>
          <w:b/>
        </w:rPr>
        <w:t xml:space="preserve">내부 자료의 공개 범위</w:t>
      </w:r>
      <w:r>
        <w:t xml:space="preserve">: 싱가포르 결과의 구조화된 근거는 LIP 내부 보고서다(최종본 제출일 미확정, 참석자 실명과 행사 예산 포함). 대외 문서와 발언에서는 공개 보도자료 범위나 비식별 요약으로만 쓴다.</w:t>
      </w:r>
    </w:p>
    <w:p>
      <w:pPr>
        <w:pStyle w:val="Heading2"/>
      </w:pPr>
      <w:r>
        <w:t xml:space="preserve">3. ASEAN–중국 AI 협력 구조</w:t>
      </w:r>
    </w:p>
    <w:p>
      <w:pPr/>
      <w:r>
        <w:t xml:space="preserve">ASEAN–중국 AI 협력은 2024년 10월 공동성명 이후 2년 만에 AI의 거의 전 층위에 기관과 사업을 갖추었다. 다만 중국 측 채널은 부처와 지방정부별로 나뉘어 있고, AI 인재 사업과 윤리·안전 이니셔티브의 세부 내용은 아직 공개되지 않았다.</w:t>
      </w:r>
    </w:p>
    <w:p>
      <w:pPr>
        <w:pStyle w:val="Heading3"/>
      </w:pPr>
      <w:r>
        <w:t xml:space="preserve">3.1 연표: AI 협력의 주요 계기</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시점</w:t>
            </w:r>
          </w:p>
        </w:tc>
        <w:tc>
          <w:tcPr>
            <w:tcW w:w="3120" w:type="dxa"/>
            <w:shd w:val="clear" w:color="auto" w:fill="F2F2F2"/>
          </w:tcPr>
          <w:p>
            <w:pPr/>
            <w:r>
              <w:t xml:space="preserve">사안</w:t>
            </w:r>
          </w:p>
        </w:tc>
        <w:tc>
          <w:tcPr>
            <w:tcW w:w="3120" w:type="dxa"/>
            <w:shd w:val="clear" w:color="auto" w:fill="F2F2F2"/>
          </w:tcPr>
          <w:p>
            <w:pPr/>
            <w:r>
              <w:t xml:space="preserve">AI 관련 내용</w:t>
            </w:r>
          </w:p>
        </w:tc>
      </w:tr>
      <w:tr>
        <w:tc>
          <w:tcPr>
            <w:tcW w:w="3120" w:type="dxa"/>
          </w:tcPr>
          <w:p>
            <w:pPr/>
            <w:r>
              <w:t xml:space="preserve">2024.10</w:t>
            </w:r>
          </w:p>
        </w:tc>
        <w:tc>
          <w:tcPr>
            <w:tcW w:w="3120" w:type="dxa"/>
          </w:tcPr>
          <w:p>
            <w:pPr/>
            <w:r>
              <w:t xml:space="preserve">제27차 ASEAN–중국 정상회의(비엔티안), </w:t>
            </w:r>
            <w:hyperlink r:id="rId3" w:history="1">
              <w:r>
                <w:rPr>
                  <w:rStyle w:val="Hyperlink"/>
                </w:rPr>
                <w:t xml:space="preserve">디지털 생태계 공동성명</w:t>
              </w:r>
            </w:hyperlink>
          </w:p>
        </w:tc>
        <w:tc>
          <w:tcPr>
            <w:tcW w:w="3120" w:type="dxa"/>
          </w:tcPr>
          <w:p>
            <w:pPr/>
            <w:r>
              <w:t xml:space="preserve">AI 원칙·개발·안전·거버넌스 모범사례 교류 명시. 정상급 AI 협력의 출발점</w:t>
            </w:r>
          </w:p>
        </w:tc>
      </w:tr>
      <w:tr>
        <w:tc>
          <w:tcPr>
            <w:tcW w:w="3120" w:type="dxa"/>
          </w:tcPr>
          <w:p>
            <w:pPr/>
            <w:r>
              <w:t xml:space="preserve">2024.12</w:t>
            </w:r>
          </w:p>
        </w:tc>
        <w:tc>
          <w:tcPr>
            <w:tcW w:w="3120" w:type="dxa"/>
          </w:tcPr>
          <w:p>
            <w:pPr/>
            <w:r>
              <w:t xml:space="preserve">CIIS·캄보디아 ECOSOCC AI 심포지엄(프놈펜), CIIS·CAICT AI 협력 보고서</w:t>
            </w:r>
          </w:p>
        </w:tc>
        <w:tc>
          <w:tcPr>
            <w:tcW w:w="3120" w:type="dxa"/>
          </w:tcPr>
          <w:p>
            <w:pPr/>
            <w:r>
              <w:t xml:space="preserve">중국 외교부 산하 연구원의 ASEAN AI 트랙 시작. 인프라, AI 응용·혁신 생태계, 거버넌스 대화를 제안</w:t>
            </w:r>
          </w:p>
        </w:tc>
      </w:tr>
      <w:tr>
        <w:tc>
          <w:tcPr>
            <w:tcW w:w="3120" w:type="dxa"/>
          </w:tcPr>
          <w:p>
            <w:pPr/>
            <w:r>
              <w:t xml:space="preserve">2025.9</w:t>
            </w:r>
          </w:p>
        </w:tc>
        <w:tc>
          <w:tcPr>
            <w:tcW w:w="3120" w:type="dxa"/>
          </w:tcPr>
          <w:p>
            <w:pPr/>
            <w:r>
              <w:t xml:space="preserve">제1차 China–ASEAN AI 장관급 라운드테이블(난닝, 국가발전개혁위원회·광시)</w:t>
            </w:r>
          </w:p>
        </w:tc>
        <w:tc>
          <w:tcPr>
            <w:tcW w:w="3120" w:type="dxa"/>
          </w:tcPr>
          <w:p>
            <w:pPr/>
            <w:r>
              <w:t xml:space="preserve">AI 응용협력센터 착공, 라오스 국가 언어모델, 중–라오스·중–캄보디아 AI 표준, ASEAN AI 오픈소스 커뮤니티 발표</w:t>
            </w:r>
          </w:p>
        </w:tc>
      </w:tr>
      <w:tr>
        <w:tc>
          <w:tcPr>
            <w:tcW w:w="3120" w:type="dxa"/>
          </w:tcPr>
          <w:p>
            <w:pPr/>
            <w:r>
              <w:t xml:space="preserve">2025.9</w:t>
            </w:r>
          </w:p>
        </w:tc>
        <w:tc>
          <w:tcPr>
            <w:tcW w:w="3120" w:type="dxa"/>
          </w:tcPr>
          <w:p>
            <w:pPr/>
            <w:r>
              <w:t xml:space="preserve">중국 과학기술부 대ASEAN AI 역량 강화 3개년 행동계획(2025–2027)</w:t>
            </w:r>
          </w:p>
        </w:tc>
        <w:tc>
          <w:tcPr>
            <w:tcW w:w="3120" w:type="dxa"/>
          </w:tcPr>
          <w:p>
            <w:pPr/>
            <w:r>
              <w:t xml:space="preserve">AI 역량 강화, 인재 교류, 공동 실험실</w:t>
            </w:r>
          </w:p>
        </w:tc>
      </w:tr>
      <w:tr>
        <w:tc>
          <w:tcPr>
            <w:tcW w:w="3120" w:type="dxa"/>
          </w:tcPr>
          <w:p>
            <w:pPr/>
            <w:r>
              <w:t xml:space="preserve">2025.12</w:t>
            </w:r>
          </w:p>
        </w:tc>
        <w:tc>
          <w:tcPr>
            <w:tcW w:w="3120" w:type="dxa"/>
          </w:tcPr>
          <w:p>
            <w:pPr/>
            <w:r>
              <w:t xml:space="preserve">CIIS–ISEAS AI 공동 심포지엄(싱가포르)</w:t>
            </w:r>
          </w:p>
        </w:tc>
        <w:tc>
          <w:tcPr>
            <w:tcW w:w="3120" w:type="dxa"/>
          </w:tcPr>
          <w:p>
            <w:pPr/>
            <w:r>
              <w:t xml:space="preserve">공정·책임 있는 AI, 국경 간 데이터, AI와 일자리</w:t>
            </w:r>
          </w:p>
        </w:tc>
      </w:tr>
      <w:tr>
        <w:tc>
          <w:tcPr>
            <w:tcW w:w="3120" w:type="dxa"/>
          </w:tcPr>
          <w:p>
            <w:pPr/>
            <w:r>
              <w:t xml:space="preserve">2026.1</w:t>
            </w:r>
          </w:p>
        </w:tc>
        <w:tc>
          <w:tcPr>
            <w:tcW w:w="3120" w:type="dxa"/>
          </w:tcPr>
          <w:p>
            <w:pPr/>
            <w:r>
              <w:t xml:space="preserve">제6차 ASEAN 디지털장관회의(ADGMIN, 하노이) 계기 중국과 협의</w:t>
            </w:r>
          </w:p>
        </w:tc>
        <w:tc>
          <w:tcPr>
            <w:tcW w:w="3120" w:type="dxa"/>
          </w:tcPr>
          <w:p>
            <w:pPr/>
            <w:r>
              <w:t xml:space="preserve">AI 산업혁신센터·Digital Academy 설립 발표. 행동계획(2026–2030)에 디지털 인재·오픈소스 AI·AI 보안 거버넌스 포함</w:t>
            </w:r>
          </w:p>
        </w:tc>
      </w:tr>
      <w:tr>
        <w:tc>
          <w:tcPr>
            <w:tcW w:w="3120" w:type="dxa"/>
          </w:tcPr>
          <w:p>
            <w:pPr/>
            <w:r>
              <w:t xml:space="preserve">2026.5</w:t>
            </w:r>
          </w:p>
        </w:tc>
        <w:tc>
          <w:tcPr>
            <w:tcW w:w="3120" w:type="dxa"/>
          </w:tcPr>
          <w:p>
            <w:pPr/>
            <w:hyperlink r:id="rId4" w:history="1">
              <w:r>
                <w:rPr>
                  <w:rStyle w:val="Hyperlink"/>
                </w:rPr>
                <w:t xml:space="preserve">중국–ASEAN AI 산업혁신센터 출범</w:t>
              </w:r>
            </w:hyperlink>
            <w:r>
              <w:t xml:space="preserve">(베이징, 5.24)</w:t>
            </w:r>
          </w:p>
        </w:tc>
        <w:tc>
          <w:tcPr>
            <w:tcW w:w="3120" w:type="dxa"/>
          </w:tcPr>
          <w:p>
            <w:pPr/>
            <w:r>
              <w:t xml:space="preserve">대형 모델의 산업 적용, 표준·거버넌스 도구, 역내 역량 강화, 지능형 인프라의 4개 과제. 사무총장: ASEAN 관료·기업 직원·유학생 대상 AI 연수</w:t>
            </w:r>
          </w:p>
        </w:tc>
      </w:tr>
      <w:tr>
        <w:tc>
          <w:tcPr>
            <w:tcW w:w="3120" w:type="dxa"/>
          </w:tcPr>
          <w:p>
            <w:pPr/>
            <w:r>
              <w:t xml:space="preserve">2026.7</w:t>
            </w:r>
          </w:p>
        </w:tc>
        <w:tc>
          <w:tcPr>
            <w:tcW w:w="3120" w:type="dxa"/>
          </w:tcPr>
          <w:p>
            <w:pPr/>
            <w:r>
              <w:t xml:space="preserve">ASEAN–중국 외교장관회의(마닐라, 7.22)</w:t>
            </w:r>
          </w:p>
        </w:tc>
        <w:tc>
          <w:tcPr>
            <w:tcW w:w="3120" w:type="dxa"/>
          </w:tcPr>
          <w:p>
            <w:pPr/>
            <w:r>
              <w:t xml:space="preserve">2027년 'ASEAN-China AI Cooperation Year' 제안을 주목(noted). 제안 주체는 공개 자료로 확인되지 않음</w:t>
            </w:r>
          </w:p>
        </w:tc>
      </w:tr>
      <w:tr>
        <w:tc>
          <w:tcPr>
            <w:tcW w:w="3120" w:type="dxa"/>
          </w:tcPr>
          <w:p>
            <w:pPr/>
            <w:r>
              <w:t xml:space="preserve">2026.7</w:t>
            </w:r>
          </w:p>
        </w:tc>
        <w:tc>
          <w:tcPr>
            <w:tcW w:w="3120" w:type="dxa"/>
          </w:tcPr>
          <w:p>
            <w:pPr/>
            <w:r>
              <w:t xml:space="preserve">시진핑 WAIC 개막 연설(7.17), 세계인공지능협력기구(WAICO) 설립 협정</w:t>
            </w:r>
          </w:p>
        </w:tc>
        <w:tc>
          <w:tcPr>
            <w:tcW w:w="3120" w:type="dxa"/>
          </w:tcPr>
          <w:p>
            <w:pPr/>
            <w:r>
              <w:t xml:space="preserve">개도국에 5년간 AI 연수·세미나 기회 5,000건, ASEAN 등과 AI 응용 협력센터 구상. WAICO는 29개국 서명, 상하이 본부</w:t>
            </w:r>
          </w:p>
        </w:tc>
      </w:tr>
      <w:tr>
        <w:tc>
          <w:tcPr>
            <w:tcW w:w="3120" w:type="dxa"/>
          </w:tcPr>
          <w:p>
            <w:pPr/>
            <w:r>
              <w:t xml:space="preserve">2026.7 말</w:t>
            </w:r>
          </w:p>
        </w:tc>
        <w:tc>
          <w:tcPr>
            <w:tcW w:w="3120" w:type="dxa"/>
          </w:tcPr>
          <w:p>
            <w:pPr/>
            <w:r>
              <w:t xml:space="preserve">China–ASEAN Education Cooperation Week(구이양)</w:t>
            </w:r>
          </w:p>
        </w:tc>
        <w:tc>
          <w:tcPr>
            <w:tcW w:w="3120" w:type="dxa"/>
          </w:tcPr>
          <w:p>
            <w:pPr/>
            <w:r>
              <w:t xml:space="preserve">Smart Education Capacity Building Project 출범. 중국 'AI+교육' 행동계획과 연계, 세부 미공개</w:t>
            </w:r>
          </w:p>
        </w:tc>
      </w:tr>
      <w:tr>
        <w:tc>
          <w:tcPr>
            <w:tcW w:w="3120" w:type="dxa"/>
          </w:tcPr>
          <w:p>
            <w:pPr/>
            <w:r>
              <w:t xml:space="preserve">2026.9</w:t>
            </w:r>
          </w:p>
        </w:tc>
        <w:tc>
          <w:tcPr>
            <w:tcW w:w="3120" w:type="dxa"/>
          </w:tcPr>
          <w:p>
            <w:pPr/>
            <w:r>
              <w:t xml:space="preserve">제2차 AI 장관급 라운드테이블(난닝, 9.17), 혁신센터 광시 분소 개소</w:t>
            </w:r>
          </w:p>
        </w:tc>
        <w:tc>
          <w:tcPr>
            <w:tcW w:w="3120" w:type="dxa"/>
          </w:tcPr>
          <w:p>
            <w:pPr/>
            <w:r>
              <w:t xml:space="preserve">ASEAN 대상 AI 윤리·안전 협력 이니셔티브 발표(세부 내용 미공개), AI 협력 사례집 31건. 베트남: AI 거버넌스 대화, 안전한 AI 연구·시험, 인적자원 개발 제안</w:t>
            </w:r>
          </w:p>
        </w:tc>
      </w:tr>
      <w:tr>
        <w:tc>
          <w:tcPr>
            <w:tcW w:w="3120" w:type="dxa"/>
          </w:tcPr>
          <w:p>
            <w:pPr/>
            <w:r>
              <w:t xml:space="preserve">2026.10</w:t>
            </w:r>
          </w:p>
        </w:tc>
        <w:tc>
          <w:tcPr>
            <w:tcW w:w="3120" w:type="dxa"/>
          </w:tcPr>
          <w:p>
            <w:pPr/>
            <w:r>
              <w:t xml:space="preserve">CIIS China–ASEAN AI 거버넌스 라운드테이블(ASEAN Foundation 미션 계기)</w:t>
            </w:r>
          </w:p>
        </w:tc>
        <w:tc>
          <w:tcPr>
            <w:tcW w:w="3120" w:type="dxa"/>
          </w:tcPr>
          <w:p>
            <w:pPr/>
            <w:r>
              <w:t xml:space="preserve">2세션 'AI 역량 강화와 산업 역량화'에서 Ilan Asqolani 발언 예정. 일시는 의제 배포 후 확정</w:t>
            </w:r>
          </w:p>
        </w:tc>
      </w:tr>
    </w:tbl>
    <w:p>
      <w:pPr>
        <w:pStyle w:val="Heading3"/>
      </w:pPr>
      <w:r>
        <w:t xml:space="preserve">3.2 AI 층위별 지도</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AI 층위</w:t>
            </w:r>
          </w:p>
        </w:tc>
        <w:tc>
          <w:tcPr>
            <w:tcW w:w="1872" w:type="dxa"/>
            <w:shd w:val="clear" w:color="auto" w:fill="F2F2F2"/>
          </w:tcPr>
          <w:p>
            <w:pPr/>
            <w:r>
              <w:t xml:space="preserve">ASEAN 자체 체계</w:t>
            </w:r>
          </w:p>
        </w:tc>
        <w:tc>
          <w:tcPr>
            <w:tcW w:w="1872" w:type="dxa"/>
            <w:shd w:val="clear" w:color="auto" w:fill="F2F2F2"/>
          </w:tcPr>
          <w:p>
            <w:pPr/>
            <w:r>
              <w:t xml:space="preserve">ASEAN–중국 협력</w:t>
            </w:r>
          </w:p>
        </w:tc>
        <w:tc>
          <w:tcPr>
            <w:tcW w:w="1872" w:type="dxa"/>
            <w:shd w:val="clear" w:color="auto" w:fill="F2F2F2"/>
          </w:tcPr>
          <w:p>
            <w:pPr/>
            <w:r>
              <w:t xml:space="preserve">중국 측 주관</w:t>
            </w:r>
          </w:p>
        </w:tc>
        <w:tc>
          <w:tcPr>
            <w:tcW w:w="1872" w:type="dxa"/>
            <w:shd w:val="clear" w:color="auto" w:fill="F2F2F2"/>
          </w:tcPr>
          <w:p>
            <w:pPr/>
            <w:r>
              <w:t xml:space="preserve">재단의 접점</w:t>
            </w:r>
          </w:p>
        </w:tc>
      </w:tr>
      <w:tr>
        <w:tc>
          <w:tcPr>
            <w:tcW w:w="1872" w:type="dxa"/>
          </w:tcPr>
          <w:p>
            <w:pPr/>
            <w:r>
              <w:t xml:space="preserve">거버넌스·안전</w:t>
            </w:r>
          </w:p>
        </w:tc>
        <w:tc>
          <w:tcPr>
            <w:tcW w:w="1872" w:type="dxa"/>
          </w:tcPr>
          <w:p>
            <w:pPr/>
            <w:r>
              <w:t xml:space="preserve">ASEAN Guide on AI Governance and Ethics(2024)·생성형 AI 확장판(2025), Responsible AI Roadmap 2025–2030, AI 거버넌스 실무그룹(WG-AI), ASEAN AI Safe</w:t>
            </w:r>
          </w:p>
        </w:tc>
        <w:tc>
          <w:tcPr>
            <w:tcW w:w="1872" w:type="dxa"/>
          </w:tcPr>
          <w:p>
            <w:pPr/>
            <w:r>
              <w:t xml:space="preserve">AI 장관급 라운드테이블, AI 윤리·안전 협력 이니셔티브(2026.9), CIIS 라운드테이블</w:t>
            </w:r>
          </w:p>
        </w:tc>
        <w:tc>
          <w:tcPr>
            <w:tcW w:w="1872" w:type="dxa"/>
          </w:tcPr>
          <w:p>
            <w:pPr/>
            <w:r>
              <w:t xml:space="preserve">국가발전개혁위원회·광시, 외교부·CIIS</w:t>
            </w:r>
          </w:p>
        </w:tc>
        <w:tc>
          <w:tcPr>
            <w:tcW w:w="1872" w:type="dxa"/>
          </w:tcPr>
          <w:p>
            <w:pPr/>
            <w:r>
              <w:t xml:space="preserve">책임 있는 AI 사용 교육(윤리·허위정보 모듈)</w:t>
            </w:r>
          </w:p>
        </w:tc>
      </w:tr>
      <w:tr>
        <w:tc>
          <w:tcPr>
            <w:tcW w:w="1872" w:type="dxa"/>
          </w:tcPr>
          <w:p>
            <w:pPr/>
            <w:r>
              <w:t xml:space="preserve">산업 응용</w:t>
            </w:r>
          </w:p>
        </w:tc>
        <w:tc>
          <w:tcPr>
            <w:tcW w:w="1872" w:type="dxa"/>
          </w:tcPr>
          <w:p>
            <w:pPr/>
            <w:r>
              <w:t xml:space="preserve">ASEAN Digital Masterplan 2030, 필리핀 의장국의 'AI 기반 MSME 성장' 선언 추진</w:t>
            </w:r>
          </w:p>
        </w:tc>
        <w:tc>
          <w:tcPr>
            <w:tcW w:w="1872" w:type="dxa"/>
          </w:tcPr>
          <w:p>
            <w:pPr/>
            <w:r>
              <w:t xml:space="preserve">AI 산업혁신센터(베이징·광시), AI 응용협력센터(난닝. 베트남·라오스·말레이시아 사무소), 사례집 31건</w:t>
            </w:r>
          </w:p>
        </w:tc>
        <w:tc>
          <w:tcPr>
            <w:tcW w:w="1872" w:type="dxa"/>
          </w:tcPr>
          <w:p>
            <w:pPr/>
            <w:r>
              <w:t xml:space="preserve">공업정보화부, 국가발전개혁위원회·광시</w:t>
            </w:r>
          </w:p>
        </w:tc>
        <w:tc>
          <w:tcPr>
            <w:tcW w:w="1872" w:type="dxa"/>
          </w:tcPr>
          <w:p>
            <w:pPr/>
            <w:r>
              <w:t xml:space="preserve">AIM ASEAN(MSME의 AI 도입)</w:t>
            </w:r>
          </w:p>
        </w:tc>
      </w:tr>
      <w:tr>
        <w:tc>
          <w:tcPr>
            <w:tcW w:w="1872" w:type="dxa"/>
          </w:tcPr>
          <w:p>
            <w:pPr/>
            <w:r>
              <w:t xml:space="preserve">인재·역량</w:t>
            </w:r>
          </w:p>
        </w:tc>
        <w:tc>
          <w:tcPr>
            <w:tcW w:w="1872" w:type="dxa"/>
          </w:tcPr>
          <w:p>
            <w:pPr/>
            <w:r>
              <w:t xml:space="preserve">하노이 디지털 선언(미래 디지털 인력)</w:t>
            </w:r>
          </w:p>
        </w:tc>
        <w:tc>
          <w:tcPr>
            <w:tcW w:w="1872" w:type="dxa"/>
          </w:tcPr>
          <w:p>
            <w:pPr/>
            <w:r>
              <w:t xml:space="preserve">과학기술부 3개년 계획, 혁신센터 연수, 5,000건 AI 연수·세미나(개도국 전체 대상, ASEAN 배정 미확인), Digital Academy, Smart Education(AI+교육)</w:t>
            </w:r>
          </w:p>
        </w:tc>
        <w:tc>
          <w:tcPr>
            <w:tcW w:w="1872" w:type="dxa"/>
          </w:tcPr>
          <w:p>
            <w:pPr/>
            <w:r>
              <w:t xml:space="preserve">외교부, 과학기술부, 공업정보화부, 교육부</w:t>
            </w:r>
          </w:p>
        </w:tc>
        <w:tc>
          <w:tcPr>
            <w:tcW w:w="1872" w:type="dxa"/>
          </w:tcPr>
          <w:p>
            <w:pPr/>
            <w:r>
              <w:t xml:space="preserve">AI Ready ASEAN(교사·학생), Master Trainer</w:t>
            </w:r>
          </w:p>
        </w:tc>
      </w:tr>
      <w:tr>
        <w:tc>
          <w:tcPr>
            <w:tcW w:w="1872" w:type="dxa"/>
          </w:tcPr>
          <w:p>
            <w:pPr/>
            <w:r>
              <w:t xml:space="preserve">언어·데이터·오픈소스</w:t>
            </w:r>
          </w:p>
        </w:tc>
        <w:tc>
          <w:tcPr>
            <w:tcW w:w="1872" w:type="dxa"/>
          </w:tcPr>
          <w:p>
            <w:pPr/>
            <w:r>
              <w:t xml:space="preserve">역내 언어모델(예: 싱가포르 SEA-LION, 11개 역내 언어)</w:t>
            </w:r>
          </w:p>
        </w:tc>
        <w:tc>
          <w:tcPr>
            <w:tcW w:w="1872" w:type="dxa"/>
          </w:tcPr>
          <w:p>
            <w:pPr/>
            <w:r>
              <w:t xml:space="preserve">라오스 국가 언어모델, ASEAN AI 오픈소스 커뮤니티, 행동계획의 오픈소스 AI</w:t>
            </w:r>
          </w:p>
        </w:tc>
        <w:tc>
          <w:tcPr>
            <w:tcW w:w="1872" w:type="dxa"/>
          </w:tcPr>
          <w:p>
            <w:pPr/>
            <w:r>
              <w:t xml:space="preserve">국가발전개혁위원회·광시, 공업정보화부</w:t>
            </w:r>
          </w:p>
        </w:tc>
        <w:tc>
          <w:tcPr>
            <w:tcW w:w="1872" w:type="dxa"/>
          </w:tcPr>
          <w:p>
            <w:pPr/>
            <w:r>
              <w:t xml:space="preserve">AI Class ASEAN의 현지어 AI 콘텐츠·용어</w:t>
            </w:r>
          </w:p>
        </w:tc>
      </w:tr>
      <w:tr>
        <w:tc>
          <w:tcPr>
            <w:tcW w:w="1872" w:type="dxa"/>
          </w:tcPr>
          <w:p>
            <w:pPr/>
            <w:r>
              <w:t xml:space="preserve">인프라·컴퓨팅</w:t>
            </w:r>
          </w:p>
        </w:tc>
        <w:tc>
          <w:tcPr>
            <w:tcW w:w="1872" w:type="dxa"/>
          </w:tcPr>
          <w:p>
            <w:pPr/>
            <w:r>
              <w:t xml:space="preserve">ASEAN Digital Masterplan 2030(디지털 인프라)</w:t>
            </w:r>
          </w:p>
        </w:tc>
        <w:tc>
          <w:tcPr>
            <w:tcW w:w="1872" w:type="dxa"/>
          </w:tcPr>
          <w:p>
            <w:pPr/>
            <w:r>
              <w:t xml:space="preserve">혁신센터의 지능형 인프라 공동 구축</w:t>
            </w:r>
          </w:p>
        </w:tc>
        <w:tc>
          <w:tcPr>
            <w:tcW w:w="1872" w:type="dxa"/>
          </w:tcPr>
          <w:p>
            <w:pPr/>
            <w:r>
              <w:t xml:space="preserve">공업정보화부</w:t>
            </w:r>
          </w:p>
        </w:tc>
        <w:tc>
          <w:tcPr>
            <w:tcW w:w="1872" w:type="dxa"/>
          </w:tcPr>
          <w:p>
            <w:pPr/>
            <w:r>
              <w:t xml:space="preserve">—</w:t>
            </w:r>
          </w:p>
        </w:tc>
      </w:tr>
    </w:tbl>
    <w:p>
      <w:pPr/>
      <w:r>
        <w:rPr>
          <w:b/>
        </w:rPr>
        <w:t xml:space="preserve">[판단]</w:t>
      </w:r>
      <w:r>
        <w:t xml:space="preserve"> 이 지도에서 읽어야 할 점은 네 가지다.</w:t>
      </w:r>
    </w:p>
    <w:p>
      <w:pPr>
        <w:pStyle w:val="ListParagraph"/>
        <w:numPr>
          <w:ilvl w:val="0"/>
          <w:numId w:val="6"/>
        </w:numPr>
      </w:pPr>
      <w:r>
        <w:rPr>
          <w:b/>
        </w:rPr>
        <w:t xml:space="preserve">중국은 AI를 묶음으로 제시한다.</w:t>
      </w:r>
      <w:r>
        <w:t xml:space="preserve"> 인프라에서 산업 응용, 인재, 표준·규범까지 한 번에 내놓는다. ASEAN은 거버넌스 문서를 갖추었으나, 협력의 실행은 대부분 중국 측 플랫폼이 주도한다.</w:t>
      </w:r>
    </w:p>
    <w:p>
      <w:pPr>
        <w:pStyle w:val="ListParagraph"/>
        <w:numPr>
          <w:ilvl w:val="0"/>
          <w:numId w:val="6"/>
        </w:numPr>
      </w:pPr>
      <w:r>
        <w:rPr>
          <w:b/>
        </w:rPr>
        <w:t xml:space="preserve">빈 칸은 'AI를 쓰는 사람'이다.</w:t>
      </w:r>
      <w:r>
        <w:t xml:space="preserve"> 인재 사업은 관료·엔지니어·유학생 중심이다. 교사·시민·MSME 대상으로는 중국 기업·플랫폼 교육과 대상이 공개되지 않은 Smart Education이 있을 뿐, ASEAN 주도·기술 중립의 AI 역량 사업은 협력에 연결되어 있지 않다. 연수 이후의 활용 지원과 성과 측정 방식도 공개되지 않았다. 재단의 두 사업은 이 칸에 있다.</w:t>
      </w:r>
    </w:p>
    <w:p>
      <w:pPr>
        <w:pStyle w:val="ListParagraph"/>
        <w:numPr>
          <w:ilvl w:val="0"/>
          <w:numId w:val="6"/>
        </w:numPr>
      </w:pPr>
      <w:r>
        <w:rPr>
          <w:b/>
        </w:rPr>
        <w:t xml:space="preserve">거버넌스·안전 층에서 재단의 기여는 '사용자 측 안전'이다.</w:t>
      </w:r>
      <w:r>
        <w:t xml:space="preserve"> 모델 시험·표준 같은 공급 측 대책에, AI를 이해하고 비판적으로 쓰는 역량이라는 수요 측 대책을 짝짓는다. CIIS 라운드테이블(Track 1.5)은 이를 재단의 목소리로 말할 수 있는 자리다. CIIS는 중국 외교부 산하이므로 발언은 중국 정부에 전달된다고 보고 준비한다.</w:t>
      </w:r>
    </w:p>
    <w:p>
      <w:pPr>
        <w:pStyle w:val="ListParagraph"/>
        <w:numPr>
          <w:ilvl w:val="0"/>
          <w:numId w:val="6"/>
        </w:numPr>
      </w:pPr>
      <w:r>
        <w:rPr>
          <w:b/>
        </w:rPr>
        <w:t xml:space="preserve">지금이 설계 단계다.</w:t>
      </w:r>
      <w:r>
        <w:t xml:space="preserve"> AI 윤리·안전 이니셔티브, 혁신센터 연수 과정, Smart Education의 세부가 아직 공개되지 않았다. 2026년 11월 정상회의와 2027 AI 협력의 해 채택 여부가 다음 분기점이다. 채택되면 양측은 2027년 AI 협력 결과물(deliverables)을 찾게 된다.</w:t>
      </w:r>
    </w:p>
    <w:p>
      <w:pPr>
        <w:pStyle w:val="Heading3"/>
      </w:pPr>
      <w:r>
        <w:t xml:space="preserve">3.3 배경: 양측의 AI 전략</w:t>
      </w:r>
    </w:p>
    <w:p>
      <w:pPr/>
      <w:r>
        <w:rPr>
          <w:b/>
        </w:rPr>
        <w:t xml:space="preserve">ASEAN: 비구속적 AI 거버넌스와 단계적 이행.</w:t>
      </w:r>
      <w:r>
        <w:t xml:space="preserve"> ASEAN Guide on AI Governance and Ethics(2024.2), 생성형 AI 확장판(2025.1), </w:t>
      </w:r>
      <w:hyperlink r:id="rId5" w:history="1">
        <w:r>
          <w:rPr>
            <w:rStyle w:val="Hyperlink"/>
          </w:rPr>
          <w:t xml:space="preserve">Responsible AI Roadmap 2025–2030</w:t>
        </w:r>
      </w:hyperlink>
      <w:r>
        <w:t xml:space="preserve">(2025.3 채택), WG-AI, ASEAN AI Safe(2025.10 정상 선언, 사무국 쿠알라룸푸르)가 축을 이룬다. 2026년 1월 </w:t>
      </w:r>
      <w:hyperlink r:id="rId6" w:history="1">
        <w:r>
          <w:rPr>
            <w:rStyle w:val="Hyperlink"/>
          </w:rPr>
          <w:t xml:space="preserve">하노이 디지털 선언</w:t>
        </w:r>
      </w:hyperlink>
      <w:r>
        <w:t xml:space="preserve">은 WG-AI와 ASEAN AI Safe를 통한 AI 정책 조화와 공동 안전을 합의했다. 모두 비구속적이며, 회원국이 자기 속도로 이행한다. ASEAN AI Safe는 ASEAN 내부 기제이며 ASEAN–중국 협력 사업이 아니다.</w:t>
      </w:r>
    </w:p>
    <w:p>
      <w:pPr/>
      <w:r>
        <w:rPr>
          <w:b/>
        </w:rPr>
        <w:t xml:space="preserve">중국: AI 역량 강화를 개도국 외교의 축으로.</w:t>
      </w:r>
      <w:r>
        <w:t xml:space="preserve"> 중국은 </w:t>
      </w:r>
      <w:hyperlink r:id="rId7" w:history="1">
        <w:r>
          <w:rPr>
            <w:rStyle w:val="Hyperlink"/>
          </w:rPr>
          <w:t xml:space="preserve">AI Capacity-Building Action Plan for Good and for All</w:t>
        </w:r>
      </w:hyperlink>
      <w:r>
        <w:t xml:space="preserve">(2024.9)에서 인프라, 산업(AI+), 인재 양성, 데이터, 안전의 5개 목표를 제시했다. 2025년 7월에는 Global AI Governance Action Plan을, 2026년 7월에는 WAICO 설립과 5,000건 AI 연수를 내놓았다. ISEAS 분석은 중국–ASEAN AI 교류의 경로를 연구센터·실험실, 정책 포럼, 연수 프로그램의 세 가지로 본다. East Asia Forum(2026.7)은 ASEAN이 복수의 AI 생태계에서 조달하고 자체 역량에 투자해 균형을 잡아야 한다고 주장한다.</w:t>
      </w:r>
    </w:p>
    <w:p>
      <w:pPr/>
      <w:r>
        <w:rPr>
          <w:b/>
        </w:rPr>
        <w:t xml:space="preserve">[판단]</w:t>
      </w:r>
      <w:r>
        <w:t xml:space="preserve"> 중국에게 AI 역량 강화는 AI 산업·표준 확산과 묶인 수단이다. 따라서 ASEAN 측 기구가 기여할 때는 무엇을 내놓는지만큼 무엇을 내놓지 않는지(학습자 데이터, 특정 AI 플랫폼 종속)를 먼저 정해야 한다. ASEAN의 비구속적 AI 거버넌스 체계와의 정합성을 앞세우면, 협력의 주도권을 ASEAN 쪽에 둔 채 기여할 수 있다.</w:t>
      </w:r>
    </w:p>
    <w:p>
      <w:pPr>
        <w:pStyle w:val="Heading2"/>
      </w:pPr>
      <w:r>
        <w:t xml:space="preserve">4. 공백 분석: AI를 누가 쓰지 못하고, 어디서 끊기는가</w:t>
      </w:r>
    </w:p>
    <w:p>
      <w:pPr/>
      <w:r>
        <w:t xml:space="preserve">ASEAN–중국 AI 협력 사업은 AI를 만들고(모델·표준) 배치하는(인프라·산업 응용) 쪽에 무게가 있다. AI를 쓰는 층, 곧 교사·시민의 AI 리터러시와 MSME의 AI 도입 역량을 겨냥한 사업은 공개 자료에서 확인되지 않는다. 다만 이 층은 '아무도 없는 공간'이 아니다. 중국 기업·플랫폼의 AI 교육은 이미 있다. 정확한 정의는 'ASEAN이 주도하는 기술 중립적 AI 역량 공공재가 협력에 연결되지 않은 공간'이다. 여기에 두 번째 공백이 겹친다. 연수를 받은 뒤 실제 업무에 쓰기까지의 구간이다(4.2).</w:t>
      </w:r>
    </w:p>
    <w:p>
      <w:pPr>
        <w:pStyle w:val="Heading3"/>
      </w:pPr>
      <w:r>
        <w:t xml:space="preserve">4.1 대상층별 AI 역량 현황</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대상층</w:t>
            </w:r>
          </w:p>
        </w:tc>
        <w:tc>
          <w:tcPr>
            <w:tcW w:w="1872" w:type="dxa"/>
            <w:shd w:val="clear" w:color="auto" w:fill="F2F2F2"/>
          </w:tcPr>
          <w:p>
            <w:pPr/>
            <w:r>
              <w:t xml:space="preserve">필요한 AI 역량</w:t>
            </w:r>
          </w:p>
        </w:tc>
        <w:tc>
          <w:tcPr>
            <w:tcW w:w="1872" w:type="dxa"/>
            <w:shd w:val="clear" w:color="auto" w:fill="F2F2F2"/>
          </w:tcPr>
          <w:p>
            <w:pPr/>
            <w:r>
              <w:t xml:space="preserve">ASEAN–중국 공식 트랙</w:t>
            </w:r>
          </w:p>
        </w:tc>
        <w:tc>
          <w:tcPr>
            <w:tcW w:w="1872" w:type="dxa"/>
            <w:shd w:val="clear" w:color="auto" w:fill="F2F2F2"/>
          </w:tcPr>
          <w:p>
            <w:pPr/>
            <w:r>
              <w:t xml:space="preserve">중국 기업·지방정부 채널</w:t>
            </w:r>
          </w:p>
        </w:tc>
        <w:tc>
          <w:tcPr>
            <w:tcW w:w="1872" w:type="dxa"/>
            <w:shd w:val="clear" w:color="auto" w:fill="F2F2F2"/>
          </w:tcPr>
          <w:p>
            <w:pPr/>
            <w:r>
              <w:t xml:space="preserve">재단 AI 사업</w:t>
            </w:r>
          </w:p>
        </w:tc>
      </w:tr>
      <w:tr>
        <w:tc>
          <w:tcPr>
            <w:tcW w:w="1872" w:type="dxa"/>
          </w:tcPr>
          <w:p>
            <w:pPr/>
            <w:r>
              <w:t xml:space="preserve">정책 관료</w:t>
            </w:r>
          </w:p>
        </w:tc>
        <w:tc>
          <w:tcPr>
            <w:tcW w:w="1872" w:type="dxa"/>
          </w:tcPr>
          <w:p>
            <w:pPr/>
            <w:r>
              <w:t xml:space="preserve">AI 정책 설계, 거버넌스 기준 이해</w:t>
            </w:r>
          </w:p>
        </w:tc>
        <w:tc>
          <w:tcPr>
            <w:tcW w:w="1872" w:type="dxa"/>
          </w:tcPr>
          <w:p>
            <w:pPr/>
            <w:r>
              <w:t xml:space="preserve">혁신센터 연수, 과학기술부 3개년 계획, 5,000건 AI 연수·세미나(개도국 전체 대상, ASEAN 배정 미확인)</w:t>
            </w:r>
          </w:p>
        </w:tc>
        <w:tc>
          <w:tcPr>
            <w:tcW w:w="1872" w:type="dxa"/>
          </w:tcPr>
          <w:p>
            <w:pPr/>
            <w:r>
              <w:t xml:space="preserve">—</w:t>
            </w:r>
          </w:p>
        </w:tc>
        <w:tc>
          <w:tcPr>
            <w:tcW w:w="1872" w:type="dxa"/>
          </w:tcPr>
          <w:p>
            <w:pPr/>
            <w:r>
              <w:t xml:space="preserve">—</w:t>
            </w:r>
          </w:p>
        </w:tc>
      </w:tr>
      <w:tr>
        <w:tc>
          <w:tcPr>
            <w:tcW w:w="1872" w:type="dxa"/>
          </w:tcPr>
          <w:p>
            <w:pPr/>
            <w:r>
              <w:t xml:space="preserve">AI 엔지니어·산업 인력</w:t>
            </w:r>
          </w:p>
        </w:tc>
        <w:tc>
          <w:tcPr>
            <w:tcW w:w="1872" w:type="dxa"/>
          </w:tcPr>
          <w:p>
            <w:pPr/>
            <w:r>
              <w:t xml:space="preserve">모델 개발·배치, 산업 적용</w:t>
            </w:r>
          </w:p>
        </w:tc>
        <w:tc>
          <w:tcPr>
            <w:tcW w:w="1872" w:type="dxa"/>
          </w:tcPr>
          <w:p>
            <w:pPr/>
            <w:r>
              <w:t xml:space="preserve">혁신센터 연수, 응용협력센터 기업 매칭, Digital Academy 장학</w:t>
            </w:r>
          </w:p>
        </w:tc>
        <w:tc>
          <w:tcPr>
            <w:tcW w:w="1872" w:type="dxa"/>
          </w:tcPr>
          <w:p>
            <w:pPr/>
            <w:r>
              <w:t xml:space="preserve">기업별 직무 교육</w:t>
            </w:r>
          </w:p>
        </w:tc>
        <w:tc>
          <w:tcPr>
            <w:tcW w:w="1872" w:type="dxa"/>
          </w:tcPr>
          <w:p>
            <w:pPr/>
            <w:r>
              <w:t xml:space="preserve">—</w:t>
            </w:r>
          </w:p>
        </w:tc>
      </w:tr>
      <w:tr>
        <w:tc>
          <w:tcPr>
            <w:tcW w:w="1872" w:type="dxa"/>
          </w:tcPr>
          <w:p>
            <w:pPr/>
            <w:r>
              <w:t xml:space="preserve">MSME·소상공인</w:t>
            </w:r>
          </w:p>
        </w:tc>
        <w:tc>
          <w:tcPr>
            <w:tcW w:w="1872" w:type="dxa"/>
          </w:tcPr>
          <w:p>
            <w:pPr/>
            <w:r>
              <w:t xml:space="preserve">업무용 AI 도구 선택·활용, AI 사기 대응</w:t>
            </w:r>
          </w:p>
        </w:tc>
        <w:tc>
          <w:tcPr>
            <w:tcW w:w="1872" w:type="dxa"/>
          </w:tcPr>
          <w:p>
            <w:pPr/>
            <w:r>
              <w:t xml:space="preserve">MSME 전용 AI 연수는 확인되지 않음</w:t>
            </w:r>
          </w:p>
        </w:tc>
        <w:tc>
          <w:tcPr>
            <w:tcW w:w="1872" w:type="dxa"/>
          </w:tcPr>
          <w:p>
            <w:pPr/>
            <w:r>
              <w:t xml:space="preserve">광시 'AI+국경간 전자상거래' 경연, 플랫폼별 판매자 교육</w:t>
            </w:r>
          </w:p>
        </w:tc>
        <w:tc>
          <w:tcPr>
            <w:tcW w:w="1872" w:type="dxa"/>
          </w:tcPr>
          <w:p>
            <w:pPr/>
            <w:r>
              <w:t xml:space="preserve">AIM ASEAN(10만 곳 목표, 현지 파트너 경유)</w:t>
            </w:r>
          </w:p>
        </w:tc>
      </w:tr>
      <w:tr>
        <w:tc>
          <w:tcPr>
            <w:tcW w:w="1872" w:type="dxa"/>
          </w:tcPr>
          <w:p>
            <w:pPr/>
            <w:r>
              <w:t xml:space="preserve">대학생·교원</w:t>
            </w:r>
          </w:p>
        </w:tc>
        <w:tc>
          <w:tcPr>
            <w:tcW w:w="1872" w:type="dxa"/>
          </w:tcPr>
          <w:p>
            <w:pPr/>
            <w:r>
              <w:t xml:space="preserve">학업·연구에서의 AI 활용</w:t>
            </w:r>
          </w:p>
        </w:tc>
        <w:tc>
          <w:tcPr>
            <w:tcW w:w="1872" w:type="dxa"/>
          </w:tcPr>
          <w:p>
            <w:pPr/>
            <w:r>
              <w:t xml:space="preserve">Digital Academy 장학, 대학 간 맞춤 과정</w:t>
            </w:r>
          </w:p>
        </w:tc>
        <w:tc>
          <w:tcPr>
            <w:tcW w:w="1872" w:type="dxa"/>
          </w:tcPr>
          <w:p>
            <w:pPr/>
            <w:r>
              <w:t xml:space="preserve">Huawei Seeds for the Future</w:t>
            </w:r>
          </w:p>
        </w:tc>
        <w:tc>
          <w:tcPr>
            <w:tcW w:w="1872" w:type="dxa"/>
          </w:tcPr>
          <w:p>
            <w:pPr/>
            <w:r>
              <w:t xml:space="preserve">AI Ready ASEAN 2단계</w:t>
            </w:r>
          </w:p>
        </w:tc>
      </w:tr>
      <w:tr>
        <w:tc>
          <w:tcPr>
            <w:tcW w:w="1872" w:type="dxa"/>
          </w:tcPr>
          <w:p>
            <w:pPr/>
            <w:r>
              <w:t xml:space="preserve">교사</w:t>
            </w:r>
          </w:p>
        </w:tc>
        <w:tc>
          <w:tcPr>
            <w:tcW w:w="1872" w:type="dxa"/>
          </w:tcPr>
          <w:p>
            <w:pPr/>
            <w:r>
              <w:t xml:space="preserve">수업용 AI 활용, AI 윤리 지도</w:t>
            </w:r>
          </w:p>
        </w:tc>
        <w:tc>
          <w:tcPr>
            <w:tcW w:w="1872" w:type="dxa"/>
          </w:tcPr>
          <w:p>
            <w:pPr/>
            <w:r>
              <w:t xml:space="preserve">Smart Education 사업('AI+교육' 연계, 대상·내용 미공개)</w:t>
            </w:r>
          </w:p>
        </w:tc>
        <w:tc>
          <w:tcPr>
            <w:tcW w:w="1872" w:type="dxa"/>
          </w:tcPr>
          <w:p>
            <w:pPr/>
            <w:r>
              <w:t xml:space="preserve">—</w:t>
            </w:r>
          </w:p>
        </w:tc>
        <w:tc>
          <w:tcPr>
            <w:tcW w:w="1872" w:type="dxa"/>
          </w:tcPr>
          <w:p>
            <w:pPr/>
            <w:r>
              <w:t xml:space="preserve">AI Ready ASEAN 2단계 K-12 교사(핵심), 1단계 교육자</w:t>
            </w:r>
          </w:p>
        </w:tc>
      </w:tr>
      <w:tr>
        <w:tc>
          <w:tcPr>
            <w:tcW w:w="1872" w:type="dxa"/>
          </w:tcPr>
          <w:p>
            <w:pPr/>
            <w:r>
              <w:t xml:space="preserve">학부모·일반 시민</w:t>
            </w:r>
          </w:p>
        </w:tc>
        <w:tc>
          <w:tcPr>
            <w:tcW w:w="1872" w:type="dxa"/>
          </w:tcPr>
          <w:p>
            <w:pPr/>
            <w:r>
              <w:t xml:space="preserve">생성형 AI 이해, 허위정보·딥페이크 식별</w:t>
            </w:r>
          </w:p>
        </w:tc>
        <w:tc>
          <w:tcPr>
            <w:tcW w:w="1872" w:type="dxa"/>
          </w:tcPr>
          <w:p>
            <w:pPr/>
            <w:r>
              <w:t xml:space="preserve">확인되지 않음</w:t>
            </w:r>
          </w:p>
        </w:tc>
        <w:tc>
          <w:tcPr>
            <w:tcW w:w="1872" w:type="dxa"/>
          </w:tcPr>
          <w:p>
            <w:pPr/>
            <w:r>
              <w:t xml:space="preserve">—</w:t>
            </w:r>
          </w:p>
        </w:tc>
        <w:tc>
          <w:tcPr>
            <w:tcW w:w="1872" w:type="dxa"/>
          </w:tcPr>
          <w:p>
            <w:pPr/>
            <w:r>
              <w:t xml:space="preserve">AI Ready ASEAN 1단계, AI Class ASEAN(무료, 현지어)</w:t>
            </w:r>
          </w:p>
        </w:tc>
      </w:tr>
      <w:tr>
        <w:tc>
          <w:tcPr>
            <w:tcW w:w="1872" w:type="dxa"/>
          </w:tcPr>
          <w:p>
            <w:pPr/>
            <w:r>
              <w:t xml:space="preserve">농촌·취약계층</w:t>
            </w:r>
          </w:p>
        </w:tc>
        <w:tc>
          <w:tcPr>
            <w:tcW w:w="1872" w:type="dxa"/>
          </w:tcPr>
          <w:p>
            <w:pPr/>
            <w:r>
              <w:t xml:space="preserve">기초 AI 리터러시와 접근</w:t>
            </w:r>
          </w:p>
        </w:tc>
        <w:tc>
          <w:tcPr>
            <w:tcW w:w="1872" w:type="dxa"/>
          </w:tcPr>
          <w:p>
            <w:pPr/>
            <w:r>
              <w:t xml:space="preserve">스마트농업 공동성명의 농민 디지털 역량(원칙 수준)</w:t>
            </w:r>
          </w:p>
        </w:tc>
        <w:tc>
          <w:tcPr>
            <w:tcW w:w="1872" w:type="dxa"/>
          </w:tcPr>
          <w:p>
            <w:pPr/>
            <w:r>
              <w:t xml:space="preserve">Huawei TECH4ALL 등. 동남아 AI 리터러시 사례는 미확인</w:t>
            </w:r>
          </w:p>
        </w:tc>
        <w:tc>
          <w:tcPr>
            <w:tcW w:w="1872" w:type="dxa"/>
          </w:tcPr>
          <w:p>
            <w:pPr/>
            <w:r>
              <w:t xml:space="preserve">AI Ready ASEAN 1단계(LIP 경유)</w:t>
            </w:r>
          </w:p>
        </w:tc>
      </w:tr>
    </w:tbl>
    <w:p>
      <w:pPr>
        <w:pStyle w:val="Heading3"/>
      </w:pPr>
      <w:r>
        <w:t xml:space="preserve">4.2 어디서 끊기는가: 연수 이후의 단절</w:t>
      </w:r>
    </w:p>
    <w:p>
      <w:pPr/>
      <w:r>
        <w:t xml:space="preserve">싱가포르 Convening은 MSME의 AI 도입을 인식, 실험, 적용, 확산의 단계로 보고, 그 사이에서 지원이 끊긴다고 진단했다(2.4). 단계별로 ASEAN–중국 협력의 현재와 재단의 접점을 맞춰 보면 다음과 같다.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단계</w:t>
            </w:r>
          </w:p>
        </w:tc>
        <w:tc>
          <w:tcPr>
            <w:tcW w:w="1872" w:type="dxa"/>
            <w:shd w:val="clear" w:color="auto" w:fill="F2F2F2"/>
          </w:tcPr>
          <w:p>
            <w:pPr/>
            <w:r>
              <w:t xml:space="preserve">싱가포르에서 확인된 장벽</w:t>
            </w:r>
          </w:p>
        </w:tc>
        <w:tc>
          <w:tcPr>
            <w:tcW w:w="1872" w:type="dxa"/>
            <w:shd w:val="clear" w:color="auto" w:fill="F2F2F2"/>
          </w:tcPr>
          <w:p>
            <w:pPr/>
            <w:r>
              <w:t xml:space="preserve">필요한 지원(보고서의 정책 방향)</w:t>
            </w:r>
          </w:p>
        </w:tc>
        <w:tc>
          <w:tcPr>
            <w:tcW w:w="1872" w:type="dxa"/>
            <w:shd w:val="clear" w:color="auto" w:fill="F2F2F2"/>
          </w:tcPr>
          <w:p>
            <w:pPr/>
            <w:r>
              <w:t xml:space="preserve">ASEAN–중국 협력의 현재</w:t>
            </w:r>
          </w:p>
        </w:tc>
        <w:tc>
          <w:tcPr>
            <w:tcW w:w="1872" w:type="dxa"/>
            <w:shd w:val="clear" w:color="auto" w:fill="F2F2F2"/>
          </w:tcPr>
          <w:p>
            <w:pPr/>
            <w:r>
              <w:t xml:space="preserve">재단의 접점</w:t>
            </w:r>
          </w:p>
        </w:tc>
      </w:tr>
      <w:tr>
        <w:tc>
          <w:tcPr>
            <w:tcW w:w="1872" w:type="dxa"/>
          </w:tcPr>
          <w:p>
            <w:pPr/>
            <w:r>
              <w:t xml:space="preserve">인식</w:t>
            </w:r>
          </w:p>
        </w:tc>
        <w:tc>
          <w:tcPr>
            <w:tcW w:w="1872" w:type="dxa"/>
          </w:tcPr>
          <w:p>
            <w:pPr/>
            <w:r>
              <w:t xml:space="preserve">챗봇 사용 경험을 준비도로 착각, 투자 이유 불분명</w:t>
            </w:r>
          </w:p>
        </w:tc>
        <w:tc>
          <w:tcPr>
            <w:tcW w:w="1872" w:type="dxa"/>
          </w:tcPr>
          <w:p>
            <w:pPr/>
            <w:r>
              <w:t xml:space="preserve">사업 문제에서 출발하는 분야별 시연</w:t>
            </w:r>
          </w:p>
        </w:tc>
        <w:tc>
          <w:tcPr>
            <w:tcW w:w="1872" w:type="dxa"/>
          </w:tcPr>
          <w:p>
            <w:pPr/>
            <w:r>
              <w:t xml:space="preserve">연수·세미나(5,000건, 혁신센터 연수), Digital Academy 장학</w:t>
            </w:r>
          </w:p>
        </w:tc>
        <w:tc>
          <w:tcPr>
            <w:tcW w:w="1872" w:type="dxa"/>
          </w:tcPr>
          <w:p>
            <w:pPr/>
            <w:r>
              <w:t xml:space="preserve">AI Class ASEAN, AIM ASEAN 기초 과정</w:t>
            </w:r>
          </w:p>
        </w:tc>
      </w:tr>
      <w:tr>
        <w:tc>
          <w:tcPr>
            <w:tcW w:w="1872" w:type="dxa"/>
          </w:tcPr>
          <w:p>
            <w:pPr/>
            <w:r>
              <w:t xml:space="preserve">실험</w:t>
            </w:r>
          </w:p>
        </w:tc>
        <w:tc>
          <w:tcPr>
            <w:tcW w:w="1872" w:type="dxa"/>
          </w:tcPr>
          <w:p>
            <w:pPr/>
            <w:r>
              <w:t xml:space="preserve">활용처 불확실, 분절된 데이터, 실패의 기회비용</w:t>
            </w:r>
          </w:p>
        </w:tc>
        <w:tc>
          <w:tcPr>
            <w:tcW w:w="1872" w:type="dxa"/>
          </w:tcPr>
          <w:p>
            <w:pPr/>
            <w:r>
              <w:t xml:space="preserve">합성 데이터와 준비된 업무 흐름으로 하는 저위험 시범, 총비용 산정</w:t>
            </w:r>
          </w:p>
        </w:tc>
        <w:tc>
          <w:tcPr>
            <w:tcW w:w="1872" w:type="dxa"/>
          </w:tcPr>
          <w:p>
            <w:pPr/>
            <w:r>
              <w:t xml:space="preserve">응용협력센터의 AI 응용 시나리오 목록(1,000여 건)과 기업 매칭. MSME 대상 시범 지원은 확인되지 않음</w:t>
            </w:r>
          </w:p>
        </w:tc>
        <w:tc>
          <w:tcPr>
            <w:tcW w:w="1872" w:type="dxa"/>
          </w:tcPr>
          <w:p>
            <w:pPr/>
            <w:r>
              <w:t xml:space="preserve">분야별 시연 자료, 책임 있는 사용 안내</w:t>
            </w:r>
          </w:p>
        </w:tc>
      </w:tr>
      <w:tr>
        <w:tc>
          <w:tcPr>
            <w:tcW w:w="1872" w:type="dxa"/>
          </w:tcPr>
          <w:p>
            <w:pPr/>
            <w:r>
              <w:t xml:space="preserve">적용</w:t>
            </w:r>
          </w:p>
        </w:tc>
        <w:tc>
          <w:tcPr>
            <w:tcW w:w="1872" w:type="dxa"/>
          </w:tcPr>
          <w:p>
            <w:pPr/>
            <w:r>
              <w:t xml:space="preserve">내부 역량 부족, 직원 불안, 연동·보안 비용</w:t>
            </w:r>
          </w:p>
        </w:tc>
        <w:tc>
          <w:tcPr>
            <w:tcW w:w="1872" w:type="dxa"/>
          </w:tcPr>
          <w:p>
            <w:pPr/>
            <w:r>
              <w:t xml:space="preserve">솔루션 안내와 연결 창구, 실행 지원, 인력 전환(AI + X, 내부 챔피언)</w:t>
            </w:r>
          </w:p>
        </w:tc>
        <w:tc>
          <w:tcPr>
            <w:tcW w:w="1872" w:type="dxa"/>
          </w:tcPr>
          <w:p>
            <w:pPr/>
            <w:r>
              <w:t xml:space="preserve">공개 자료로 확인되지 않음</w:t>
            </w:r>
          </w:p>
        </w:tc>
        <w:tc>
          <w:tcPr>
            <w:tcW w:w="1872" w:type="dxa"/>
          </w:tcPr>
          <w:p>
            <w:pPr/>
            <w:r>
              <w:t xml:space="preserve">현지 파트너망, 연수 이후 클리닉(싱가포르 제안)</w:t>
            </w:r>
          </w:p>
        </w:tc>
      </w:tr>
      <w:tr>
        <w:tc>
          <w:tcPr>
            <w:tcW w:w="1872" w:type="dxa"/>
          </w:tcPr>
          <w:p>
            <w:pPr/>
            <w:r>
              <w:t xml:space="preserve">확산</w:t>
            </w:r>
          </w:p>
        </w:tc>
        <w:tc>
          <w:tcPr>
            <w:tcW w:w="1872" w:type="dxa"/>
          </w:tcPr>
          <w:p>
            <w:pPr/>
            <w:r>
              <w:t xml:space="preserve">단발 워크숍·단기 시범의 종료, 성과 근거 부족</w:t>
            </w:r>
          </w:p>
        </w:tc>
        <w:tc>
          <w:tcPr>
            <w:tcW w:w="1872" w:type="dxa"/>
          </w:tcPr>
          <w:p>
            <w:pPr/>
            <w:r>
              <w:t xml:space="preserve">지속적 활용과 사업 가치 측정, 신뢰받는 네트워크를 통한 전달</w:t>
            </w:r>
          </w:p>
        </w:tc>
        <w:tc>
          <w:tcPr>
            <w:tcW w:w="1872" w:type="dxa"/>
          </w:tcPr>
          <w:p>
            <w:pPr/>
            <w:r>
              <w:t xml:space="preserve">공개 자료로 확인되지 않음</w:t>
            </w:r>
          </w:p>
        </w:tc>
        <w:tc>
          <w:tcPr>
            <w:tcW w:w="1872" w:type="dxa"/>
          </w:tcPr>
          <w:p>
            <w:pPr/>
            <w:r>
              <w:t xml:space="preserve">공통 성과 지표, 지역 사례 교류(싱가포르 권고)</w:t>
            </w:r>
          </w:p>
        </w:tc>
      </w:tr>
    </w:tbl>
    <w:p>
      <w:pPr/>
      <w:r>
        <w:rPr>
          <w:b/>
        </w:rPr>
        <w:t xml:space="preserve">[판단]</w:t>
      </w:r>
      <w:r>
        <w:t xml:space="preserve"> ASEAN–중국 협력의 인재 사업은 첫 단계(인식·기초 연수)와 고급 인재(엔지니어·관료)에 집중되어 있고, 적용과 확산 단계의 지원은 공개 자료로 확인되지 않는다. 연수 건수를 목표로 내건 사업일수록 같은 단절을 겪을 가능성이 크다. 재단이 내놓을 수 있는 가장 차별화된 기여는 이 뒤쪽 두 단계다.</w:t>
      </w:r>
    </w:p>
    <w:p>
      <w:pPr>
        <w:pStyle w:val="Heading3"/>
      </w:pPr>
      <w:r>
        <w:t xml:space="preserve">4.3 근거</w:t>
      </w:r>
    </w:p>
    <w:p>
      <w:pPr/>
      <w:r>
        <w:rPr>
          <w:b/>
        </w:rPr>
        <w:t xml:space="preserve">협력의 무게중심: 만들고 배치하는 AI</w:t>
      </w:r>
    </w:p>
    <w:p>
      <w:pPr>
        <w:pStyle w:val="ListParagraph"/>
        <w:numPr>
          <w:ilvl w:val="0"/>
          <w:numId w:val="7"/>
        </w:numPr>
      </w:pPr>
      <w:r>
        <w:rPr>
          <w:b/>
        </w:rPr>
        <w:t xml:space="preserve">사업 구성</w:t>
      </w:r>
      <w:r>
        <w:t xml:space="preserve">: 2026년 9월 사례집 31건은 인프라, 스마트 제조, 스마트 물류가 중심이다(중국 관영 매체 보도 기준). 난닝 응용협력센터는 AI 응용 시나리오 1,000여 건을 목록화하고 기업 55곳의 연맹을 꾸렸다(중국 관영 매체 단일 출처).</w:t>
      </w:r>
    </w:p>
    <w:p>
      <w:pPr>
        <w:pStyle w:val="ListParagraph"/>
        <w:numPr>
          <w:ilvl w:val="0"/>
          <w:numId w:val="7"/>
        </w:numPr>
      </w:pPr>
      <w:r>
        <w:rPr>
          <w:b/>
        </w:rPr>
        <w:t xml:space="preserve">연수 대상</w:t>
      </w:r>
      <w:r>
        <w:t xml:space="preserve">: ASEAN 사무총장이 밝힌 혁신센터 AI 연수 대상은 관료, 기업 직원, 유학생이다. Digital Academy는 학위·장학 과정이다. 개도국 전체를 대상으로 한 5,000건 AI 연수·세미나는 ASEAN 배정과 대상, 형식이 공개되지 않았다.</w:t>
      </w:r>
    </w:p>
    <w:p>
      <w:pPr>
        <w:pStyle w:val="ListParagraph"/>
        <w:numPr>
          <w:ilvl w:val="0"/>
          <w:numId w:val="7"/>
        </w:numPr>
      </w:pPr>
      <w:r>
        <w:rPr>
          <w:b/>
        </w:rPr>
        <w:t xml:space="preserve">ASEAN 측 기대</w:t>
      </w:r>
      <w:r>
        <w:t xml:space="preserve">: 사무총장은 혁신센터를 "디지털 전환이 모두에게 혜택이 되도록 하는 공동 역량 강화 플랫폼"으로 규정했다. ASEAN 측이 이 협력에서 포용성을 앞세운다는 뜻으로 읽힌다 </w:t>
      </w:r>
      <w:r>
        <w:rPr>
          <w:b/>
        </w:rPr>
        <w:t xml:space="preserve">[판단]</w:t>
      </w:r>
      <w:r>
        <w:t xml:space="preserve">.</w:t>
      </w:r>
    </w:p>
    <w:p>
      <w:pPr/>
      <w:r>
        <w:rPr>
          <w:b/>
        </w:rPr>
        <w:t xml:space="preserve">AI를 쓰는 층의 준비도</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층</w:t>
            </w:r>
          </w:p>
        </w:tc>
        <w:tc>
          <w:tcPr>
            <w:tcW w:w="3120" w:type="dxa"/>
            <w:shd w:val="clear" w:color="auto" w:fill="F2F2F2"/>
          </w:tcPr>
          <w:p>
            <w:pPr/>
            <w:r>
              <w:t xml:space="preserve">지표</w:t>
            </w:r>
          </w:p>
        </w:tc>
        <w:tc>
          <w:tcPr>
            <w:tcW w:w="3120" w:type="dxa"/>
            <w:shd w:val="clear" w:color="auto" w:fill="F2F2F2"/>
          </w:tcPr>
          <w:p>
            <w:pPr/>
            <w:r>
              <w:t xml:space="preserve">출처</w:t>
            </w:r>
          </w:p>
        </w:tc>
      </w:tr>
      <w:tr>
        <w:tc>
          <w:tcPr>
            <w:tcW w:w="3120" w:type="dxa"/>
          </w:tcPr>
          <w:p>
            <w:pPr/>
            <w:r>
              <w:t xml:space="preserve">학생·교육자</w:t>
            </w:r>
          </w:p>
        </w:tc>
        <w:tc>
          <w:tcPr>
            <w:tcW w:w="3120" w:type="dxa"/>
          </w:tcPr>
          <w:p>
            <w:pPr/>
            <w:r>
              <w:t xml:space="preserve">학생 72.4%, 교육자 70.5%가 AI 강좌 미수강. 교육자는 자신감에 비해 실측 AI 리터러시가 낮고, 학생은 자기 역량을 과대평가. 기관 준비도 최저</w:t>
            </w:r>
          </w:p>
        </w:tc>
        <w:tc>
          <w:tcPr>
            <w:tcW w:w="3120" w:type="dxa"/>
          </w:tcPr>
          <w:p>
            <w:pPr/>
            <w:r>
              <w:t xml:space="preserve">AI Ready ASEAN Research(2026)</w:t>
            </w:r>
          </w:p>
        </w:tc>
      </w:tr>
      <w:tr>
        <w:tc>
          <w:tcPr>
            <w:tcW w:w="3120" w:type="dxa"/>
          </w:tcPr>
          <w:p>
            <w:pPr/>
            <w:r>
              <w:t xml:space="preserve">중소기업(싱가포르)</w:t>
            </w:r>
          </w:p>
        </w:tc>
        <w:tc>
          <w:tcPr>
            <w:tcW w:w="3120" w:type="dxa"/>
          </w:tcPr>
          <w:p>
            <w:pPr/>
            <w:r>
              <w:t xml:space="preserve">AI 도입률 중소기업 23.4%, 그 외 기업 70.4%(2025)</w:t>
            </w:r>
          </w:p>
        </w:tc>
        <w:tc>
          <w:tcPr>
            <w:tcW w:w="3120" w:type="dxa"/>
          </w:tcPr>
          <w:p>
            <w:pPr/>
            <w:r>
              <w:t xml:space="preserve">IMDA(2026.10)</w:t>
            </w:r>
          </w:p>
        </w:tc>
      </w:tr>
      <w:tr>
        <w:tc>
          <w:tcPr>
            <w:tcW w:w="3120" w:type="dxa"/>
          </w:tcPr>
          <w:p>
            <w:pPr/>
            <w:r>
              <w:t xml:space="preserve">MSME 현장(싱가포르)</w:t>
            </w:r>
          </w:p>
        </w:tc>
        <w:tc>
          <w:tcPr>
            <w:tcW w:w="3120" w:type="dxa"/>
          </w:tcPr>
          <w:p>
            <w:pPr/>
            <w:r>
              <w:t xml:space="preserve">도구 접근과 사업 통합의 차이, 인식·실험·적용·확산 사이의 단절, 데이터 준비 부족, 'AI-bilingual' 인재 부족</w:t>
            </w:r>
          </w:p>
        </w:tc>
        <w:tc>
          <w:tcPr>
            <w:tcW w:w="3120" w:type="dxa"/>
          </w:tcPr>
          <w:p>
            <w:pPr/>
            <w:r>
              <w:t xml:space="preserve">AIM ASEAN 싱가포르 Convening(LIP 내부 보고서)</w:t>
            </w:r>
          </w:p>
        </w:tc>
      </w:tr>
      <w:tr>
        <w:tc>
          <w:tcPr>
            <w:tcW w:w="3120" w:type="dxa"/>
          </w:tcPr>
          <w:p>
            <w:pPr/>
            <w:r>
              <w:t xml:space="preserve">MSME 현장(인도네시아)</w:t>
            </w:r>
          </w:p>
        </w:tc>
        <w:tc>
          <w:tcPr>
            <w:tcW w:w="3120" w:type="dxa"/>
          </w:tcPr>
          <w:p>
            <w:pPr/>
            <w:r>
              <w:t xml:space="preserve">디지털·금융 리터러시 격차. MSME부 장관: MSME의 90% 이상이 AI를 업무에 제대로 쓰지 못함</w:t>
            </w:r>
          </w:p>
        </w:tc>
        <w:tc>
          <w:tcPr>
            <w:tcW w:w="3120" w:type="dxa"/>
          </w:tcPr>
          <w:p>
            <w:pPr/>
            <w:r>
              <w:t xml:space="preserve">Convening 보도(Kompas), 개회사 Antara 보도(단일 출처)</w:t>
            </w:r>
          </w:p>
        </w:tc>
      </w:tr>
      <w:tr>
        <w:tc>
          <w:tcPr>
            <w:tcW w:w="3120" w:type="dxa"/>
          </w:tcPr>
          <w:p>
            <w:pPr/>
            <w:r>
              <w:t xml:space="preserve">전자상거래 판매자(6개국)</w:t>
            </w:r>
          </w:p>
        </w:tc>
        <w:tc>
          <w:tcPr>
            <w:tcW w:w="3120" w:type="dxa"/>
          </w:tcPr>
          <w:p>
            <w:pPr/>
            <w:r>
              <w:t xml:space="preserve">AI를 안다 68%, 실제 업무 적용 37%. 4곳 중 3곳이 추가 지원 필요</w:t>
            </w:r>
          </w:p>
        </w:tc>
        <w:tc>
          <w:tcPr>
            <w:tcW w:w="3120" w:type="dxa"/>
          </w:tcPr>
          <w:p>
            <w:pPr/>
            <w:r>
              <w:t xml:space="preserve">Lazada–Kantar(2025.2, 판매자 1,214곳, 플랫폼 조사)</w:t>
            </w:r>
          </w:p>
        </w:tc>
      </w:tr>
      <w:tr>
        <w:tc>
          <w:tcPr>
            <w:tcW w:w="3120" w:type="dxa"/>
          </w:tcPr>
          <w:p>
            <w:pPr/>
            <w:r>
              <w:t xml:space="preserve">역내 MSME 전반</w:t>
            </w:r>
          </w:p>
        </w:tc>
        <w:tc>
          <w:tcPr>
            <w:tcW w:w="3120" w:type="dxa"/>
          </w:tcPr>
          <w:p>
            <w:pPr/>
            <w:r>
              <w:t xml:space="preserve">비용, 기술 복잡성, 전문성 부족으로 AI 도입이 낮음</w:t>
            </w:r>
          </w:p>
        </w:tc>
        <w:tc>
          <w:tcPr>
            <w:tcW w:w="3120" w:type="dxa"/>
          </w:tcPr>
          <w:p>
            <w:pPr/>
            <w:r>
              <w:t xml:space="preserve">ERIA Policy Brief 2025-1</w:t>
            </w:r>
          </w:p>
        </w:tc>
      </w:tr>
      <w:tr>
        <w:tc>
          <w:tcPr>
            <w:tcW w:w="3120" w:type="dxa"/>
          </w:tcPr>
          <w:p>
            <w:pPr/>
            <w:r>
              <w:t xml:space="preserve">OECD 회원국 중소기업</w:t>
            </w:r>
          </w:p>
        </w:tc>
        <w:tc>
          <w:tcPr>
            <w:tcW w:w="3120" w:type="dxa"/>
          </w:tcPr>
          <w:p>
            <w:pPr/>
            <w:r>
              <w:t xml:space="preserve">대부분 기성 AI 제품을 쓰며, 업무에 전략적이고 안전하게 통합하는 수준은 고르지 않음</w:t>
            </w:r>
          </w:p>
        </w:tc>
        <w:tc>
          <w:tcPr>
            <w:tcW w:w="3120" w:type="dxa"/>
          </w:tcPr>
          <w:p>
            <w:pPr/>
            <w:r>
              <w:t xml:space="preserve">OECD 2026 D4SME 조사(12개국 2,000곳 이상, 비대표 표본)</w:t>
            </w:r>
          </w:p>
        </w:tc>
      </w:tr>
    </w:tbl>
    <w:p>
      <w:pPr/>
      <w:r>
        <w:t xml:space="preserve">조사마다 정의와 표본이 달라 수치를 합산하거나 직접 비교하면 안 된다. ASEAN 전체 MSME의 AI 도입률에 대한 공식 통계는 없다.</w:t>
      </w:r>
    </w:p>
    <w:p>
      <w:pPr/>
      <w:r>
        <w:rPr>
          <w:b/>
        </w:rPr>
        <w:t xml:space="preserve">AI 오용의 위험: 수요 측 문제</w:t>
      </w:r>
    </w:p>
    <w:p>
      <w:pPr>
        <w:pStyle w:val="ListParagraph"/>
        <w:numPr>
          <w:ilvl w:val="0"/>
          <w:numId w:val="8"/>
        </w:numPr>
      </w:pPr>
      <w:r>
        <w:t xml:space="preserve">ASEAN Digital Outlook 2026은 AI 생성 위협, 허위정보, 사기를 국경 간 위험으로 꼽고, 사이버보안 거버넌스와 디지털 리터러시를 서로 보완하는 두 축으로 제시한다(요약부 기준).</w:t>
      </w:r>
    </w:p>
    <w:p>
      <w:pPr>
        <w:pStyle w:val="ListParagraph"/>
        <w:numPr>
          <w:ilvl w:val="0"/>
          <w:numId w:val="8"/>
        </w:numPr>
      </w:pPr>
      <w:r>
        <w:t xml:space="preserve">ASEAN 기업자문위원회(ASEAN-BAC) 관계자는 사기범이 딥페이크와 음성 복제로 고객·거래처를 사칭하므로 MSME가 특히 취약하다고 경고했다(Eco-Business 보도). 같은 보도는 Interpol 자료를 인용해 아시아·태평양의 딥페이크 관련 사기가 2022–2023년 1,500% 이상 늘었다고 전한다.</w:t>
      </w:r>
    </w:p>
    <w:p>
      <w:pPr>
        <w:pStyle w:val="Heading3"/>
      </w:pPr>
      <w:r>
        <w:t xml:space="preserve">4.4 반론 검토</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예상 반론</w:t>
            </w:r>
          </w:p>
        </w:tc>
        <w:tc>
          <w:tcPr>
            <w:tcW w:w="3120" w:type="dxa"/>
            <w:shd w:val="clear" w:color="auto" w:fill="F2F2F2"/>
          </w:tcPr>
          <w:p>
            <w:pPr/>
            <w:r>
              <w:t xml:space="preserve">검토</w:t>
            </w:r>
          </w:p>
        </w:tc>
        <w:tc>
          <w:tcPr>
            <w:tcW w:w="3120" w:type="dxa"/>
            <w:shd w:val="clear" w:color="auto" w:fill="F2F2F2"/>
          </w:tcPr>
          <w:p>
            <w:pPr/>
            <w:r>
              <w:t xml:space="preserve">논지 수정</w:t>
            </w:r>
          </w:p>
        </w:tc>
      </w:tr>
      <w:tr>
        <w:tc>
          <w:tcPr>
            <w:tcW w:w="3120" w:type="dxa"/>
          </w:tcPr>
          <w:p>
            <w:pPr/>
            <w:r>
              <w:t xml:space="preserve">중국 기업·플랫폼이 이미 AI 교육을 한다</w:t>
            </w:r>
          </w:p>
        </w:tc>
        <w:tc>
          <w:tcPr>
            <w:tcW w:w="3120" w:type="dxa"/>
          </w:tcPr>
          <w:p>
            <w:pPr/>
            <w:r>
              <w:t xml:space="preserve">맞다. Huawei Seeds for the Future·TECH4ALL, 플랫폼별 판매자 교육, 광시·구이저우의 직업교육 거점이 있다. 재단도 Huawei와 ASEAN Seeds for the Future를 운영했다(2021 MoU). 다만 공급자별로 분절되어 있고 ASEAN 공통 기준을 전제하지 않는다. 재단 사업도 Google의 AI 도구군을 쓰므로(2.5) 같은 비판을 받을 수 있다</w:t>
            </w:r>
          </w:p>
        </w:tc>
        <w:tc>
          <w:tcPr>
            <w:tcW w:w="3120" w:type="dxa"/>
          </w:tcPr>
          <w:p>
            <w:pPr/>
            <w:r>
              <w:t xml:space="preserve">'부재'가 아니라 'ASEAN 주도·기술 중립 공공재의 부재'로 정의. 기술 중립 원칙을 재단 스스로 먼저 명시</w:t>
            </w:r>
          </w:p>
        </w:tc>
      </w:tr>
      <w:tr>
        <w:tc>
          <w:tcPr>
            <w:tcW w:w="3120" w:type="dxa"/>
          </w:tcPr>
          <w:p>
            <w:pPr/>
            <w:r>
              <w:t xml:space="preserve">5,000건 AI 연수와 Smart Education이 이 층을 다룰 것이다</w:t>
            </w:r>
          </w:p>
        </w:tc>
        <w:tc>
          <w:tcPr>
            <w:tcW w:w="3120" w:type="dxa"/>
          </w:tcPr>
          <w:p>
            <w:pPr/>
            <w:r>
              <w:t xml:space="preserve">가능하다. 세부가 공개되지 않아 단정할 수 없다. 교사 AI 연수로 구체화되면 AI Ready ASEAN 2단계와 같은 학교를 겨냥할 수 있다</w:t>
            </w:r>
          </w:p>
        </w:tc>
        <w:tc>
          <w:tcPr>
            <w:tcW w:w="3120" w:type="dxa"/>
          </w:tcPr>
          <w:p>
            <w:pPr/>
            <w:r>
              <w:t xml:space="preserve">중복 방지와 상호 보완 자체가 협의 의제가 된다</w:t>
            </w:r>
          </w:p>
        </w:tc>
      </w:tr>
      <w:tr>
        <w:tc>
          <w:tcPr>
            <w:tcW w:w="3120" w:type="dxa"/>
          </w:tcPr>
          <w:p>
            <w:pPr/>
            <w:r>
              <w:t xml:space="preserve">AI 리터러시와 MSME 지원은 회원국 국내 정책이다</w:t>
            </w:r>
          </w:p>
        </w:tc>
        <w:tc>
          <w:tcPr>
            <w:tcW w:w="3120" w:type="dxa"/>
          </w:tcPr>
          <w:p>
            <w:pPr/>
            <w:r>
              <w:t xml:space="preserve">맞다. 교육은 회원국 주권 영역이고, MSME 정책도 회원국 주무 부처 소관이다</w:t>
            </w:r>
          </w:p>
        </w:tc>
        <w:tc>
          <w:tcPr>
            <w:tcW w:w="3120" w:type="dxa"/>
          </w:tcPr>
          <w:p>
            <w:pPr/>
            <w:r>
              <w:t xml:space="preserve">SOM-ED·ACCMSME 승인과 회원국 조율 구조를 진입 경로로 제시</w:t>
            </w:r>
          </w:p>
        </w:tc>
      </w:tr>
      <w:tr>
        <w:tc>
          <w:tcPr>
            <w:tcW w:w="3120" w:type="dxa"/>
          </w:tcPr>
          <w:p>
            <w:pPr/>
            <w:r>
              <w:t xml:space="preserve">AI 인프라와 산업 배치가 먼저다</w:t>
            </w:r>
          </w:p>
        </w:tc>
        <w:tc>
          <w:tcPr>
            <w:tcW w:w="3120" w:type="dxa"/>
          </w:tcPr>
          <w:p>
            <w:pPr/>
            <w:r>
              <w:t xml:space="preserve">순서 논리는 타당하다. 그러나 배치가 늘수록 사용자 역량 부족은 낮은 활용률, 딥페이크 사기, 허위정보로 돌아온다. 싱가포르조차 중소기업 도입률이 23.4%다</w:t>
            </w:r>
          </w:p>
        </w:tc>
        <w:tc>
          <w:tcPr>
            <w:tcW w:w="3120" w:type="dxa"/>
          </w:tcPr>
          <w:p>
            <w:pPr/>
            <w:r>
              <w:t xml:space="preserve">사용자 역량을 AI 투자의 회수 조건이자 AI 안전의 수요 측 대책으로 제시</w:t>
            </w:r>
          </w:p>
        </w:tc>
      </w:tr>
      <w:tr>
        <w:tc>
          <w:tcPr>
            <w:tcW w:w="3120" w:type="dxa"/>
          </w:tcPr>
          <w:p>
            <w:pPr/>
            <w:r>
              <w:t xml:space="preserve">연수 인원은 이미 충분하고, 필요한 것은 고급 인재다</w:t>
            </w:r>
          </w:p>
        </w:tc>
        <w:tc>
          <w:tcPr>
            <w:tcW w:w="3120" w:type="dxa"/>
          </w:tcPr>
          <w:p>
            <w:pPr/>
            <w:r>
              <w:t xml:space="preserve">고급 인재는 공식 트랙이 다룬다. 문제는 인원이 아니라 역량 변화와 지속적 활용이 측정되지 않는다는 점이다. 연구는 자기평가와 실측 역량의 격차를, 싱가포르 Convening은 연수와 사업 통합의 단절을 보여 준다</w:t>
            </w:r>
          </w:p>
        </w:tc>
        <w:tc>
          <w:tcPr>
            <w:tcW w:w="3120" w:type="dxa"/>
          </w:tcPr>
          <w:p>
            <w:pPr/>
            <w:r>
              <w:t xml:space="preserve">지속적 활용·사업 성과 측정(D1)을 기여 항목으로 제시</w:t>
            </w:r>
          </w:p>
        </w:tc>
      </w:tr>
      <w:tr>
        <w:tc>
          <w:tcPr>
            <w:tcW w:w="3120" w:type="dxa"/>
          </w:tcPr>
          <w:p>
            <w:pPr/>
            <w:r>
              <w:t xml:space="preserve">싱가포르는 예외적으로 앞선 사례라 일반화할 수 없다</w:t>
            </w:r>
          </w:p>
        </w:tc>
        <w:tc>
          <w:tcPr>
            <w:tcW w:w="3120" w:type="dxa"/>
          </w:tcPr>
          <w:p>
            <w:pPr/>
            <w:r>
              <w:t xml:space="preserve">맞다. 제도 생태계가 탄탄하고 국토가 작다(보고서도 명시). 그러나 그런 곳에서도 연수와 활용 사이가 끊긴다면, 지원이 얇은 곳의 단절은 더 클 가능성이 높다 </w:t>
            </w:r>
            <w:r>
              <w:rPr>
                <w:b/>
              </w:rPr>
              <w:t xml:space="preserve">[판단]</w:t>
            </w:r>
            <w:r>
              <w:t xml:space="preserve">. 인도네시아는 리터러시 격차라는 다른 장벽을 보였다</w:t>
            </w:r>
          </w:p>
        </w:tc>
        <w:tc>
          <w:tcPr>
            <w:tcW w:w="3120" w:type="dxa"/>
          </w:tcPr>
          <w:p>
            <w:pPr/>
            <w:r>
              <w:t xml:space="preserve">같은 프로그램의 복제가 아니라 공통 경로(인식 → 저위험 도입 → 공정 전환)를 각국이 조정하는 방식으로 제시. 싱가포르 근거는 인도네시아 등과 함께 쓴다</w:t>
            </w:r>
          </w:p>
        </w:tc>
      </w:tr>
    </w:tbl>
    <w:p>
      <w:pPr/>
      <w:r>
        <w:rPr>
          <w:b/>
        </w:rPr>
        <w:t xml:space="preserve">[판단]</w:t>
      </w:r>
      <w:r>
        <w:t xml:space="preserve"> 공백은 세 가지다. 대상층의 공백(교사·시민·MSME의 AI 활용 역량), 단계의 공백(연수 이후 적용·확산의 지원과 측정), 조정의 공백(중국 측 분산 AI 채널과 ASEAN 측 기존 AI 사업 사이)이다. 양측 모두 AI 안전을 주요 의제로 삼고 있는 만큼(ASEAN AI Safe, 2026년 9월 AI 윤리·안전 협력 이니셔티브), 모델 시험·표준 같은 공급 측 대책에 사용자의 AI 리터러시와 책임 있는 활용이라는 수요 측 대책을 짝짓는 논리가 가장 설득력 있다. 산업을 다루는 CIIS 세션에서는 MSME의 '연수 이후'가 이 공백을 보여 주는 가장 구체적인 사례다. 교사·시민 층은 교육 트랙에서, MSME 층은 산업 트랙에서 같은 논리로 제기한다.</w:t>
      </w:r>
    </w:p>
    <w:p>
      <w:pPr>
        <w:pStyle w:val="Heading2"/>
      </w:pPr>
      <w:r>
        <w:t xml:space="preserve">5. 기여 방안</w:t>
      </w:r>
    </w:p>
    <w:p>
      <w:pPr/>
      <w:r>
        <w:t xml:space="preserve">권고는 두 트랙이다.</w:t>
      </w:r>
    </w:p>
    <w:p>
      <w:pPr/>
      <w:r>
        <w:rPr>
          <w:b/>
        </w:rPr>
        <w:t xml:space="preserve">즉시 트랙은 MSME다.</w:t>
      </w:r>
      <w:r>
        <w:t xml:space="preserve"> 근거(싱가포르 Convening 기록), 제도적 기반(ACCMSME가 승인한 AIM ASEAN), 제안된 후속 과제(공통 성과 지표, 사례 교류. 파트너 합의 전), 기회(CIIS 산업 세션, 11월 필리핀 정상 선언)가 모두 갖춰져 있다. 재단은 '연수 이후를 맡는다'는 하나의 메시지로 A3, A4, B4, D1, C5를 묶어 제시한다.</w:t>
      </w:r>
    </w:p>
    <w:p>
      <w:pPr/>
      <w:r>
        <w:rPr>
          <w:b/>
        </w:rPr>
        <w:t xml:space="preserve">구조 트랙은 교사다.</w:t>
      </w:r>
      <w:r>
        <w:t xml:space="preserve"> 교사의 AI 역량(C1)은 SOM-ED가 승인한 AI Ready ASEAN 2단계와 직결되지만, 중국 측 Smart Education의 대상이 공개되지 않아 탐색이 먼저다. 교사가 대상에 들어 있으면 지금이 중복을 막을 시점이고, 들어 있지 않으면 C1의 성격은 공백 보완(교사층 연계 제안)으로 바뀐다. 어느 경우든 SOM-ED에 보고한 뒤 추진한다.</w:t>
      </w:r>
    </w:p>
    <w:p>
      <w:pPr/>
      <w:r>
        <w:rPr>
          <w:b/>
        </w:rPr>
        <w:t xml:space="preserve">[판단] MSME를 1순위로 두는 이유.</w:t>
      </w:r>
      <w:r>
        <w:t xml:space="preserve"> 첫째, MSME 쪽 근거가 더 구체적이고 최신이다. 둘째, 재단이 맡을 역할이 파트너 권고로 제시되어 있다(합의 전). 셋째, AIM ASEAN은 2027년에 끝날 예정이어서 후속 연계가 시급하다. 넷째, C1은 아직 확인되지 않은 전제(Smart Education의 교사 포함 여부)에 달려 있다.</w:t>
      </w:r>
    </w:p>
    <w:p>
      <w:pPr/>
      <w:r>
        <w:t xml:space="preserve">이번 방문에서는 CIIS 라운드테이블 2세션이 첫 실행 기회다. 교육부 면담에서는 A1·A2를 소개하며 Smart Education의 대상과 협의 채널을 확인하는 데 그친다(7장 1–3번). 두 트랙의 논리는 같다. AI를 현장까지 전달하는 망과, 연수 이후의 활용을 보여 주는 근거를 ASEAN이 갖고 있다는 것이다.</w:t>
      </w:r>
    </w:p>
    <w:p>
      <w:pPr>
        <w:pStyle w:val="Heading3"/>
      </w:pPr>
      <w:r>
        <w:t xml:space="preserve">5.1 기여의 원칙</w:t>
      </w:r>
    </w:p>
    <w:p>
      <w:pPr>
        <w:pStyle w:val="ListParagraph"/>
        <w:numPr>
          <w:ilvl w:val="0"/>
          <w:numId w:val="9"/>
        </w:numPr>
      </w:pPr>
      <w:r>
        <w:rPr>
          <w:b/>
        </w:rPr>
        <w:t xml:space="preserve">ASEAN 소유</w:t>
      </w:r>
      <w:r>
        <w:t xml:space="preserve">: AI 교육 콘텐츠, 트레이너 네트워크, AI 준비도 데이터의 소유와 브랜드는 ASEAN 측에 둔다.</w:t>
      </w:r>
    </w:p>
    <w:p>
      <w:pPr>
        <w:pStyle w:val="ListParagraph"/>
        <w:numPr>
          <w:ilvl w:val="0"/>
          <w:numId w:val="9"/>
        </w:numPr>
      </w:pPr>
      <w:r>
        <w:rPr>
          <w:b/>
        </w:rPr>
        <w:t xml:space="preserve">회원국 경유</w:t>
      </w:r>
      <w:r>
        <w:t xml:space="preserve">: 교육 부문은 SOM-ED와 회원국 교육부를, MSME 부문은 ACCMSME와 회원국 MSME 주무 부처를 거친다. 디지털·AI 거버넌스 부문은 ASEAN 사무국을 거쳐 ADGSOM·WG-AI에 제안한다.</w:t>
      </w:r>
    </w:p>
    <w:p>
      <w:pPr>
        <w:pStyle w:val="ListParagraph"/>
        <w:numPr>
          <w:ilvl w:val="0"/>
          <w:numId w:val="9"/>
        </w:numPr>
      </w:pPr>
      <w:r>
        <w:rPr>
          <w:b/>
        </w:rPr>
        <w:t xml:space="preserve">개방형</w:t>
      </w:r>
      <w:r>
        <w:t xml:space="preserve">: 같은 제안을 다른 대화상대국에도 열어 둔다. 중국 전용 사업으로 설계하지 않는다.</w:t>
      </w:r>
    </w:p>
    <w:p>
      <w:pPr>
        <w:pStyle w:val="ListParagraph"/>
        <w:numPr>
          <w:ilvl w:val="0"/>
          <w:numId w:val="9"/>
        </w:numPr>
      </w:pPr>
      <w:r>
        <w:rPr>
          <w:b/>
        </w:rPr>
        <w:t xml:space="preserve">기술 중립</w:t>
      </w:r>
      <w:r>
        <w:t xml:space="preserve">: 특정 국가·기업의 AI 모델이나 플랫폼 채택을 조건으로 하지 않는다. 교육은 도구가 아니라 역량(활용 판단, 결과 검증, 책임 있는 사용)을 중심으로 한다. 싱가포르 Convening에서도 모델 유형에 대한 단일 선호는 없었다.</w:t>
      </w:r>
    </w:p>
    <w:p>
      <w:pPr>
        <w:pStyle w:val="ListParagraph"/>
        <w:numPr>
          <w:ilvl w:val="0"/>
          <w:numId w:val="9"/>
        </w:numPr>
      </w:pPr>
      <w:r>
        <w:rPr>
          <w:b/>
        </w:rPr>
        <w:t xml:space="preserve">보완</w:t>
      </w:r>
      <w:r>
        <w:t xml:space="preserve">: 중국 측 AI 사업을 대체하지 않고, 대상층의 공백(교사·시민·MSME), 단계의 공백(연수 이후), 조정의 공백(중복 방지)에 집중한다.</w:t>
      </w:r>
    </w:p>
    <w:p>
      <w:pPr>
        <w:pStyle w:val="ListParagraph"/>
        <w:numPr>
          <w:ilvl w:val="0"/>
          <w:numId w:val="9"/>
        </w:numPr>
      </w:pPr>
      <w:r>
        <w:rPr>
          <w:b/>
        </w:rPr>
        <w:t xml:space="preserve">성과로 말하기</w:t>
      </w:r>
      <w:r>
        <w:t xml:space="preserve">: 도달(연수 인원), 사업 통합, 검증된 성과를 구분해 보고한다. 모든 기업이 모든 기능에 AI가 필요하다고 전제하지 않는다.</w:t>
      </w:r>
    </w:p>
    <w:p>
      <w:pPr>
        <w:pStyle w:val="Heading3"/>
      </w:pPr>
      <w:r>
        <w:t xml:space="preserve">5.2 옵션</w:t>
      </w:r>
    </w:p>
    <w:p>
      <w:pPr/>
      <w:r>
        <w:t xml:space="preserve">옵션은 난이도 순으로 네 갈래다. A는 경험·근거 공유, B는 AI 콘텐츠·자료 연계, C는 공동 사업, D는 AI 역량 측정이다.</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w:t>
            </w:r>
          </w:p>
        </w:tc>
        <w:tc>
          <w:tcPr>
            <w:tcW w:w="1337" w:type="dxa"/>
            <w:shd w:val="clear" w:color="auto" w:fill="F2F2F2"/>
          </w:tcPr>
          <w:p>
            <w:pPr/>
            <w:r>
              <w:t xml:space="preserve">기여 내용</w:t>
            </w:r>
          </w:p>
        </w:tc>
        <w:tc>
          <w:tcPr>
            <w:tcW w:w="1337" w:type="dxa"/>
            <w:shd w:val="clear" w:color="auto" w:fill="F2F2F2"/>
          </w:tcPr>
          <w:p>
            <w:pPr/>
            <w:r>
              <w:t xml:space="preserve">AI 층위 · 자산</w:t>
            </w:r>
          </w:p>
        </w:tc>
        <w:tc>
          <w:tcPr>
            <w:tcW w:w="1337" w:type="dxa"/>
            <w:shd w:val="clear" w:color="auto" w:fill="F2F2F2"/>
          </w:tcPr>
          <w:p>
            <w:pPr/>
            <w:r>
              <w:t xml:space="preserve">경로·상대</w:t>
            </w:r>
          </w:p>
        </w:tc>
        <w:tc>
          <w:tcPr>
            <w:tcW w:w="1337" w:type="dxa"/>
            <w:shd w:val="clear" w:color="auto" w:fill="F2F2F2"/>
          </w:tcPr>
          <w:p>
            <w:pPr/>
            <w:r>
              <w:t xml:space="preserve">상대의 유인</w:t>
            </w:r>
          </w:p>
        </w:tc>
        <w:tc>
          <w:tcPr>
            <w:tcW w:w="1337" w:type="dxa"/>
            <w:shd w:val="clear" w:color="auto" w:fill="F2F2F2"/>
          </w:tcPr>
          <w:p>
            <w:pPr/>
            <w:r>
              <w:t xml:space="preserve">선행 조건</w:t>
            </w:r>
          </w:p>
        </w:tc>
        <w:tc>
          <w:tcPr>
            <w:tcW w:w="1337" w:type="dxa"/>
            <w:shd w:val="clear" w:color="auto" w:fill="F2F2F2"/>
          </w:tcPr>
          <w:p>
            <w:pPr/>
            <w:r>
              <w:t xml:space="preserve">시점</w:t>
            </w:r>
          </w:p>
        </w:tc>
      </w:tr>
      <w:tr>
        <w:tc>
          <w:tcPr>
            <w:tcW w:w="1337" w:type="dxa"/>
          </w:tcPr>
          <w:p>
            <w:pPr/>
            <w:r>
              <w:t xml:space="preserve">A1</w:t>
            </w:r>
          </w:p>
        </w:tc>
        <w:tc>
          <w:tcPr>
            <w:tcW w:w="1337" w:type="dxa"/>
          </w:tcPr>
          <w:p>
            <w:pPr/>
            <w:r>
              <w:t xml:space="preserve">AI 리터러시 Training-of-Trainers 모델 경험 공유(Master Trainer 선발, LIP 운영, 품질 관리, 도달·심화 이수 지표 관리)</w:t>
            </w:r>
          </w:p>
        </w:tc>
        <w:tc>
          <w:tcPr>
            <w:tcW w:w="1337" w:type="dxa"/>
          </w:tcPr>
          <w:p>
            <w:pPr/>
            <w:r>
              <w:t xml:space="preserve">인재 · 전달</w:t>
            </w:r>
          </w:p>
        </w:tc>
        <w:tc>
          <w:tcPr>
            <w:tcW w:w="1337" w:type="dxa"/>
          </w:tcPr>
          <w:p>
            <w:pPr/>
            <w:r>
              <w:t xml:space="preserve">Smart Education 실무진, 혁신센터 연수 담당, 라운드테이블</w:t>
            </w:r>
          </w:p>
        </w:tc>
        <w:tc>
          <w:tcPr>
            <w:tcW w:w="1337" w:type="dxa"/>
          </w:tcPr>
          <w:p>
            <w:pPr/>
            <w:r>
              <w:t xml:space="preserve">대규모 AI 연수 설계 노하우</w:t>
            </w:r>
          </w:p>
        </w:tc>
        <w:tc>
          <w:tcPr>
            <w:tcW w:w="1337" w:type="dxa"/>
          </w:tcPr>
          <w:p>
            <w:pPr/>
            <w:r>
              <w:t xml:space="preserve">공개 가능한 사례 정리</w:t>
            </w:r>
          </w:p>
        </w:tc>
        <w:tc>
          <w:tcPr>
            <w:tcW w:w="1337" w:type="dxa"/>
          </w:tcPr>
          <w:p>
            <w:pPr/>
            <w:r>
              <w:t xml:space="preserve">즉시</w:t>
            </w:r>
          </w:p>
        </w:tc>
      </w:tr>
      <w:tr>
        <w:tc>
          <w:tcPr>
            <w:tcW w:w="1337" w:type="dxa"/>
          </w:tcPr>
          <w:p>
            <w:pPr/>
            <w:r>
              <w:t xml:space="preserve">A2</w:t>
            </w:r>
          </w:p>
        </w:tc>
        <w:tc>
          <w:tcPr>
            <w:tcW w:w="1337" w:type="dxa"/>
          </w:tcPr>
          <w:p>
            <w:pPr/>
            <w:r>
              <w:t xml:space="preserve">AI 준비도 근거 브리핑(국가별·도농별 격차, 교사의 자기평가와 실측 격차, MSME의 '연수 이후' 장벽)</w:t>
            </w:r>
          </w:p>
        </w:tc>
        <w:tc>
          <w:tcPr>
            <w:tcW w:w="1337" w:type="dxa"/>
          </w:tcPr>
          <w:p>
            <w:pPr/>
            <w:r>
              <w:t xml:space="preserve">인재 · 근거</w:t>
            </w:r>
          </w:p>
        </w:tc>
        <w:tc>
          <w:tcPr>
            <w:tcW w:w="1337" w:type="dxa"/>
          </w:tcPr>
          <w:p>
            <w:pPr/>
            <w:r>
              <w:t xml:space="preserve">위와 동일, ASEAN 사무국을 통한 ADGSOM–중국 고위관리회의 계기</w:t>
            </w:r>
          </w:p>
        </w:tc>
        <w:tc>
          <w:tcPr>
            <w:tcW w:w="1337" w:type="dxa"/>
          </w:tcPr>
          <w:p>
            <w:pPr/>
            <w:r>
              <w:t xml:space="preserve">AI 연수 수요 진단 근거</w:t>
            </w:r>
          </w:p>
        </w:tc>
        <w:tc>
          <w:tcPr>
            <w:tcW w:w="1337" w:type="dxa"/>
          </w:tcPr>
          <w:p>
            <w:pPr/>
            <w:r>
              <w:t xml:space="preserve">공개 보고서·보도자료 범위 내. 싱가포르 LIP 보고서는 비식별 요약으로만 사용</w:t>
            </w:r>
          </w:p>
        </w:tc>
        <w:tc>
          <w:tcPr>
            <w:tcW w:w="1337" w:type="dxa"/>
          </w:tcPr>
          <w:p>
            <w:pPr/>
            <w:r>
              <w:t xml:space="preserve">즉시</w:t>
            </w:r>
          </w:p>
        </w:tc>
      </w:tr>
      <w:tr>
        <w:tc>
          <w:tcPr>
            <w:tcW w:w="1337" w:type="dxa"/>
          </w:tcPr>
          <w:p>
            <w:pPr/>
            <w:r>
              <w:t xml:space="preserve">A3</w:t>
            </w:r>
          </w:p>
        </w:tc>
        <w:tc>
          <w:tcPr>
            <w:tcW w:w="1337" w:type="dxa"/>
          </w:tcPr>
          <w:p>
            <w:pPr/>
            <w:r>
              <w:t xml:space="preserve">CIIS 라운드테이블 발언: '연수 이후' 질문을 중심으로 싱가포르 교훈(도구 사용과 사업 통합의 차이, AI-bilingual 인재, 연수 이후 지원과 책임 있는 사용)을 공유하고, 경로 설계·인재 범위 확대·지속 활용 측정을 제안</w:t>
            </w:r>
          </w:p>
        </w:tc>
        <w:tc>
          <w:tcPr>
            <w:tcW w:w="1337" w:type="dxa"/>
          </w:tcPr>
          <w:p>
            <w:pPr/>
            <w:r>
              <w:t xml:space="preserve">산업 응용 · 근거·전달</w:t>
            </w:r>
          </w:p>
        </w:tc>
        <w:tc>
          <w:tcPr>
            <w:tcW w:w="1337" w:type="dxa"/>
          </w:tcPr>
          <w:p>
            <w:pPr/>
            <w:r>
              <w:t xml:space="preserve">CIIS 2세션(주ASEAN 중국대표부 참조)</w:t>
            </w:r>
          </w:p>
        </w:tc>
        <w:tc>
          <w:tcPr>
            <w:tcW w:w="1337" w:type="dxa"/>
          </w:tcPr>
          <w:p>
            <w:pPr/>
            <w:r>
              <w:t xml:space="preserve">산업 AI 역량화의 MSME 사례</w:t>
            </w:r>
          </w:p>
        </w:tc>
        <w:tc>
          <w:tcPr>
            <w:tcW w:w="1337" w:type="dxa"/>
          </w:tcPr>
          <w:p>
            <w:pPr/>
            <w:r>
              <w:t xml:space="preserve">재원 제공자 허용 범위 확인, ASEAN 사무국·ACCMSME 의장국 사전 공유, Ilan 폐회사 내용 확인, 발언 요지 제출(내부 10월 14일)</w:t>
            </w:r>
          </w:p>
        </w:tc>
        <w:tc>
          <w:tcPr>
            <w:tcW w:w="1337" w:type="dxa"/>
          </w:tcPr>
          <w:p>
            <w:pPr/>
            <w:r>
              <w:t xml:space="preserve">2026.10</w:t>
            </w:r>
          </w:p>
        </w:tc>
      </w:tr>
      <w:tr>
        <w:tc>
          <w:tcPr>
            <w:tcW w:w="1337" w:type="dxa"/>
          </w:tcPr>
          <w:p>
            <w:pPr/>
            <w:r>
              <w:t xml:space="preserve">A4</w:t>
            </w:r>
          </w:p>
        </w:tc>
        <w:tc>
          <w:tcPr>
            <w:tcW w:w="1337" w:type="dxa"/>
          </w:tcPr>
          <w:p>
            <w:pPr/>
            <w:r>
              <w:t xml:space="preserve">MSME AI 활용 사례의 구조화된 공유(사업 문제·데이터 요건·비용·인력 변화·위험·결과, 잘 안 된 사례 포함)</w:t>
            </w:r>
          </w:p>
        </w:tc>
        <w:tc>
          <w:tcPr>
            <w:tcW w:w="1337" w:type="dxa"/>
          </w:tcPr>
          <w:p>
            <w:pPr/>
            <w:r>
              <w:t xml:space="preserve">산업 응용 · 근거</w:t>
            </w:r>
          </w:p>
        </w:tc>
        <w:tc>
          <w:tcPr>
            <w:tcW w:w="1337" w:type="dxa"/>
          </w:tcPr>
          <w:p>
            <w:pPr/>
            <w:r>
              <w:t xml:space="preserve">ASEAN 측 지역 사례 교류(AIM ASEAN 지역 정책 회의, ACCMSME). ASEAN–중국 포럼에서는 공개 사례만</w:t>
            </w:r>
          </w:p>
        </w:tc>
        <w:tc>
          <w:tcPr>
            <w:tcW w:w="1337" w:type="dxa"/>
          </w:tcPr>
          <w:p>
            <w:pPr/>
            <w:r>
              <w:t xml:space="preserve">사례 비교 가능성, 시행착오 감소</w:t>
            </w:r>
          </w:p>
        </w:tc>
        <w:tc>
          <w:tcPr>
            <w:tcW w:w="1337" w:type="dxa"/>
          </w:tcPr>
          <w:p>
            <w:pPr/>
            <w:r>
              <w:t xml:space="preserve">기업 동의와 비식별, LIP 합의</w:t>
            </w:r>
          </w:p>
        </w:tc>
        <w:tc>
          <w:tcPr>
            <w:tcW w:w="1337" w:type="dxa"/>
          </w:tcPr>
          <w:p>
            <w:pPr/>
            <w:r>
              <w:t xml:space="preserve">2027 상반기(싱가포르 검토 2027년 1분기 이후)</w:t>
            </w:r>
          </w:p>
        </w:tc>
      </w:tr>
      <w:tr>
        <w:tc>
          <w:tcPr>
            <w:tcW w:w="1337" w:type="dxa"/>
          </w:tcPr>
          <w:p>
            <w:pPr/>
            <w:r>
              <w:t xml:space="preserve">B1</w:t>
            </w:r>
          </w:p>
        </w:tc>
        <w:tc>
          <w:tcPr>
            <w:tcW w:w="1337" w:type="dxa"/>
          </w:tcPr>
          <w:p>
            <w:pPr/>
            <w:r>
              <w:t xml:space="preserve">AI Class ASEAN을 협력 AI 연수(교사·MSME 대상 과정 우선)의 사전 학습 자료로 제안</w:t>
            </w:r>
          </w:p>
        </w:tc>
        <w:tc>
          <w:tcPr>
            <w:tcW w:w="1337" w:type="dxa"/>
          </w:tcPr>
          <w:p>
            <w:pPr/>
            <w:r>
              <w:t xml:space="preserve">인재 · 콘텐츠</w:t>
            </w:r>
          </w:p>
        </w:tc>
        <w:tc>
          <w:tcPr>
            <w:tcW w:w="1337" w:type="dxa"/>
          </w:tcPr>
          <w:p>
            <w:pPr/>
            <w:r>
              <w:t xml:space="preserve">Smart Education 교사 연수, 혁신센터(MSME 과정이 생기면), Digital Academy</w:t>
            </w:r>
          </w:p>
        </w:tc>
        <w:tc>
          <w:tcPr>
            <w:tcW w:w="1337" w:type="dxa"/>
          </w:tcPr>
          <w:p>
            <w:pPr/>
            <w:r>
              <w:t xml:space="preserve">참가자의 기초 AI 리터러시 평준화, 추가 비용 없음</w:t>
            </w:r>
          </w:p>
        </w:tc>
        <w:tc>
          <w:tcPr>
            <w:tcW w:w="1337" w:type="dxa"/>
          </w:tcPr>
          <w:p>
            <w:pPr/>
            <w:r>
              <w:t xml:space="preserve">이용 약관·데이터 처리 검토, 재원 제공자 협의</w:t>
            </w:r>
          </w:p>
        </w:tc>
        <w:tc>
          <w:tcPr>
            <w:tcW w:w="1337" w:type="dxa"/>
          </w:tcPr>
          <w:p>
            <w:pPr/>
            <w:r>
              <w:t xml:space="preserve">2027 상반기</w:t>
            </w:r>
          </w:p>
        </w:tc>
      </w:tr>
      <w:tr>
        <w:tc>
          <w:tcPr>
            <w:tcW w:w="1337" w:type="dxa"/>
          </w:tcPr>
          <w:p>
            <w:pPr/>
            <w:r>
              <w:t xml:space="preserve">B2</w:t>
            </w:r>
          </w:p>
        </w:tc>
        <w:tc>
          <w:tcPr>
            <w:tcW w:w="1337" w:type="dxa"/>
          </w:tcPr>
          <w:p>
            <w:pPr/>
            <w:r>
              <w:t xml:space="preserve">AI 윤리·안전 모듈(허위정보·딥페이크·개인정보)을 시민·MSME용 공통 기초 과정으로 제안</w:t>
            </w:r>
          </w:p>
        </w:tc>
        <w:tc>
          <w:tcPr>
            <w:tcW w:w="1337" w:type="dxa"/>
          </w:tcPr>
          <w:p>
            <w:pPr/>
            <w:r>
              <w:t xml:space="preserve">거버넌스·안전 · 콘텐츠</w:t>
            </w:r>
          </w:p>
        </w:tc>
        <w:tc>
          <w:tcPr>
            <w:tcW w:w="1337" w:type="dxa"/>
          </w:tcPr>
          <w:p>
            <w:pPr/>
            <w:r>
              <w:t xml:space="preserve">ASEAN 사무국 디지털 부서를 통해 ADGSOM·WG-AI에 제안. 중국 측 AI 윤리·안전 이니셔티브(2026.9)와의 연계 여부는 ASEAN 측 판단에 맡김</w:t>
            </w:r>
          </w:p>
        </w:tc>
        <w:tc>
          <w:tcPr>
            <w:tcW w:w="1337" w:type="dxa"/>
          </w:tcPr>
          <w:p>
            <w:pPr/>
            <w:r>
              <w:t xml:space="preserve">ASEAN AI 거버넌스 기준을 사용자 눈높이로 구현</w:t>
            </w:r>
          </w:p>
        </w:tc>
        <w:tc>
          <w:tcPr>
            <w:tcW w:w="1337" w:type="dxa"/>
          </w:tcPr>
          <w:p>
            <w:pPr/>
            <w:r>
              <w:t xml:space="preserve">ASEAN Guide·Responsible AI Roadmap과의 대응표 작성</w:t>
            </w:r>
          </w:p>
        </w:tc>
        <w:tc>
          <w:tcPr>
            <w:tcW w:w="1337" w:type="dxa"/>
          </w:tcPr>
          <w:p>
            <w:pPr/>
            <w:r>
              <w:t xml:space="preserve">2027 상반기</w:t>
            </w:r>
          </w:p>
        </w:tc>
      </w:tr>
      <w:tr>
        <w:tc>
          <w:tcPr>
            <w:tcW w:w="1337" w:type="dxa"/>
          </w:tcPr>
          <w:p>
            <w:pPr/>
            <w:r>
              <w:t xml:space="preserve">B3</w:t>
            </w:r>
          </w:p>
        </w:tc>
        <w:tc>
          <w:tcPr>
            <w:tcW w:w="1337" w:type="dxa"/>
          </w:tcPr>
          <w:p>
            <w:pPr/>
            <w:r>
              <w:t xml:space="preserve">현지어 AI 교육 경험과 AI 용어집 공유(저자원 언어 포함)</w:t>
            </w:r>
          </w:p>
        </w:tc>
        <w:tc>
          <w:tcPr>
            <w:tcW w:w="1337" w:type="dxa"/>
          </w:tcPr>
          <w:p>
            <w:pPr/>
            <w:r>
              <w:t xml:space="preserve">언어·데이터 · 콘텐츠</w:t>
            </w:r>
          </w:p>
        </w:tc>
        <w:tc>
          <w:tcPr>
            <w:tcW w:w="1337" w:type="dxa"/>
          </w:tcPr>
          <w:p>
            <w:pPr/>
            <w:r>
              <w:t xml:space="preserve">라운드테이블의 언어모델·오픈소스 논의, ASEAN AI 오픈소스 커뮤니티</w:t>
            </w:r>
          </w:p>
        </w:tc>
        <w:tc>
          <w:tcPr>
            <w:tcW w:w="1337" w:type="dxa"/>
          </w:tcPr>
          <w:p>
            <w:pPr/>
            <w:r>
              <w:t xml:space="preserve">저자원 언어 AI 교육 자원</w:t>
            </w:r>
          </w:p>
        </w:tc>
        <w:tc>
          <w:tcPr>
            <w:tcW w:w="1337" w:type="dxa"/>
          </w:tcPr>
          <w:p>
            <w:pPr/>
            <w:r>
              <w:t xml:space="preserve">학습자 데이터 제외, 공개 범위 한정</w:t>
            </w:r>
          </w:p>
        </w:tc>
        <w:tc>
          <w:tcPr>
            <w:tcW w:w="1337" w:type="dxa"/>
          </w:tcPr>
          <w:p>
            <w:pPr/>
            <w:r>
              <w:t xml:space="preserve">2027</w:t>
            </w:r>
          </w:p>
        </w:tc>
      </w:tr>
      <w:tr>
        <w:tc>
          <w:tcPr>
            <w:tcW w:w="1337" w:type="dxa"/>
          </w:tcPr>
          <w:p>
            <w:pPr/>
            <w:r>
              <w:t xml:space="preserve">B4</w:t>
            </w:r>
          </w:p>
        </w:tc>
        <w:tc>
          <w:tcPr>
            <w:tcW w:w="1337" w:type="dxa"/>
          </w:tcPr>
          <w:p>
            <w:pPr/>
            <w:r>
              <w:t xml:space="preserve">'연수 이후 경로' 공개 자료(활용처 선정·저위험 시범·실행 지원 단계, 데이터 준비도·책임 있는 사용·성과 추적 템플릿)를 MSME 대상 협력 연수의 보조 자료로 제안</w:t>
            </w:r>
          </w:p>
        </w:tc>
        <w:tc>
          <w:tcPr>
            <w:tcW w:w="1337" w:type="dxa"/>
          </w:tcPr>
          <w:p>
            <w:pPr/>
            <w:r>
              <w:t xml:space="preserve">산업 응용·거버넌스 · 콘텐츠</w:t>
            </w:r>
          </w:p>
        </w:tc>
        <w:tc>
          <w:tcPr>
            <w:tcW w:w="1337" w:type="dxa"/>
          </w:tcPr>
          <w:p>
            <w:pPr/>
            <w:r>
              <w:t xml:space="preserve">ACCMSME 보고 후, 혁신센터에 MSME 과정이 생기면 그 과정</w:t>
            </w:r>
          </w:p>
        </w:tc>
        <w:tc>
          <w:tcPr>
            <w:tcW w:w="1337" w:type="dxa"/>
          </w:tcPr>
          <w:p>
            <w:pPr/>
            <w:r>
              <w:t xml:space="preserve">연수의 현장 적용률 제고, 추가 비용 낮음</w:t>
            </w:r>
          </w:p>
        </w:tc>
        <w:tc>
          <w:tcPr>
            <w:tcW w:w="1337" w:type="dxa"/>
          </w:tcPr>
          <w:p>
            <w:pPr/>
            <w:r>
              <w:t xml:space="preserve">재단·LIP의 템플릿 개발(싱가포르 권고, 합의 전제), 재원 제공자 협의</w:t>
            </w:r>
          </w:p>
        </w:tc>
        <w:tc>
          <w:tcPr>
            <w:tcW w:w="1337" w:type="dxa"/>
          </w:tcPr>
          <w:p>
            <w:pPr/>
            <w:r>
              <w:t xml:space="preserve">2027</w:t>
            </w:r>
          </w:p>
        </w:tc>
      </w:tr>
      <w:tr>
        <w:tc>
          <w:tcPr>
            <w:tcW w:w="1337" w:type="dxa"/>
          </w:tcPr>
          <w:p>
            <w:pPr/>
            <w:r>
              <w:t xml:space="preserve">C1</w:t>
            </w:r>
          </w:p>
        </w:tc>
        <w:tc>
          <w:tcPr>
            <w:tcW w:w="1337" w:type="dxa"/>
          </w:tcPr>
          <w:p>
            <w:pPr/>
            <w:r>
              <w:t xml:space="preserve">교사 AI 역량의 역할 분담과 공통 기준 협의</w:t>
            </w:r>
          </w:p>
        </w:tc>
        <w:tc>
          <w:tcPr>
            <w:tcW w:w="1337" w:type="dxa"/>
          </w:tcPr>
          <w:p>
            <w:pPr/>
            <w:r>
              <w:t xml:space="preserve">인재 · 전달·근거</w:t>
            </w:r>
          </w:p>
        </w:tc>
        <w:tc>
          <w:tcPr>
            <w:tcW w:w="1337" w:type="dxa"/>
          </w:tcPr>
          <w:p>
            <w:pPr/>
            <w:r>
              <w:t xml:space="preserve">SOM-ED ↔ 중국 교육부(Smart Education, AI+교육)</w:t>
            </w:r>
          </w:p>
        </w:tc>
        <w:tc>
          <w:tcPr>
            <w:tcW w:w="1337" w:type="dxa"/>
          </w:tcPr>
          <w:p>
            <w:pPr/>
            <w:r>
              <w:t xml:space="preserve">중복 회피, 현지 전달망 활용</w:t>
            </w:r>
          </w:p>
        </w:tc>
        <w:tc>
          <w:tcPr>
            <w:tcW w:w="1337" w:type="dxa"/>
          </w:tcPr>
          <w:p>
            <w:pPr/>
            <w:r>
              <w:t xml:space="preserve">Smart Education의 교사 포함 여부 확인, SOM-ED 보고, 회원국 교육부 동의</w:t>
            </w:r>
          </w:p>
        </w:tc>
        <w:tc>
          <w:tcPr>
            <w:tcW w:w="1337" w:type="dxa"/>
          </w:tcPr>
          <w:p>
            <w:pPr/>
            <w:r>
              <w:t xml:space="preserve">2027–2028</w:t>
            </w:r>
          </w:p>
        </w:tc>
      </w:tr>
      <w:tr>
        <w:tc>
          <w:tcPr>
            <w:tcW w:w="1337" w:type="dxa"/>
          </w:tcPr>
          <w:p>
            <w:pPr/>
            <w:r>
              <w:t xml:space="preserve">C2</w:t>
            </w:r>
          </w:p>
        </w:tc>
        <w:tc>
          <w:tcPr>
            <w:tcW w:w="1337" w:type="dxa"/>
          </w:tcPr>
          <w:p>
            <w:pPr/>
            <w:r>
              <w:t xml:space="preserve">AI 응용 사업 현장에 사용자 AI 리터러시 결합(현장 주민·노동자·농민 대상 모듈)</w:t>
            </w:r>
          </w:p>
        </w:tc>
        <w:tc>
          <w:tcPr>
            <w:tcW w:w="1337" w:type="dxa"/>
          </w:tcPr>
          <w:p>
            <w:pPr/>
            <w:r>
              <w:t xml:space="preserve">산업 응용 · 전달</w:t>
            </w:r>
          </w:p>
        </w:tc>
        <w:tc>
          <w:tcPr>
            <w:tcW w:w="1337" w:type="dxa"/>
          </w:tcPr>
          <w:p>
            <w:pPr/>
            <w:r>
              <w:t xml:space="preserve">해당 회원국 주무 부처 동의(희망국 opt-in)를 전제로 난닝 응용협력센터·사례집 사업 현장(예: 라오스·캄보디아 농업 AI)</w:t>
            </w:r>
          </w:p>
        </w:tc>
        <w:tc>
          <w:tcPr>
            <w:tcW w:w="1337" w:type="dxa"/>
          </w:tcPr>
          <w:p>
            <w:pPr/>
            <w:r>
              <w:t xml:space="preserve">현지 수용성과 AI 활용률 제고</w:t>
            </w:r>
          </w:p>
        </w:tc>
        <w:tc>
          <w:tcPr>
            <w:tcW w:w="1337" w:type="dxa"/>
          </w:tcPr>
          <w:p>
            <w:pPr/>
            <w:r>
              <w:t xml:space="preserve">해당 회원국 정부 동의, ASEAN 콘텐츠·브랜드 유지, 전달 파트너와 재원 확보</w:t>
            </w:r>
          </w:p>
        </w:tc>
        <w:tc>
          <w:tcPr>
            <w:tcW w:w="1337" w:type="dxa"/>
          </w:tcPr>
          <w:p>
            <w:pPr/>
            <w:r>
              <w:t xml:space="preserve">2027–2028 시범</w:t>
            </w:r>
          </w:p>
        </w:tc>
      </w:tr>
      <w:tr>
        <w:tc>
          <w:tcPr>
            <w:tcW w:w="1337" w:type="dxa"/>
          </w:tcPr>
          <w:p>
            <w:pPr/>
            <w:r>
              <w:t xml:space="preserve">C3</w:t>
            </w:r>
          </w:p>
        </w:tc>
        <w:tc>
          <w:tcPr>
            <w:tcW w:w="1337" w:type="dxa"/>
          </w:tcPr>
          <w:p>
            <w:pPr/>
            <w:r>
              <w:t xml:space="preserve">2027 AI 협력의 해 결과물 제안(채택 시): 사용자 AI 역량과 '연수 이후' 패키지</w:t>
            </w:r>
          </w:p>
        </w:tc>
        <w:tc>
          <w:tcPr>
            <w:tcW w:w="1337" w:type="dxa"/>
          </w:tcPr>
          <w:p>
            <w:pPr/>
            <w:r>
              <w:t xml:space="preserve">전체</w:t>
            </w:r>
          </w:p>
        </w:tc>
        <w:tc>
          <w:tcPr>
            <w:tcW w:w="1337" w:type="dxa"/>
          </w:tcPr>
          <w:p>
            <w:pPr/>
            <w:r>
              <w:t xml:space="preserve">ASEAN–중국 협력기금(ACCF), 합동협력위원회(ACJCC) 절차</w:t>
            </w:r>
          </w:p>
        </w:tc>
        <w:tc>
          <w:tcPr>
            <w:tcW w:w="1337" w:type="dxa"/>
          </w:tcPr>
          <w:p>
            <w:pPr/>
            <w:r>
              <w:t xml:space="preserve">가시적 결과물</w:t>
            </w:r>
          </w:p>
        </w:tc>
        <w:tc>
          <w:tcPr>
            <w:tcW w:w="1337" w:type="dxa"/>
          </w:tcPr>
          <w:p>
            <w:pPr/>
            <w:r>
              <w:t xml:space="preserve">협력의 해 채택, 사업 제안 승인(승인 절차 확인 포함)</w:t>
            </w:r>
          </w:p>
        </w:tc>
        <w:tc>
          <w:tcPr>
            <w:tcW w:w="1337" w:type="dxa"/>
          </w:tcPr>
          <w:p>
            <w:pPr/>
            <w:r>
              <w:t xml:space="preserve">2027</w:t>
            </w:r>
          </w:p>
        </w:tc>
      </w:tr>
      <w:tr>
        <w:tc>
          <w:tcPr>
            <w:tcW w:w="1337" w:type="dxa"/>
          </w:tcPr>
          <w:p>
            <w:pPr/>
            <w:r>
              <w:t xml:space="preserve">C4</w:t>
            </w:r>
          </w:p>
        </w:tc>
        <w:tc>
          <w:tcPr>
            <w:tcW w:w="1337" w:type="dxa"/>
          </w:tcPr>
          <w:p>
            <w:pPr/>
            <w:r>
              <w:t xml:space="preserve">동티모르 확장(테툼어 AI 콘텐츠, 현지 LIP)</w:t>
            </w:r>
          </w:p>
        </w:tc>
        <w:tc>
          <w:tcPr>
            <w:tcW w:w="1337" w:type="dxa"/>
          </w:tcPr>
          <w:p>
            <w:pPr/>
            <w:r>
              <w:t xml:space="preserve">인재·언어 · 전달·콘텐츠</w:t>
            </w:r>
          </w:p>
        </w:tc>
        <w:tc>
          <w:tcPr>
            <w:tcW w:w="1337" w:type="dxa"/>
          </w:tcPr>
          <w:p>
            <w:pPr/>
            <w:r>
              <w:t xml:space="preserve">IAI(Initiative for ASEAN Integration) 작업계획, 복수 대화상대국</w:t>
            </w:r>
          </w:p>
        </w:tc>
        <w:tc>
          <w:tcPr>
            <w:tcW w:w="1337" w:type="dxa"/>
          </w:tcPr>
          <w:p>
            <w:pPr/>
            <w:r>
              <w:t xml:space="preserve">신규 회원국의 AI 격차 해소</w:t>
            </w:r>
          </w:p>
        </w:tc>
        <w:tc>
          <w:tcPr>
            <w:tcW w:w="1337" w:type="dxa"/>
          </w:tcPr>
          <w:p>
            <w:pPr/>
            <w:r>
              <w:t xml:space="preserve">콘텐츠·파트너 구축 재원</w:t>
            </w:r>
          </w:p>
        </w:tc>
        <w:tc>
          <w:tcPr>
            <w:tcW w:w="1337" w:type="dxa"/>
          </w:tcPr>
          <w:p>
            <w:pPr/>
            <w:r>
              <w:t xml:space="preserve">2027–2028</w:t>
            </w:r>
          </w:p>
        </w:tc>
      </w:tr>
      <w:tr>
        <w:tc>
          <w:tcPr>
            <w:tcW w:w="1337" w:type="dxa"/>
          </w:tcPr>
          <w:p>
            <w:pPr/>
            <w:r>
              <w:t xml:space="preserve">C5</w:t>
            </w:r>
          </w:p>
        </w:tc>
        <w:tc>
          <w:tcPr>
            <w:tcW w:w="1337" w:type="dxa"/>
          </w:tcPr>
          <w:p>
            <w:pPr/>
            <w:r>
              <w:t xml:space="preserve">MSME AI 도입 협력: AIM ASEAN의 '연수 이후' 경험(경로·AI-bilingual·측정)을 혁신센터의 역내 역량 강화 과제와 필리핀 의장국 'AI 기반 MSME 성장' 선언(채택 시)의 후속에 연결</w:t>
            </w:r>
          </w:p>
        </w:tc>
        <w:tc>
          <w:tcPr>
            <w:tcW w:w="1337" w:type="dxa"/>
          </w:tcPr>
          <w:p>
            <w:pPr/>
            <w:r>
              <w:t xml:space="preserve">산업 응용 · 전달·근거</w:t>
            </w:r>
          </w:p>
        </w:tc>
        <w:tc>
          <w:tcPr>
            <w:tcW w:w="1337" w:type="dxa"/>
          </w:tcPr>
          <w:p>
            <w:pPr/>
            <w:r>
              <w:t xml:space="preserve">ACCMSME ↔ 공업정보화부·상무부</w:t>
            </w:r>
          </w:p>
        </w:tc>
        <w:tc>
          <w:tcPr>
            <w:tcW w:w="1337" w:type="dxa"/>
          </w:tcPr>
          <w:p>
            <w:pPr/>
            <w:r>
              <w:t xml:space="preserve">혁신센터 연수의 MSME 확장과 성과 입증</w:t>
            </w:r>
          </w:p>
        </w:tc>
        <w:tc>
          <w:tcPr>
            <w:tcW w:w="1337" w:type="dxa"/>
          </w:tcPr>
          <w:p>
            <w:pPr/>
            <w:r>
              <w:t xml:space="preserve">ACCMSME 보고, 재원 제공자 협의, AIM ASEAN 후속 재원(2027년 종료 예정), D1·A4의 근거</w:t>
            </w:r>
          </w:p>
        </w:tc>
        <w:tc>
          <w:tcPr>
            <w:tcW w:w="1337" w:type="dxa"/>
          </w:tcPr>
          <w:p>
            <w:pPr/>
            <w:r>
              <w:t xml:space="preserve">2027</w:t>
            </w:r>
          </w:p>
        </w:tc>
      </w:tr>
      <w:tr>
        <w:tc>
          <w:tcPr>
            <w:tcW w:w="1337" w:type="dxa"/>
          </w:tcPr>
          <w:p>
            <w:pPr/>
            <w:r>
              <w:t xml:space="preserve">D1</w:t>
            </w:r>
          </w:p>
        </w:tc>
        <w:tc>
          <w:tcPr>
            <w:tcW w:w="1337" w:type="dxa"/>
          </w:tcPr>
          <w:p>
            <w:pPr/>
            <w:r>
              <w:t xml:space="preserve">AI 연수 성과를 지속적 활용과 사업 가치로 측정하는 지표 공동 개발(MSME: 계속 사용·절감 시간·오류 감소·고객 성과·직원 경험, 교사: AI 리터러시 실측). 도달·통합·검증 성과 구분</w:t>
            </w:r>
          </w:p>
        </w:tc>
        <w:tc>
          <w:tcPr>
            <w:tcW w:w="1337" w:type="dxa"/>
          </w:tcPr>
          <w:p>
            <w:pPr/>
            <w:r>
              <w:t xml:space="preserve">인재·산업 응용 · 근거</w:t>
            </w:r>
          </w:p>
        </w:tc>
        <w:tc>
          <w:tcPr>
            <w:tcW w:w="1337" w:type="dxa"/>
          </w:tcPr>
          <w:p>
            <w:pPr/>
            <w:r>
              <w:t xml:space="preserve">모든 AI 인재 사업, CIIS(공동 연구). 싱가포르 기준선(2026년 4분기)과 검토(2027년 1분기)를 근거로</w:t>
            </w:r>
          </w:p>
        </w:tc>
        <w:tc>
          <w:tcPr>
            <w:tcW w:w="1337" w:type="dxa"/>
          </w:tcPr>
          <w:p>
            <w:pPr/>
            <w:r>
              <w:t xml:space="preserve">연수 인원에 더해 성과로 입증</w:t>
            </w:r>
          </w:p>
        </w:tc>
        <w:tc>
          <w:tcPr>
            <w:tcW w:w="1337" w:type="dxa"/>
          </w:tcPr>
          <w:p>
            <w:pPr/>
            <w:r>
              <w:t xml:space="preserve">측정 도구의 공개 범위, 싱가포르 후속 결과</w:t>
            </w:r>
          </w:p>
        </w:tc>
        <w:tc>
          <w:tcPr>
            <w:tcW w:w="1337" w:type="dxa"/>
          </w:tcPr>
          <w:p>
            <w:pPr/>
            <w:r>
              <w:t xml:space="preserve">2027</w:t>
            </w:r>
          </w:p>
        </w:tc>
      </w:tr>
    </w:tbl>
    <w:p>
      <w:pPr>
        <w:pStyle w:val="Heading3"/>
      </w:pPr>
      <w:r>
        <w:t xml:space="preserve">5.3 우선순위</w:t>
      </w:r>
    </w:p>
    <w:p>
      <w:pPr/>
      <w:r>
        <w:rPr>
          <w:b/>
        </w:rPr>
        <w:t xml:space="preserve">첫 실행은 A3다.</w:t>
      </w:r>
      <w:r>
        <w:t xml:space="preserve"> 비용이 없고 이미 초청받은 자리다. '연수 이후'라는 질문으로 싱가포르의 교훈을 공개 가능한 수준에서 제시하고, 경로 설계·인재 범위 확대·지속 활용 측정의 필요성을 제기한다(A1은 질의응답에서 보완). A4·B4·C5·D1은 ACCMSME 보고 전이므로 구체적 협력 제안이 아니라 재단의 문제의식과 검토 중인 과제 수준으로만 언급한다. 구조적 우선순위는 아래와 같다.</w:t>
      </w:r>
    </w:p>
    <w:p>
      <w:pPr>
        <w:pStyle w:val="ListParagraph"/>
        <w:numPr>
          <w:ilvl w:val="0"/>
          <w:numId w:val="10"/>
        </w:numPr>
      </w:pPr>
      <w:r>
        <w:rPr>
          <w:b/>
        </w:rPr>
        <w:t xml:space="preserve">MSME 트랙(D1·A4·B4 → C5)</w:t>
      </w:r>
      <w:r>
        <w:t xml:space="preserve">: 싱가포르 후속 계획(기준선 2026년 4분기, 검토 2027년 1분기)과 시점이 맞고, 파트너가 재단에 권고한 역할과 같다. 측정(D1)과 사례(A4)를 먼저 쌓아야 C5에서 내놓을 근거가 생긴다. 5,000건 AI 연수를 내건 중국 측도 성과 입증이 필요하므로 수용성이 높을 것이다 </w:t>
      </w:r>
      <w:r>
        <w:rPr>
          <w:b/>
        </w:rPr>
        <w:t xml:space="preserve">[판단]</w:t>
      </w:r>
      <w:r>
        <w:t xml:space="preserve">.</w:t>
      </w:r>
    </w:p>
    <w:p>
      <w:pPr>
        <w:pStyle w:val="ListParagraph"/>
        <w:numPr>
          <w:ilvl w:val="0"/>
          <w:numId w:val="10"/>
        </w:numPr>
      </w:pPr>
      <w:r>
        <w:rPr>
          <w:b/>
        </w:rPr>
        <w:t xml:space="preserve">교사 트랙(C1, 진입은 A1·A2)</w:t>
      </w:r>
      <w:r>
        <w:t xml:space="preserve">: SOM-ED가 승인한 사업과 직결된다. Smart Education의 교사 포함 여부(7장 1번)를 확인하고 SOM-ED에 보고한 뒤 추진한다.</w:t>
      </w:r>
    </w:p>
    <w:p>
      <w:pPr>
        <w:pStyle w:val="ListParagraph"/>
        <w:numPr>
          <w:ilvl w:val="0"/>
          <w:numId w:val="10"/>
        </w:numPr>
      </w:pPr>
      <w:r>
        <w:rPr>
          <w:b/>
        </w:rPr>
        <w:t xml:space="preserve">B1·B2</w:t>
      </w:r>
      <w:r>
        <w:t xml:space="preserve">: 비용이 낮고 성과가 빠르다. B2는 양측의 AI 안전 의제에 사용자 측 내용을 더하는 가장 직접적인 수단이다. 재원 제공자 협의와 약관 검토가 선행되어야 한다.</w:t>
      </w:r>
    </w:p>
    <w:p>
      <w:pPr>
        <w:pStyle w:val="ListParagraph"/>
        <w:numPr>
          <w:ilvl w:val="0"/>
          <w:numId w:val="10"/>
        </w:numPr>
      </w:pPr>
      <w:r>
        <w:rPr>
          <w:b/>
        </w:rPr>
        <w:t xml:space="preserve">C2</w:t>
      </w:r>
      <w:r>
        <w:t xml:space="preserve">: 공백에 가장 직접 답하지만, 사업별 협상과 재원이 필요해 시범 1–2건으로 시작한다.</w:t>
      </w:r>
    </w:p>
    <w:p>
      <w:pPr>
        <w:pStyle w:val="ListParagraph"/>
        <w:numPr>
          <w:ilvl w:val="0"/>
          <w:numId w:val="10"/>
        </w:numPr>
      </w:pPr>
      <w:r>
        <w:rPr>
          <w:b/>
        </w:rPr>
        <w:t xml:space="preserve">C3·C4</w:t>
      </w:r>
      <w:r>
        <w:t xml:space="preserve">: C3는 협력의 해 채택에 달려 있다. C4는 ASEAN 내부 우선 과제이며, 복수 대화상대국 구조로 설계할 때 중립성이 가장 잘 드러난다.</w:t>
      </w:r>
    </w:p>
    <w:p>
      <w:pPr/>
      <w:r>
        <w:rPr>
          <w:b/>
        </w:rPr>
        <w:t xml:space="preserve">C5의 위치.</w:t>
      </w:r>
      <w:r>
        <w:t xml:space="preserve"> MSME 트랙의 종착점이다. AIM ASEAN이 2027년에 끝날 예정이므로 후속 재원을 함께 협의하고, 11월 정상회의의 MSME 선언 채택 여부를 보고 2027년 상반기 착수를 목표로 한다.</w:t>
      </w:r>
    </w:p>
    <w:p>
      <w:pPr/>
      <w:r>
        <w:rPr>
          <w:b/>
        </w:rPr>
        <w:t xml:space="preserve">B3의 한계.</w:t>
      </w:r>
      <w:r>
        <w:t xml:space="preserve"> 언어모델 층은 재단의 본업이 아니다. 기여는 현지어 AI 교육 경험과 용어에 그치며, 학습자 데이터를 모델 학습용으로 내놓지 않는다.</w:t>
      </w:r>
    </w:p>
    <w:p>
      <w:pPr>
        <w:pStyle w:val="Heading3"/>
      </w:pPr>
      <w:r>
        <w:t xml:space="preserve">5.4 하지 않을 것</w:t>
      </w:r>
    </w:p>
    <w:p>
      <w:pPr>
        <w:pStyle w:val="ListParagraph"/>
        <w:numPr>
          <w:ilvl w:val="0"/>
          <w:numId w:val="11"/>
        </w:numPr>
      </w:pPr>
      <w:r>
        <w:t xml:space="preserve">학습자 개인정보와 학습 데이터의 이전·공동 보유, AI 모델 학습용 데이터 제공</w:t>
      </w:r>
    </w:p>
    <w:p>
      <w:pPr>
        <w:pStyle w:val="ListParagraph"/>
        <w:numPr>
          <w:ilvl w:val="0"/>
          <w:numId w:val="11"/>
        </w:numPr>
      </w:pPr>
      <w:r>
        <w:t xml:space="preserve">특정 국가·기업의 AI 모델·플랫폼 채택을 조건으로 한 연계</w:t>
      </w:r>
    </w:p>
    <w:p>
      <w:pPr>
        <w:pStyle w:val="ListParagraph"/>
        <w:numPr>
          <w:ilvl w:val="0"/>
          <w:numId w:val="11"/>
        </w:numPr>
      </w:pPr>
      <w:r>
        <w:t xml:space="preserve">ASEAN 자산을 상대측 사업 브랜드로 재포장하는 것</w:t>
      </w:r>
    </w:p>
    <w:p>
      <w:pPr>
        <w:pStyle w:val="ListParagraph"/>
        <w:numPr>
          <w:ilvl w:val="0"/>
          <w:numId w:val="11"/>
        </w:numPr>
      </w:pPr>
      <w:r>
        <w:t xml:space="preserve">회원국 교육부를 우회한 학교 단위 직접 사업</w:t>
      </w:r>
    </w:p>
    <w:p>
      <w:pPr>
        <w:pStyle w:val="ListParagraph"/>
        <w:numPr>
          <w:ilvl w:val="0"/>
          <w:numId w:val="11"/>
        </w:numPr>
      </w:pPr>
      <w:r>
        <w:t xml:space="preserve">AI 표준·규범에 대한 ASEAN 입장 표명(재단의 권한 밖)</w:t>
      </w:r>
    </w:p>
    <w:p>
      <w:pPr>
        <w:pStyle w:val="ListParagraph"/>
        <w:numPr>
          <w:ilvl w:val="0"/>
          <w:numId w:val="11"/>
        </w:numPr>
      </w:pPr>
      <w:r>
        <w:t xml:space="preserve">내부 보고서와 참여 기업 정보를 LIP·기업 동의 없이 대외 자료로 쓰는 것</w:t>
      </w:r>
    </w:p>
    <w:p>
      <w:pPr>
        <w:pStyle w:val="ListParagraph"/>
        <w:numPr>
          <w:ilvl w:val="0"/>
          <w:numId w:val="11"/>
        </w:numPr>
      </w:pPr>
      <w:r>
        <w:t xml:space="preserve">파트너 합의 전인 후속 계획을 재단의 약속처럼 제시하는 것</w:t>
      </w:r>
    </w:p>
    <w:p>
      <w:pPr>
        <w:pStyle w:val="Heading3"/>
      </w:pPr>
      <w:r>
        <w:t xml:space="preserve">5.5 단계별 로드맵</w:t>
      </w:r>
    </w:p>
    <w:p>
      <w:pPr/>
      <w:r>
        <w:drawing>
          <wp:inline distT="0" distB="0" distL="0" distR="0">
            <wp:extent cx="5486400" cy="2481942"/>
            <wp:docPr id="1" name="image1" descr="기여 로드맵 · 3단계, 분기점 3개"/>
            <a:graphic xmlns:a="http://schemas.openxmlformats.org/drawingml/2006/main">
              <a:graphicData uri="http://schemas.openxmlformats.org/drawingml/2006/picture">
                <pic:pic xmlns:pic="http://schemas.openxmlformats.org/drawingml/2006/picture">
                  <pic:nvPicPr>
                    <pic:cNvPr id="1" name="image1" descr="기여 로드맵 · 3단계, 분기점 3개"/>
                    <pic:cNvPicPr/>
                  </pic:nvPicPr>
                  <pic:blipFill>
                    <a:blip r:embed="rId8"/>
                    <a:stretch>
                      <a:fillRect/>
                    </a:stretch>
                  </pic:blipFill>
                  <pic:spPr>
                    <a:xfrm>
                      <a:off x="0" y="0"/>
                      <a:ext cx="5486400" cy="2481942"/>
                    </a:xfrm>
                    <a:prstGeom prst="rect">
                      <a:avLst/>
                    </a:prstGeom>
                  </pic:spPr>
                </pic:pic>
              </a:graphicData>
            </a:graphic>
          </wp:inline>
        </w:drawing>
      </w:r>
    </w:p>
    <w:p>
      <w:pPr/>
      <w:r>
        <w:t xml:space="preserve">기여 로드맵 · 3단계, 분기점 3개</w:t>
      </w:r>
    </w:p>
    <w:p>
      <w:pPr/>
      <w:r>
        <w:t xml:space="preserve">1단계는 비용과 위험이 거의 없어 이번 방문에서 바로 제안할 수 있다. 2단계의 MSME 항목(D1·A4·B4)은 싱가포르 후속 계획의 검토 시점(2027년 1분기)에 맞춘다. 3단계의 범위는 11월 정상회의 결과와 SOM-ED·ACCMSME, 회원국 주무 부처의 동의에 따라 정한다.</w:t>
      </w:r>
    </w:p>
    <w:p>
      <w:pPr>
        <w:pStyle w:val="Heading2"/>
      </w:pPr>
      <w:r>
        <w:t xml:space="preserve">6. 전제 조건과 리스크</w:t>
      </w:r>
    </w:p>
    <w:p>
      <w:pPr/>
      <w:r>
        <w:t xml:space="preserve">가장 큰 선행 조건은 재원 제공자와의 관계 정리다. 미국 기업 재단이 재원을 대고, AIM ASEAN은 'Google의 AI 도구군 활용'을 내건다. 이런 사업이 중국 정부의 AI 사업과 연계되는 구조이므로, 방문 전에 허용 범위를 확인하지 않으면 모든 옵션이 멈출 수 있다.</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리스크</w:t>
            </w:r>
          </w:p>
        </w:tc>
        <w:tc>
          <w:tcPr>
            <w:tcW w:w="3120" w:type="dxa"/>
            <w:shd w:val="clear" w:color="auto" w:fill="F2F2F2"/>
          </w:tcPr>
          <w:p>
            <w:pPr/>
            <w:r>
              <w:t xml:space="preserve">내용</w:t>
            </w:r>
          </w:p>
        </w:tc>
        <w:tc>
          <w:tcPr>
            <w:tcW w:w="3120" w:type="dxa"/>
            <w:shd w:val="clear" w:color="auto" w:fill="F2F2F2"/>
          </w:tcPr>
          <w:p>
            <w:pPr/>
            <w:r>
              <w:t xml:space="preserve">대응</w:t>
            </w:r>
          </w:p>
        </w:tc>
      </w:tr>
      <w:tr>
        <w:tc>
          <w:tcPr>
            <w:tcW w:w="3120" w:type="dxa"/>
          </w:tcPr>
          <w:p>
            <w:pPr/>
            <w:r>
              <w:t xml:space="preserve">재원 제공자 관계</w:t>
            </w:r>
          </w:p>
        </w:tc>
        <w:tc>
          <w:tcPr>
            <w:tcW w:w="3120" w:type="dxa"/>
          </w:tcPr>
          <w:p>
            <w:pPr/>
            <w:r>
              <w:t xml:space="preserve">Google.org·AVPN·ADB 약정이 AI 콘텐츠 공유와 제3자 협력을 어디까지 허용하는지 불분명하다. 미·중 AI 경쟁 속에서 재원 제공자의 정치적 부담도 있다</w:t>
            </w:r>
          </w:p>
        </w:tc>
        <w:tc>
          <w:tcPr>
            <w:tcW w:w="3120" w:type="dxa"/>
          </w:tcPr>
          <w:p>
            <w:pPr/>
            <w:r>
              <w:t xml:space="preserve">방문 전 사전 협의. 기여를 'ASEAN AI 역량 공공재 운영 경험 공유'로 규정</w:t>
            </w:r>
          </w:p>
        </w:tc>
      </w:tr>
      <w:tr>
        <w:tc>
          <w:tcPr>
            <w:tcW w:w="3120" w:type="dxa"/>
          </w:tcPr>
          <w:p>
            <w:pPr/>
            <w:r>
              <w:t xml:space="preserve">기술 중립성</w:t>
            </w:r>
          </w:p>
        </w:tc>
        <w:tc>
          <w:tcPr>
            <w:tcW w:w="3120" w:type="dxa"/>
          </w:tcPr>
          <w:p>
            <w:pPr/>
            <w:r>
              <w:t xml:space="preserve">재단 사업이 특정 기업의 AI 도구에 기대고 있다는 지적을 받을 수 있다. 중국 측이 자국 AI 모델·플랫폼 활용을 연계 조건으로 제시할 가능성도 있다 </w:t>
            </w:r>
            <w:r>
              <w:rPr>
                <w:b/>
              </w:rPr>
              <w:t xml:space="preserve">[판단]</w:t>
            </w:r>
          </w:p>
        </w:tc>
        <w:tc>
          <w:tcPr>
            <w:tcW w:w="3120" w:type="dxa"/>
          </w:tcPr>
          <w:p>
            <w:pPr/>
            <w:r>
              <w:t xml:space="preserve">5.1의 기술 중립 원칙. 교육 내용을 도구가 아닌 역량 중심으로 설명하고, 도구 선택은 회원국과 학습자에게 둔다. 싱가포르 Convening에서 모델 유형에 대한 단일 선호가 없었다는 기록과, Google·Huawei와 각각 협력해 온 운영 경험(2021 ASEAN Seeds for the Future MoU)을 근거로 든다</w:t>
            </w:r>
          </w:p>
        </w:tc>
      </w:tr>
      <w:tr>
        <w:tc>
          <w:tcPr>
            <w:tcW w:w="3120" w:type="dxa"/>
          </w:tcPr>
          <w:p>
            <w:pPr/>
            <w:r>
              <w:t xml:space="preserve">ASEAN 중립성·중심성</w:t>
            </w:r>
          </w:p>
        </w:tc>
        <w:tc>
          <w:tcPr>
            <w:tcW w:w="3120" w:type="dxa"/>
          </w:tcPr>
          <w:p>
            <w:pPr/>
            <w:r>
              <w:t xml:space="preserve">미·중 AI 경쟁 속에서 특정 대화상대국에 기운 인상을 줄 수 있다. 대화상대국별 디지털 아카데미도 병존한다(예: China-ASEAN Digital Academy, Korea-ASEAN Digital Academy)</w:t>
            </w:r>
          </w:p>
        </w:tc>
        <w:tc>
          <w:tcPr>
            <w:tcW w:w="3120" w:type="dxa"/>
          </w:tcPr>
          <w:p>
            <w:pPr/>
            <w:r>
              <w:t xml:space="preserve">개방형 원칙 명시. AI Ready ASEAN을 여러 AI 협력 사업의 공통 기초선으로 제시하면 ASEAN의 조정력이 커진다</w:t>
            </w:r>
          </w:p>
        </w:tc>
      </w:tr>
      <w:tr>
        <w:tc>
          <w:tcPr>
            <w:tcW w:w="3120" w:type="dxa"/>
          </w:tcPr>
          <w:p>
            <w:pPr/>
            <w:r>
              <w:t xml:space="preserve">권한(mandate)</w:t>
            </w:r>
          </w:p>
        </w:tc>
        <w:tc>
          <w:tcPr>
            <w:tcW w:w="3120" w:type="dxa"/>
          </w:tcPr>
          <w:p>
            <w:pPr/>
            <w:r>
              <w:t xml:space="preserve">ASEAN Foundation은 대외 협상에서 ASEAN을 대표하지 않으며, AI 표준·규범에 대한 ASEAN 입장을 밝힐 권한이 없다</w:t>
            </w:r>
          </w:p>
        </w:tc>
        <w:tc>
          <w:tcPr>
            <w:tcW w:w="3120" w:type="dxa"/>
          </w:tcPr>
          <w:p>
            <w:pPr/>
            <w:r>
              <w:t xml:space="preserve">SOM-ED·ACCMSME 보고 라인과 ASEAN 사무국 관련 부서를 통해 사전 조율. 방문 결과는 협의가 아닌 '탐색'으로 자리매김</w:t>
            </w:r>
          </w:p>
        </w:tc>
      </w:tr>
      <w:tr>
        <w:tc>
          <w:tcPr>
            <w:tcW w:w="3120" w:type="dxa"/>
          </w:tcPr>
          <w:p>
            <w:pPr/>
            <w:r>
              <w:t xml:space="preserve">공개 발언</w:t>
            </w:r>
          </w:p>
        </w:tc>
        <w:tc>
          <w:tcPr>
            <w:tcW w:w="3120" w:type="dxa"/>
          </w:tcPr>
          <w:p>
            <w:pPr/>
            <w:r>
              <w:t xml:space="preserve">CIIS 라운드테이블 발언은 기록·인용되고 중국 정부에 전달된다. AI 거버넌스 행사이므로 발언이 중국 측 구상(Global AI Governance Action Plan, WAICO) 지지로 인용될 수 있다</w:t>
            </w:r>
          </w:p>
        </w:tc>
        <w:tc>
          <w:tcPr>
            <w:tcW w:w="3120" w:type="dxa"/>
          </w:tcPr>
          <w:p>
            <w:pPr/>
            <w:r>
              <w:t xml:space="preserve">재단 경험 중심으로 말하고, ASEAN 입장 대변이나 특정 구상 지지 표현은 피한다(발언 요지 문서 7장)</w:t>
            </w:r>
          </w:p>
        </w:tc>
      </w:tr>
      <w:tr>
        <w:tc>
          <w:tcPr>
            <w:tcW w:w="3120" w:type="dxa"/>
          </w:tcPr>
          <w:p>
            <w:pPr/>
            <w:r>
              <w:t xml:space="preserve">내부 자료 인용</w:t>
            </w:r>
          </w:p>
        </w:tc>
        <w:tc>
          <w:tcPr>
            <w:tcW w:w="3120" w:type="dxa"/>
          </w:tcPr>
          <w:p>
            <w:pPr/>
            <w:r>
              <w:t xml:space="preserve">싱가포르 결과의 구조화된 근거는 LIP 내부 보고서다(최종본 제출일 미확정, 참석자 실명·예산 포함). 동의 없이 인용하면 파트너의 신뢰를 잃는다</w:t>
            </w:r>
          </w:p>
        </w:tc>
        <w:tc>
          <w:tcPr>
            <w:tcW w:w="3120" w:type="dxa"/>
          </w:tcPr>
          <w:p>
            <w:pPr/>
            <w:r>
              <w:t xml:space="preserve">대외 문서와 발언에서는 공개 보도자료 범위나 비식별 요약으로만 쓴다. 사례 사용은 LIP에 확인한다</w:t>
            </w:r>
          </w:p>
        </w:tc>
      </w:tr>
      <w:tr>
        <w:tc>
          <w:tcPr>
            <w:tcW w:w="3120" w:type="dxa"/>
          </w:tcPr>
          <w:p>
            <w:pPr/>
            <w:r>
              <w:t xml:space="preserve">제안과 약속의 혼동</w:t>
            </w:r>
          </w:p>
        </w:tc>
        <w:tc>
          <w:tcPr>
            <w:tcW w:w="3120" w:type="dxa"/>
          </w:tcPr>
          <w:p>
            <w:pPr/>
            <w:r>
              <w:t xml:space="preserve">싱가포르 후속 계획(공통 성과 지표, 지역 공유 채널 등)은 제안 단계이며 파트너 합의가 필요하다</w:t>
            </w:r>
          </w:p>
        </w:tc>
        <w:tc>
          <w:tcPr>
            <w:tcW w:w="3120" w:type="dxa"/>
          </w:tcPr>
          <w:p>
            <w:pPr/>
            <w:r>
              <w:t xml:space="preserve">'검토 중', '제안되어 있다'로 표현하고 일정은 밝히지 않는다. 재단의 역할은 내부 합의 후 확정한다</w:t>
            </w:r>
          </w:p>
        </w:tc>
      </w:tr>
      <w:tr>
        <w:tc>
          <w:tcPr>
            <w:tcW w:w="3120" w:type="dxa"/>
          </w:tcPr>
          <w:p>
            <w:pPr/>
            <w:r>
              <w:t xml:space="preserve">싱가포르의 일반화</w:t>
            </w:r>
          </w:p>
        </w:tc>
        <w:tc>
          <w:tcPr>
            <w:tcW w:w="3120" w:type="dxa"/>
          </w:tcPr>
          <w:p>
            <w:pPr/>
            <w:r>
              <w:t xml:space="preserve">싱가포르는 제도 생태계가 탄탄하고 국토가 작다. ASEAN 전체로 일반화하면 설득력이 떨어진다</w:t>
            </w:r>
          </w:p>
        </w:tc>
        <w:tc>
          <w:tcPr>
            <w:tcW w:w="3120" w:type="dxa"/>
          </w:tcPr>
          <w:p>
            <w:pPr/>
            <w:r>
              <w:t xml:space="preserve">'지원이 탄탄한 곳에서도'의 논리로 쓰고, 인도네시아 등 다른 나라의 결과와 함께 제시한다</w:t>
            </w:r>
          </w:p>
        </w:tc>
      </w:tr>
      <w:tr>
        <w:tc>
          <w:tcPr>
            <w:tcW w:w="3120" w:type="dxa"/>
          </w:tcPr>
          <w:p>
            <w:pPr/>
            <w:r>
              <w:t xml:space="preserve">데이터·보안</w:t>
            </w:r>
          </w:p>
        </w:tc>
        <w:tc>
          <w:tcPr>
            <w:tcW w:w="3120" w:type="dxa"/>
          </w:tcPr>
          <w:p>
            <w:pPr/>
            <w:r>
              <w:t xml:space="preserve">AI 플랫폼 연동이나 공동 운영은 학습자 데이터 이전과 모델 학습 활용 문제를 낳는다</w:t>
            </w:r>
          </w:p>
        </w:tc>
        <w:tc>
          <w:tcPr>
            <w:tcW w:w="3120" w:type="dxa"/>
          </w:tcPr>
          <w:p>
            <w:pPr/>
            <w:r>
              <w:t xml:space="preserve">데이터 비이전 원칙. 공개 콘텐츠 링크 방식으로만 연계</w:t>
            </w:r>
          </w:p>
        </w:tc>
      </w:tr>
      <w:tr>
        <w:tc>
          <w:tcPr>
            <w:tcW w:w="3120" w:type="dxa"/>
          </w:tcPr>
          <w:p>
            <w:pPr/>
            <w:r>
              <w:t xml:space="preserve">회원국별 민감성</w:t>
            </w:r>
          </w:p>
        </w:tc>
        <w:tc>
          <w:tcPr>
            <w:tcW w:w="3120" w:type="dxa"/>
          </w:tcPr>
          <w:p>
            <w:pPr/>
            <w:r>
              <w:t xml:space="preserve">회원국마다 중국과의 AI 협력 수준이 다르다. 예컨대 WAICO 창설 협정(2026.7.16)의 서명국에는 라오스·인도네시아가 포함된 것으로 보도되었다(29개국 전체 명단 미확인). 허위정보 대응 교육도 회원국의 정보 정책과 맞물려 민감도가 다르다 </w:t>
            </w:r>
            <w:r>
              <w:rPr>
                <w:b/>
              </w:rPr>
              <w:t xml:space="preserve">[판단]</w:t>
            </w:r>
          </w:p>
        </w:tc>
        <w:tc>
          <w:tcPr>
            <w:tcW w:w="3120" w:type="dxa"/>
          </w:tcPr>
          <w:p>
            <w:pPr/>
            <w:r>
              <w:t xml:space="preserve">전 회원국 일괄 참여 대신 희망국 참여(opt-in). 콘텐츠는 ASEAN Guide·Responsible AI Roadmap의 합의 표현을 쓴다</w:t>
            </w:r>
          </w:p>
        </w:tc>
      </w:tr>
      <w:tr>
        <w:tc>
          <w:tcPr>
            <w:tcW w:w="3120" w:type="dxa"/>
          </w:tcPr>
          <w:p>
            <w:pPr/>
            <w:r>
              <w:t xml:space="preserve">지속성</w:t>
            </w:r>
          </w:p>
        </w:tc>
        <w:tc>
          <w:tcPr>
            <w:tcW w:w="3120" w:type="dxa"/>
          </w:tcPr>
          <w:p>
            <w:pPr/>
            <w:r>
              <w:t xml:space="preserve">AI Ready ASEAN 2단계는 2028년 말, AIM ASEAN은 2027년에 끝날 예정이다. 트레이너·현지 파트너망은 재원이 끊기면 흩어진다. AI 도구가 빨리 바뀌어 콘텐츠도 빨리 낡는다</w:t>
            </w:r>
          </w:p>
        </w:tc>
        <w:tc>
          <w:tcPr>
            <w:tcW w:w="3120" w:type="dxa"/>
          </w:tcPr>
          <w:p>
            <w:pPr/>
            <w:r>
              <w:t xml:space="preserve">협력 사업에 트레이너를 활용할 때 보수·인증 체계를 포함한다. 콘텐츠 갱신 주기를 협력 조건에 넣는다</w:t>
            </w:r>
          </w:p>
        </w:tc>
      </w:tr>
      <w:tr>
        <w:tc>
          <w:tcPr>
            <w:tcW w:w="3120" w:type="dxa"/>
          </w:tcPr>
          <w:p>
            <w:pPr/>
            <w:r>
              <w:t xml:space="preserve">성과 표현</w:t>
            </w:r>
          </w:p>
        </w:tc>
        <w:tc>
          <w:tcPr>
            <w:tcW w:w="3120" w:type="dxa"/>
          </w:tcPr>
          <w:p>
            <w:pPr/>
            <w:r>
              <w:t xml:space="preserve">도달과 이수, 사업 통합이 섞이면 성과 전체의 신뢰가 떨어진다</w:t>
            </w:r>
          </w:p>
        </w:tc>
        <w:tc>
          <w:tcPr>
            <w:tcW w:w="3120" w:type="dxa"/>
          </w:tcPr>
          <w:p>
            <w:pPr/>
            <w:r>
              <w:t xml:space="preserve">지표별 정의와 기준일을 밝힌다. 도달·사업 통합·검증된 성과를 구분한다(5.1 원칙 6)</w:t>
            </w:r>
          </w:p>
        </w:tc>
      </w:tr>
      <w:tr>
        <w:tc>
          <w:tcPr>
            <w:tcW w:w="3120" w:type="dxa"/>
          </w:tcPr>
          <w:p>
            <w:pPr/>
            <w:r>
              <w:t xml:space="preserve">명칭 혼동</w:t>
            </w:r>
          </w:p>
        </w:tc>
        <w:tc>
          <w:tcPr>
            <w:tcW w:w="3120" w:type="dxa"/>
          </w:tcPr>
          <w:p>
            <w:pPr/>
            <w:r>
              <w:t xml:space="preserve">ASEAN Foundation의 ASEAN Digital Academy와 중국 측 China-ASEAN Digital Academy는 별개다</w:t>
            </w:r>
          </w:p>
        </w:tc>
        <w:tc>
          <w:tcPr>
            <w:tcW w:w="3120" w:type="dxa"/>
          </w:tcPr>
          <w:p>
            <w:pPr/>
            <w:r>
              <w:t xml:space="preserve">문서와 협의에서 정식 명칭을 쓴다</w:t>
            </w:r>
          </w:p>
        </w:tc>
      </w:tr>
    </w:tbl>
    <w:p>
      <w:pPr>
        <w:pStyle w:val="Heading2"/>
      </w:pPr>
      <w:r>
        <w:t xml:space="preserve">7. 방문 중 확인 사항</w:t>
      </w:r>
    </w:p>
    <w:p>
      <w:pPr/>
      <w:r>
        <w:t xml:space="preserve">현지에서 확인할 질문은 각각 5장의 어느 옵션을 살리거나 접을지 결정하도록 구성했다. 5·6·14번은 MSME 트랙, 1–3번은 교사 트랙(C1)의 전제다.</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질문</w:t>
            </w:r>
          </w:p>
        </w:tc>
        <w:tc>
          <w:tcPr>
            <w:tcW w:w="2340" w:type="dxa"/>
            <w:shd w:val="clear" w:color="auto" w:fill="F2F2F2"/>
          </w:tcPr>
          <w:p>
            <w:pPr/>
            <w:r>
              <w:t xml:space="preserve">상대</w:t>
            </w:r>
          </w:p>
        </w:tc>
        <w:tc>
          <w:tcPr>
            <w:tcW w:w="2340" w:type="dxa"/>
            <w:shd w:val="clear" w:color="auto" w:fill="F2F2F2"/>
          </w:tcPr>
          <w:p>
            <w:pPr/>
            <w:r>
              <w:t xml:space="preserve">관련 옵션</w:t>
            </w:r>
          </w:p>
        </w:tc>
      </w:tr>
      <w:tr>
        <w:tc>
          <w:tcPr>
            <w:tcW w:w="2340" w:type="dxa"/>
          </w:tcPr>
          <w:p>
            <w:pPr/>
            <w:r>
              <w:t xml:space="preserve">1</w:t>
            </w:r>
          </w:p>
        </w:tc>
        <w:tc>
          <w:tcPr>
            <w:tcW w:w="2340" w:type="dxa"/>
          </w:tcPr>
          <w:p>
            <w:pPr/>
            <w:r>
              <w:t xml:space="preserve">Smart Education Capacity Building Project('AI+교육' 연계)의 대상에 초중등 교사가 포함되는가. AI 교육과정, 참여 회원국, 이행 기관은 어디인가</w:t>
            </w:r>
          </w:p>
        </w:tc>
        <w:tc>
          <w:tcPr>
            <w:tcW w:w="2340" w:type="dxa"/>
          </w:tcPr>
          <w:p>
            <w:pPr/>
            <w:r>
              <w:t xml:space="preserve">중국 교육부, 사업 실무진</w:t>
            </w:r>
          </w:p>
        </w:tc>
        <w:tc>
          <w:tcPr>
            <w:tcW w:w="2340" w:type="dxa"/>
          </w:tcPr>
          <w:p>
            <w:pPr/>
            <w:r>
              <w:t xml:space="preserve">C1, A1</w:t>
            </w:r>
          </w:p>
        </w:tc>
      </w:tr>
      <w:tr>
        <w:tc>
          <w:tcPr>
            <w:tcW w:w="2340" w:type="dxa"/>
          </w:tcPr>
          <w:p>
            <w:pPr/>
            <w:r>
              <w:t xml:space="preserve">2</w:t>
            </w:r>
          </w:p>
        </w:tc>
        <w:tc>
          <w:tcPr>
            <w:tcW w:w="2340" w:type="dxa"/>
          </w:tcPr>
          <w:p>
            <w:pPr/>
            <w:r>
              <w:t xml:space="preserve">교사 AI 연수를 확대할 때 외부의 현지어 AI 콘텐츠나 트레이너망과 연계할 여지가 있는가</w:t>
            </w:r>
          </w:p>
        </w:tc>
        <w:tc>
          <w:tcPr>
            <w:tcW w:w="2340" w:type="dxa"/>
          </w:tcPr>
          <w:p>
            <w:pPr/>
            <w:r>
              <w:t xml:space="preserve">위와 동일</w:t>
            </w:r>
          </w:p>
        </w:tc>
        <w:tc>
          <w:tcPr>
            <w:tcW w:w="2340" w:type="dxa"/>
          </w:tcPr>
          <w:p>
            <w:pPr/>
            <w:r>
              <w:t xml:space="preserve">C1, B1</w:t>
            </w:r>
          </w:p>
        </w:tc>
      </w:tr>
      <w:tr>
        <w:tc>
          <w:tcPr>
            <w:tcW w:w="2340" w:type="dxa"/>
          </w:tcPr>
          <w:p>
            <w:pPr/>
            <w:r>
              <w:t xml:space="preserve">3</w:t>
            </w:r>
          </w:p>
        </w:tc>
        <w:tc>
          <w:tcPr>
            <w:tcW w:w="2340" w:type="dxa"/>
          </w:tcPr>
          <w:p>
            <w:pPr/>
            <w:r>
              <w:t xml:space="preserve">중국 측은 ASEAN 교육 부문(SOM-ED)과 어떤 협의 채널을 두고 있는가</w:t>
            </w:r>
          </w:p>
        </w:tc>
        <w:tc>
          <w:tcPr>
            <w:tcW w:w="2340" w:type="dxa"/>
          </w:tcPr>
          <w:p>
            <w:pPr/>
            <w:r>
              <w:t xml:space="preserve">중국 교육부, 주ASEAN 중국대표부</w:t>
            </w:r>
          </w:p>
        </w:tc>
        <w:tc>
          <w:tcPr>
            <w:tcW w:w="2340" w:type="dxa"/>
          </w:tcPr>
          <w:p>
            <w:pPr/>
            <w:r>
              <w:t xml:space="preserve">C1</w:t>
            </w:r>
          </w:p>
        </w:tc>
      </w:tr>
      <w:tr>
        <w:tc>
          <w:tcPr>
            <w:tcW w:w="2340" w:type="dxa"/>
          </w:tcPr>
          <w:p>
            <w:pPr/>
            <w:r>
              <w:t xml:space="preserve">4</w:t>
            </w:r>
          </w:p>
        </w:tc>
        <w:tc>
          <w:tcPr>
            <w:tcW w:w="2340" w:type="dxa"/>
          </w:tcPr>
          <w:p>
            <w:pPr/>
            <w:r>
              <w:t xml:space="preserve">혁신센터 AI 연수와 Digital Academy의 교육과정·선발 기준은 무엇이며, 사전 학습이나 외부 콘텐츠 연계를 받아들이는가</w:t>
            </w:r>
          </w:p>
        </w:tc>
        <w:tc>
          <w:tcPr>
            <w:tcW w:w="2340" w:type="dxa"/>
          </w:tcPr>
          <w:p>
            <w:pPr/>
            <w:r>
              <w:t xml:space="preserve">공업정보화부, 센터·Academy 운영 측</w:t>
            </w:r>
          </w:p>
        </w:tc>
        <w:tc>
          <w:tcPr>
            <w:tcW w:w="2340" w:type="dxa"/>
          </w:tcPr>
          <w:p>
            <w:pPr/>
            <w:r>
              <w:t xml:space="preserve">B1, A1</w:t>
            </w:r>
          </w:p>
        </w:tc>
      </w:tr>
      <w:tr>
        <w:tc>
          <w:tcPr>
            <w:tcW w:w="2340" w:type="dxa"/>
          </w:tcPr>
          <w:p>
            <w:pPr/>
            <w:r>
              <w:t xml:space="preserve">5</w:t>
            </w:r>
          </w:p>
        </w:tc>
        <w:tc>
          <w:tcPr>
            <w:tcW w:w="2340" w:type="dxa"/>
          </w:tcPr>
          <w:p>
            <w:pPr/>
            <w:r>
              <w:t xml:space="preserve">혁신센터와 광시 분소에 MSME 대상 AI 연수 계획이 있는가. MSME 중개자(협회·현지 트레이너)에게 열 여지는</w:t>
            </w:r>
          </w:p>
        </w:tc>
        <w:tc>
          <w:tcPr>
            <w:tcW w:w="2340" w:type="dxa"/>
          </w:tcPr>
          <w:p>
            <w:pPr/>
            <w:r>
              <w:t xml:space="preserve">공업정보화부, 센터 운영 측</w:t>
            </w:r>
          </w:p>
        </w:tc>
        <w:tc>
          <w:tcPr>
            <w:tcW w:w="2340" w:type="dxa"/>
          </w:tcPr>
          <w:p>
            <w:pPr/>
            <w:r>
              <w:t xml:space="preserve">A3, C5</w:t>
            </w:r>
          </w:p>
        </w:tc>
      </w:tr>
      <w:tr>
        <w:tc>
          <w:tcPr>
            <w:tcW w:w="2340" w:type="dxa"/>
          </w:tcPr>
          <w:p>
            <w:pPr/>
            <w:r>
              <w:t xml:space="preserve">6</w:t>
            </w:r>
          </w:p>
        </w:tc>
        <w:tc>
          <w:tcPr>
            <w:tcW w:w="2340" w:type="dxa"/>
          </w:tcPr>
          <w:p>
            <w:pPr/>
            <w:r>
              <w:t xml:space="preserve">5,000건 AI 연수 가운데 ASEAN 배정 규모, 대상, 형식, 성과 측정 방식은</w:t>
            </w:r>
          </w:p>
        </w:tc>
        <w:tc>
          <w:tcPr>
            <w:tcW w:w="2340" w:type="dxa"/>
          </w:tcPr>
          <w:p>
            <w:pPr/>
            <w:r>
              <w:t xml:space="preserve">중국 외교부, 주ASEAN 중국대표부</w:t>
            </w:r>
          </w:p>
        </w:tc>
        <w:tc>
          <w:tcPr>
            <w:tcW w:w="2340" w:type="dxa"/>
          </w:tcPr>
          <w:p>
            <w:pPr/>
            <w:r>
              <w:t xml:space="preserve">D1, A2</w:t>
            </w:r>
          </w:p>
        </w:tc>
      </w:tr>
      <w:tr>
        <w:tc>
          <w:tcPr>
            <w:tcW w:w="2340" w:type="dxa"/>
          </w:tcPr>
          <w:p>
            <w:pPr/>
            <w:r>
              <w:t xml:space="preserve">7</w:t>
            </w:r>
          </w:p>
        </w:tc>
        <w:tc>
          <w:tcPr>
            <w:tcW w:w="2340" w:type="dxa"/>
          </w:tcPr>
          <w:p>
            <w:pPr/>
            <w:r>
              <w:t xml:space="preserve">2027 AI 협력의 해: 제안 주체, 11월 정상회의 채택 전망, 예상 결과물에 AI 인재·리터러시가 들어가는가</w:t>
            </w:r>
          </w:p>
        </w:tc>
        <w:tc>
          <w:tcPr>
            <w:tcW w:w="2340" w:type="dxa"/>
          </w:tcPr>
          <w:p>
            <w:pPr/>
            <w:r>
              <w:t xml:space="preserve">중국 외교부, 주ASEAN 중국대표부</w:t>
            </w:r>
          </w:p>
        </w:tc>
        <w:tc>
          <w:tcPr>
            <w:tcW w:w="2340" w:type="dxa"/>
          </w:tcPr>
          <w:p>
            <w:pPr/>
            <w:r>
              <w:t xml:space="preserve">C3</w:t>
            </w:r>
          </w:p>
        </w:tc>
      </w:tr>
      <w:tr>
        <w:tc>
          <w:tcPr>
            <w:tcW w:w="2340" w:type="dxa"/>
          </w:tcPr>
          <w:p>
            <w:pPr/>
            <w:r>
              <w:t xml:space="preserve">8</w:t>
            </w:r>
          </w:p>
        </w:tc>
        <w:tc>
          <w:tcPr>
            <w:tcW w:w="2340" w:type="dxa"/>
          </w:tcPr>
          <w:p>
            <w:pPr/>
            <w:r>
              <w:t xml:space="preserve">ASEAN–중국 협력기금(ACCF)의 우선 분야와 제안 절차, ASEAN 기구의 사업 수행 가능성</w:t>
            </w:r>
          </w:p>
        </w:tc>
        <w:tc>
          <w:tcPr>
            <w:tcW w:w="2340" w:type="dxa"/>
          </w:tcPr>
          <w:p>
            <w:pPr/>
            <w:r>
              <w:t xml:space="preserve">주ASEAN 중국대표부, ASEAN 사무국</w:t>
            </w:r>
          </w:p>
        </w:tc>
        <w:tc>
          <w:tcPr>
            <w:tcW w:w="2340" w:type="dxa"/>
          </w:tcPr>
          <w:p>
            <w:pPr/>
            <w:r>
              <w:t xml:space="preserve">C3</w:t>
            </w:r>
          </w:p>
        </w:tc>
      </w:tr>
      <w:tr>
        <w:tc>
          <w:tcPr>
            <w:tcW w:w="2340" w:type="dxa"/>
          </w:tcPr>
          <w:p>
            <w:pPr/>
            <w:r>
              <w:t xml:space="preserve">9</w:t>
            </w:r>
          </w:p>
        </w:tc>
        <w:tc>
          <w:tcPr>
            <w:tcW w:w="2340" w:type="dxa"/>
          </w:tcPr>
          <w:p>
            <w:pPr/>
            <w:r>
              <w:t xml:space="preserve">난닝 응용협력센터의 AI 사업 현장에 사용자 교육 요소가 있는가</w:t>
            </w:r>
          </w:p>
        </w:tc>
        <w:tc>
          <w:tcPr>
            <w:tcW w:w="2340" w:type="dxa"/>
          </w:tcPr>
          <w:p>
            <w:pPr/>
            <w:r>
              <w:t xml:space="preserve">응용협력센터, 광시 측</w:t>
            </w:r>
          </w:p>
        </w:tc>
        <w:tc>
          <w:tcPr>
            <w:tcW w:w="2340" w:type="dxa"/>
          </w:tcPr>
          <w:p>
            <w:pPr/>
            <w:r>
              <w:t xml:space="preserve">C2</w:t>
            </w:r>
          </w:p>
        </w:tc>
      </w:tr>
      <w:tr>
        <w:tc>
          <w:tcPr>
            <w:tcW w:w="2340" w:type="dxa"/>
          </w:tcPr>
          <w:p>
            <w:pPr/>
            <w:r>
              <w:t xml:space="preserve">10</w:t>
            </w:r>
          </w:p>
        </w:tc>
        <w:tc>
          <w:tcPr>
            <w:tcW w:w="2340" w:type="dxa"/>
          </w:tcPr>
          <w:p>
            <w:pPr/>
            <w:r>
              <w:t xml:space="preserve">AI 윤리·안전 협력 이니셔티브(2026.9)의 내용은 무엇이며, 사용자 AI 리터러시가 포함되는가</w:t>
            </w:r>
          </w:p>
        </w:tc>
        <w:tc>
          <w:tcPr>
            <w:tcW w:w="2340" w:type="dxa"/>
          </w:tcPr>
          <w:p>
            <w:pPr/>
            <w:r>
              <w:t xml:space="preserve">국가발전개혁위원회, 참여 회원국</w:t>
            </w:r>
          </w:p>
        </w:tc>
        <w:tc>
          <w:tcPr>
            <w:tcW w:w="2340" w:type="dxa"/>
          </w:tcPr>
          <w:p>
            <w:pPr/>
            <w:r>
              <w:t xml:space="preserve">B2</w:t>
            </w:r>
          </w:p>
        </w:tc>
      </w:tr>
      <w:tr>
        <w:tc>
          <w:tcPr>
            <w:tcW w:w="2340" w:type="dxa"/>
          </w:tcPr>
          <w:p>
            <w:pPr/>
            <w:r>
              <w:t xml:space="preserve">11</w:t>
            </w:r>
          </w:p>
        </w:tc>
        <w:tc>
          <w:tcPr>
            <w:tcW w:w="2340" w:type="dxa"/>
          </w:tcPr>
          <w:p>
            <w:pPr/>
            <w:r>
              <w:t xml:space="preserve">라오스 국가 언어모델과 ASEAN AI 오픈소스 커뮤니티의 참여 방식과 데이터 정책은</w:t>
            </w:r>
          </w:p>
        </w:tc>
        <w:tc>
          <w:tcPr>
            <w:tcW w:w="2340" w:type="dxa"/>
          </w:tcPr>
          <w:p>
            <w:pPr/>
            <w:r>
              <w:t xml:space="preserve">국가발전개혁위원회·광시 측</w:t>
            </w:r>
          </w:p>
        </w:tc>
        <w:tc>
          <w:tcPr>
            <w:tcW w:w="2340" w:type="dxa"/>
          </w:tcPr>
          <w:p>
            <w:pPr/>
            <w:r>
              <w:t xml:space="preserve">B3</w:t>
            </w:r>
          </w:p>
        </w:tc>
      </w:tr>
      <w:tr>
        <w:tc>
          <w:tcPr>
            <w:tcW w:w="2340" w:type="dxa"/>
          </w:tcPr>
          <w:p>
            <w:pPr/>
            <w:r>
              <w:t xml:space="preserve">12</w:t>
            </w:r>
          </w:p>
        </w:tc>
        <w:tc>
          <w:tcPr>
            <w:tcW w:w="2340" w:type="dxa"/>
          </w:tcPr>
          <w:p>
            <w:pPr/>
            <w:r>
              <w:t xml:space="preserve">CIIS는 라운드테이블 결과를 보고서나 정책 건의로 묶는가. 후속 공동 연구의 여지는</w:t>
            </w:r>
          </w:p>
        </w:tc>
        <w:tc>
          <w:tcPr>
            <w:tcW w:w="2340" w:type="dxa"/>
          </w:tcPr>
          <w:p>
            <w:pPr/>
            <w:r>
              <w:t xml:space="preserve">CIIS 아태연구소</w:t>
            </w:r>
          </w:p>
        </w:tc>
        <w:tc>
          <w:tcPr>
            <w:tcW w:w="2340" w:type="dxa"/>
          </w:tcPr>
          <w:p>
            <w:pPr/>
            <w:r>
              <w:t xml:space="preserve">A2, D1</w:t>
            </w:r>
          </w:p>
        </w:tc>
      </w:tr>
      <w:tr>
        <w:tc>
          <w:tcPr>
            <w:tcW w:w="2340" w:type="dxa"/>
          </w:tcPr>
          <w:p>
            <w:pPr/>
            <w:r>
              <w:t xml:space="preserve">13</w:t>
            </w:r>
          </w:p>
        </w:tc>
        <w:tc>
          <w:tcPr>
            <w:tcW w:w="2340" w:type="dxa"/>
          </w:tcPr>
          <w:p>
            <w:pPr/>
            <w:r>
              <w:t xml:space="preserve">중국 측은 ASEAN Foundation과 AI Ready ASEAN·AIM ASEAN을 어떻게 인식하는가(민간 재원, Google AI 도구 활용 포함)</w:t>
            </w:r>
          </w:p>
        </w:tc>
        <w:tc>
          <w:tcPr>
            <w:tcW w:w="2340" w:type="dxa"/>
          </w:tcPr>
          <w:p>
            <w:pPr/>
            <w:r>
              <w:t xml:space="preserve">면담 상대 전반</w:t>
            </w:r>
          </w:p>
        </w:tc>
        <w:tc>
          <w:tcPr>
            <w:tcW w:w="2340" w:type="dxa"/>
          </w:tcPr>
          <w:p>
            <w:pPr/>
            <w:r>
              <w:t xml:space="preserve">6장 리스크</w:t>
            </w:r>
          </w:p>
        </w:tc>
      </w:tr>
      <w:tr>
        <w:tc>
          <w:tcPr>
            <w:tcW w:w="2340" w:type="dxa"/>
          </w:tcPr>
          <w:p>
            <w:pPr/>
            <w:r>
              <w:t xml:space="preserve">14</w:t>
            </w:r>
          </w:p>
        </w:tc>
        <w:tc>
          <w:tcPr>
            <w:tcW w:w="2340" w:type="dxa"/>
          </w:tcPr>
          <w:p>
            <w:pPr/>
            <w:r>
              <w:t xml:space="preserve">혁신센터·광시 분소 연수에 연수 이후 지원(현장 적용 상담, 후속 과정)이 있는가. 성과는 무엇으로 측정하는가</w:t>
            </w:r>
          </w:p>
        </w:tc>
        <w:tc>
          <w:tcPr>
            <w:tcW w:w="2340" w:type="dxa"/>
          </w:tcPr>
          <w:p>
            <w:pPr/>
            <w:r>
              <w:t xml:space="preserve">공업정보화부, 센터 운영 측</w:t>
            </w:r>
          </w:p>
        </w:tc>
        <w:tc>
          <w:tcPr>
            <w:tcW w:w="2340" w:type="dxa"/>
          </w:tcPr>
          <w:p>
            <w:pPr/>
            <w:r>
              <w:t xml:space="preserve">D1, B4, C5</w:t>
            </w:r>
          </w:p>
        </w:tc>
      </w:tr>
      <w:tr>
        <w:tc>
          <w:tcPr>
            <w:tcW w:w="2340" w:type="dxa"/>
          </w:tcPr>
          <w:p>
            <w:pPr/>
            <w:r>
              <w:t xml:space="preserve">15</w:t>
            </w:r>
          </w:p>
        </w:tc>
        <w:tc>
          <w:tcPr>
            <w:tcW w:w="2340" w:type="dxa"/>
          </w:tcPr>
          <w:p>
            <w:pPr/>
            <w:r>
              <w:t xml:space="preserve">ASEAN–중국 AI 사례집(2026.9)의 작성 기준은 무엇이며, MSME 사례가 들어갈 여지가 있는가</w:t>
            </w:r>
          </w:p>
        </w:tc>
        <w:tc>
          <w:tcPr>
            <w:tcW w:w="2340" w:type="dxa"/>
          </w:tcPr>
          <w:p>
            <w:pPr/>
            <w:r>
              <w:t xml:space="preserve">국가발전개혁위원회·광시 측</w:t>
            </w:r>
          </w:p>
        </w:tc>
        <w:tc>
          <w:tcPr>
            <w:tcW w:w="2340" w:type="dxa"/>
          </w:tcPr>
          <w:p>
            <w:pPr/>
            <w:r>
              <w:t xml:space="preserve">A4</w:t>
            </w:r>
          </w:p>
        </w:tc>
      </w:tr>
    </w:tbl>
    <w:p>
      <w:pPr/>
      <w:r>
        <w:rPr>
          <w:b/>
        </w:rPr>
        <w:t xml:space="preserve">방문 전 내부 점검</w:t>
      </w:r>
    </w:p>
    <w:p>
      <w:pPr>
        <w:pStyle w:val="ListParagraph"/>
        <w:numPr>
          <w:ilvl w:val="0"/>
          <w:numId w:val="12"/>
        </w:numPr>
      </w:pPr>
      <w:r>
        <w:t xml:space="preserve">☐ Google.org·AVPN·ADB 약정의 AI 콘텐츠 공유·제3자 협력 허용 범위 확인</w:t>
      </w:r>
    </w:p>
    <w:p>
      <w:pPr>
        <w:pStyle w:val="ListParagraph"/>
        <w:numPr>
          <w:ilvl w:val="0"/>
          <w:numId w:val="12"/>
        </w:numPr>
      </w:pPr>
      <w:r>
        <w:t xml:space="preserve">☐ AIM ASEAN의 'Google AI 도구군 활용' 범위와 기술 중립 설명 문안 준비(싱가포르의 '모델 유형 단일 선호 없음' 기록 활용)</w:t>
      </w:r>
    </w:p>
    <w:p>
      <w:pPr>
        <w:pStyle w:val="ListParagraph"/>
        <w:numPr>
          <w:ilvl w:val="0"/>
          <w:numId w:val="12"/>
        </w:numPr>
      </w:pPr>
      <w:r>
        <w:t xml:space="preserve">☐ 싱가포르 후속 계획에서 재단이 맡을 역할(공통 성과 지표, 지역 공유 채널, 템플릿) 내부 합의, LIP 최종 보고서 확정 시점 확인</w:t>
      </w:r>
    </w:p>
    <w:p>
      <w:pPr>
        <w:pStyle w:val="ListParagraph"/>
        <w:numPr>
          <w:ilvl w:val="0"/>
          <w:numId w:val="12"/>
        </w:numPr>
      </w:pPr>
      <w:r>
        <w:t xml:space="preserve">☐ 싱가포르 사례(식품 제조사, 전직 중의사)의 비식별 공개 사용 가능 여부를 Project Asia Data에 확인</w:t>
      </w:r>
    </w:p>
    <w:p>
      <w:pPr>
        <w:pStyle w:val="ListParagraph"/>
        <w:numPr>
          <w:ilvl w:val="0"/>
          <w:numId w:val="12"/>
        </w:numPr>
      </w:pPr>
      <w:r>
        <w:t xml:space="preserve">☐ AI Class ASEAN의 라이선스 조건과 지원 언어 수(9개인가 10개인가) 확정</w:t>
      </w:r>
    </w:p>
    <w:p>
      <w:pPr>
        <w:pStyle w:val="ListParagraph"/>
        <w:numPr>
          <w:ilvl w:val="0"/>
          <w:numId w:val="12"/>
        </w:numPr>
      </w:pPr>
      <w:r>
        <w:t xml:space="preserve">☐ '도달', '심화 이수', '사업 통합' 등 성과 지표의 정의와 기준일 정리</w:t>
      </w:r>
    </w:p>
    <w:p>
      <w:pPr>
        <w:pStyle w:val="ListParagraph"/>
        <w:numPr>
          <w:ilvl w:val="0"/>
          <w:numId w:val="12"/>
        </w:numPr>
      </w:pPr>
      <w:r>
        <w:t xml:space="preserve">☐ AIM ASEAN 목표(10만 곳) 확정과 지역 누적 실적 확보, AI Ready ASEAN 2단계와 AIM ASEAN의 동티모르 포함 여부 확인</w:t>
      </w:r>
    </w:p>
    <w:p>
      <w:pPr>
        <w:pStyle w:val="ListParagraph"/>
        <w:numPr>
          <w:ilvl w:val="0"/>
          <w:numId w:val="12"/>
        </w:numPr>
      </w:pPr>
      <w:r>
        <w:t xml:space="preserve">☐ 필리핀·인도네시아 Convening 내부 보고서 확보</w:t>
      </w:r>
    </w:p>
    <w:p>
      <w:pPr>
        <w:pStyle w:val="ListParagraph"/>
        <w:numPr>
          <w:ilvl w:val="0"/>
          <w:numId w:val="12"/>
        </w:numPr>
      </w:pPr>
      <w:r>
        <w:t xml:space="preserve">☐ CIIS 발송일·의제·모더레이터 확인</w:t>
      </w:r>
    </w:p>
    <w:p>
      <w:pPr>
        <w:pStyle w:val="ListParagraph"/>
        <w:numPr>
          <w:ilvl w:val="0"/>
          <w:numId w:val="12"/>
        </w:numPr>
      </w:pPr>
      <w:r>
        <w:t xml:space="preserve">☐ ASEAN 사무국 관련 부서와 SOM-ED·ACCMSME 의장국에 방문 목적과 CIIS 발언 요지 사전 공유</w:t>
      </w:r>
    </w:p>
    <w:p>
      <w:pPr>
        <w:pStyle w:val="Heading2"/>
      </w:pPr>
      <w:r>
        <w:t xml:space="preserve">부록: 출처</w:t>
      </w:r>
    </w:p>
    <w:p>
      <w:pPr/>
      <w:r>
        <w:t xml:space="preserve">본문에 쓴 사실의 출처다. 공개 자료는 2026년 10월 14일 기준이며, 대외 인용 전에는 원문과 대조한다. 싱가포르 Convening 자료는 현지 이행 파트너의 내부 보고서이므로 공개 범위를 확인한 뒤 인용한다. 중국 관영 매체가 유일한 출처인 수치(응용협력센터 실적, 사례집)와 플랫폼·기업 조사(Lazada–Kantar)는 출처를 밝혀 인용한다.</w:t>
      </w:r>
    </w:p>
    <w:p>
      <w:pPr/>
      <w:r>
        <w:rPr>
          <w:b/>
        </w:rPr>
        <w:t xml:space="preserve">ASEAN–중국 AI 합의·기관</w:t>
      </w:r>
    </w:p>
    <w:p>
      <w:pPr>
        <w:pStyle w:val="ListParagraph"/>
        <w:numPr>
          <w:ilvl w:val="0"/>
          <w:numId w:val="13"/>
        </w:numPr>
      </w:pPr>
      <w:hyperlink r:id="rId3" w:history="1">
        <w:r>
          <w:rPr>
            <w:rStyle w:val="Hyperlink"/>
          </w:rPr>
          <w:t xml:space="preserve">ASEAN–China Joint Statement on Facilitating Cooperation in Building a Sustainable and Inclusive Digital Ecosystem</w:t>
        </w:r>
      </w:hyperlink>
      <w:r>
        <w:t xml:space="preserve">(2024.10), </w:t>
      </w:r>
      <w:hyperlink r:id="rId9" w:history="1">
        <w:r>
          <w:rPr>
            <w:rStyle w:val="Hyperlink"/>
          </w:rPr>
          <w:t xml:space="preserve">Joint Statement on Promoting the Development of Smart Agriculture</w:t>
        </w:r>
      </w:hyperlink>
      <w:r>
        <w:t xml:space="preserve">(2024.10)</w:t>
      </w:r>
    </w:p>
    <w:p>
      <w:pPr>
        <w:pStyle w:val="ListParagraph"/>
        <w:numPr>
          <w:ilvl w:val="0"/>
          <w:numId w:val="13"/>
        </w:numPr>
      </w:pPr>
      <w:hyperlink r:id="rId4" w:history="1">
        <w:r>
          <w:rPr>
            <w:rStyle w:val="Hyperlink"/>
          </w:rPr>
          <w:t xml:space="preserve">ASEAN 사무총장 혁신센터 출범식 연설</w:t>
        </w:r>
      </w:hyperlink>
      <w:r>
        <w:t xml:space="preserve">(</w:t>
      </w:r>
      <w:hyperlink r:id="rId10" w:history="1">
        <w:r>
          <w:rPr>
            <w:rStyle w:val="Hyperlink"/>
          </w:rPr>
          <w:t xml:space="preserve">연설문 PDF</w:t>
        </w:r>
      </w:hyperlink>
      <w:r>
        <w:t xml:space="preserve">, 2026.5)</w:t>
      </w:r>
    </w:p>
    <w:p>
      <w:pPr>
        <w:pStyle w:val="ListParagraph"/>
        <w:numPr>
          <w:ilvl w:val="0"/>
          <w:numId w:val="13"/>
        </w:numPr>
      </w:pPr>
      <w:hyperlink r:id="rId11" w:history="1">
        <w:r>
          <w:rPr>
            <w:rStyle w:val="Hyperlink"/>
          </w:rPr>
          <w:t xml:space="preserve">중국–ASEAN 외교장관회의(마닐라)</w:t>
        </w:r>
      </w:hyperlink>
      <w:r>
        <w:t xml:space="preserve">, </w:t>
      </w:r>
      <w:hyperlink r:id="rId12" w:history="1">
        <w:r>
          <w:rPr>
            <w:rStyle w:val="Hyperlink"/>
          </w:rPr>
          <w:t xml:space="preserve">AI 협력의 해·Action Plan 관련 보도</w:t>
        </w:r>
      </w:hyperlink>
      <w:r>
        <w:t xml:space="preserve">, </w:t>
      </w:r>
      <w:hyperlink r:id="rId13" w:history="1">
        <w:r>
          <w:rPr>
            <w:rStyle w:val="Hyperlink"/>
          </w:rPr>
          <w:t xml:space="preserve">Antara: 2027 AI 협력 검토</w:t>
        </w:r>
      </w:hyperlink>
      <w:r>
        <w:t xml:space="preserve">(2026.7). 해당 문안의 원문 문서는 미확인</w:t>
      </w:r>
    </w:p>
    <w:p>
      <w:pPr>
        <w:pStyle w:val="ListParagraph"/>
        <w:numPr>
          <w:ilvl w:val="0"/>
          <w:numId w:val="13"/>
        </w:numPr>
      </w:pPr>
      <w:hyperlink r:id="rId14" w:history="1">
        <w:r>
          <w:rPr>
            <w:rStyle w:val="Hyperlink"/>
          </w:rPr>
          <w:t xml:space="preserve">제1차 AI 장관급 라운드테이블</w:t>
        </w:r>
      </w:hyperlink>
      <w:r>
        <w:t xml:space="preserve">(2025.9), </w:t>
      </w:r>
      <w:hyperlink r:id="rId15" w:history="1">
        <w:r>
          <w:rPr>
            <w:rStyle w:val="Hyperlink"/>
          </w:rPr>
          <w:t xml:space="preserve">AI 응용협력센터 착공</w:t>
        </w:r>
      </w:hyperlink>
    </w:p>
    <w:p>
      <w:pPr>
        <w:pStyle w:val="ListParagraph"/>
        <w:numPr>
          <w:ilvl w:val="0"/>
          <w:numId w:val="13"/>
        </w:numPr>
      </w:pPr>
      <w:hyperlink r:id="rId16" w:history="1">
        <w:r>
          <w:rPr>
            <w:rStyle w:val="Hyperlink"/>
          </w:rPr>
          <w:t xml:space="preserve">제2차 라운드테이블</w:t>
        </w:r>
      </w:hyperlink>
      <w:r>
        <w:t xml:space="preserve">, </w:t>
      </w:r>
      <w:hyperlink r:id="rId17" w:history="1">
        <w:r>
          <w:rPr>
            <w:rStyle w:val="Hyperlink"/>
          </w:rPr>
          <w:t xml:space="preserve">베트남 제안</w:t>
        </w:r>
      </w:hyperlink>
      <w:r>
        <w:t xml:space="preserve">, </w:t>
      </w:r>
      <w:hyperlink r:id="rId18" w:history="1">
        <w:r>
          <w:rPr>
            <w:rStyle w:val="Hyperlink"/>
          </w:rPr>
          <w:t xml:space="preserve">사례집 31건</w:t>
        </w:r>
      </w:hyperlink>
      <w:r>
        <w:t xml:space="preserve">, </w:t>
      </w:r>
      <w:hyperlink r:id="rId19" w:history="1">
        <w:r>
          <w:rPr>
            <w:rStyle w:val="Hyperlink"/>
          </w:rPr>
          <w:t xml:space="preserve">응용협력센터 실적</w:t>
        </w:r>
      </w:hyperlink>
      <w:r>
        <w:t xml:space="preserve">, </w:t>
      </w:r>
      <w:hyperlink r:id="rId20" w:history="1">
        <w:r>
          <w:rPr>
            <w:rStyle w:val="Hyperlink"/>
          </w:rPr>
          <w:t xml:space="preserve">제4차 China–ASEAN AI 협력 포럼</w:t>
        </w:r>
      </w:hyperlink>
      <w:r>
        <w:t xml:space="preserve">(2026.9)</w:t>
      </w:r>
    </w:p>
    <w:p>
      <w:pPr>
        <w:pStyle w:val="ListParagraph"/>
        <w:numPr>
          <w:ilvl w:val="0"/>
          <w:numId w:val="13"/>
        </w:numPr>
      </w:pPr>
      <w:hyperlink r:id="rId21" w:history="1">
        <w:r>
          <w:rPr>
            <w:rStyle w:val="Hyperlink"/>
          </w:rPr>
          <w:t xml:space="preserve">Education Cooperation Week 2026</w:t>
        </w:r>
      </w:hyperlink>
      <w:r>
        <w:t xml:space="preserve">, </w:t>
      </w:r>
      <w:hyperlink r:id="rId22" w:history="1">
        <w:r>
          <w:rPr>
            <w:rStyle w:val="Hyperlink"/>
          </w:rPr>
          <w:t xml:space="preserve">폐막 보도</w:t>
        </w:r>
      </w:hyperlink>
      <w:r>
        <w:t xml:space="preserve">, </w:t>
      </w:r>
      <w:hyperlink r:id="rId23" w:history="1">
        <w:r>
          <w:rPr>
            <w:rStyle w:val="Hyperlink"/>
          </w:rPr>
          <w:t xml:space="preserve">China-ASEAN Digital Academy 장학 모집</w:t>
        </w:r>
      </w:hyperlink>
    </w:p>
    <w:p>
      <w:pPr>
        <w:pStyle w:val="ListParagraph"/>
        <w:numPr>
          <w:ilvl w:val="0"/>
          <w:numId w:val="13"/>
        </w:numPr>
      </w:pPr>
      <w:r>
        <w:t xml:space="preserve">참고(AI 외): </w:t>
      </w:r>
      <w:hyperlink r:id="rId24" w:history="1">
        <w:r>
          <w:rPr>
            <w:rStyle w:val="Hyperlink"/>
          </w:rPr>
          <w:t xml:space="preserve">ACFTA 3.0 서명</w:t>
        </w:r>
      </w:hyperlink>
      <w:r>
        <w:t xml:space="preserve">(2025.10), </w:t>
      </w:r>
      <w:hyperlink r:id="rId25" w:history="1">
        <w:r>
          <w:rPr>
            <w:rStyle w:val="Hyperlink"/>
          </w:rPr>
          <w:t xml:space="preserve">비준 현황</w:t>
        </w:r>
      </w:hyperlink>
      <w:r>
        <w:t xml:space="preserve">, </w:t>
      </w:r>
      <w:hyperlink r:id="rId26" w:history="1">
        <w:r>
          <w:rPr>
            <w:rStyle w:val="Hyperlink"/>
          </w:rPr>
          <w:t xml:space="preserve">MOFCOM 요약</w:t>
        </w:r>
      </w:hyperlink>
    </w:p>
    <w:p>
      <w:pPr/>
      <w:r>
        <w:rPr>
          <w:b/>
        </w:rPr>
        <w:t xml:space="preserve">중국의 AI 전략과 외부 분석</w:t>
      </w:r>
    </w:p>
    <w:p>
      <w:pPr>
        <w:pStyle w:val="ListParagraph"/>
        <w:numPr>
          <w:ilvl w:val="0"/>
          <w:numId w:val="14"/>
        </w:numPr>
      </w:pPr>
      <w:hyperlink r:id="rId7" w:history="1">
        <w:r>
          <w:rPr>
            <w:rStyle w:val="Hyperlink"/>
          </w:rPr>
          <w:t xml:space="preserve">AI Capacity-Building Action Plan for Good and for All</w:t>
        </w:r>
      </w:hyperlink>
      <w:r>
        <w:t xml:space="preserve">(2024.9), </w:t>
      </w:r>
      <w:hyperlink r:id="rId27" w:history="1">
        <w:r>
          <w:rPr>
            <w:rStyle w:val="Hyperlink"/>
          </w:rPr>
          <w:t xml:space="preserve">Global AI Governance Action Plan</w:t>
        </w:r>
      </w:hyperlink>
      <w:r>
        <w:t xml:space="preserve">(2025.7)</w:t>
      </w:r>
    </w:p>
    <w:p>
      <w:pPr>
        <w:pStyle w:val="ListParagraph"/>
        <w:numPr>
          <w:ilvl w:val="0"/>
          <w:numId w:val="14"/>
        </w:numPr>
      </w:pPr>
      <w:hyperlink r:id="rId28" w:history="1">
        <w:r>
          <w:rPr>
            <w:rStyle w:val="Hyperlink"/>
          </w:rPr>
          <w:t xml:space="preserve">시진핑 WAIC 연설 보도</w:t>
        </w:r>
      </w:hyperlink>
      <w:r>
        <w:t xml:space="preserve">, </w:t>
      </w:r>
      <w:hyperlink r:id="rId29" w:history="1">
        <w:r>
          <w:rPr>
            <w:rStyle w:val="Hyperlink"/>
          </w:rPr>
          <w:t xml:space="preserve">WAICO 설립 협정 서명 보도</w:t>
        </w:r>
      </w:hyperlink>
      <w:r>
        <w:t xml:space="preserve">(2026.7. 서명국 전체 명단 미확인)</w:t>
      </w:r>
    </w:p>
    <w:p>
      <w:pPr>
        <w:pStyle w:val="ListParagraph"/>
        <w:numPr>
          <w:ilvl w:val="0"/>
          <w:numId w:val="14"/>
        </w:numPr>
      </w:pPr>
      <w:hyperlink r:id="rId30" w:history="1">
        <w:r>
          <w:rPr>
            <w:rStyle w:val="Hyperlink"/>
          </w:rPr>
          <w:t xml:space="preserve">ISEAS Perspective 2026/30, Wang Zheng</w:t>
        </w:r>
      </w:hyperlink>
      <w:r>
        <w:t xml:space="preserve">(과학기술부 3개년 행동계획 포함)</w:t>
      </w:r>
    </w:p>
    <w:p>
      <w:pPr>
        <w:pStyle w:val="ListParagraph"/>
        <w:numPr>
          <w:ilvl w:val="0"/>
          <w:numId w:val="14"/>
        </w:numPr>
      </w:pPr>
      <w:hyperlink r:id="rId31" w:history="1">
        <w:r>
          <w:rPr>
            <w:rStyle w:val="Hyperlink"/>
          </w:rPr>
          <w:t xml:space="preserve">East Asia Forum, Forbes &amp; Maughan</w:t>
        </w:r>
      </w:hyperlink>
      <w:r>
        <w:t xml:space="preserve">(2026.7), </w:t>
      </w:r>
      <w:hyperlink r:id="rId32" w:history="1">
        <w:r>
          <w:rPr>
            <w:rStyle w:val="Hyperlink"/>
          </w:rPr>
          <w:t xml:space="preserve">The Diplomat</w:t>
        </w:r>
      </w:hyperlink>
      <w:r>
        <w:t xml:space="preserve">(2026.6)</w:t>
      </w:r>
    </w:p>
    <w:p>
      <w:pPr>
        <w:pStyle w:val="ListParagraph"/>
        <w:numPr>
          <w:ilvl w:val="0"/>
          <w:numId w:val="14"/>
        </w:numPr>
      </w:pPr>
      <w:hyperlink r:id="rId33" w:history="1">
        <w:r>
          <w:rPr>
            <w:rStyle w:val="Hyperlink"/>
          </w:rPr>
          <w:t xml:space="preserve">CIIS–ISEAS 공동 심포지엄</w:t>
        </w:r>
      </w:hyperlink>
      <w:r>
        <w:t xml:space="preserve">(2025.12), </w:t>
      </w:r>
      <w:hyperlink r:id="rId34" w:history="1">
        <w:r>
          <w:rPr>
            <w:rStyle w:val="Hyperlink"/>
          </w:rPr>
          <w:t xml:space="preserve">CIIS·CAICT 보고서</w:t>
        </w:r>
      </w:hyperlink>
      <w:r>
        <w:t xml:space="preserve">(2024.12)</w:t>
      </w:r>
    </w:p>
    <w:p>
      <w:pPr/>
      <w:r>
        <w:rPr>
          <w:b/>
        </w:rPr>
        <w:t xml:space="preserve">ASEAN의 AI 거버넌스와 언어모델</w:t>
      </w:r>
    </w:p>
    <w:p>
      <w:pPr>
        <w:pStyle w:val="ListParagraph"/>
        <w:numPr>
          <w:ilvl w:val="0"/>
          <w:numId w:val="15"/>
        </w:numPr>
      </w:pPr>
      <w:hyperlink r:id="rId35" w:history="1">
        <w:r>
          <w:rPr>
            <w:rStyle w:val="Hyperlink"/>
          </w:rPr>
          <w:t xml:space="preserve">Expanded ASEAN Guide on AI Governance and Ethics: Generative AI</w:t>
        </w:r>
      </w:hyperlink>
      <w:r>
        <w:t xml:space="preserve">(2025.1), </w:t>
      </w:r>
      <w:hyperlink r:id="rId5" w:history="1">
        <w:r>
          <w:rPr>
            <w:rStyle w:val="Hyperlink"/>
          </w:rPr>
          <w:t xml:space="preserve">Responsible AI Roadmap 2025–2030 채택</w:t>
        </w:r>
      </w:hyperlink>
      <w:r>
        <w:t xml:space="preserve">(2025.3)</w:t>
      </w:r>
    </w:p>
    <w:p>
      <w:pPr>
        <w:pStyle w:val="ListParagraph"/>
        <w:numPr>
          <w:ilvl w:val="0"/>
          <w:numId w:val="15"/>
        </w:numPr>
      </w:pPr>
      <w:hyperlink r:id="rId6" w:history="1">
        <w:r>
          <w:rPr>
            <w:rStyle w:val="Hyperlink"/>
          </w:rPr>
          <w:t xml:space="preserve">Hanoi Digital Declaration</w:t>
        </w:r>
      </w:hyperlink>
      <w:r>
        <w:t xml:space="preserve">(2026.1)</w:t>
      </w:r>
    </w:p>
    <w:p>
      <w:pPr>
        <w:pStyle w:val="ListParagraph"/>
        <w:numPr>
          <w:ilvl w:val="0"/>
          <w:numId w:val="15"/>
        </w:numPr>
      </w:pPr>
      <w:hyperlink r:id="rId36" w:history="1">
        <w:r>
          <w:rPr>
            <w:rStyle w:val="Hyperlink"/>
          </w:rPr>
          <w:t xml:space="preserve">ASEAN AI Safe 설립 선언</w:t>
        </w:r>
      </w:hyperlink>
      <w:r>
        <w:t xml:space="preserve">(2025.10), </w:t>
      </w:r>
      <w:hyperlink r:id="rId37" w:history="1">
        <w:r>
          <w:rPr>
            <w:rStyle w:val="Hyperlink"/>
          </w:rPr>
          <w:t xml:space="preserve">사무국 소재지</w:t>
        </w:r>
      </w:hyperlink>
    </w:p>
    <w:p>
      <w:pPr>
        <w:pStyle w:val="ListParagraph"/>
        <w:numPr>
          <w:ilvl w:val="0"/>
          <w:numId w:val="15"/>
        </w:numPr>
      </w:pPr>
      <w:hyperlink r:id="rId38" w:history="1">
        <w:r>
          <w:rPr>
            <w:rStyle w:val="Hyperlink"/>
          </w:rPr>
          <w:t xml:space="preserve">SEA-LION 논문(IJCNLP 2025)</w:t>
        </w:r>
      </w:hyperlink>
      <w:r>
        <w:t xml:space="preserve">(11개 역내 언어)</w:t>
      </w:r>
    </w:p>
    <w:p>
      <w:pPr/>
      <w:r>
        <w:rPr>
          <w:b/>
        </w:rPr>
        <w:t xml:space="preserve">AI를 쓰는 층: 준비도와 위험</w:t>
      </w:r>
    </w:p>
    <w:p>
      <w:pPr>
        <w:pStyle w:val="ListParagraph"/>
        <w:numPr>
          <w:ilvl w:val="0"/>
          <w:numId w:val="16"/>
        </w:numPr>
      </w:pPr>
      <w:hyperlink r:id="rId39" w:history="1">
        <w:r>
          <w:rPr>
            <w:rStyle w:val="Hyperlink"/>
          </w:rPr>
          <w:t xml:space="preserve">AI Ready ASEAN Research</w:t>
        </w:r>
      </w:hyperlink>
      <w:r>
        <w:t xml:space="preserve">(2026), </w:t>
      </w:r>
      <w:hyperlink r:id="rId40" w:history="1">
        <w:r>
          <w:rPr>
            <w:rStyle w:val="Hyperlink"/>
          </w:rPr>
          <w:t xml:space="preserve">ASEAN Digital Outlook 2026</w:t>
        </w:r>
      </w:hyperlink>
      <w:r>
        <w:t xml:space="preserve">(요약부만 확인), </w:t>
      </w:r>
      <w:hyperlink r:id="rId41" w:history="1">
        <w:r>
          <w:rPr>
            <w:rStyle w:val="Hyperlink"/>
          </w:rPr>
          <w:t xml:space="preserve">출시 보도</w:t>
        </w:r>
      </w:hyperlink>
      <w:r>
        <w:t xml:space="preserve">(2026.2)</w:t>
      </w:r>
    </w:p>
    <w:p>
      <w:pPr>
        <w:pStyle w:val="ListParagraph"/>
        <w:numPr>
          <w:ilvl w:val="0"/>
          <w:numId w:val="16"/>
        </w:numPr>
      </w:pPr>
      <w:hyperlink r:id="rId42" w:history="1">
        <w:r>
          <w:rPr>
            <w:rStyle w:val="Hyperlink"/>
          </w:rPr>
          <w:t xml:space="preserve">IMDA 보고서 보도</w:t>
        </w:r>
      </w:hyperlink>
      <w:r>
        <w:t xml:space="preserve">(2026.10), </w:t>
      </w:r>
      <w:hyperlink r:id="rId43" w:history="1">
        <w:r>
          <w:rPr>
            <w:rStyle w:val="Hyperlink"/>
          </w:rPr>
          <w:t xml:space="preserve">인도네시아 MSME부 장관 발언(Antara)</w:t>
        </w:r>
      </w:hyperlink>
      <w:r>
        <w:t xml:space="preserve">(2026.7)</w:t>
      </w:r>
    </w:p>
    <w:p>
      <w:pPr>
        <w:pStyle w:val="ListParagraph"/>
        <w:numPr>
          <w:ilvl w:val="0"/>
          <w:numId w:val="16"/>
        </w:numPr>
      </w:pPr>
      <w:hyperlink r:id="rId44" w:history="1">
        <w:r>
          <w:rPr>
            <w:rStyle w:val="Hyperlink"/>
          </w:rPr>
          <w:t xml:space="preserve">Lazada–Kantar, Bridging the AI Gap</w:t>
        </w:r>
      </w:hyperlink>
      <w:r>
        <w:t xml:space="preserve">(2025.4 발표), </w:t>
      </w:r>
      <w:hyperlink r:id="rId45" w:history="1">
        <w:r>
          <w:rPr>
            <w:rStyle w:val="Hyperlink"/>
          </w:rPr>
          <w:t xml:space="preserve">ERIA Policy Brief 2025-1</w:t>
        </w:r>
      </w:hyperlink>
      <w:r>
        <w:t xml:space="preserve">(2025.5), </w:t>
      </w:r>
      <w:hyperlink r:id="rId46" w:history="1">
        <w:r>
          <w:rPr>
            <w:rStyle w:val="Hyperlink"/>
          </w:rPr>
          <w:t xml:space="preserve">ASEAN 사무국 MSME 개요</w:t>
        </w:r>
      </w:hyperlink>
    </w:p>
    <w:p>
      <w:pPr>
        <w:pStyle w:val="ListParagraph"/>
        <w:numPr>
          <w:ilvl w:val="0"/>
          <w:numId w:val="16"/>
        </w:numPr>
      </w:pPr>
      <w:hyperlink r:id="rId47" w:history="1">
        <w:r>
          <w:rPr>
            <w:rStyle w:val="Hyperlink"/>
          </w:rPr>
          <w:t xml:space="preserve">ASEAN-BAC의 딥페이크 사기 경고(Eco-Business)</w:t>
        </w:r>
      </w:hyperlink>
    </w:p>
    <w:p>
      <w:pPr>
        <w:pStyle w:val="ListParagraph"/>
        <w:numPr>
          <w:ilvl w:val="0"/>
          <w:numId w:val="16"/>
        </w:numPr>
      </w:pPr>
      <w:hyperlink r:id="rId48" w:history="1">
        <w:r>
          <w:rPr>
            <w:rStyle w:val="Hyperlink"/>
          </w:rPr>
          <w:t xml:space="preserve">OECD, Empowering SMEs in the Age of AI(2026 D4SME 조사)</w:t>
        </w:r>
      </w:hyperlink>
      <w:r>
        <w:t xml:space="preserve">(검색 요약 기준. Google.org 메시지가 인용한 '76%'는 확인되지 않음)</w:t>
      </w:r>
    </w:p>
    <w:p>
      <w:pPr/>
      <w:r>
        <w:rPr>
          <w:b/>
        </w:rPr>
        <w:t xml:space="preserve">ASEAN Foundation의 AI 사업</w:t>
      </w:r>
    </w:p>
    <w:p>
      <w:pPr>
        <w:pStyle w:val="ListParagraph"/>
        <w:numPr>
          <w:ilvl w:val="0"/>
          <w:numId w:val="17"/>
        </w:numPr>
      </w:pPr>
      <w:hyperlink r:id="rId49" w:history="1">
        <w:r>
          <w:rPr>
            <w:rStyle w:val="Hyperlink"/>
          </w:rPr>
          <w:t xml:space="preserve">AI Ready ASEAN 프로그램</w:t>
        </w:r>
      </w:hyperlink>
      <w:r>
        <w:t xml:space="preserve">, </w:t>
      </w:r>
      <w:hyperlink r:id="rId50" w:history="1">
        <w:r>
          <w:rPr>
            <w:rStyle w:val="Hyperlink"/>
          </w:rPr>
          <w:t xml:space="preserve">AI Class ASEAN 출범</w:t>
        </w:r>
      </w:hyperlink>
      <w:r>
        <w:t xml:space="preserve">(2025.8), </w:t>
      </w:r>
      <w:hyperlink r:id="rId51" w:history="1">
        <w:r>
          <w:rPr>
            <w:rStyle w:val="Hyperlink"/>
          </w:rPr>
          <w:t xml:space="preserve">2단계 SOM-ED 승인 발표</w:t>
        </w:r>
      </w:hyperlink>
      <w:r>
        <w:t xml:space="preserve">(2026.9), </w:t>
      </w:r>
      <w:hyperlink r:id="rId52" w:history="1">
        <w:r>
          <w:rPr>
            <w:rStyle w:val="Hyperlink"/>
          </w:rPr>
          <w:t xml:space="preserve">AVPN AI Opportunity Fund</w:t>
        </w:r>
      </w:hyperlink>
    </w:p>
    <w:p>
      <w:pPr>
        <w:pStyle w:val="ListParagraph"/>
        <w:numPr>
          <w:ilvl w:val="0"/>
          <w:numId w:val="17"/>
        </w:numPr>
      </w:pPr>
      <w:hyperlink r:id="rId53" w:history="1">
        <w:r>
          <w:rPr>
            <w:rStyle w:val="Hyperlink"/>
          </w:rPr>
          <w:t xml:space="preserve">AIM ASEAN 프로그램</w:t>
        </w:r>
      </w:hyperlink>
      <w:r>
        <w:t xml:space="preserve">, </w:t>
      </w:r>
      <w:hyperlink r:id="rId54" w:history="1">
        <w:r>
          <w:rPr>
            <w:rStyle w:val="Hyperlink"/>
          </w:rPr>
          <w:t xml:space="preserve">현지 파트너 발표(AVPN, 2025.10)</w:t>
        </w:r>
      </w:hyperlink>
    </w:p>
    <w:p>
      <w:pPr>
        <w:pStyle w:val="ListParagraph"/>
        <w:numPr>
          <w:ilvl w:val="0"/>
          <w:numId w:val="17"/>
        </w:numPr>
      </w:pPr>
      <w:r>
        <w:t xml:space="preserve">National Policy Convening: </w:t>
      </w:r>
      <w:hyperlink r:id="rId55" w:history="1">
        <w:r>
          <w:rPr>
            <w:rStyle w:val="Hyperlink"/>
          </w:rPr>
          <w:t xml:space="preserve">싱가포르 보도자료</w:t>
        </w:r>
      </w:hyperlink>
      <w:r>
        <w:t xml:space="preserve">(2026.9), </w:t>
      </w:r>
      <w:hyperlink r:id="rId56" w:history="1">
        <w:r>
          <w:rPr>
            <w:rStyle w:val="Hyperlink"/>
          </w:rPr>
          <w:t xml:space="preserve">인도네시아(Kompas)</w:t>
        </w:r>
      </w:hyperlink>
      <w:r>
        <w:t xml:space="preserve">(2026.7), </w:t>
      </w:r>
      <w:hyperlink r:id="rId57" w:history="1">
        <w:r>
          <w:rPr>
            <w:rStyle w:val="Hyperlink"/>
          </w:rPr>
          <w:t xml:space="preserve">필리핀(Limitless Lab)</w:t>
        </w:r>
      </w:hyperlink>
      <w:r>
        <w:t xml:space="preserve">(2026.5)</w:t>
      </w:r>
    </w:p>
    <w:p>
      <w:pPr>
        <w:pStyle w:val="ListParagraph"/>
        <w:numPr>
          <w:ilvl w:val="0"/>
          <w:numId w:val="17"/>
        </w:numPr>
      </w:pPr>
      <w:hyperlink r:id="rId58" w:history="1">
        <w:r>
          <w:rPr>
            <w:rStyle w:val="Hyperlink"/>
          </w:rPr>
          <w:t xml:space="preserve">필리핀 DICT, AI 기반 MSME 성장 선언</w:t>
        </w:r>
      </w:hyperlink>
    </w:p>
    <w:p>
      <w:pPr>
        <w:pStyle w:val="ListParagraph"/>
        <w:numPr>
          <w:ilvl w:val="0"/>
          <w:numId w:val="17"/>
        </w:numPr>
      </w:pPr>
      <w:hyperlink r:id="rId59" w:history="1">
        <w:r>
          <w:rPr>
            <w:rStyle w:val="Hyperlink"/>
          </w:rPr>
          <w:t xml:space="preserve">ASEAN Digital Academy(ASEAN Foundation)</w:t>
        </w:r>
      </w:hyperlink>
      <w:r>
        <w:t xml:space="preserve">, </w:t>
      </w:r>
      <w:hyperlink r:id="rId60" w:history="1">
        <w:r>
          <w:rPr>
            <w:rStyle w:val="Hyperlink"/>
          </w:rPr>
          <w:t xml:space="preserve">ASEAN Seeds for the Future MoU</w:t>
        </w:r>
      </w:hyperlink>
      <w:r>
        <w:t xml:space="preserve">(2021.11), </w:t>
      </w:r>
      <w:hyperlink r:id="rId61" w:history="1">
        <w:r>
          <w:rPr>
            <w:rStyle w:val="Hyperlink"/>
          </w:rPr>
          <w:t xml:space="preserve">Korea-ASEAN Digital Academy</w:t>
        </w:r>
      </w:hyperlink>
      <w:r>
        <w:t xml:space="preserve">, </w:t>
      </w:r>
      <w:hyperlink r:id="rId62" w:history="1">
        <w:r>
          <w:rPr>
            <w:rStyle w:val="Hyperlink"/>
          </w:rPr>
          <w:t xml:space="preserve">Huawei TECH4ALL</w:t>
        </w:r>
      </w:hyperlink>
    </w:p>
    <w:p>
      <w:pPr/>
      <w:r>
        <w:rPr>
          <w:b/>
        </w:rPr>
        <w:t xml:space="preserve">싱가포르 National Policy Convening(내부 자료)</w:t>
      </w:r>
    </w:p>
    <w:p>
      <w:pPr>
        <w:pStyle w:val="ListParagraph"/>
        <w:numPr>
          <w:ilvl w:val="0"/>
          <w:numId w:val="18"/>
        </w:numPr>
      </w:pPr>
      <w:r>
        <w:t xml:space="preserve">Project Asia Data(BlackStorm Group), National Policy Convening Review Notes – Singapore(AIM ASEAN). 내부 자료</w:t>
      </w:r>
    </w:p>
    <w:p>
      <w:pPr>
        <w:pStyle w:val="ListParagraph"/>
        <w:numPr>
          <w:ilvl w:val="0"/>
          <w:numId w:val="18"/>
        </w:numPr>
      </w:pPr>
      <w:r>
        <w:t xml:space="preserve">Project Asia Data(BlackStorm Group), National Policy Convening Report – Singapore(최종본, 제출일 미확정). 내부 자료. 양식 머리글에 다른 사업명('ASEAN AI for Employment Programme')이 남아 있어 인용 시 AIM ASEAN으로 표기</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sean.org/asean-china-joint-statement-on-facilitating-cooperation-in-building-a-sustainable-and-inclusive-digital-ecosystem" TargetMode="External"/><Relationship Id="rId4" Type="http://schemas.openxmlformats.org/officeDocument/2006/relationships/hyperlink" Target="https://asean.org/secretary-general-of-asean-delivers-opening-remarks-at-the-inauguration-ceremony-of-the-asean-china-artificial-intelligence-industry-innovation-centre-in-beijing/" TargetMode="External"/><Relationship Id="rId5" Type="http://schemas.openxmlformats.org/officeDocument/2006/relationships/hyperlink" Target="https://digitalpolicyalert.org/event/27928-asean-responsible-ai-roadmap-2025-2030-was-adopted" TargetMode="External"/><Relationship Id="rId6" Type="http://schemas.openxmlformats.org/officeDocument/2006/relationships/hyperlink" Target="https://asean.org/wp-content/uploads/2026/01/ADOPTED-HANOI-DIGITAL-DECLARATION_14Jan2026-CLN.pdf" TargetMode="External"/><Relationship Id="rId7" Type="http://schemas.openxmlformats.org/officeDocument/2006/relationships/hyperlink" Target="https://www.mfa.gov.cn/mfa_eng/wjbzhd/202409/t20240927_11498465.html" TargetMode="External"/><Relationship Id="rId8" Type="http://schemas.openxmlformats.org/officeDocument/2006/relationships/image" Target="media/image1.png"/><Relationship Id="rId9" Type="http://schemas.openxmlformats.org/officeDocument/2006/relationships/hyperlink" Target="https://asean.org/asean-china-joint-statement-on-promoting-the-development-of-smart-agriculture" TargetMode="External"/><Relationship Id="rId10" Type="http://schemas.openxmlformats.org/officeDocument/2006/relationships/hyperlink" Target="https://asean.org/wp-content/uploads/2026/05/SG-Remarks-China-ASEAN-AI-Industry-Innovation-Center_As-Delivered-clean.pdf" TargetMode="External"/><Relationship Id="rId11" Type="http://schemas.openxmlformats.org/officeDocument/2006/relationships/hyperlink" Target="https://asean.china-mission.gov.cn/eng/zgwj/202607/t20260725_11992108.htm" TargetMode="External"/><Relationship Id="rId12" Type="http://schemas.openxmlformats.org/officeDocument/2006/relationships/hyperlink" Target="https://www.vietnam.vn/en/asean-trung-quoc-day-manh-hop-tac-chuyen-doi-so-ai" TargetMode="External"/><Relationship Id="rId13" Type="http://schemas.openxmlformats.org/officeDocument/2006/relationships/hyperlink" Target="https://www.antaranews.com/berita/5669079/asean-china-kaji-kerja-sama-ai-di-2027" TargetMode="External"/><Relationship Id="rId14" Type="http://schemas.openxmlformats.org/officeDocument/2006/relationships/hyperlink" Target="http://english.scio.gov.cn/m/internationalexchanges/2025-09/19/content_118122933.html" TargetMode="External"/><Relationship Id="rId15" Type="http://schemas.openxmlformats.org/officeDocument/2006/relationships/hyperlink" Target="https://english.www.gov.cn/news/202509/18/content_WS68cbee82c6d00fa19f7a28b9.html" TargetMode="External"/><Relationship Id="rId16" Type="http://schemas.openxmlformats.org/officeDocument/2006/relationships/hyperlink" Target="https://www.chinadaily.com.cn/a/202609/28/WS6ab9ce3fe4b06d4aa056080b.html" TargetMode="External"/><Relationship Id="rId17" Type="http://schemas.openxmlformats.org/officeDocument/2006/relationships/hyperlink" Target="https://en.vietnamplus.vn/vietnam-seeks-to-build-safe-ai-future-with-china-asean-post352119.vnp" TargetMode="External"/><Relationship Id="rId18" Type="http://schemas.openxmlformats.org/officeDocument/2006/relationships/hyperlink" Target="https://en.gmw.cn/2026-09/20/content_39010499.htm" TargetMode="External"/><Relationship Id="rId19" Type="http://schemas.openxmlformats.org/officeDocument/2006/relationships/hyperlink" Target="http://www.china.org.cn/2026-09/18/content_118701794.shtml" TargetMode="External"/><Relationship Id="rId20" Type="http://schemas.openxmlformats.org/officeDocument/2006/relationships/hyperlink" Target="https://www.manilatimes.net/2026/09/20/tmt-newswire/media-outreach-newswire/fourth-forum-on-china-asean-artificial-intelligence-cooperation-successfully-held-in-nanning-drawing-over-700-delegates/2428827" TargetMode="External"/><Relationship Id="rId21" Type="http://schemas.openxmlformats.org/officeDocument/2006/relationships/hyperlink" Target="https://www.manilatimes.net/2026/08/03/tmt-newswire/pr-newswire/china-asean-education-cooperation-week-2026-unveils-major-initiatives/2396672" TargetMode="External"/><Relationship Id="rId22" Type="http://schemas.openxmlformats.org/officeDocument/2006/relationships/hyperlink" Target="https://www.ecns.cn/m/cns-wire/2026-08-05/detail-ihfhziqh0062477.shtml" TargetMode="External"/><Relationship Id="rId23" Type="http://schemas.openxmlformats.org/officeDocument/2006/relationships/hyperlink" Target="https://www.khmertimeskh.com/501900385/application-opens-for-china-asean-digital-academy-scholarships/" TargetMode="External"/><Relationship Id="rId24" Type="http://schemas.openxmlformats.org/officeDocument/2006/relationships/hyperlink" Target="https://english.www.gov.cn/news/202510/29/content_WS6901698cc6d00ca5f9a0725b.html" TargetMode="External"/><Relationship Id="rId25" Type="http://schemas.openxmlformats.org/officeDocument/2006/relationships/hyperlink" Target="https://www.nationthailand.com/business/trade/40069344" TargetMode="External"/><Relationship Id="rId26" Type="http://schemas.openxmlformats.org/officeDocument/2006/relationships/hyperlink" Target="https://www.mofcom.gov.cn/cms_files/filemanager/policySummary/viewcore_072d185118aa4987a2dce1e6bb204a9e.html" TargetMode="External"/><Relationship Id="rId27" Type="http://schemas.openxmlformats.org/officeDocument/2006/relationships/hyperlink" Target="https://www.mfa.gov.cn/eng/xw/zyxw/202507/t20250729_11679232.html" TargetMode="External"/><Relationship Id="rId28" Type="http://schemas.openxmlformats.org/officeDocument/2006/relationships/hyperlink" Target="https://english.www.gov.cn/news/202607/17/content_WS6a59a5c3c6d00ca5f9a0c439.html" TargetMode="External"/><Relationship Id="rId29" Type="http://schemas.openxmlformats.org/officeDocument/2006/relationships/hyperlink" Target="https://opengovasia.com/countries-establish-world-ai-cooperation-organization-in-shanghai/" TargetMode="External"/><Relationship Id="rId30" Type="http://schemas.openxmlformats.org/officeDocument/2006/relationships/hyperlink" Target="https://www.iseas.edu.sg/articles-commentaries/iseas-perspective/2026-30-beijings-ai-governance-approach-and-its-outreach-to-southeast-asia-by-wang-zheng/" TargetMode="External"/><Relationship Id="rId31" Type="http://schemas.openxmlformats.org/officeDocument/2006/relationships/hyperlink" Target="https://eastasiaforum.org/2026/07/03/asean-must-strike-a-balanced-ai-relationship-with-china/" TargetMode="External"/><Relationship Id="rId32" Type="http://schemas.openxmlformats.org/officeDocument/2006/relationships/hyperlink" Target="https://thediplomat.com/2026/06/the-asean-china-ai-center-innovation-boost-or-agentic-disinformation-risk-for-southeast-asia/" TargetMode="External"/><Relationship Id="rId33" Type="http://schemas.openxmlformats.org/officeDocument/2006/relationships/hyperlink" Target="https://www.iseas.edu.sg/media/event-highlights/ciis-iseas-joint-symposium-on-china-asean-ai-cooperation/" TargetMode="External"/><Relationship Id="rId34" Type="http://schemas.openxmlformats.org/officeDocument/2006/relationships/hyperlink" Target="https://www.ciis.org.cn/english/ResearchOutcomes/PUBLICATIONS/202412/W020241208743034168427.pdf" TargetMode="External"/><Relationship Id="rId35" Type="http://schemas.openxmlformats.org/officeDocument/2006/relationships/hyperlink" Target="https://asean.org/wp-content/uploads/2025/01/Expanded-ASEAN-Guide-on-AI-Governance-and-Ethics-Generative-AI.pdf" TargetMode="External"/><Relationship Id="rId36" Type="http://schemas.openxmlformats.org/officeDocument/2006/relationships/hyperlink" Target="https://digitalpolicyalert.org/change/17016-declaration-on-the-establishment-of-an-asean-ai-safety-network-asean-ai-safe" TargetMode="External"/><Relationship Id="rId37" Type="http://schemas.openxmlformats.org/officeDocument/2006/relationships/hyperlink" Target="https://en.vietnamplus.vn/asean-ai-safety-network-to-be-based-in-malaysia-post336266.vnp" TargetMode="External"/><Relationship Id="rId38" Type="http://schemas.openxmlformats.org/officeDocument/2006/relationships/hyperlink" Target="https://aclanthology.org/2025.ijcnlp-long.30/" TargetMode="External"/><Relationship Id="rId39" Type="http://schemas.openxmlformats.org/officeDocument/2006/relationships/hyperlink" Target="https://aseanfoundation.org/wp-content/uploads/2026/08/AI-Ready-ASEAN-Research_spread-version-1.pdf" TargetMode="External"/><Relationship Id="rId40" Type="http://schemas.openxmlformats.org/officeDocument/2006/relationships/hyperlink" Target="https://asean.org/wp-content/uploads/2026/08/2026_AF_ASEAN-Digital-Outlook_05-August-26.pdf" TargetMode="External"/><Relationship Id="rId41" Type="http://schemas.openxmlformats.org/officeDocument/2006/relationships/hyperlink" Target="https://www.philstar.com/business/biz-memos/2026/02/19/2508860/asean-foundation-launches-asean-digital-outlook-and-first-look-ai-readiness-research" TargetMode="External"/><Relationship Id="rId42" Type="http://schemas.openxmlformats.org/officeDocument/2006/relationships/hyperlink" Target="https://technode.global/2026/10/05/singapores-digital-economy-reaches-19-3-of-gdp-as-ai-adoption-deepens-imda/" TargetMode="External"/><Relationship Id="rId43" Type="http://schemas.openxmlformats.org/officeDocument/2006/relationships/hyperlink" Target="https://ambon.antaranews.com/berita/335501/menteri-umkm-lebih-dari-90-persen-umkm-belum-manfaatkan-ai" TargetMode="External"/><Relationship Id="rId44" Type="http://schemas.openxmlformats.org/officeDocument/2006/relationships/hyperlink" Target="https://www.prnewswire.com/apac/news-releases/three-in-four-southeast-asian-ecommerce-sellers-require-additional-support-in-their-ai-adoption-lazada-report-reveals-302422986.html" TargetMode="External"/><Relationship Id="rId45" Type="http://schemas.openxmlformats.org/officeDocument/2006/relationships/hyperlink" Target="https://www.eria.org/research/harnessing-ai-for-asean-s-future--governance--adoption--and-sustainability-under-the-defa" TargetMode="External"/><Relationship Id="rId46" Type="http://schemas.openxmlformats.org/officeDocument/2006/relationships/hyperlink" Target="https://asean.org/our-communities/economic-community/resilient-and-inclusive-asean/development-of-micro-small-and-medium-enterprises-in-asean-msme/overview" TargetMode="External"/><Relationship Id="rId47" Type="http://schemas.openxmlformats.org/officeDocument/2006/relationships/hyperlink" Target="https://www.eco-business.com/id/news/asean-private-sector-seeks-stronger-ai-upskilling-amid-surge-in-scams/" TargetMode="External"/><Relationship Id="rId48" Type="http://schemas.openxmlformats.org/officeDocument/2006/relationships/hyperlink" Target="https://www.oecd.org/en/publications/empowering-smes-in-the-age-of-ai_bf5a9816-en.html" TargetMode="External"/><Relationship Id="rId49" Type="http://schemas.openxmlformats.org/officeDocument/2006/relationships/hyperlink" Target="https://aseanfoundation.org/programme/ai_ready_asean/" TargetMode="External"/><Relationship Id="rId50" Type="http://schemas.openxmlformats.org/officeDocument/2006/relationships/hyperlink" Target="https://aseanfoundation.org/?p=6964" TargetMode="External"/><Relationship Id="rId51" Type="http://schemas.openxmlformats.org/officeDocument/2006/relationships/hyperlink" Target="https://www.mindanaotimes.com.ph/asean-foundation-announces-ai-ready-asean-powered-by-ai-opportunity-fund-asia-pacific-with-som-ed-endorsement-to-equip-more-than-1-7-million-students-with-practical-ai-skills/" TargetMode="External"/><Relationship Id="rId52" Type="http://schemas.openxmlformats.org/officeDocument/2006/relationships/hyperlink" Target="https://avpn.asia/about/press/ai-opportunity-fund-expands-skilling-infrastructure-apac/" TargetMode="External"/><Relationship Id="rId53" Type="http://schemas.openxmlformats.org/officeDocument/2006/relationships/hyperlink" Target="https://aseanfoundation.org/programme/aim-asean/" TargetMode="External"/><Relationship Id="rId54" Type="http://schemas.openxmlformats.org/officeDocument/2006/relationships/hyperlink" Target="https://avpn.asia/about/press/helping-small-businesses-southeast-asia-tap-ai/" TargetMode="External"/><Relationship Id="rId55" Type="http://schemas.openxmlformats.org/officeDocument/2006/relationships/hyperlink" Target="https://www.prnewswire.com/apac/news-releases/aim-asean-singapore-2026-brings-singapores-business-and-ai-ecosystems-together-to-advance-sme-ai-adoption-302879949.html" TargetMode="External"/><Relationship Id="rId56" Type="http://schemas.openxmlformats.org/officeDocument/2006/relationships/hyperlink" Target="https://lestari.kompas.com/read/2026/07/10/084655886/kesenjangan-literasi-digital-masih-jadi-hambatan-umkm-adopsi-ai" TargetMode="External"/><Relationship Id="rId57" Type="http://schemas.openxmlformats.org/officeDocument/2006/relationships/hyperlink" Target="https://limitlesslab.org/programs/aim-asean" TargetMode="External"/><Relationship Id="rId58" Type="http://schemas.openxmlformats.org/officeDocument/2006/relationships/hyperlink" Target="https://dict.gov.ph/news-and-updates/25520" TargetMode="External"/><Relationship Id="rId59" Type="http://schemas.openxmlformats.org/officeDocument/2006/relationships/hyperlink" Target="https://ada.aseanfoundation.org/about" TargetMode="External"/><Relationship Id="rId60" Type="http://schemas.openxmlformats.org/officeDocument/2006/relationships/hyperlink" Target="https://www.telecomreviewasia.com/news/industry-news/2554-huawei-and-asean-foundation-partner-to-bridge-digital-talent-gap-in-asia-pacific/" TargetMode="External"/><Relationship Id="rId61" Type="http://schemas.openxmlformats.org/officeDocument/2006/relationships/hyperlink" Target="https://www.aseanrokfund.com/our-works/project-korea-asean-digital-academy" TargetMode="External"/><Relationship Id="rId62" Type="http://schemas.openxmlformats.org/officeDocument/2006/relationships/hyperlink" Target="https://www.intelligentcio.com/apac/2025/03/27/huawei-offers-tech4all-to-bridge-digital-divid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ASEAN–중국 AI 협력과 ASEAN Foundation의 기여 방안</dc:title>
  <dc:description>Claude Docs node/c1450083-19ca@132 docx-w6</dc:description>
  <cp:revision>132</cp:revision>
</cp:coreProperties>
</file>