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7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0" w:type="dxa"/>
          <w:right w:w="0" w:type="dxa"/>
        </w:tblCellMar>
        <w:tblLook w:val="04A0" w:firstRow="1" w:lastRow="0" w:firstColumn="1" w:lastColumn="0" w:noHBand="0" w:noVBand="1"/>
      </w:tblPr>
      <w:tblGrid>
        <w:gridCol w:w="5000"/>
        <w:gridCol w:w="4740"/>
      </w:tblGrid>
      <w:tr w:rsidR="005C7CC5" w14:paraId="68A00669" w14:textId="77777777">
        <w:tc>
          <w:tcPr>
            <w:tcW w:w="5000" w:type="dxa"/>
            <w:vAlign w:val="bottom"/>
          </w:tcPr>
          <w:p w14:paraId="6C2DB77E" w14:textId="77777777" w:rsidR="005C7CC5" w:rsidRDefault="00000000">
            <w:r>
              <w:rPr>
                <w:noProof/>
              </w:rPr>
              <w:drawing>
                <wp:inline distT="0" distB="0" distL="0" distR="0" wp14:anchorId="13065488" wp14:editId="74E5992E">
                  <wp:extent cx="1066800" cy="409575"/>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66800" cy="409575"/>
                          </a:xfrm>
                          <a:prstGeom prst="rect">
                            <a:avLst/>
                          </a:prstGeom>
                        </pic:spPr>
                      </pic:pic>
                    </a:graphicData>
                  </a:graphic>
                </wp:inline>
              </w:drawing>
            </w:r>
          </w:p>
        </w:tc>
        <w:tc>
          <w:tcPr>
            <w:tcW w:w="4740" w:type="dxa"/>
            <w:vAlign w:val="bottom"/>
          </w:tcPr>
          <w:p w14:paraId="30E552A3" w14:textId="74700D2E" w:rsidR="005C7CC5" w:rsidRDefault="005C7CC5">
            <w:pPr>
              <w:jc w:val="right"/>
            </w:pPr>
          </w:p>
        </w:tc>
      </w:tr>
    </w:tbl>
    <w:p w14:paraId="5E22EA1F" w14:textId="77777777" w:rsidR="005C7CC5" w:rsidRDefault="005C7CC5">
      <w:pPr>
        <w:pBdr>
          <w:bottom w:val="single" w:sz="8" w:space="1" w:color="00498F"/>
        </w:pBdr>
        <w:spacing w:before="120" w:after="60" w:line="20" w:lineRule="exact"/>
      </w:pPr>
    </w:p>
    <w:tbl>
      <w:tblPr>
        <w:tblW w:w="974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top w:w="260" w:type="dxa"/>
          <w:left w:w="260" w:type="dxa"/>
          <w:bottom w:w="260" w:type="dxa"/>
          <w:right w:w="260" w:type="dxa"/>
        </w:tblCellMar>
        <w:tblLook w:val="04A0" w:firstRow="1" w:lastRow="0" w:firstColumn="1" w:lastColumn="0" w:noHBand="0" w:noVBand="1"/>
      </w:tblPr>
      <w:tblGrid>
        <w:gridCol w:w="9740"/>
      </w:tblGrid>
      <w:tr w:rsidR="005C7CC5" w14:paraId="3D6766BB" w14:textId="77777777">
        <w:tc>
          <w:tcPr>
            <w:tcW w:w="9740" w:type="dxa"/>
            <w:shd w:val="clear" w:color="auto" w:fill="00498F"/>
          </w:tcPr>
          <w:p w14:paraId="7C7C8A63" w14:textId="77777777" w:rsidR="005C7CC5" w:rsidRDefault="00000000">
            <w:pPr>
              <w:spacing w:after="60" w:line="300" w:lineRule="auto"/>
            </w:pPr>
            <w:r>
              <w:rPr>
                <w:rFonts w:eastAsia="Calibri"/>
                <w:b/>
                <w:bCs/>
                <w:color w:val="FFFFFF"/>
                <w:sz w:val="34"/>
                <w:szCs w:val="34"/>
              </w:rPr>
              <w:t>Research Briefing</w:t>
            </w:r>
          </w:p>
          <w:p w14:paraId="50D60414" w14:textId="77777777" w:rsidR="005C7CC5" w:rsidRDefault="00000000">
            <w:pPr>
              <w:spacing w:line="260" w:lineRule="auto"/>
            </w:pPr>
            <w:r>
              <w:rPr>
                <w:rFonts w:eastAsia="Calibri"/>
                <w:color w:val="A8CBEA"/>
              </w:rPr>
              <w:t>ASEAN–China AI Cooperation: Where the ASEAN Foundation Can Contribute</w:t>
            </w:r>
          </w:p>
        </w:tc>
      </w:tr>
    </w:tbl>
    <w:p w14:paraId="42DCEA40" w14:textId="77777777" w:rsidR="005C7CC5" w:rsidRDefault="005C7CC5">
      <w:pPr>
        <w:spacing w:after="240"/>
      </w:pP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CellMar>
          <w:top w:w="90" w:type="dxa"/>
          <w:left w:w="106" w:type="dxa"/>
          <w:bottom w:w="90" w:type="dxa"/>
          <w:right w:w="106" w:type="dxa"/>
        </w:tblCellMar>
        <w:tblLook w:val="04A0" w:firstRow="1" w:lastRow="0" w:firstColumn="1" w:lastColumn="0" w:noHBand="0" w:noVBand="1"/>
      </w:tblPr>
      <w:tblGrid>
        <w:gridCol w:w="2392"/>
        <w:gridCol w:w="7348"/>
      </w:tblGrid>
      <w:tr>
        <w:trPr>
          <w:cantSplit/>
        </w:trPr>
        <w:tc>
          <w:tcPr>
            <w:tcW w:w="2392" w:type="dxa"/>
            <w:shd w:val="clear" w:color="auto" w:fill="EAF1F8"/>
          </w:tcPr>
          <w:p>
            <w:pPr>
              <w:spacing w:line="276" w:lineRule="auto"/>
            </w:pPr>
            <w:r>
              <w:rPr>
                <w:rFonts w:eastAsia="Calibri"/>
                <w:b/>
                <w:bCs/>
              </w:rPr>
              <w:t>Purpose</w:t>
            </w:r>
          </w:p>
        </w:tc>
        <w:tc>
          <w:tcPr>
            <w:tcW w:w="7348" w:type="dxa"/>
          </w:tcPr>
          <w:p>
            <w:pPr>
              <w:spacing w:line="276" w:lineRule="auto"/>
            </w:pPr>
            <w:r>
              <w:rPr>
                <w:rFonts w:eastAsia="Calibri"/>
              </w:rPr>
              <w:t>Background for the ASEAN Foundation’s mission to China in October 2026 and for the CIIS roundtable remarks</w:t>
            </w:r>
          </w:p>
        </w:tc>
      </w:tr>
      <w:tr>
        <w:trPr>
          <w:cantSplit/>
        </w:trPr>
        <w:tc>
          <w:tcPr>
            <w:tcW w:w="2392" w:type="dxa"/>
            <w:shd w:val="clear" w:color="auto" w:fill="EAF1F8"/>
          </w:tcPr>
          <w:p>
            <w:pPr>
              <w:spacing w:line="276" w:lineRule="auto"/>
            </w:pPr>
            <w:r>
              <w:rPr>
                <w:rFonts w:eastAsia="Calibri"/>
                <w:b/>
                <w:bCs/>
              </w:rPr>
              <w:t>Date</w:t>
            </w:r>
          </w:p>
        </w:tc>
        <w:tc>
          <w:tcPr>
            <w:tcW w:w="7348" w:type="dxa"/>
          </w:tcPr>
          <w:p>
            <w:pPr>
              <w:spacing w:line="276" w:lineRule="auto"/>
            </w:pPr>
            <w:r>
              <w:rPr>
                <w:rFonts w:eastAsia="Calibri"/>
              </w:rPr>
              <w:t>14 October 2026</w:t>
            </w:r>
          </w:p>
        </w:tc>
      </w:tr>
      <w:tr>
        <w:trPr>
          <w:cantSplit/>
        </w:trPr>
        <w:tc>
          <w:tcPr>
            <w:tcW w:w="2392" w:type="dxa"/>
            <w:shd w:val="clear" w:color="auto" w:fill="EAF1F8"/>
          </w:tcPr>
          <w:p>
            <w:pPr>
              <w:spacing w:line="276" w:lineRule="auto"/>
            </w:pPr>
            <w:r>
              <w:rPr>
                <w:rFonts w:eastAsia="Calibri"/>
                <w:b/>
                <w:bCs/>
              </w:rPr>
              <w:t>Basis</w:t>
            </w:r>
          </w:p>
        </w:tc>
        <w:tc>
          <w:tcPr>
            <w:tcW w:w="7348" w:type="dxa"/>
          </w:tcPr>
          <w:p>
            <w:pPr>
              <w:spacing w:line="276" w:lineRule="auto"/>
            </w:pPr>
            <w:r>
              <w:rPr>
                <w:rFonts w:eastAsia="Calibri"/>
              </w:rPr>
              <w:t>Public documents and media reports to 14 October 2026; the local implementing partner’s internal reports on the Singapore National Policy Convening</w:t>
            </w:r>
          </w:p>
        </w:tc>
      </w:tr>
    </w:tbl>
    <w:p>
      <w:pPr>
        <w:keepNext/>
        <w:spacing w:before="240" w:after="160" w:line="300" w:lineRule="auto"/>
      </w:pPr>
      <w:r>
        <w:rPr>
          <w:rFonts w:eastAsia="Calibri"/>
          <w:b/>
          <w:bCs/>
          <w:color w:val="00498F"/>
          <w:sz w:val="26"/>
          <w:szCs w:val="26"/>
        </w:rPr>
        <w:t>1. Bottom Line</w:t>
      </w:r>
    </w:p>
    <w:p>
      <w:pPr>
        <w:pStyle w:val="a4"/>
        <w:numPr>
          <w:ilvl w:val="0"/>
          <w:numId w:val="2"/>
        </w:numPr>
        <w:spacing w:after="60" w:line="336" w:lineRule="auto"/>
        <w:jc w:val="both"/>
      </w:pPr>
      <w:r>
        <w:rPr>
          <w:rFonts w:eastAsia="Calibri"/>
          <w:b/>
          <w:bCs/>
        </w:rPr>
        <w:t>Where the Foundation fits.</w:t>
      </w:r>
      <w:r>
        <w:rPr>
          <w:rFonts w:eastAsia="Calibri"/>
        </w:rPr>
        <w:t xml:space="preserve"> ASEAN–China AI cooperation now spans almost every AI layer, yet nothing in it helps the people and businesses that use AI once training ends. That stage, after training, is where the Foundation can offer something neither side has.</w:t>
      </w:r>
    </w:p>
    <w:p>
      <w:pPr>
        <w:pStyle w:val="a4"/>
        <w:numPr>
          <w:ilvl w:val="0"/>
          <w:numId w:val="2"/>
        </w:numPr>
        <w:spacing w:after="60" w:line="336" w:lineRule="auto"/>
        <w:jc w:val="both"/>
      </w:pPr>
      <w:r>
        <w:rPr>
          <w:rFonts w:eastAsia="Calibri"/>
          <w:b/>
          <w:bCs/>
        </w:rPr>
        <w:t>Lead with MSMEs.</w:t>
      </w:r>
      <w:r>
        <w:rPr>
          <w:rFonts w:eastAsia="Calibri"/>
        </w:rPr>
        <w:t xml:space="preserve"> Open with the CIIS remarks, then offer evidence and measurement before proposing any joint programme. The case rests on AIM ASEAN and the Singapore National Policy Convening.</w:t>
      </w:r>
    </w:p>
    <w:p>
      <w:pPr>
        <w:pStyle w:val="a4"/>
        <w:numPr>
          <w:ilvl w:val="0"/>
          <w:numId w:val="2"/>
        </w:numPr>
        <w:spacing w:after="60" w:line="336" w:lineRule="auto"/>
        <w:jc w:val="both"/>
      </w:pPr>
      <w:r>
        <w:rPr>
          <w:rFonts w:eastAsia="Calibri"/>
          <w:b/>
          <w:bCs/>
        </w:rPr>
        <w:t>Teachers second, and conditionally.</w:t>
      </w:r>
      <w:r>
        <w:rPr>
          <w:rFonts w:eastAsia="Calibri"/>
        </w:rPr>
        <w:t xml:space="preserve"> Take up teacher cooperation only once it is confirmed whether China’s Smart Education covers teachers, and after informing SOM-ED.</w:t>
      </w:r>
    </w:p>
    <w:p>
      <w:pPr>
        <w:pStyle w:val="a4"/>
        <w:numPr>
          <w:ilvl w:val="0"/>
          <w:numId w:val="2"/>
        </w:numPr>
        <w:spacing w:after="60" w:line="336" w:lineRule="auto"/>
        <w:jc w:val="both"/>
      </w:pPr>
      <w:r>
        <w:rPr>
          <w:rFonts w:eastAsia="Calibri"/>
          <w:b/>
          <w:bCs/>
        </w:rPr>
        <w:t>One precondition above all.</w:t>
      </w:r>
      <w:r>
        <w:rPr>
          <w:rFonts w:eastAsia="Calibri"/>
        </w:rPr>
        <w:t xml:space="preserve"> Confirm what Google.org, AVPN and the ADB allow before offering content or cooperation to a third party.</w:t>
      </w:r>
    </w:p>
    <w:p>
      <w:pPr>
        <w:pStyle w:val="a4"/>
        <w:numPr>
          <w:ilvl w:val="0"/>
          <w:numId w:val="2"/>
        </w:numPr>
        <w:spacing w:after="120" w:line="336" w:lineRule="auto"/>
        <w:jc w:val="both"/>
      </w:pPr>
      <w:r>
        <w:rPr>
          <w:rFonts w:eastAsia="Calibri"/>
          <w:b/>
          <w:bCs/>
        </w:rPr>
        <w:t>Next decision point.</w:t>
      </w:r>
      <w:r>
        <w:rPr>
          <w:rFonts w:eastAsia="Calibri"/>
        </w:rPr>
        <w:t xml:space="preserve"> The Manila Summit in November 2026 will decide whether to adopt a 2027 ASEAN–China Year of AI Cooperation and a leaders’ declaration on AI-driven MSME growth.</w:t>
      </w:r>
    </w:p>
    <w:p>
      <w:pPr>
        <w:keepNext/>
        <w:spacing w:before="240" w:after="160" w:line="300" w:lineRule="auto"/>
      </w:pPr>
      <w:r>
        <w:rPr>
          <w:rFonts w:eastAsia="Calibri"/>
          <w:b/>
          <w:bCs/>
          <w:color w:val="00498F"/>
          <w:sz w:val="26"/>
          <w:szCs w:val="26"/>
        </w:rPr>
        <w:t>2. What ASEAN and China Have Built</w:t>
      </w:r>
    </w:p>
    <w:p>
      <w:pPr>
        <w:spacing w:after="120" w:line="336" w:lineRule="auto"/>
        <w:jc w:val="both"/>
      </w:pPr>
      <w:r>
        <w:rPr>
          <w:rFonts w:eastAsia="Calibri"/>
        </w:rPr>
        <w:t>Two years after the October 2024 Joint Statement on a sustainable and inclusive digital ecosystem, cooperation has institutions at almost every AI layer.</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470"/>
        <w:gridCol w:w="4642"/>
        <w:gridCol w:w="3628"/>
      </w:tblGrid>
      <w:tr>
        <w:trPr>
          <w:tblHeader/>
        </w:trPr>
        <w:tc>
          <w:tcPr>
            <w:tcW w:w="1470" w:type="dxa"/>
            <w:shd w:val="clear" w:color="auto" w:fill="00498F"/>
          </w:tcPr>
          <w:p>
            <w:pPr>
              <w:spacing w:line="276" w:lineRule="auto"/>
            </w:pPr>
            <w:r>
              <w:rPr>
                <w:rFonts w:eastAsia="Calibri"/>
                <w:b/>
                <w:bCs/>
                <w:color w:val="FFFFFF"/>
              </w:rPr>
              <w:t>AI layer</w:t>
            </w:r>
          </w:p>
        </w:tc>
        <w:tc>
          <w:tcPr>
            <w:tcW w:w="4642" w:type="dxa"/>
            <w:shd w:val="clear" w:color="auto" w:fill="00498F"/>
          </w:tcPr>
          <w:p>
            <w:pPr>
              <w:spacing w:line="276" w:lineRule="auto"/>
            </w:pPr>
            <w:r>
              <w:rPr>
                <w:rFonts w:eastAsia="Calibri"/>
                <w:b/>
                <w:bCs/>
                <w:color w:val="FFFFFF"/>
              </w:rPr>
              <w:t>What exists</w:t>
            </w:r>
          </w:p>
        </w:tc>
        <w:tc>
          <w:tcPr>
            <w:tcW w:w="3628" w:type="dxa"/>
            <w:shd w:val="clear" w:color="auto" w:fill="00498F"/>
          </w:tcPr>
          <w:p>
            <w:pPr>
              <w:spacing w:line="276" w:lineRule="auto"/>
            </w:pPr>
            <w:r>
              <w:rPr>
                <w:rFonts w:eastAsia="Calibri"/>
                <w:b/>
                <w:bCs/>
                <w:color w:val="FFFFFF"/>
              </w:rPr>
              <w:t>What to note</w:t>
            </w:r>
          </w:p>
        </w:tc>
      </w:tr>
      <w:tr>
        <w:trPr>
          <w:cantSplit/>
        </w:trPr>
        <w:tc>
          <w:tcPr>
            <w:tcW w:w="1470" w:type="dxa"/>
          </w:tcPr>
          <w:p>
            <w:pPr>
              <w:spacing w:line="276" w:lineRule="auto"/>
            </w:pPr>
            <w:r>
              <w:rPr>
                <w:rFonts w:eastAsia="Calibri"/>
              </w:rPr>
              <w:t>Governance and safety</w:t>
            </w:r>
          </w:p>
        </w:tc>
        <w:tc>
          <w:tcPr>
            <w:tcW w:w="4642" w:type="dxa"/>
          </w:tcPr>
          <w:p>
            <w:pPr>
              <w:spacing w:line="276" w:lineRule="auto"/>
            </w:pPr>
            <w:r>
              <w:rPr>
                <w:rFonts w:eastAsia="Calibri"/>
              </w:rPr>
              <w:t>Ministerial roundtable on AI (since September 2025); AI ethics and safety cooperation initiative for ASEAN (September 2026)</w:t>
            </w:r>
          </w:p>
        </w:tc>
        <w:tc>
          <w:tcPr>
            <w:tcW w:w="3628" w:type="dxa"/>
          </w:tcPr>
          <w:p>
            <w:pPr>
              <w:spacing w:line="276" w:lineRule="auto"/>
            </w:pPr>
            <w:r>
              <w:rPr>
                <w:rFonts w:eastAsia="Calibri"/>
              </w:rPr>
              <w:t>Initiative details not public. ASEAN keeps its own frameworks: the ASEAN Guide on AI Governance and Ethics and ASEAN AI Safe</w:t>
            </w:r>
          </w:p>
        </w:tc>
      </w:tr>
      <w:tr>
        <w:trPr>
          <w:cantSplit/>
        </w:trPr>
        <w:tc>
          <w:tcPr>
            <w:tcW w:w="1470" w:type="dxa"/>
          </w:tcPr>
          <w:p>
            <w:pPr>
              <w:spacing w:line="276" w:lineRule="auto"/>
            </w:pPr>
            <w:r>
              <w:rPr>
                <w:rFonts w:eastAsia="Calibri"/>
              </w:rPr>
              <w:t>Industrial application</w:t>
            </w:r>
          </w:p>
        </w:tc>
        <w:tc>
          <w:tcPr>
            <w:tcW w:w="4642" w:type="dxa"/>
          </w:tcPr>
          <w:p>
            <w:pPr>
              <w:spacing w:line="276" w:lineRule="auto"/>
            </w:pPr>
            <w:r>
              <w:rPr>
                <w:rFonts w:eastAsia="Calibri"/>
              </w:rPr>
              <w:t>China–ASEAN AI Industry Innovation Centre (Beijing, May 2026); AI Application Cooperation Centre (Nanning); casebook of 31 cases</w:t>
            </w:r>
          </w:p>
        </w:tc>
        <w:tc>
          <w:tcPr>
            <w:tcW w:w="3628" w:type="dxa"/>
          </w:tcPr>
          <w:p>
            <w:pPr>
              <w:spacing w:line="276" w:lineRule="auto"/>
            </w:pPr>
            <w:r>
              <w:rPr>
                <w:rFonts w:eastAsia="Calibri"/>
              </w:rPr>
              <w:t>Weighted towards infrastructure, smart manufacturing and logistics (as reported by Chinese state media)</w:t>
            </w:r>
          </w:p>
        </w:tc>
      </w:tr>
      <w:tr>
        <w:trPr>
          <w:cantSplit/>
        </w:trPr>
        <w:tc>
          <w:tcPr>
            <w:tcW w:w="1470" w:type="dxa"/>
          </w:tcPr>
          <w:p>
            <w:pPr>
              <w:spacing w:line="276" w:lineRule="auto"/>
            </w:pPr>
            <w:r>
              <w:rPr>
                <w:rFonts w:eastAsia="Calibri"/>
              </w:rPr>
              <w:t>Talent</w:t>
            </w:r>
          </w:p>
        </w:tc>
        <w:tc>
          <w:tcPr>
            <w:tcW w:w="4642" w:type="dxa"/>
          </w:tcPr>
          <w:p>
            <w:pPr>
              <w:spacing w:line="276" w:lineRule="auto"/>
            </w:pPr>
            <w:r>
              <w:rPr>
                <w:rFonts w:eastAsia="Calibri"/>
              </w:rPr>
              <w:t>Ministry of Science and Technology three-year plan (2025–2027); 5,000 AI training opportunities for developing countries; Digital Academy; Smart Education</w:t>
            </w:r>
          </w:p>
        </w:tc>
        <w:tc>
          <w:tcPr>
            <w:tcW w:w="3628" w:type="dxa"/>
          </w:tcPr>
          <w:p>
            <w:pPr>
              <w:spacing w:line="276" w:lineRule="auto"/>
            </w:pPr>
            <w:r>
              <w:rPr>
                <w:rFonts w:eastAsia="Calibri"/>
              </w:rPr>
              <w:t>Counted in numbers trained. ASEAN’s share and Smart Education’s target groups not confirmed</w:t>
            </w:r>
          </w:p>
        </w:tc>
      </w:tr>
      <w:tr>
        <w:trPr>
          <w:cantSplit/>
        </w:trPr>
        <w:tc>
          <w:tcPr>
            <w:tcW w:w="1470" w:type="dxa"/>
          </w:tcPr>
          <w:p>
            <w:pPr>
              <w:spacing w:line="276" w:lineRule="auto"/>
            </w:pPr>
            <w:r>
              <w:rPr>
                <w:rFonts w:eastAsia="Calibri"/>
              </w:rPr>
              <w:t>Language and data</w:t>
            </w:r>
          </w:p>
        </w:tc>
        <w:tc>
          <w:tcPr>
            <w:tcW w:w="4642" w:type="dxa"/>
          </w:tcPr>
          <w:p>
            <w:pPr>
              <w:spacing w:line="276" w:lineRule="auto"/>
            </w:pPr>
            <w:r>
              <w:rPr>
                <w:rFonts w:eastAsia="Calibri"/>
              </w:rPr>
              <w:t>Lao national language model; ASEAN AI open-source community</w:t>
            </w:r>
          </w:p>
        </w:tc>
        <w:tc>
          <w:tcPr>
            <w:tcW w:w="3628" w:type="dxa"/>
          </w:tcPr>
          <w:p>
            <w:pPr>
              <w:spacing w:line="276" w:lineRule="auto"/>
            </w:pPr>
            <w:r>
              <w:rPr>
                <w:rFonts w:eastAsia="Calibri"/>
              </w:rPr>
              <w:t>Early stage</w:t>
            </w:r>
          </w:p>
        </w:tc>
      </w:tr>
    </w:tbl>
    <w:p>
      <w:pPr>
        <w:spacing w:after="60" w:line="120" w:lineRule="auto"/>
      </w:pPr>
    </w:p>
    <w:p>
      <w:pPr>
        <w:spacing w:after="120" w:line="336" w:lineRule="auto"/>
        <w:jc w:val="both"/>
      </w:pPr>
      <w:r>
        <w:rPr>
          <w:rFonts w:eastAsia="Calibri"/>
          <w:b/>
          <w:bCs/>
          <w:color w:val="0F63A8"/>
        </w:rPr>
        <w:t>[Assessment]</w:t>
      </w:r>
      <w:r>
        <w:rPr>
          <w:rFonts w:eastAsia="Calibri"/>
        </w:rPr>
        <w:t xml:space="preserve"> China offers AI as a package, from infrastructure to standards, through channels spread across ministries and Guangxi. Its talent programmes count participants but say nothing about how people use AI afterwards. In July 2026 the Foreign Ministers’ Meeting noted a proposal for a 2027 Year of AI Cooperation, so both sides may soon look for deliverables. CIIS sits under China’s Ministry of Foreign Affairs: remarks at the roundtable should be prepared on the assumption that they will be relayed to the Chinese government.</w:t>
      </w:r>
    </w:p>
    <w:p>
      <w:pPr>
        <w:keepNext/>
        <w:spacing w:before="240" w:after="160" w:line="300" w:lineRule="auto"/>
      </w:pPr>
      <w:r>
        <w:rPr>
          <w:rFonts w:eastAsia="Calibri"/>
          <w:b/>
          <w:bCs/>
          <w:color w:val="00498F"/>
          <w:sz w:val="26"/>
          <w:szCs w:val="26"/>
        </w:rPr>
        <w:t>3. The Gap: What Happens after Training</w:t>
      </w:r>
    </w:p>
    <w:p>
      <w:pPr>
        <w:spacing w:after="120" w:line="336" w:lineRule="auto"/>
        <w:jc w:val="both"/>
      </w:pPr>
      <w:r>
        <w:rPr>
          <w:rFonts w:eastAsia="Calibri"/>
        </w:rPr>
        <w:t>The evidence points to the same break: people and firms are trained, but do not go on to use AI in their work.</w:t>
      </w:r>
    </w:p>
    <w:p>
      <w:pPr>
        <w:pStyle w:val="a4"/>
        <w:numPr>
          <w:ilvl w:val="0"/>
          <w:numId w:val="2"/>
        </w:numPr>
        <w:spacing w:after="60" w:line="336" w:lineRule="auto"/>
        <w:jc w:val="both"/>
      </w:pPr>
      <w:r>
        <w:rPr>
          <w:rFonts w:eastAsia="Calibri"/>
          <w:b/>
          <w:bCs/>
        </w:rPr>
        <w:t>Readiness is low.</w:t>
      </w:r>
      <w:r>
        <w:rPr>
          <w:rFonts w:eastAsia="Calibri"/>
        </w:rPr>
        <w:t xml:space="preserve"> 72.4 per cent of students and 70.5 per cent of educators have never taken an AI course, and educators’ measured AI literacy falls short of their confidence (AI Ready ASEAN Research, 2026).</w:t>
      </w:r>
    </w:p>
    <w:p>
      <w:pPr>
        <w:pStyle w:val="a4"/>
        <w:numPr>
          <w:ilvl w:val="0"/>
          <w:numId w:val="2"/>
        </w:numPr>
        <w:spacing w:after="60" w:line="336" w:lineRule="auto"/>
        <w:jc w:val="both"/>
      </w:pPr>
      <w:r>
        <w:rPr>
          <w:rFonts w:eastAsia="Calibri"/>
          <w:b/>
          <w:bCs/>
        </w:rPr>
        <w:t>Strong support does not close the gap.</w:t>
      </w:r>
      <w:r>
        <w:rPr>
          <w:rFonts w:eastAsia="Calibri"/>
        </w:rPr>
        <w:t xml:space="preserve"> In Singapore, 23.4 per cent of SMEs had adopted AI in 2025, against 70.4 per cent of other firms (IMDA). The Singapore Convening found that access to tools is not integration, and that support breaks off between awareness, experimentation, implementation and scaling. Micro enterprises are the most constrained.</w:t>
      </w:r>
    </w:p>
    <w:p>
      <w:pPr>
        <w:pStyle w:val="a4"/>
        <w:numPr>
          <w:ilvl w:val="0"/>
          <w:numId w:val="2"/>
        </w:numPr>
        <w:spacing w:after="120" w:line="336" w:lineRule="auto"/>
        <w:jc w:val="both"/>
      </w:pPr>
      <w:r>
        <w:rPr>
          <w:rFonts w:eastAsia="Calibri"/>
          <w:b/>
          <w:bCs/>
        </w:rPr>
        <w:t>Elsewhere the barriers are more basic.</w:t>
      </w:r>
      <w:r>
        <w:rPr>
          <w:rFonts w:eastAsia="Calibri"/>
        </w:rPr>
        <w:t xml:space="preserve"> The Indonesia Convening pointed to gaps in digital and financial literacy.</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730"/>
        <w:gridCol w:w="2621"/>
        <w:gridCol w:w="2284"/>
        <w:gridCol w:w="3105"/>
      </w:tblGrid>
      <w:tr>
        <w:trPr>
          <w:tblHeader/>
        </w:trPr>
        <w:tc>
          <w:tcPr>
            <w:tcW w:w="1730" w:type="dxa"/>
            <w:shd w:val="clear" w:color="auto" w:fill="00498F"/>
          </w:tcPr>
          <w:p>
            <w:pPr>
              <w:spacing w:line="276" w:lineRule="auto"/>
            </w:pPr>
            <w:r>
              <w:rPr>
                <w:rFonts w:eastAsia="Calibri"/>
                <w:b/>
                <w:bCs/>
                <w:color w:val="FFFFFF"/>
                <w:sz w:val="17"/>
                <w:szCs w:val="17"/>
              </w:rPr>
              <w:t>Stage</w:t>
            </w:r>
          </w:p>
        </w:tc>
        <w:tc>
          <w:tcPr>
            <w:tcW w:w="2621" w:type="dxa"/>
            <w:shd w:val="clear" w:color="auto" w:fill="00498F"/>
          </w:tcPr>
          <w:p>
            <w:pPr>
              <w:spacing w:line="276" w:lineRule="auto"/>
            </w:pPr>
            <w:r>
              <w:rPr>
                <w:rFonts w:eastAsia="Calibri"/>
                <w:b/>
                <w:bCs/>
                <w:color w:val="FFFFFF"/>
                <w:sz w:val="17"/>
                <w:szCs w:val="17"/>
              </w:rPr>
              <w:t>Where support breaks off</w:t>
            </w:r>
          </w:p>
        </w:tc>
        <w:tc>
          <w:tcPr>
            <w:tcW w:w="2284" w:type="dxa"/>
            <w:shd w:val="clear" w:color="auto" w:fill="00498F"/>
          </w:tcPr>
          <w:p>
            <w:pPr>
              <w:spacing w:line="276" w:lineRule="auto"/>
            </w:pPr>
            <w:r>
              <w:rPr>
                <w:rFonts w:eastAsia="Calibri"/>
                <w:b/>
                <w:bCs/>
                <w:color w:val="FFFFFF"/>
                <w:sz w:val="17"/>
                <w:szCs w:val="17"/>
              </w:rPr>
              <w:t>ASEAN–China cooperation today</w:t>
            </w:r>
          </w:p>
        </w:tc>
        <w:tc>
          <w:tcPr>
            <w:tcW w:w="3105" w:type="dxa"/>
            <w:shd w:val="clear" w:color="auto" w:fill="00498F"/>
          </w:tcPr>
          <w:p>
            <w:pPr>
              <w:spacing w:line="276" w:lineRule="auto"/>
            </w:pPr>
            <w:r>
              <w:rPr>
                <w:rFonts w:eastAsia="Calibri"/>
                <w:b/>
                <w:bCs/>
                <w:color w:val="FFFFFF"/>
                <w:sz w:val="17"/>
                <w:szCs w:val="17"/>
              </w:rPr>
              <w:t>Foundation entry point</w:t>
            </w:r>
          </w:p>
        </w:tc>
      </w:tr>
      <w:tr>
        <w:trPr>
          <w:cantSplit/>
        </w:trPr>
        <w:tc>
          <w:tcPr>
            <w:tcW w:w="1730" w:type="dxa"/>
          </w:tcPr>
          <w:p>
            <w:pPr>
              <w:spacing w:line="276" w:lineRule="auto"/>
            </w:pPr>
            <w:r>
              <w:rPr>
                <w:rFonts w:eastAsia="Calibri"/>
                <w:sz w:val="17"/>
                <w:szCs w:val="17"/>
              </w:rPr>
              <w:t>Awareness</w:t>
            </w:r>
          </w:p>
        </w:tc>
        <w:tc>
          <w:tcPr>
            <w:tcW w:w="2621" w:type="dxa"/>
          </w:tcPr>
          <w:p>
            <w:pPr>
              <w:spacing w:line="276" w:lineRule="auto"/>
            </w:pPr>
            <w:r>
              <w:rPr>
                <w:rFonts w:eastAsia="Calibri"/>
                <w:sz w:val="17"/>
                <w:szCs w:val="17"/>
              </w:rPr>
              <w:t>Chatbot use mistaken for readiness</w:t>
            </w:r>
          </w:p>
        </w:tc>
        <w:tc>
          <w:tcPr>
            <w:tcW w:w="2284" w:type="dxa"/>
          </w:tcPr>
          <w:p>
            <w:pPr>
              <w:spacing w:line="276" w:lineRule="auto"/>
            </w:pPr>
            <w:r>
              <w:rPr>
                <w:rFonts w:eastAsia="Calibri"/>
                <w:sz w:val="17"/>
                <w:szCs w:val="17"/>
              </w:rPr>
              <w:t>Training and seminars</w:t>
            </w:r>
          </w:p>
        </w:tc>
        <w:tc>
          <w:tcPr>
            <w:tcW w:w="3105" w:type="dxa"/>
          </w:tcPr>
          <w:p>
            <w:pPr>
              <w:spacing w:line="276" w:lineRule="auto"/>
            </w:pPr>
            <w:r>
              <w:rPr>
                <w:rFonts w:eastAsia="Calibri"/>
                <w:sz w:val="17"/>
                <w:szCs w:val="17"/>
              </w:rPr>
              <w:t>AI Class ASEAN; AIM ASEAN courses</w:t>
            </w:r>
          </w:p>
        </w:tc>
      </w:tr>
      <w:tr>
        <w:trPr>
          <w:cantSplit/>
        </w:trPr>
        <w:tc>
          <w:tcPr>
            <w:tcW w:w="1730" w:type="dxa"/>
          </w:tcPr>
          <w:p>
            <w:pPr>
              <w:spacing w:line="276" w:lineRule="auto"/>
            </w:pPr>
            <w:r>
              <w:rPr>
                <w:rFonts w:eastAsia="Calibri"/>
                <w:sz w:val="17"/>
                <w:szCs w:val="17"/>
              </w:rPr>
              <w:t>Experimentation</w:t>
            </w:r>
          </w:p>
        </w:tc>
        <w:tc>
          <w:tcPr>
            <w:tcW w:w="2621" w:type="dxa"/>
          </w:tcPr>
          <w:p>
            <w:pPr>
              <w:spacing w:line="276" w:lineRule="auto"/>
            </w:pPr>
            <w:r>
              <w:rPr>
                <w:rFonts w:eastAsia="Calibri"/>
                <w:sz w:val="17"/>
                <w:szCs w:val="17"/>
              </w:rPr>
              <w:t>Unclear use cases; cost of failure</w:t>
            </w:r>
          </w:p>
        </w:tc>
        <w:tc>
          <w:tcPr>
            <w:tcW w:w="2284" w:type="dxa"/>
          </w:tcPr>
          <w:p>
            <w:pPr>
              <w:spacing w:line="276" w:lineRule="auto"/>
            </w:pPr>
            <w:r>
              <w:rPr>
                <w:rFonts w:eastAsia="Calibri"/>
                <w:sz w:val="17"/>
                <w:szCs w:val="17"/>
              </w:rPr>
              <w:t>Application scenarios and company matchmaking (Nanning)</w:t>
            </w:r>
          </w:p>
        </w:tc>
        <w:tc>
          <w:tcPr>
            <w:tcW w:w="3105" w:type="dxa"/>
          </w:tcPr>
          <w:p>
            <w:pPr>
              <w:spacing w:line="276" w:lineRule="auto"/>
            </w:pPr>
            <w:r>
              <w:rPr>
                <w:rFonts w:eastAsia="Calibri"/>
                <w:sz w:val="17"/>
                <w:szCs w:val="17"/>
              </w:rPr>
              <w:t>Low-risk demonstrations; guidance on responsible use</w:t>
            </w:r>
          </w:p>
        </w:tc>
      </w:tr>
      <w:tr>
        <w:trPr>
          <w:cantSplit/>
        </w:trPr>
        <w:tc>
          <w:tcPr>
            <w:tcW w:w="1730" w:type="dxa"/>
          </w:tcPr>
          <w:p>
            <w:pPr>
              <w:spacing w:line="276" w:lineRule="auto"/>
            </w:pPr>
            <w:r>
              <w:rPr>
                <w:rFonts w:eastAsia="Calibri"/>
                <w:sz w:val="17"/>
                <w:szCs w:val="17"/>
              </w:rPr>
              <w:t>Implementation</w:t>
            </w:r>
          </w:p>
        </w:tc>
        <w:tc>
          <w:tcPr>
            <w:tcW w:w="2621" w:type="dxa"/>
          </w:tcPr>
          <w:p>
            <w:pPr>
              <w:spacing w:line="276" w:lineRule="auto"/>
            </w:pPr>
            <w:r>
              <w:rPr>
                <w:rFonts w:eastAsia="Calibri"/>
                <w:sz w:val="17"/>
                <w:szCs w:val="17"/>
              </w:rPr>
              <w:t>Little in-house capacity; staff anxiety</w:t>
            </w:r>
          </w:p>
        </w:tc>
        <w:tc>
          <w:tcPr>
            <w:tcW w:w="2284" w:type="dxa"/>
          </w:tcPr>
          <w:p>
            <w:pPr>
              <w:spacing w:line="276" w:lineRule="auto"/>
            </w:pPr>
            <w:r>
              <w:rPr>
                <w:rFonts w:eastAsia="Calibri"/>
                <w:sz w:val="17"/>
                <w:szCs w:val="17"/>
              </w:rPr>
              <w:t>Not found in public sources</w:t>
            </w:r>
          </w:p>
        </w:tc>
        <w:tc>
          <w:tcPr>
            <w:tcW w:w="3105" w:type="dxa"/>
          </w:tcPr>
          <w:p>
            <w:pPr>
              <w:spacing w:line="276" w:lineRule="auto"/>
            </w:pPr>
            <w:r>
              <w:rPr>
                <w:rFonts w:eastAsia="Calibri"/>
                <w:sz w:val="17"/>
                <w:szCs w:val="17"/>
              </w:rPr>
              <w:t>Local partners; clinics after training (proposed)</w:t>
            </w:r>
          </w:p>
        </w:tc>
      </w:tr>
      <w:tr>
        <w:trPr>
          <w:cantSplit/>
        </w:trPr>
        <w:tc>
          <w:tcPr>
            <w:tcW w:w="1730" w:type="dxa"/>
          </w:tcPr>
          <w:p>
            <w:pPr>
              <w:spacing w:line="276" w:lineRule="auto"/>
            </w:pPr>
            <w:r>
              <w:rPr>
                <w:rFonts w:eastAsia="Calibri"/>
                <w:sz w:val="17"/>
                <w:szCs w:val="17"/>
              </w:rPr>
              <w:t>Scaling</w:t>
            </w:r>
          </w:p>
        </w:tc>
        <w:tc>
          <w:tcPr>
            <w:tcW w:w="2621" w:type="dxa"/>
          </w:tcPr>
          <w:p>
            <w:pPr>
              <w:spacing w:line="276" w:lineRule="auto"/>
            </w:pPr>
            <w:r>
              <w:rPr>
                <w:rFonts w:eastAsia="Calibri"/>
                <w:sz w:val="17"/>
                <w:szCs w:val="17"/>
              </w:rPr>
              <w:t>Support ends with the workshop; no evidence of results</w:t>
            </w:r>
          </w:p>
        </w:tc>
        <w:tc>
          <w:tcPr>
            <w:tcW w:w="2284" w:type="dxa"/>
          </w:tcPr>
          <w:p>
            <w:pPr>
              <w:spacing w:line="276" w:lineRule="auto"/>
            </w:pPr>
            <w:r>
              <w:rPr>
                <w:rFonts w:eastAsia="Calibri"/>
                <w:sz w:val="17"/>
                <w:szCs w:val="17"/>
              </w:rPr>
              <w:t>Not found in public sources</w:t>
            </w:r>
          </w:p>
        </w:tc>
        <w:tc>
          <w:tcPr>
            <w:tcW w:w="3105" w:type="dxa"/>
          </w:tcPr>
          <w:p>
            <w:pPr>
              <w:spacing w:line="276" w:lineRule="auto"/>
            </w:pPr>
            <w:r>
              <w:rPr>
                <w:rFonts w:eastAsia="Calibri"/>
                <w:sz w:val="17"/>
                <w:szCs w:val="17"/>
              </w:rPr>
              <w:t>Common outcome indicators; regional case exchange (recommended)</w:t>
            </w:r>
          </w:p>
        </w:tc>
      </w:tr>
    </w:tbl>
    <w:p>
      <w:pPr>
        <w:spacing w:after="60" w:line="120" w:lineRule="auto"/>
      </w:pPr>
    </w:p>
    <w:p>
      <w:pPr>
        <w:spacing w:after="120" w:line="336" w:lineRule="auto"/>
        <w:jc w:val="both"/>
      </w:pPr>
      <w:r>
        <w:rPr>
          <w:rFonts w:eastAsia="Calibri"/>
          <w:b/>
          <w:bCs/>
          <w:color w:val="0F63A8"/>
        </w:rPr>
        <w:t>[Assessment]</w:t>
      </w:r>
      <w:r>
        <w:rPr>
          <w:rFonts w:eastAsia="Calibri"/>
        </w:rPr>
        <w:t xml:space="preserve"> The gap is not a lack of AI training: Chinese companies and platforms already provide it. It is the absence of ASEAN-led, technology-neutral support after training, and of any measure of whether training changes how people work.</w:t>
      </w:r>
    </w:p>
    <w:p>
      <w:pPr>
        <w:keepNext/>
        <w:spacing w:before="240" w:after="160" w:line="300" w:lineRule="auto"/>
      </w:pPr>
      <w:r>
        <w:rPr>
          <w:rFonts w:eastAsia="Calibri"/>
          <w:b/>
          <w:bCs/>
          <w:color w:val="00498F"/>
          <w:sz w:val="26"/>
          <w:szCs w:val="26"/>
        </w:rPr>
        <w:t>4. What the Foundation Should Offer</w:t>
      </w:r>
    </w:p>
    <w:p>
      <w:pPr>
        <w:spacing w:after="120" w:line="336" w:lineRule="auto"/>
        <w:jc w:val="both"/>
      </w:pPr>
      <w:r>
        <w:rPr>
          <w:rFonts w:eastAsia="Calibri"/>
        </w:rPr>
        <w:t>The Foundation brings three assets: a delivery network (more than 3,000 Master Trainers and local partners), evidence (the AI readiness research and the convening records), and a role its Singapore partner has recommended: a common pathway after training, common outcome indicators and regional case exchange (subject to agreement). The offer follows the three key summaries of the Singapore report: link training to implementation, build AI-bilingual teams, and measure responsible use and business outcomes.</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1044"/>
        <w:gridCol w:w="4690"/>
        <w:gridCol w:w="2297"/>
        <w:gridCol w:w="1709"/>
      </w:tblGrid>
      <w:tr>
        <w:trPr>
          <w:tblHeader/>
        </w:trPr>
        <w:tc>
          <w:tcPr>
            <w:tcW w:w="1044" w:type="dxa"/>
            <w:shd w:val="clear" w:color="auto" w:fill="00498F"/>
          </w:tcPr>
          <w:p>
            <w:pPr>
              <w:spacing w:line="276" w:lineRule="auto"/>
            </w:pPr>
            <w:r>
              <w:rPr>
                <w:rFonts w:eastAsia="Calibri"/>
                <w:b/>
                <w:bCs/>
                <w:color w:val="FFFFFF"/>
                <w:sz w:val="17"/>
                <w:szCs w:val="17"/>
              </w:rPr>
              <w:t>Priority</w:t>
            </w:r>
          </w:p>
        </w:tc>
        <w:tc>
          <w:tcPr>
            <w:tcW w:w="4690" w:type="dxa"/>
            <w:shd w:val="clear" w:color="auto" w:fill="00498F"/>
          </w:tcPr>
          <w:p>
            <w:pPr>
              <w:spacing w:line="276" w:lineRule="auto"/>
            </w:pPr>
            <w:r>
              <w:rPr>
                <w:rFonts w:eastAsia="Calibri"/>
                <w:b/>
                <w:bCs/>
                <w:color w:val="FFFFFF"/>
                <w:sz w:val="17"/>
                <w:szCs w:val="17"/>
              </w:rPr>
              <w:t>Option</w:t>
            </w:r>
          </w:p>
        </w:tc>
        <w:tc>
          <w:tcPr>
            <w:tcW w:w="2297" w:type="dxa"/>
            <w:shd w:val="clear" w:color="auto" w:fill="00498F"/>
          </w:tcPr>
          <w:p>
            <w:pPr>
              <w:spacing w:line="276" w:lineRule="auto"/>
            </w:pPr>
            <w:r>
              <w:rPr>
                <w:rFonts w:eastAsia="Calibri"/>
                <w:b/>
                <w:bCs/>
                <w:color w:val="FFFFFF"/>
                <w:sz w:val="17"/>
                <w:szCs w:val="17"/>
              </w:rPr>
              <w:t>Channel</w:t>
            </w:r>
          </w:p>
        </w:tc>
        <w:tc>
          <w:tcPr>
            <w:tcW w:w="1709" w:type="dxa"/>
            <w:shd w:val="clear" w:color="auto" w:fill="00498F"/>
          </w:tcPr>
          <w:p>
            <w:pPr>
              <w:spacing w:line="276" w:lineRule="auto"/>
            </w:pPr>
            <w:r>
              <w:rPr>
                <w:rFonts w:eastAsia="Calibri"/>
                <w:b/>
                <w:bCs/>
                <w:color w:val="FFFFFF"/>
                <w:sz w:val="17"/>
                <w:szCs w:val="17"/>
              </w:rPr>
              <w:t>Timing</w:t>
            </w:r>
          </w:p>
        </w:tc>
      </w:tr>
      <w:tr>
        <w:trPr>
          <w:cantSplit/>
        </w:trPr>
        <w:tc>
          <w:tcPr>
            <w:tcW w:w="1044" w:type="dxa"/>
          </w:tcPr>
          <w:p>
            <w:pPr>
              <w:spacing w:line="276" w:lineRule="auto"/>
            </w:pPr>
            <w:r>
              <w:rPr>
                <w:rFonts w:eastAsia="Calibri"/>
                <w:sz w:val="17"/>
                <w:szCs w:val="17"/>
              </w:rPr>
              <w:t>1</w:t>
            </w:r>
          </w:p>
        </w:tc>
        <w:tc>
          <w:tcPr>
            <w:tcW w:w="4690" w:type="dxa"/>
          </w:tcPr>
          <w:p>
            <w:pPr>
              <w:spacing w:line="276" w:lineRule="auto"/>
            </w:pPr>
            <w:r>
              <w:rPr>
                <w:rFonts w:eastAsia="Calibri"/>
                <w:b/>
                <w:bCs/>
                <w:sz w:val="17"/>
                <w:szCs w:val="17"/>
              </w:rPr>
              <w:t>CIIS remarks</w:t>
            </w:r>
            <w:r>
              <w:rPr>
                <w:rFonts w:eastAsia="Calibri"/>
                <w:sz w:val="17"/>
                <w:szCs w:val="17"/>
              </w:rPr>
              <w:t>: the ‘after training’ question, the Singapore lessons, and the case for pathways, a wider view of AI talent and measuring sustained use</w:t>
            </w:r>
          </w:p>
        </w:tc>
        <w:tc>
          <w:tcPr>
            <w:tcW w:w="2297" w:type="dxa"/>
          </w:tcPr>
          <w:p>
            <w:pPr>
              <w:spacing w:line="276" w:lineRule="auto"/>
            </w:pPr>
            <w:r>
              <w:rPr>
                <w:rFonts w:eastAsia="Calibri"/>
                <w:sz w:val="17"/>
                <w:szCs w:val="17"/>
              </w:rPr>
              <w:t>CIIS roundtable, Session 2</w:t>
            </w:r>
          </w:p>
        </w:tc>
        <w:tc>
          <w:tcPr>
            <w:tcW w:w="1709" w:type="dxa"/>
          </w:tcPr>
          <w:p>
            <w:pPr>
              <w:spacing w:line="276" w:lineRule="auto"/>
            </w:pPr>
            <w:r>
              <w:rPr>
                <w:rFonts w:eastAsia="Calibri"/>
                <w:sz w:val="17"/>
                <w:szCs w:val="17"/>
              </w:rPr>
              <w:t>October 2026</w:t>
            </w:r>
          </w:p>
        </w:tc>
      </w:tr>
      <w:tr>
        <w:trPr>
          <w:cantSplit/>
        </w:trPr>
        <w:tc>
          <w:tcPr>
            <w:tcW w:w="1044" w:type="dxa"/>
          </w:tcPr>
          <w:p>
            <w:pPr>
              <w:spacing w:line="276" w:lineRule="auto"/>
            </w:pPr>
            <w:r>
              <w:rPr>
                <w:rFonts w:eastAsia="Calibri"/>
                <w:sz w:val="17"/>
                <w:szCs w:val="17"/>
              </w:rPr>
              <w:t>2</w:t>
            </w:r>
          </w:p>
        </w:tc>
        <w:tc>
          <w:tcPr>
            <w:tcW w:w="4690" w:type="dxa"/>
          </w:tcPr>
          <w:p>
            <w:pPr>
              <w:spacing w:line="276" w:lineRule="auto"/>
            </w:pPr>
            <w:r>
              <w:rPr>
                <w:rFonts w:eastAsia="Calibri"/>
                <w:b/>
                <w:bCs/>
                <w:sz w:val="17"/>
                <w:szCs w:val="17"/>
              </w:rPr>
              <w:t>Measurement</w:t>
            </w:r>
            <w:r>
              <w:rPr>
                <w:rFonts w:eastAsia="Calibri"/>
                <w:sz w:val="17"/>
                <w:szCs w:val="17"/>
              </w:rPr>
              <w:t>: indicators of sustained use and business value that separate reach, business integration and verified outcomes</w:t>
            </w:r>
          </w:p>
        </w:tc>
        <w:tc>
          <w:tcPr>
            <w:tcW w:w="2297" w:type="dxa"/>
          </w:tcPr>
          <w:p>
            <w:pPr>
              <w:spacing w:line="276" w:lineRule="auto"/>
            </w:pPr>
            <w:r>
              <w:rPr>
                <w:rFonts w:eastAsia="Calibri"/>
                <w:sz w:val="17"/>
                <w:szCs w:val="17"/>
              </w:rPr>
              <w:t>AIM ASEAN partners; joint research with CIIS</w:t>
            </w:r>
          </w:p>
        </w:tc>
        <w:tc>
          <w:tcPr>
            <w:tcW w:w="1709" w:type="dxa"/>
          </w:tcPr>
          <w:p>
            <w:pPr>
              <w:spacing w:line="276" w:lineRule="auto"/>
            </w:pPr>
            <w:r>
              <w:rPr>
                <w:rFonts w:eastAsia="Calibri"/>
                <w:sz w:val="17"/>
                <w:szCs w:val="17"/>
              </w:rPr>
              <w:t>2027, after the Singapore baseline (Q4 2026) and review (Q1 2027)</w:t>
            </w:r>
          </w:p>
        </w:tc>
      </w:tr>
      <w:tr>
        <w:trPr>
          <w:cantSplit/>
        </w:trPr>
        <w:tc>
          <w:tcPr>
            <w:tcW w:w="1044" w:type="dxa"/>
          </w:tcPr>
          <w:p>
            <w:pPr>
              <w:spacing w:line="276" w:lineRule="auto"/>
            </w:pPr>
            <w:r>
              <w:rPr>
                <w:rFonts w:eastAsia="Calibri"/>
                <w:sz w:val="17"/>
                <w:szCs w:val="17"/>
              </w:rPr>
              <w:t>3</w:t>
            </w:r>
          </w:p>
        </w:tc>
        <w:tc>
          <w:tcPr>
            <w:tcW w:w="4690" w:type="dxa"/>
          </w:tcPr>
          <w:p>
            <w:pPr>
              <w:spacing w:line="276" w:lineRule="auto"/>
            </w:pPr>
            <w:r>
              <w:rPr>
                <w:rFonts w:eastAsia="Calibri"/>
                <w:b/>
                <w:bCs/>
                <w:sz w:val="17"/>
                <w:szCs w:val="17"/>
              </w:rPr>
              <w:t>Case evidence</w:t>
            </w:r>
            <w:r>
              <w:rPr>
                <w:rFonts w:eastAsia="Calibri"/>
                <w:sz w:val="17"/>
                <w:szCs w:val="17"/>
              </w:rPr>
              <w:t>: structured MSME cases, including what did not work, and open materials for the stage after training</w:t>
            </w:r>
          </w:p>
        </w:tc>
        <w:tc>
          <w:tcPr>
            <w:tcW w:w="2297" w:type="dxa"/>
          </w:tcPr>
          <w:p>
            <w:pPr>
              <w:spacing w:line="276" w:lineRule="auto"/>
            </w:pPr>
            <w:r>
              <w:rPr>
                <w:rFonts w:eastAsia="Calibri"/>
                <w:sz w:val="17"/>
                <w:szCs w:val="17"/>
              </w:rPr>
              <w:t>ACCMSME; ASEAN–China forums (public cases only)</w:t>
            </w:r>
          </w:p>
        </w:tc>
        <w:tc>
          <w:tcPr>
            <w:tcW w:w="1709" w:type="dxa"/>
          </w:tcPr>
          <w:p>
            <w:pPr>
              <w:spacing w:line="276" w:lineRule="auto"/>
            </w:pPr>
            <w:r>
              <w:rPr>
                <w:rFonts w:eastAsia="Calibri"/>
                <w:sz w:val="17"/>
                <w:szCs w:val="17"/>
              </w:rPr>
              <w:t>2027</w:t>
            </w:r>
          </w:p>
        </w:tc>
      </w:tr>
      <w:tr>
        <w:trPr>
          <w:cantSplit/>
        </w:trPr>
        <w:tc>
          <w:tcPr>
            <w:tcW w:w="1044" w:type="dxa"/>
          </w:tcPr>
          <w:p>
            <w:pPr>
              <w:spacing w:line="276" w:lineRule="auto"/>
            </w:pPr>
            <w:r>
              <w:rPr>
                <w:rFonts w:eastAsia="Calibri"/>
                <w:sz w:val="17"/>
                <w:szCs w:val="17"/>
              </w:rPr>
              <w:t>4</w:t>
            </w:r>
          </w:p>
        </w:tc>
        <w:tc>
          <w:tcPr>
            <w:tcW w:w="4690" w:type="dxa"/>
          </w:tcPr>
          <w:p>
            <w:pPr>
              <w:spacing w:line="276" w:lineRule="auto"/>
            </w:pPr>
            <w:r>
              <w:rPr>
                <w:rFonts w:eastAsia="Calibri"/>
                <w:b/>
                <w:bCs/>
                <w:sz w:val="17"/>
                <w:szCs w:val="17"/>
              </w:rPr>
              <w:t>Joint MSME programme</w:t>
            </w:r>
            <w:r>
              <w:rPr>
                <w:rFonts w:eastAsia="Calibri"/>
                <w:sz w:val="17"/>
                <w:szCs w:val="17"/>
              </w:rPr>
              <w:t>: linking AIM ASEAN to the Innovation Centre’s regional capacity building</w:t>
            </w:r>
          </w:p>
        </w:tc>
        <w:tc>
          <w:tcPr>
            <w:tcW w:w="2297" w:type="dxa"/>
          </w:tcPr>
          <w:p>
            <w:pPr>
              <w:spacing w:line="276" w:lineRule="auto"/>
            </w:pPr>
            <w:r>
              <w:rPr>
                <w:rFonts w:eastAsia="Calibri"/>
                <w:sz w:val="17"/>
                <w:szCs w:val="17"/>
              </w:rPr>
              <w:t>ACCMSME with China’s industry and commerce ministries</w:t>
            </w:r>
          </w:p>
        </w:tc>
        <w:tc>
          <w:tcPr>
            <w:tcW w:w="1709" w:type="dxa"/>
          </w:tcPr>
          <w:p>
            <w:pPr>
              <w:spacing w:line="276" w:lineRule="auto"/>
            </w:pPr>
            <w:r>
              <w:rPr>
                <w:rFonts w:eastAsia="Calibri"/>
                <w:sz w:val="17"/>
                <w:szCs w:val="17"/>
              </w:rPr>
              <w:t>2027, after reporting to ACCMSME and securing follow-up funding</w:t>
            </w:r>
          </w:p>
        </w:tc>
      </w:tr>
      <w:tr>
        <w:trPr>
          <w:cantSplit/>
        </w:trPr>
        <w:tc>
          <w:tcPr>
            <w:tcW w:w="1044" w:type="dxa"/>
          </w:tcPr>
          <w:p>
            <w:pPr>
              <w:spacing w:line="276" w:lineRule="auto"/>
            </w:pPr>
            <w:r>
              <w:rPr>
                <w:rFonts w:eastAsia="Calibri"/>
                <w:sz w:val="17"/>
                <w:szCs w:val="17"/>
              </w:rPr>
              <w:t>5</w:t>
            </w:r>
          </w:p>
        </w:tc>
        <w:tc>
          <w:tcPr>
            <w:tcW w:w="4690" w:type="dxa"/>
          </w:tcPr>
          <w:p>
            <w:pPr>
              <w:spacing w:line="276" w:lineRule="auto"/>
            </w:pPr>
            <w:r>
              <w:rPr>
                <w:rFonts w:eastAsia="Calibri"/>
                <w:b/>
                <w:bCs/>
                <w:sz w:val="17"/>
                <w:szCs w:val="17"/>
              </w:rPr>
              <w:t>Low-cost content</w:t>
            </w:r>
            <w:r>
              <w:rPr>
                <w:rFonts w:eastAsia="Calibri"/>
                <w:sz w:val="17"/>
                <w:szCs w:val="17"/>
              </w:rPr>
              <w:t>: AI Class ASEAN as pre-learning; an AI ethics and safety module for citizens and MSMEs</w:t>
            </w:r>
          </w:p>
        </w:tc>
        <w:tc>
          <w:tcPr>
            <w:tcW w:w="2297" w:type="dxa"/>
          </w:tcPr>
          <w:p>
            <w:pPr>
              <w:spacing w:line="276" w:lineRule="auto"/>
            </w:pPr>
            <w:r>
              <w:rPr>
                <w:rFonts w:eastAsia="Calibri"/>
                <w:sz w:val="17"/>
                <w:szCs w:val="17"/>
              </w:rPr>
              <w:t>Chinese training programmes; ADGSOM and WG-AI</w:t>
            </w:r>
          </w:p>
        </w:tc>
        <w:tc>
          <w:tcPr>
            <w:tcW w:w="1709" w:type="dxa"/>
          </w:tcPr>
          <w:p>
            <w:pPr>
              <w:spacing w:line="276" w:lineRule="auto"/>
            </w:pPr>
            <w:r>
              <w:rPr>
                <w:rFonts w:eastAsia="Calibri"/>
                <w:sz w:val="17"/>
                <w:szCs w:val="17"/>
              </w:rPr>
              <w:t>First half of 2027</w:t>
            </w:r>
          </w:p>
        </w:tc>
      </w:tr>
      <w:tr>
        <w:trPr>
          <w:cantSplit/>
        </w:trPr>
        <w:tc>
          <w:tcPr>
            <w:tcW w:w="1044" w:type="dxa"/>
          </w:tcPr>
          <w:p>
            <w:pPr>
              <w:spacing w:line="276" w:lineRule="auto"/>
            </w:pPr>
            <w:r>
              <w:rPr>
                <w:rFonts w:eastAsia="Calibri"/>
                <w:sz w:val="17"/>
                <w:szCs w:val="17"/>
              </w:rPr>
              <w:t>6</w:t>
            </w:r>
          </w:p>
        </w:tc>
        <w:tc>
          <w:tcPr>
            <w:tcW w:w="4690" w:type="dxa"/>
          </w:tcPr>
          <w:p>
            <w:pPr>
              <w:spacing w:line="276" w:lineRule="auto"/>
            </w:pPr>
            <w:r>
              <w:rPr>
                <w:rFonts w:eastAsia="Calibri"/>
                <w:b/>
                <w:bCs/>
                <w:sz w:val="17"/>
                <w:szCs w:val="17"/>
              </w:rPr>
              <w:t>Teachers</w:t>
            </w:r>
            <w:r>
              <w:rPr>
                <w:rFonts w:eastAsia="Calibri"/>
                <w:sz w:val="17"/>
                <w:szCs w:val="17"/>
              </w:rPr>
              <w:t xml:space="preserve"> (conditional): division of roles and common standards, building on AI Ready ASEAN Phase 2</w:t>
            </w:r>
          </w:p>
        </w:tc>
        <w:tc>
          <w:tcPr>
            <w:tcW w:w="2297" w:type="dxa"/>
          </w:tcPr>
          <w:p>
            <w:pPr>
              <w:spacing w:line="276" w:lineRule="auto"/>
            </w:pPr>
            <w:r>
              <w:rPr>
                <w:rFonts w:eastAsia="Calibri"/>
                <w:sz w:val="17"/>
                <w:szCs w:val="17"/>
              </w:rPr>
              <w:t>SOM-ED with China’s Ministry of Education</w:t>
            </w:r>
          </w:p>
        </w:tc>
        <w:tc>
          <w:tcPr>
            <w:tcW w:w="1709" w:type="dxa"/>
          </w:tcPr>
          <w:p>
            <w:pPr>
              <w:spacing w:line="276" w:lineRule="auto"/>
            </w:pPr>
            <w:r>
              <w:rPr>
                <w:rFonts w:eastAsia="Calibri"/>
                <w:sz w:val="17"/>
                <w:szCs w:val="17"/>
              </w:rPr>
              <w:t>2027–2028</w:t>
            </w:r>
          </w:p>
        </w:tc>
      </w:tr>
    </w:tbl>
    <w:p>
      <w:pPr>
        <w:spacing w:after="60" w:line="120" w:lineRule="auto"/>
      </w:pPr>
    </w:p>
    <w:p>
      <w:pPr>
        <w:spacing w:after="120" w:line="336" w:lineRule="auto"/>
        <w:jc w:val="both"/>
      </w:pPr>
      <w:r>
        <w:rPr>
          <w:rFonts w:eastAsia="Calibri"/>
        </w:rPr>
        <w:t>All options rest on ASEAN ownership, working through member states, openness to other Dialogue Partners and technology neutrality. The Foundation will not provide learner data or state ASEAN positions on AI standards and norms.</w:t>
      </w:r>
    </w:p>
    <w:p>
      <w:pPr>
        <w:spacing w:after="120" w:line="336" w:lineRule="auto"/>
        <w:jc w:val="both"/>
      </w:pPr>
      <w:r>
        <w:rPr>
          <w:rFonts w:eastAsia="Calibri"/>
          <w:b/>
          <w:bCs/>
        </w:rPr>
        <w:t>Sequence.</w:t>
      </w:r>
      <w:r>
        <w:rPr>
          <w:rFonts w:eastAsia="Calibri"/>
        </w:rPr>
        <w:t xml:space="preserve"> Share experience now (October–November 2026). After the Manila Summit, build the evidence in the first half of 2027. Open joint programmes only after SOM-ED and ACCMSME have decided. If the Year of AI Cooperation is adopted, a package on users’ AI competence could be one of its deliverables.</w:t>
      </w:r>
    </w:p>
    <w:p>
      <w:pPr>
        <w:keepNext/>
        <w:spacing w:before="240" w:after="160" w:line="300" w:lineRule="auto"/>
      </w:pPr>
      <w:r>
        <w:rPr>
          <w:rFonts w:eastAsia="Calibri"/>
          <w:b/>
          <w:bCs/>
          <w:color w:val="00498F"/>
          <w:sz w:val="26"/>
          <w:szCs w:val="26"/>
        </w:rPr>
        <w:t>5. Risks to Manage</w:t>
      </w:r>
    </w:p>
    <w:tbl>
      <w:tblPr>
        <w:tblW w:w="9740" w:type="dxa"/>
        <w:tblBorders>
          <w:top w:val="single" w:sz="4" w:space="0" w:color="C3D6E8"/>
          <w:left w:val="single" w:sz="4" w:space="0" w:color="C3D6E8"/>
          <w:bottom w:val="single" w:sz="4" w:space="0" w:color="C3D6E8"/>
          <w:right w:val="single" w:sz="4" w:space="0" w:color="C3D6E8"/>
          <w:insideH w:val="single" w:sz="4" w:space="0" w:color="C3D6E8"/>
          <w:insideV w:val="single" w:sz="4" w:space="0" w:color="C3D6E8"/>
        </w:tblBorders>
        <w:tblLayout w:type="fixed"/>
        <w:tblCellMar>
          <w:top w:w="90" w:type="dxa"/>
          <w:left w:w="106" w:type="dxa"/>
          <w:bottom w:w="90" w:type="dxa"/>
          <w:right w:w="106" w:type="dxa"/>
        </w:tblCellMar>
        <w:tblLook w:val="04A0" w:firstRow="1" w:lastRow="0" w:firstColumn="1" w:lastColumn="0" w:noHBand="0" w:noVBand="1"/>
      </w:tblPr>
      <w:tblGrid>
        <w:gridCol w:w="4761"/>
        <w:gridCol w:w="4979"/>
      </w:tblGrid>
      <w:tr>
        <w:trPr>
          <w:tblHeader/>
        </w:trPr>
        <w:tc>
          <w:tcPr>
            <w:tcW w:w="4761" w:type="dxa"/>
            <w:shd w:val="clear" w:color="auto" w:fill="00498F"/>
          </w:tcPr>
          <w:p>
            <w:pPr>
              <w:spacing w:line="276" w:lineRule="auto"/>
            </w:pPr>
            <w:r>
              <w:rPr>
                <w:rFonts w:eastAsia="Calibri"/>
                <w:b/>
                <w:bCs/>
                <w:color w:val="FFFFFF"/>
              </w:rPr>
              <w:t>Risk</w:t>
            </w:r>
          </w:p>
        </w:tc>
        <w:tc>
          <w:tcPr>
            <w:tcW w:w="4979" w:type="dxa"/>
            <w:shd w:val="clear" w:color="auto" w:fill="00498F"/>
          </w:tcPr>
          <w:p>
            <w:pPr>
              <w:spacing w:line="276" w:lineRule="auto"/>
            </w:pPr>
            <w:r>
              <w:rPr>
                <w:rFonts w:eastAsia="Calibri"/>
                <w:b/>
                <w:bCs/>
                <w:color w:val="FFFFFF"/>
              </w:rPr>
              <w:t>Response</w:t>
            </w:r>
          </w:p>
        </w:tc>
      </w:tr>
      <w:tr>
        <w:trPr>
          <w:cantSplit/>
        </w:trPr>
        <w:tc>
          <w:tcPr>
            <w:tcW w:w="4761" w:type="dxa"/>
          </w:tcPr>
          <w:p>
            <w:pPr>
              <w:spacing w:line="276" w:lineRule="auto"/>
            </w:pPr>
            <w:r>
              <w:rPr>
                <w:rFonts w:eastAsia="Calibri"/>
                <w:b/>
                <w:bCs/>
              </w:rPr>
              <w:t>Funders.</w:t>
            </w:r>
            <w:r>
              <w:rPr>
                <w:rFonts w:eastAsia="Calibri"/>
              </w:rPr>
              <w:t xml:space="preserve"> It is unclear how far the Google.org, AVPN and ADB agreements allow content sharing and third-party cooperation, amid US–China rivalry</w:t>
            </w:r>
          </w:p>
        </w:tc>
        <w:tc>
          <w:tcPr>
            <w:tcW w:w="4979" w:type="dxa"/>
          </w:tcPr>
          <w:p>
            <w:pPr>
              <w:spacing w:line="276" w:lineRule="auto"/>
            </w:pPr>
            <w:r>
              <w:rPr>
                <w:rFonts w:eastAsia="Calibri"/>
              </w:rPr>
              <w:t>Consult the funders before the visit. Frame the offer as sharing experience of an ASEAN public good</w:t>
            </w:r>
          </w:p>
        </w:tc>
      </w:tr>
      <w:tr>
        <w:trPr>
          <w:cantSplit/>
        </w:trPr>
        <w:tc>
          <w:tcPr>
            <w:tcW w:w="4761" w:type="dxa"/>
          </w:tcPr>
          <w:p>
            <w:pPr>
              <w:spacing w:line="276" w:lineRule="auto"/>
            </w:pPr>
            <w:r>
              <w:rPr>
                <w:rFonts w:eastAsia="Calibri"/>
                <w:b/>
                <w:bCs/>
              </w:rPr>
              <w:t>Technology neutrality.</w:t>
            </w:r>
            <w:r>
              <w:rPr>
                <w:rFonts w:eastAsia="Calibri"/>
              </w:rPr>
              <w:t xml:space="preserve"> AIM ASEAN promotes the ‘use of Google’s suite of AI tools’, and China may make its own models a condition</w:t>
            </w:r>
          </w:p>
        </w:tc>
        <w:tc>
          <w:tcPr>
            <w:tcW w:w="4979" w:type="dxa"/>
          </w:tcPr>
          <w:p>
            <w:pPr>
              <w:spacing w:line="276" w:lineRule="auto"/>
            </w:pPr>
            <w:r>
              <w:rPr>
                <w:rFonts w:eastAsia="Calibri"/>
              </w:rPr>
              <w:t>Describe training in terms of competence, not tools, and leave the choice of tools to member states. Cite the Singapore finding of no single preferred model, and the Foundation’s work with both Google and Huawei</w:t>
            </w:r>
          </w:p>
        </w:tc>
      </w:tr>
      <w:tr>
        <w:trPr>
          <w:cantSplit/>
        </w:trPr>
        <w:tc>
          <w:tcPr>
            <w:tcW w:w="4761" w:type="dxa"/>
          </w:tcPr>
          <w:p>
            <w:pPr>
              <w:spacing w:line="276" w:lineRule="auto"/>
            </w:pPr>
            <w:r>
              <w:rPr>
                <w:rFonts w:eastAsia="Calibri"/>
                <w:b/>
                <w:bCs/>
              </w:rPr>
              <w:t>Mandate.</w:t>
            </w:r>
            <w:r>
              <w:rPr>
                <w:rFonts w:eastAsia="Calibri"/>
              </w:rPr>
              <w:t xml:space="preserve"> The Foundation does not represent ASEAN, and remarks at CIIS will be relayed to the Chinese government</w:t>
            </w:r>
          </w:p>
        </w:tc>
        <w:tc>
          <w:tcPr>
            <w:tcW w:w="4979" w:type="dxa"/>
          </w:tcPr>
          <w:p>
            <w:pPr>
              <w:spacing w:line="276" w:lineRule="auto"/>
            </w:pPr>
            <w:r>
              <w:rPr>
                <w:rFonts w:eastAsia="Calibri"/>
              </w:rPr>
              <w:t>Speak from the Foundation’s experience. Do not endorse Chinese initiatives such as the Global AI Governance Action Plan or WAICO. Coordinate with the ASEAN Secretariat, SOM-ED and ACCMSME</w:t>
            </w:r>
          </w:p>
        </w:tc>
      </w:tr>
      <w:tr>
        <w:trPr>
          <w:cantSplit/>
        </w:trPr>
        <w:tc>
          <w:tcPr>
            <w:tcW w:w="4761" w:type="dxa"/>
          </w:tcPr>
          <w:p>
            <w:pPr>
              <w:spacing w:line="276" w:lineRule="auto"/>
            </w:pPr>
            <w:r>
              <w:rPr>
                <w:rFonts w:eastAsia="Calibri"/>
                <w:b/>
                <w:bCs/>
              </w:rPr>
              <w:t>Proposals versus commitments.</w:t>
            </w:r>
            <w:r>
              <w:rPr>
                <w:rFonts w:eastAsia="Calibri"/>
              </w:rPr>
              <w:t xml:space="preserve"> The Singapore follow-up is still a proposal, and the LIP report is internal</w:t>
            </w:r>
          </w:p>
        </w:tc>
        <w:tc>
          <w:tcPr>
            <w:tcW w:w="4979" w:type="dxa"/>
          </w:tcPr>
          <w:p>
            <w:pPr>
              <w:spacing w:line="276" w:lineRule="auto"/>
            </w:pPr>
            <w:r>
              <w:rPr>
                <w:rFonts w:eastAsia="Calibri"/>
              </w:rPr>
              <w:t>Say ‘under consideration’ and give no dates. Use only public or anonymised material, and clear case examples with the LIP</w:t>
            </w:r>
          </w:p>
        </w:tc>
      </w:tr>
      <w:tr>
        <w:trPr>
          <w:cantSplit/>
        </w:trPr>
        <w:tc>
          <w:tcPr>
            <w:tcW w:w="4761" w:type="dxa"/>
          </w:tcPr>
          <w:p>
            <w:pPr>
              <w:spacing w:line="276" w:lineRule="auto"/>
            </w:pPr>
            <w:r>
              <w:rPr>
                <w:rFonts w:eastAsia="Calibri"/>
                <w:b/>
                <w:bCs/>
              </w:rPr>
              <w:t>Member-state sensitivities.</w:t>
            </w:r>
            <w:r>
              <w:rPr>
                <w:rFonts w:eastAsia="Calibri"/>
              </w:rPr>
              <w:t xml:space="preserve"> Members differ in how far they cooperate with China on AI; Lao PDR and Indonesia were reported among WAICO’s signatories</w:t>
            </w:r>
          </w:p>
        </w:tc>
        <w:tc>
          <w:tcPr>
            <w:tcW w:w="4979" w:type="dxa"/>
          </w:tcPr>
          <w:p>
            <w:pPr>
              <w:spacing w:line="276" w:lineRule="auto"/>
            </w:pPr>
            <w:r>
              <w:rPr>
                <w:rFonts w:eastAsia="Calibri"/>
              </w:rPr>
              <w:t>Make participation opt-in, and use agreed ASEAN language</w:t>
            </w:r>
          </w:p>
        </w:tc>
      </w:tr>
    </w:tbl>
    <w:p>
      <w:pPr>
        <w:spacing w:after="60" w:line="120" w:lineRule="auto"/>
      </w:pPr>
    </w:p>
    <w:p>
      <w:pPr>
        <w:spacing w:after="0"/>
      </w:pPr>
    </w:p>
    <w:sectPr w:rsidR="008F3ECF">
      <w:headerReference w:type="default" r:id="rId8"/>
      <w:footerReference w:type="default" r:id="rId9"/>
      <w:pgSz w:w="11906" w:h="16838"/>
      <w:pgMar w:top="1000" w:right="1080" w:bottom="1080" w:left="1080" w:header="6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6FD56C" w14:textId="77777777" w:rsidR="000A55CA" w:rsidRDefault="000A55CA">
      <w:r>
        <w:separator/>
      </w:r>
    </w:p>
  </w:endnote>
  <w:endnote w:type="continuationSeparator" w:id="0">
    <w:p w14:paraId="4106954C" w14:textId="77777777" w:rsidR="000A55CA" w:rsidRDefault="000A55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65C15A" w14:textId="77777777" w:rsidR="005C7CC5" w:rsidRDefault="00000000">
    <w:pPr>
      <w:jc w:val="center"/>
    </w:pPr>
    <w:r>
      <w:rPr>
        <w:rFonts w:eastAsia="Calibri"/>
        <w:color w:val="6B6B6B"/>
        <w:sz w:val="16"/>
        <w:szCs w:val="16"/>
      </w:rPr>
      <w:t xml:space="preserve">Page </w:t>
    </w:r>
    <w:r>
      <w:rPr>
        <w:color w:val="6B6B6B"/>
        <w:sz w:val="16"/>
        <w:szCs w:val="16"/>
      </w:rPr>
      <w:fldChar w:fldCharType="begin"/>
    </w:r>
    <w:r>
      <w:rPr>
        <w:rFonts w:eastAsia="Calibri"/>
        <w:color w:val="6B6B6B"/>
        <w:sz w:val="16"/>
        <w:szCs w:val="16"/>
      </w:rPr>
      <w:instrText>PAGE</w:instrText>
    </w:r>
    <w:r>
      <w:rPr>
        <w:color w:val="6B6B6B"/>
        <w:sz w:val="16"/>
        <w:szCs w:val="16"/>
      </w:rPr>
      <w:fldChar w:fldCharType="separate"/>
    </w:r>
    <w:r w:rsidR="00C158DD">
      <w:rPr>
        <w:rFonts w:eastAsia="Calibri"/>
        <w:noProof/>
        <w:color w:val="6B6B6B"/>
        <w:sz w:val="16"/>
        <w:szCs w:val="16"/>
      </w:rPr>
      <w:t>1</w:t>
    </w:r>
    <w:r>
      <w:rPr>
        <w:color w:val="6B6B6B"/>
        <w:sz w:val="16"/>
        <w:szCs w:val="16"/>
      </w:rPr>
      <w:fldChar w:fldCharType="end"/>
    </w:r>
    <w:r>
      <w:rPr>
        <w:rFonts w:eastAsia="Calibri"/>
        <w:color w:val="6B6B6B"/>
        <w:sz w:val="16"/>
        <w:szCs w:val="16"/>
      </w:rPr>
      <w:t xml:space="preserve"> of </w:t>
    </w:r>
    <w:r>
      <w:rPr>
        <w:color w:val="6B6B6B"/>
        <w:sz w:val="16"/>
        <w:szCs w:val="16"/>
      </w:rPr>
      <w:fldChar w:fldCharType="begin"/>
    </w:r>
    <w:r>
      <w:rPr>
        <w:rFonts w:eastAsia="Calibri"/>
        <w:color w:val="6B6B6B"/>
        <w:sz w:val="16"/>
        <w:szCs w:val="16"/>
      </w:rPr>
      <w:instrText>NUMPAGES</w:instrText>
    </w:r>
    <w:r>
      <w:rPr>
        <w:color w:val="6B6B6B"/>
        <w:sz w:val="16"/>
        <w:szCs w:val="16"/>
      </w:rPr>
      <w:fldChar w:fldCharType="separate"/>
    </w:r>
    <w:r w:rsidR="00C158DD">
      <w:rPr>
        <w:rFonts w:eastAsia="Calibri"/>
        <w:noProof/>
        <w:color w:val="6B6B6B"/>
        <w:sz w:val="16"/>
        <w:szCs w:val="16"/>
      </w:rPr>
      <w:t>2</w:t>
    </w:r>
    <w:r>
      <w:rPr>
        <w:color w:val="6B6B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9EBD32" w14:textId="77777777" w:rsidR="000A55CA" w:rsidRDefault="000A55CA">
      <w:r>
        <w:separator/>
      </w:r>
    </w:p>
  </w:footnote>
  <w:footnote w:type="continuationSeparator" w:id="0">
    <w:p w14:paraId="7660EA6E" w14:textId="77777777" w:rsidR="000A55CA" w:rsidRDefault="000A55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65D82B" w14:textId="77777777" w:rsidR="005C7CC5" w:rsidRDefault="00000000">
    <w:pPr>
      <w:jc w:val="right"/>
    </w:pPr>
    <w:r>
      <w:rPr>
        <w:rFonts w:eastAsia="Calibri"/>
        <w:color w:val="6B6B6B"/>
        <w:sz w:val="16"/>
        <w:szCs w:val="16"/>
      </w:rPr>
      <w:t>Research Briefing | Internal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E1136FE"/>
    <w:multiLevelType w:val="hybridMultilevel"/>
    <w:tmpl w:val="CD5CC706"/>
    <w:lvl w:ilvl="0" w:tplc="D0280DB8">
      <w:start w:val="1"/>
      <w:numFmt w:val="bullet"/>
      <w:lvlText w:val="●"/>
      <w:lvlJc w:val="left"/>
      <w:pPr>
        <w:ind w:left="356" w:hanging="356"/>
      </w:pPr>
      <w:rPr>
        <w:rFonts w:ascii="Calibri" w:eastAsia="Calibri" w:hAnsi="Calibri" w:cs="Calibri"/>
        <w:color w:val="222222"/>
        <w:sz w:val="20"/>
        <w:szCs w:val="20"/>
      </w:rPr>
    </w:lvl>
    <w:lvl w:ilvl="1" w:tplc="9B746232">
      <w:numFmt w:val="decimal"/>
      <w:lvlText w:val=""/>
      <w:lvlJc w:val="left"/>
    </w:lvl>
    <w:lvl w:ilvl="2" w:tplc="B59CD080">
      <w:numFmt w:val="decimal"/>
      <w:lvlText w:val=""/>
      <w:lvlJc w:val="left"/>
    </w:lvl>
    <w:lvl w:ilvl="3" w:tplc="459CE024">
      <w:numFmt w:val="decimal"/>
      <w:lvlText w:val=""/>
      <w:lvlJc w:val="left"/>
    </w:lvl>
    <w:lvl w:ilvl="4" w:tplc="8AF8C140">
      <w:numFmt w:val="decimal"/>
      <w:lvlText w:val=""/>
      <w:lvlJc w:val="left"/>
    </w:lvl>
    <w:lvl w:ilvl="5" w:tplc="53E039B8">
      <w:numFmt w:val="decimal"/>
      <w:lvlText w:val=""/>
      <w:lvlJc w:val="left"/>
    </w:lvl>
    <w:lvl w:ilvl="6" w:tplc="B982434E">
      <w:numFmt w:val="decimal"/>
      <w:lvlText w:val=""/>
      <w:lvlJc w:val="left"/>
    </w:lvl>
    <w:lvl w:ilvl="7" w:tplc="96444818">
      <w:numFmt w:val="decimal"/>
      <w:lvlText w:val=""/>
      <w:lvlJc w:val="left"/>
    </w:lvl>
    <w:lvl w:ilvl="8" w:tplc="51EC1EAE">
      <w:numFmt w:val="decimal"/>
      <w:lvlText w:val=""/>
      <w:lvlJc w:val="left"/>
    </w:lvl>
  </w:abstractNum>
  <w:abstractNum w:abstractNumId="1" w15:restartNumberingAfterBreak="0">
    <w:nsid w:val="4EE01F54"/>
    <w:multiLevelType w:val="hybridMultilevel"/>
    <w:tmpl w:val="0B0894F4"/>
    <w:lvl w:ilvl="0" w:tplc="D812C7FC">
      <w:start w:val="1"/>
      <w:numFmt w:val="bullet"/>
      <w:lvlText w:val="●"/>
      <w:lvlJc w:val="left"/>
      <w:pPr>
        <w:ind w:left="720" w:hanging="360"/>
      </w:pPr>
    </w:lvl>
    <w:lvl w:ilvl="1" w:tplc="C22EF0B4">
      <w:start w:val="1"/>
      <w:numFmt w:val="bullet"/>
      <w:lvlText w:val="○"/>
      <w:lvlJc w:val="left"/>
      <w:pPr>
        <w:ind w:left="1440" w:hanging="360"/>
      </w:pPr>
    </w:lvl>
    <w:lvl w:ilvl="2" w:tplc="BF9C4040">
      <w:start w:val="1"/>
      <w:numFmt w:val="bullet"/>
      <w:lvlText w:val="■"/>
      <w:lvlJc w:val="left"/>
      <w:pPr>
        <w:ind w:left="2160" w:hanging="360"/>
      </w:pPr>
    </w:lvl>
    <w:lvl w:ilvl="3" w:tplc="4F1EC27E">
      <w:start w:val="1"/>
      <w:numFmt w:val="bullet"/>
      <w:lvlText w:val="●"/>
      <w:lvlJc w:val="left"/>
      <w:pPr>
        <w:ind w:left="2880" w:hanging="360"/>
      </w:pPr>
    </w:lvl>
    <w:lvl w:ilvl="4" w:tplc="E0641076">
      <w:start w:val="1"/>
      <w:numFmt w:val="bullet"/>
      <w:lvlText w:val="○"/>
      <w:lvlJc w:val="left"/>
      <w:pPr>
        <w:ind w:left="3600" w:hanging="360"/>
      </w:pPr>
    </w:lvl>
    <w:lvl w:ilvl="5" w:tplc="C074BFAC">
      <w:start w:val="1"/>
      <w:numFmt w:val="bullet"/>
      <w:lvlText w:val="■"/>
      <w:lvlJc w:val="left"/>
      <w:pPr>
        <w:ind w:left="4320" w:hanging="360"/>
      </w:pPr>
    </w:lvl>
    <w:lvl w:ilvl="6" w:tplc="C512001C">
      <w:start w:val="1"/>
      <w:numFmt w:val="bullet"/>
      <w:lvlText w:val="●"/>
      <w:lvlJc w:val="left"/>
      <w:pPr>
        <w:ind w:left="5040" w:hanging="360"/>
      </w:pPr>
    </w:lvl>
    <w:lvl w:ilvl="7" w:tplc="ADFC12F4">
      <w:start w:val="1"/>
      <w:numFmt w:val="bullet"/>
      <w:lvlText w:val="●"/>
      <w:lvlJc w:val="left"/>
      <w:pPr>
        <w:ind w:left="5760" w:hanging="360"/>
      </w:pPr>
    </w:lvl>
    <w:lvl w:ilvl="8" w:tplc="92B8172E">
      <w:start w:val="1"/>
      <w:numFmt w:val="bullet"/>
      <w:lvlText w:val="●"/>
      <w:lvlJc w:val="left"/>
      <w:pPr>
        <w:ind w:left="6480" w:hanging="360"/>
      </w:pPr>
    </w:lvl>
  </w:abstractNum>
  <w:abstractNum w:abstractNumId="2">
    <w:nsid w:val="5A1C3E77"/>
    <w:multiLevelType w:val="hybridMultilevel"/>
    <w:tmpl w:val="7B2E4C10"/>
    <w:lvl w:ilvl="0">
      <w:start w:val="1"/>
      <w:numFmt w:val="decimal"/>
      <w:lvlText w:val="%1."/>
      <w:lvlJc w:val="left"/>
      <w:pPr>
        <w:ind w:left="356" w:hanging="356"/>
      </w:pPr>
      <w:rPr>
        <w:rFonts w:ascii="Calibri" w:eastAsia="Calibri" w:hAnsi="Calibri" w:cs="Calibri"/>
        <w:b/>
        <w:bCs/>
        <w:color w:val="00498F"/>
        <w:sz w:val="19"/>
        <w:szCs w:val="19"/>
      </w:rPr>
    </w:lvl>
    <w:lvl w:ilvl="1">
      <w:start w:val="1"/>
      <w:numFmt w:val="decimal"/>
      <w:lvlText w:val="%2."/>
      <w:lvlJc w:val="left"/>
      <w:pPr>
        <w:ind w:left="716" w:hanging="356"/>
      </w:pPr>
    </w:lvl>
    <w:lvl w:ilvl="2">
      <w:start w:val="1"/>
      <w:numFmt w:val="decimal"/>
      <w:lvlText w:val="%3."/>
      <w:lvlJc w:val="left"/>
      <w:pPr>
        <w:ind w:left="1076" w:hanging="356"/>
      </w:pPr>
    </w:lvl>
    <w:lvl w:ilvl="3">
      <w:start w:val="1"/>
      <w:numFmt w:val="decimal"/>
      <w:lvlText w:val="%4."/>
      <w:lvlJc w:val="left"/>
      <w:pPr>
        <w:ind w:left="1436" w:hanging="356"/>
      </w:pPr>
    </w:lvl>
    <w:lvl w:ilvl="4">
      <w:start w:val="1"/>
      <w:numFmt w:val="decimal"/>
      <w:lvlText w:val="%5."/>
      <w:lvlJc w:val="left"/>
      <w:pPr>
        <w:ind w:left="1796" w:hanging="356"/>
      </w:pPr>
    </w:lvl>
    <w:lvl w:ilvl="5">
      <w:start w:val="1"/>
      <w:numFmt w:val="decimal"/>
      <w:lvlText w:val="%6."/>
      <w:lvlJc w:val="left"/>
      <w:pPr>
        <w:ind w:left="2156" w:hanging="356"/>
      </w:pPr>
    </w:lvl>
    <w:lvl w:ilvl="6">
      <w:start w:val="1"/>
      <w:numFmt w:val="decimal"/>
      <w:lvlText w:val="%7."/>
      <w:lvlJc w:val="left"/>
      <w:pPr>
        <w:ind w:left="2516" w:hanging="356"/>
      </w:pPr>
    </w:lvl>
    <w:lvl w:ilvl="7">
      <w:start w:val="1"/>
      <w:numFmt w:val="decimal"/>
      <w:lvlText w:val="%8."/>
      <w:lvlJc w:val="left"/>
      <w:pPr>
        <w:ind w:left="2876" w:hanging="356"/>
      </w:pPr>
    </w:lvl>
    <w:lvl w:ilvl="8">
      <w:start w:val="1"/>
      <w:numFmt w:val="decimal"/>
      <w:lvlText w:val="%9."/>
      <w:lvlJc w:val="left"/>
      <w:pPr>
        <w:ind w:left="3236" w:hanging="356"/>
      </w:pPr>
    </w:lvl>
  </w:abstractNum>
  <w:num w:numId="1" w16cid:durableId="1318262813">
    <w:abstractNumId w:val="1"/>
    <w:lvlOverride w:ilvl="0">
      <w:startOverride w:val="1"/>
    </w:lvlOverride>
  </w:num>
  <w:num w:numId="2" w16cid:durableId="4273924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oNotDisplayPageBoundaries/>
  <w:displayBackgroundShape/>
  <w:bordersDoNotSurroundHeader/>
  <w:bordersDoNotSurroundFooter/>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7CC5"/>
    <w:rsid w:val="0005736B"/>
    <w:rsid w:val="000A55CA"/>
    <w:rsid w:val="001C20AB"/>
    <w:rsid w:val="005C7CC5"/>
    <w:rsid w:val="008F3ECF"/>
    <w:rsid w:val="00C158DD"/>
    <w:rsid w:val="00D40D2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8A9130C"/>
  <w15:docId w15:val="{F5C110E9-C2A9-4745-B459-7684602C2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Theme="minorEastAsia" w:hAnsi="Calibri" w:cs="Calibri"/>
        <w:color w:val="222222"/>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rPr>
      <w:sz w:val="20"/>
      <w:szCs w:val="20"/>
    </w:r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rPr>
      <w:sz w:val="20"/>
      <w:szCs w:val="20"/>
    </w:rPr>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1263</Words>
  <Characters>7203</Characters>
  <Application>Microsoft Office Word</Application>
  <DocSecurity>0</DocSecurity>
  <Lines>60</Lines>
  <Paragraphs>16</Paragraphs>
  <ScaleCrop>false</ScaleCrop>
  <Company/>
  <LinksUpToDate>false</LinksUpToDate>
  <CharactersWithSpaces>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Seongjae</cp:lastModifiedBy>
  <cp:revision>3</cp:revision>
  <dcterms:created xsi:type="dcterms:W3CDTF">2026-08-12T08:05:00Z</dcterms:created>
  <dcterms:modified xsi:type="dcterms:W3CDTF">2026-10-14T14:56:17Z</dcterms:modified>
  <dc:title>Research Briefing: ASEAN–China AI Cooperation: Where the ASEAN Foundation Can Contribute</dc:title>
</cp:coreProperties>
</file>