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97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0" w:type="dxa"/>
          <w:right w:w="0" w:type="dxa"/>
        </w:tblCellMar>
        <w:tblLook w:val="04A0" w:firstRow="1" w:lastRow="0" w:firstColumn="1" w:lastColumn="0" w:noHBand="0" w:noVBand="1"/>
      </w:tblPr>
      <w:tblGrid>
        <w:gridCol w:w="5000"/>
        <w:gridCol w:w="4740"/>
      </w:tblGrid>
      <w:tr w:rsidR="005C7CC5" w14:paraId="68A00669" w14:textId="77777777">
        <w:tc>
          <w:tcPr>
            <w:tcW w:w="5000" w:type="dxa"/>
            <w:vAlign w:val="bottom"/>
          </w:tcPr>
          <w:p w14:paraId="6C2DB77E" w14:textId="77777777" w:rsidR="005C7CC5" w:rsidRDefault="00000000">
            <w:r>
              <w:rPr>
                <w:noProof/>
              </w:rPr>
              <w:drawing>
                <wp:inline distT="0" distB="0" distL="0" distR="0" wp14:anchorId="13065488" wp14:editId="74E5992E">
                  <wp:extent cx="1066800" cy="409575"/>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66800" cy="409575"/>
                          </a:xfrm>
                          <a:prstGeom prst="rect">
                            <a:avLst/>
                          </a:prstGeom>
                        </pic:spPr>
                      </pic:pic>
                    </a:graphicData>
                  </a:graphic>
                </wp:inline>
              </w:drawing>
            </w:r>
          </w:p>
        </w:tc>
        <w:tc>
          <w:tcPr>
            <w:tcW w:w="4740" w:type="dxa"/>
            <w:vAlign w:val="bottom"/>
          </w:tcPr>
          <w:p w14:paraId="30E552A3" w14:textId="74700D2E" w:rsidR="005C7CC5" w:rsidRDefault="005C7CC5">
            <w:pPr>
              <w:jc w:val="right"/>
            </w:pPr>
          </w:p>
        </w:tc>
      </w:tr>
    </w:tbl>
    <w:p w14:paraId="5E22EA1F" w14:textId="77777777" w:rsidR="005C7CC5" w:rsidRDefault="005C7CC5">
      <w:pPr>
        <w:pBdr>
          <w:bottom w:val="single" w:sz="8" w:space="1" w:color="00498F"/>
        </w:pBdr>
        <w:spacing w:before="120" w:after="60" w:line="20" w:lineRule="exact"/>
      </w:pPr>
    </w:p>
    <w:tbl>
      <w:tblPr>
        <w:tblW w:w="97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top w:w="260" w:type="dxa"/>
          <w:left w:w="260" w:type="dxa"/>
          <w:bottom w:w="260" w:type="dxa"/>
          <w:right w:w="260" w:type="dxa"/>
        </w:tblCellMar>
        <w:tblLook w:val="04A0" w:firstRow="1" w:lastRow="0" w:firstColumn="1" w:lastColumn="0" w:noHBand="0" w:noVBand="1"/>
      </w:tblPr>
      <w:tblGrid>
        <w:gridCol w:w="9740"/>
      </w:tblGrid>
      <w:tr w:rsidR="005C7CC5" w14:paraId="3D6766BB" w14:textId="77777777">
        <w:tc>
          <w:tcPr>
            <w:tcW w:w="9740" w:type="dxa"/>
            <w:shd w:val="clear" w:color="auto" w:fill="00498F"/>
          </w:tcPr>
          <w:p w14:paraId="7C7C8A63" w14:textId="77777777" w:rsidR="005C7CC5" w:rsidRDefault="00000000">
            <w:pPr>
              <w:spacing w:after="60" w:line="300" w:lineRule="auto"/>
            </w:pPr>
            <w:r>
              <w:rPr>
                <w:rFonts w:eastAsia="Calibri"/>
                <w:b/>
                <w:bCs/>
                <w:color w:val="FFFFFF"/>
                <w:sz w:val="34"/>
                <w:szCs w:val="34"/>
              </w:rPr>
              <w:t>리서치 브리핑</w:t>
            </w:r>
          </w:p>
          <w:p w14:paraId="50D60414" w14:textId="77777777" w:rsidR="005C7CC5" w:rsidRDefault="00000000">
            <w:pPr>
              <w:spacing w:line="260" w:lineRule="auto"/>
            </w:pPr>
            <w:r>
              <w:rPr>
                <w:rFonts w:eastAsia="Calibri"/>
                <w:color w:val="A8CBEA"/>
              </w:rPr>
              <w:t>ASEAN–중국 AI 협력과 ASEAN Foundation의 기여 방안</w:t>
            </w:r>
          </w:p>
        </w:tc>
      </w:tr>
    </w:tbl>
    <w:p w14:paraId="42DCEA40" w14:textId="77777777" w:rsidR="005C7CC5" w:rsidRDefault="005C7CC5">
      <w:pPr>
        <w:spacing w:after="240"/>
      </w:pP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CellMar>
          <w:top w:w="90" w:type="dxa"/>
          <w:left w:w="106" w:type="dxa"/>
          <w:bottom w:w="90" w:type="dxa"/>
          <w:right w:w="106" w:type="dxa"/>
        </w:tblCellMar>
        <w:tblLook w:val="04A0" w:firstRow="1" w:lastRow="0" w:firstColumn="1" w:lastColumn="0" w:noHBand="0" w:noVBand="1"/>
      </w:tblPr>
      <w:tblGrid>
        <w:gridCol w:w="2392"/>
        <w:gridCol w:w="7348"/>
      </w:tblGrid>
      <w:tr>
        <w:trPr>
          <w:cantSplit/>
        </w:trPr>
        <w:tc>
          <w:tcPr>
            <w:tcW w:w="2392" w:type="dxa"/>
            <w:shd w:val="clear" w:color="auto" w:fill="EAF1F8"/>
          </w:tcPr>
          <w:p>
            <w:pPr>
              <w:spacing w:line="276" w:lineRule="auto"/>
            </w:pPr>
            <w:r>
              <w:rPr>
                <w:rFonts w:eastAsia="Calibri"/>
                <w:b/>
                <w:bCs/>
              </w:rPr>
              <w:t>목적</w:t>
            </w:r>
          </w:p>
        </w:tc>
        <w:tc>
          <w:tcPr>
            <w:tcW w:w="7348" w:type="dxa"/>
          </w:tcPr>
          <w:p>
            <w:pPr>
              <w:spacing w:line="276" w:lineRule="auto"/>
            </w:pPr>
            <w:r>
              <w:rPr>
                <w:rFonts w:eastAsia="Calibri"/>
              </w:rPr>
              <w:t>2026년 10월 ASEAN Foundation 중국 미션과 CIIS 라운드테이블 발언의 배경 자료</w:t>
            </w:r>
          </w:p>
        </w:tc>
      </w:tr>
      <w:tr>
        <w:trPr>
          <w:cantSplit/>
        </w:trPr>
        <w:tc>
          <w:tcPr>
            <w:tcW w:w="2392" w:type="dxa"/>
            <w:shd w:val="clear" w:color="auto" w:fill="EAF1F8"/>
          </w:tcPr>
          <w:p>
            <w:pPr>
              <w:spacing w:line="276" w:lineRule="auto"/>
            </w:pPr>
            <w:r>
              <w:rPr>
                <w:rFonts w:eastAsia="Calibri"/>
                <w:b/>
                <w:bCs/>
              </w:rPr>
              <w:t>작성일</w:t>
            </w:r>
          </w:p>
        </w:tc>
        <w:tc>
          <w:tcPr>
            <w:tcW w:w="7348" w:type="dxa"/>
          </w:tcPr>
          <w:p>
            <w:pPr>
              <w:spacing w:line="276" w:lineRule="auto"/>
            </w:pPr>
            <w:r>
              <w:rPr>
                <w:rFonts w:eastAsia="Calibri"/>
              </w:rPr>
              <w:t>2026년 10월 14일</w:t>
            </w:r>
          </w:p>
        </w:tc>
      </w:tr>
      <w:tr>
        <w:trPr>
          <w:cantSplit/>
        </w:trPr>
        <w:tc>
          <w:tcPr>
            <w:tcW w:w="2392" w:type="dxa"/>
            <w:shd w:val="clear" w:color="auto" w:fill="EAF1F8"/>
          </w:tcPr>
          <w:p>
            <w:pPr>
              <w:spacing w:line="276" w:lineRule="auto"/>
            </w:pPr>
            <w:r>
              <w:rPr>
                <w:rFonts w:eastAsia="Calibri"/>
                <w:b/>
                <w:bCs/>
              </w:rPr>
              <w:t>근거</w:t>
            </w:r>
          </w:p>
        </w:tc>
        <w:tc>
          <w:tcPr>
            <w:tcW w:w="7348" w:type="dxa"/>
          </w:tcPr>
          <w:p>
            <w:pPr>
              <w:spacing w:line="276" w:lineRule="auto"/>
            </w:pPr>
            <w:r>
              <w:rPr>
                <w:rFonts w:eastAsia="Calibri"/>
              </w:rPr>
              <w:t>2026년 10월 14일까지의 공개 자료·보도, 싱가포르 National Policy Convening 현지 이행 파트너의 내부 보고서</w:t>
            </w:r>
          </w:p>
        </w:tc>
      </w:tr>
    </w:tbl>
    <w:p>
      <w:pPr>
        <w:keepNext/>
        <w:spacing w:before="240" w:after="160" w:line="300" w:lineRule="auto"/>
      </w:pPr>
      <w:r>
        <w:rPr>
          <w:rFonts w:eastAsia="Calibri"/>
          <w:b/>
          <w:bCs/>
          <w:color w:val="00498F"/>
          <w:sz w:val="26"/>
          <w:szCs w:val="26"/>
        </w:rPr>
        <w:t>1. 핵심 판단</w:t>
      </w:r>
    </w:p>
    <w:p>
      <w:pPr>
        <w:pStyle w:val="a4"/>
        <w:numPr>
          <w:ilvl w:val="0"/>
          <w:numId w:val="2"/>
        </w:numPr>
        <w:spacing w:after="60" w:line="336" w:lineRule="auto"/>
        <w:jc w:val="both"/>
      </w:pPr>
      <w:r>
        <w:rPr>
          <w:rFonts w:eastAsia="Calibri"/>
          <w:b/>
          <w:bCs/>
        </w:rPr>
        <w:t>재단의 자리.</w:t>
      </w:r>
      <w:r>
        <w:rPr>
          <w:rFonts w:eastAsia="Calibri"/>
        </w:rPr>
        <w:t xml:space="preserve"> ASEAN–중국 AI 협력은 AI의 거의 전 층위로 넓어졌지만, 연수가 끝난 뒤 AI를 쓰는 사람과 기업을 돕는 장치는 없다. 이 ‘연수 이후’ 구간이 양측 어디에도 없는 것을 재단이 내놓을 수 있는 자리다.</w:t>
      </w:r>
    </w:p>
    <w:p>
      <w:pPr>
        <w:pStyle w:val="a4"/>
        <w:numPr>
          <w:ilvl w:val="0"/>
          <w:numId w:val="2"/>
        </w:numPr>
        <w:spacing w:after="60" w:line="336" w:lineRule="auto"/>
        <w:jc w:val="both"/>
      </w:pPr>
      <w:r>
        <w:rPr>
          <w:rFonts w:eastAsia="Calibri"/>
          <w:b/>
          <w:bCs/>
        </w:rPr>
        <w:t>MSME부터.</w:t>
      </w:r>
      <w:r>
        <w:rPr>
          <w:rFonts w:eastAsia="Calibri"/>
        </w:rPr>
        <w:t xml:space="preserve"> CIIS 발언으로 시작하고, 공동 사업을 제안하기 전에 근거와 측정부터 내놓는다. 근거는 AIM ASEAN과 싱가포르 National Policy Convening이다.</w:t>
      </w:r>
    </w:p>
    <w:p>
      <w:pPr>
        <w:pStyle w:val="a4"/>
        <w:numPr>
          <w:ilvl w:val="0"/>
          <w:numId w:val="2"/>
        </w:numPr>
        <w:spacing w:after="60" w:line="336" w:lineRule="auto"/>
        <w:jc w:val="both"/>
      </w:pPr>
      <w:r>
        <w:rPr>
          <w:rFonts w:eastAsia="Calibri"/>
          <w:b/>
          <w:bCs/>
        </w:rPr>
        <w:t>교사는 그다음, 조건부로.</w:t>
      </w:r>
      <w:r>
        <w:rPr>
          <w:rFonts w:eastAsia="Calibri"/>
        </w:rPr>
        <w:t xml:space="preserve"> 중국 측 Smart Education이 교사를 포함하는지 확인하고 SOM-ED에 알린 뒤에 교사 협력을 추진한다.</w:t>
      </w:r>
    </w:p>
    <w:p>
      <w:pPr>
        <w:pStyle w:val="a4"/>
        <w:numPr>
          <w:ilvl w:val="0"/>
          <w:numId w:val="2"/>
        </w:numPr>
        <w:spacing w:after="60" w:line="336" w:lineRule="auto"/>
        <w:jc w:val="both"/>
      </w:pPr>
      <w:r>
        <w:rPr>
          <w:rFonts w:eastAsia="Calibri"/>
          <w:b/>
          <w:bCs/>
        </w:rPr>
        <w:t>가장 먼저 확인할 것.</w:t>
      </w:r>
      <w:r>
        <w:rPr>
          <w:rFonts w:eastAsia="Calibri"/>
        </w:rPr>
        <w:t xml:space="preserve"> 제3자에게 콘텐츠나 협력을 제안하기 전에 Google.org·AVPN·ADB가 어디까지 허용하는지 확인한다.</w:t>
      </w:r>
    </w:p>
    <w:p>
      <w:pPr>
        <w:pStyle w:val="a4"/>
        <w:numPr>
          <w:ilvl w:val="0"/>
          <w:numId w:val="2"/>
        </w:numPr>
        <w:spacing w:after="120" w:line="336" w:lineRule="auto"/>
        <w:jc w:val="both"/>
      </w:pPr>
      <w:r>
        <w:rPr>
          <w:rFonts w:eastAsia="Calibri"/>
          <w:b/>
          <w:bCs/>
        </w:rPr>
        <w:t>다음 분기점.</w:t>
      </w:r>
      <w:r>
        <w:rPr>
          <w:rFonts w:eastAsia="Calibri"/>
        </w:rPr>
        <w:t xml:space="preserve"> 2026년 11월 마닐라 정상회의에서 2027 ASEAN–중국 AI 협력의 해와 ‘AI 기반 MSME 성장’ 정상 선언의 채택 여부가 정해진다.</w:t>
      </w:r>
    </w:p>
    <w:p>
      <w:pPr>
        <w:keepNext/>
        <w:spacing w:before="240" w:after="160" w:line="300" w:lineRule="auto"/>
      </w:pPr>
      <w:r>
        <w:rPr>
          <w:rFonts w:eastAsia="Calibri"/>
          <w:b/>
          <w:bCs/>
          <w:color w:val="00498F"/>
          <w:sz w:val="26"/>
          <w:szCs w:val="26"/>
        </w:rPr>
        <w:t>2. 양측이 갖춘 것</w:t>
      </w:r>
    </w:p>
    <w:p>
      <w:pPr>
        <w:spacing w:after="120" w:line="336" w:lineRule="auto"/>
        <w:jc w:val="both"/>
      </w:pPr>
      <w:r>
        <w:rPr>
          <w:rFonts w:eastAsia="Calibri"/>
        </w:rPr>
        <w:t>2024년 10월 ‘지속 가능하고 포용적인 디지털 생태계’ 공동성명 이후 2년 만에, 협력은 AI의 거의 전 층위에 기관을 갖추었다.</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151"/>
        <w:gridCol w:w="4922"/>
        <w:gridCol w:w="3667"/>
      </w:tblGrid>
      <w:tr>
        <w:trPr>
          <w:tblHeader/>
        </w:trPr>
        <w:tc>
          <w:tcPr>
            <w:tcW w:w="1151" w:type="dxa"/>
            <w:shd w:val="clear" w:color="auto" w:fill="00498F"/>
          </w:tcPr>
          <w:p>
            <w:pPr>
              <w:spacing w:line="276" w:lineRule="auto"/>
            </w:pPr>
            <w:r>
              <w:rPr>
                <w:rFonts w:eastAsia="Calibri"/>
                <w:b/>
                <w:bCs/>
                <w:color w:val="FFFFFF"/>
              </w:rPr>
              <w:t>AI 층위</w:t>
            </w:r>
          </w:p>
        </w:tc>
        <w:tc>
          <w:tcPr>
            <w:tcW w:w="4922" w:type="dxa"/>
            <w:shd w:val="clear" w:color="auto" w:fill="00498F"/>
          </w:tcPr>
          <w:p>
            <w:pPr>
              <w:spacing w:line="276" w:lineRule="auto"/>
            </w:pPr>
            <w:r>
              <w:rPr>
                <w:rFonts w:eastAsia="Calibri"/>
                <w:b/>
                <w:bCs/>
                <w:color w:val="FFFFFF"/>
              </w:rPr>
              <w:t>있는 것</w:t>
            </w:r>
          </w:p>
        </w:tc>
        <w:tc>
          <w:tcPr>
            <w:tcW w:w="3667" w:type="dxa"/>
            <w:shd w:val="clear" w:color="auto" w:fill="00498F"/>
          </w:tcPr>
          <w:p>
            <w:pPr>
              <w:spacing w:line="276" w:lineRule="auto"/>
            </w:pPr>
            <w:r>
              <w:rPr>
                <w:rFonts w:eastAsia="Calibri"/>
                <w:b/>
                <w:bCs/>
                <w:color w:val="FFFFFF"/>
              </w:rPr>
              <w:t>눈여겨볼 점</w:t>
            </w:r>
          </w:p>
        </w:tc>
      </w:tr>
      <w:tr>
        <w:trPr>
          <w:cantSplit/>
        </w:trPr>
        <w:tc>
          <w:tcPr>
            <w:tcW w:w="1151" w:type="dxa"/>
          </w:tcPr>
          <w:p>
            <w:pPr>
              <w:spacing w:line="276" w:lineRule="auto"/>
            </w:pPr>
            <w:r>
              <w:rPr>
                <w:rFonts w:eastAsia="Calibri"/>
              </w:rPr>
              <w:t>거버넌스·안전</w:t>
            </w:r>
          </w:p>
        </w:tc>
        <w:tc>
          <w:tcPr>
            <w:tcW w:w="4922" w:type="dxa"/>
          </w:tcPr>
          <w:p>
            <w:pPr>
              <w:spacing w:line="276" w:lineRule="auto"/>
            </w:pPr>
            <w:r>
              <w:rPr>
                <w:rFonts w:eastAsia="Calibri"/>
              </w:rPr>
              <w:t>AI 장관급 라운드테이블(2025년 9월부터), ASEAN 대상 AI 윤리·안전 협력 이니셔티브(2026년 9월)</w:t>
            </w:r>
          </w:p>
        </w:tc>
        <w:tc>
          <w:tcPr>
            <w:tcW w:w="3667" w:type="dxa"/>
          </w:tcPr>
          <w:p>
            <w:pPr>
              <w:spacing w:line="276" w:lineRule="auto"/>
            </w:pPr>
            <w:r>
              <w:rPr>
                <w:rFonts w:eastAsia="Calibri"/>
              </w:rPr>
              <w:t>이니셔티브 세부 내용 미공개. ASEAN은 자체 체계(ASEAN AI 거버넌스·윤리 가이드, ASEAN AI Safe)를 유지</w:t>
            </w:r>
          </w:p>
        </w:tc>
      </w:tr>
      <w:tr>
        <w:trPr>
          <w:cantSplit/>
        </w:trPr>
        <w:tc>
          <w:tcPr>
            <w:tcW w:w="1151" w:type="dxa"/>
          </w:tcPr>
          <w:p>
            <w:pPr>
              <w:spacing w:line="276" w:lineRule="auto"/>
            </w:pPr>
            <w:r>
              <w:rPr>
                <w:rFonts w:eastAsia="Calibri"/>
              </w:rPr>
              <w:t>산업 응용</w:t>
            </w:r>
          </w:p>
        </w:tc>
        <w:tc>
          <w:tcPr>
            <w:tcW w:w="4922" w:type="dxa"/>
          </w:tcPr>
          <w:p>
            <w:pPr>
              <w:spacing w:line="276" w:lineRule="auto"/>
            </w:pPr>
            <w:r>
              <w:rPr>
                <w:rFonts w:eastAsia="Calibri"/>
              </w:rPr>
              <w:t>베이징 AI 산업혁신센터(2026년 5월), 난닝 AI 응용협력센터, 사례집 31건</w:t>
            </w:r>
          </w:p>
        </w:tc>
        <w:tc>
          <w:tcPr>
            <w:tcW w:w="3667" w:type="dxa"/>
          </w:tcPr>
          <w:p>
            <w:pPr>
              <w:spacing w:line="276" w:lineRule="auto"/>
            </w:pPr>
            <w:r>
              <w:rPr>
                <w:rFonts w:eastAsia="Calibri"/>
              </w:rPr>
              <w:t>인프라·스마트 제조·물류 중심(중국 관영 매체 보도)</w:t>
            </w:r>
          </w:p>
        </w:tc>
      </w:tr>
      <w:tr>
        <w:trPr>
          <w:cantSplit/>
        </w:trPr>
        <w:tc>
          <w:tcPr>
            <w:tcW w:w="1151" w:type="dxa"/>
          </w:tcPr>
          <w:p>
            <w:pPr>
              <w:spacing w:line="276" w:lineRule="auto"/>
            </w:pPr>
            <w:r>
              <w:rPr>
                <w:rFonts w:eastAsia="Calibri"/>
              </w:rPr>
              <w:t>인재</w:t>
            </w:r>
          </w:p>
        </w:tc>
        <w:tc>
          <w:tcPr>
            <w:tcW w:w="4922" w:type="dxa"/>
          </w:tcPr>
          <w:p>
            <w:pPr>
              <w:spacing w:line="276" w:lineRule="auto"/>
            </w:pPr>
            <w:r>
              <w:rPr>
                <w:rFonts w:eastAsia="Calibri"/>
              </w:rPr>
              <w:t>과학기술부 3개년 계획(2025–2027), 개도국 대상 AI 연수·세미나 5,000건, Digital Academy, Smart Education</w:t>
            </w:r>
          </w:p>
        </w:tc>
        <w:tc>
          <w:tcPr>
            <w:tcW w:w="3667" w:type="dxa"/>
          </w:tcPr>
          <w:p>
            <w:pPr>
              <w:spacing w:line="276" w:lineRule="auto"/>
            </w:pPr>
            <w:r>
              <w:rPr>
                <w:rFonts w:eastAsia="Calibri"/>
              </w:rPr>
              <w:t>연수 인원으로만 집계. ASEAN 몫과 Smart Education의 대상은 미확인</w:t>
            </w:r>
          </w:p>
        </w:tc>
      </w:tr>
      <w:tr>
        <w:trPr>
          <w:cantSplit/>
        </w:trPr>
        <w:tc>
          <w:tcPr>
            <w:tcW w:w="1151" w:type="dxa"/>
          </w:tcPr>
          <w:p>
            <w:pPr>
              <w:spacing w:line="276" w:lineRule="auto"/>
            </w:pPr>
            <w:r>
              <w:rPr>
                <w:rFonts w:eastAsia="Calibri"/>
              </w:rPr>
              <w:t>언어·데이터</w:t>
            </w:r>
          </w:p>
        </w:tc>
        <w:tc>
          <w:tcPr>
            <w:tcW w:w="4922" w:type="dxa"/>
          </w:tcPr>
          <w:p>
            <w:pPr>
              <w:spacing w:line="276" w:lineRule="auto"/>
            </w:pPr>
            <w:r>
              <w:rPr>
                <w:rFonts w:eastAsia="Calibri"/>
              </w:rPr>
              <w:t>라오스 국가 언어모델, ASEAN AI 오픈소스 커뮤니티</w:t>
            </w:r>
          </w:p>
        </w:tc>
        <w:tc>
          <w:tcPr>
            <w:tcW w:w="3667" w:type="dxa"/>
          </w:tcPr>
          <w:p>
            <w:pPr>
              <w:spacing w:line="276" w:lineRule="auto"/>
            </w:pPr>
            <w:r>
              <w:rPr>
                <w:rFonts w:eastAsia="Calibri"/>
              </w:rPr>
              <w:t>초기 단계</w:t>
            </w:r>
          </w:p>
        </w:tc>
      </w:tr>
    </w:tbl>
    <w:p>
      <w:pPr>
        <w:spacing w:after="60" w:line="120" w:lineRule="auto"/>
      </w:pPr>
    </w:p>
    <w:p>
      <w:pPr>
        <w:spacing w:after="120" w:line="336" w:lineRule="auto"/>
        <w:jc w:val="both"/>
      </w:pPr>
      <w:r>
        <w:rPr>
          <w:rFonts w:eastAsia="Calibri"/>
          <w:b/>
          <w:bCs/>
          <w:color w:val="0F63A8"/>
        </w:rPr>
        <w:t>[판단]</w:t>
      </w:r>
      <w:r>
        <w:rPr>
          <w:rFonts w:eastAsia="Calibri"/>
        </w:rPr>
        <w:t xml:space="preserve"> 중국은 인프라에서 표준까지 AI를 묶음으로 내놓고, 채널은 여러 부처와 광시로 나뉘어 있다. 인재 사업은 참여 인원을 셀 뿐, 연수 이후의 활용은 다루지 않는다. 2026년 7월 외교장관회의가 2027 AI 협력의 해 제안에 유의했으므로, 양측 모두 곧 성과물을 찾게 될 수 있다. CIIS는 중국 외교부 산하이므로 라운드테이블 발언은 중국 정부에 전달된다는 전제로 준비한다.</w:t>
      </w:r>
    </w:p>
    <w:p>
      <w:pPr>
        <w:keepNext/>
        <w:spacing w:before="240" w:after="160" w:line="300" w:lineRule="auto"/>
      </w:pPr>
      <w:r>
        <w:rPr>
          <w:rFonts w:eastAsia="Calibri"/>
          <w:b/>
          <w:bCs/>
          <w:color w:val="00498F"/>
          <w:sz w:val="26"/>
          <w:szCs w:val="26"/>
        </w:rPr>
        <w:t>3. 공백: 연수 이후</w:t>
      </w:r>
    </w:p>
    <w:p>
      <w:pPr>
        <w:spacing w:after="120" w:line="336" w:lineRule="auto"/>
        <w:jc w:val="both"/>
      </w:pPr>
      <w:r>
        <w:rPr>
          <w:rFonts w:eastAsia="Calibri"/>
        </w:rPr>
        <w:t>근거는 같은 단절을 가리킨다. 연수는 받지만, 업무에서 AI를 계속 쓰는 데까지 가지 못한다.</w:t>
      </w:r>
    </w:p>
    <w:p>
      <w:pPr>
        <w:pStyle w:val="a4"/>
        <w:numPr>
          <w:ilvl w:val="0"/>
          <w:numId w:val="2"/>
        </w:numPr>
        <w:spacing w:after="60" w:line="336" w:lineRule="auto"/>
        <w:jc w:val="both"/>
      </w:pPr>
      <w:r>
        <w:rPr>
          <w:rFonts w:eastAsia="Calibri"/>
          <w:b/>
          <w:bCs/>
        </w:rPr>
        <w:t>준비도가 낮다.</w:t>
      </w:r>
      <w:r>
        <w:rPr>
          <w:rFonts w:eastAsia="Calibri"/>
        </w:rPr>
        <w:t xml:space="preserve"> 학생의 72.4%, 교육자의 70.5%가 AI 강좌를 들은 적이 없고, 교육자의 실측 AI 리터러시는 자신감에 못 미친다(AI Ready ASEAN Research, 2026).</w:t>
      </w:r>
    </w:p>
    <w:p>
      <w:pPr>
        <w:pStyle w:val="a4"/>
        <w:numPr>
          <w:ilvl w:val="0"/>
          <w:numId w:val="2"/>
        </w:numPr>
        <w:spacing w:after="60" w:line="336" w:lineRule="auto"/>
        <w:jc w:val="both"/>
      </w:pPr>
      <w:r>
        <w:rPr>
          <w:rFonts w:eastAsia="Calibri"/>
          <w:b/>
          <w:bCs/>
        </w:rPr>
        <w:t>지원이 탄탄해도 공백은 남는다.</w:t>
      </w:r>
      <w:r>
        <w:rPr>
          <w:rFonts w:eastAsia="Calibri"/>
        </w:rPr>
        <w:t xml:space="preserve"> 싱가포르의 2025년 AI 도입률은 중소기업 23.4%, 그 외 기업 70.4%다(IMDA). 싱가포르 Convening은 도구 접근이 곧 사업 통합은 아니며, 인식·실험·적용·확산 사이에서 지원이 끊긴다고 진단했다. 영세기업의 제약이 가장 크다.</w:t>
      </w:r>
    </w:p>
    <w:p>
      <w:pPr>
        <w:pStyle w:val="a4"/>
        <w:numPr>
          <w:ilvl w:val="0"/>
          <w:numId w:val="2"/>
        </w:numPr>
        <w:spacing w:after="120" w:line="336" w:lineRule="auto"/>
        <w:jc w:val="both"/>
      </w:pPr>
      <w:r>
        <w:rPr>
          <w:rFonts w:eastAsia="Calibri"/>
          <w:b/>
          <w:bCs/>
        </w:rPr>
        <w:t>다른 곳의 장벽은 더 기초적이다.</w:t>
      </w:r>
      <w:r>
        <w:rPr>
          <w:rFonts w:eastAsia="Calibri"/>
        </w:rPr>
        <w:t xml:space="preserve"> 인도네시아 Convening은 디지털·금융 리터러시 격차를 짚었다.</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523"/>
        <w:gridCol w:w="2681"/>
        <w:gridCol w:w="2224"/>
        <w:gridCol w:w="3312"/>
      </w:tblGrid>
      <w:tr>
        <w:trPr>
          <w:tblHeader/>
        </w:trPr>
        <w:tc>
          <w:tcPr>
            <w:tcW w:w="1523" w:type="dxa"/>
            <w:shd w:val="clear" w:color="auto" w:fill="00498F"/>
          </w:tcPr>
          <w:p>
            <w:pPr>
              <w:spacing w:line="276" w:lineRule="auto"/>
            </w:pPr>
            <w:r>
              <w:rPr>
                <w:rFonts w:eastAsia="Calibri"/>
                <w:b/>
                <w:bCs/>
                <w:color w:val="FFFFFF"/>
                <w:sz w:val="17"/>
                <w:szCs w:val="17"/>
              </w:rPr>
              <w:t>단계</w:t>
            </w:r>
          </w:p>
        </w:tc>
        <w:tc>
          <w:tcPr>
            <w:tcW w:w="2681" w:type="dxa"/>
            <w:shd w:val="clear" w:color="auto" w:fill="00498F"/>
          </w:tcPr>
          <w:p>
            <w:pPr>
              <w:spacing w:line="276" w:lineRule="auto"/>
            </w:pPr>
            <w:r>
              <w:rPr>
                <w:rFonts w:eastAsia="Calibri"/>
                <w:b/>
                <w:bCs/>
                <w:color w:val="FFFFFF"/>
                <w:sz w:val="17"/>
                <w:szCs w:val="17"/>
              </w:rPr>
              <w:t>끊기는 지점</w:t>
            </w:r>
          </w:p>
        </w:tc>
        <w:tc>
          <w:tcPr>
            <w:tcW w:w="2224" w:type="dxa"/>
            <w:shd w:val="clear" w:color="auto" w:fill="00498F"/>
          </w:tcPr>
          <w:p>
            <w:pPr>
              <w:spacing w:line="276" w:lineRule="auto"/>
            </w:pPr>
            <w:r>
              <w:rPr>
                <w:rFonts w:eastAsia="Calibri"/>
                <w:b/>
                <w:bCs/>
                <w:color w:val="FFFFFF"/>
                <w:sz w:val="17"/>
                <w:szCs w:val="17"/>
              </w:rPr>
              <w:t>ASEAN–중국 협력의 현재</w:t>
            </w:r>
          </w:p>
        </w:tc>
        <w:tc>
          <w:tcPr>
            <w:tcW w:w="3312" w:type="dxa"/>
            <w:shd w:val="clear" w:color="auto" w:fill="00498F"/>
          </w:tcPr>
          <w:p>
            <w:pPr>
              <w:spacing w:line="276" w:lineRule="auto"/>
            </w:pPr>
            <w:r>
              <w:rPr>
                <w:rFonts w:eastAsia="Calibri"/>
                <w:b/>
                <w:bCs/>
                <w:color w:val="FFFFFF"/>
                <w:sz w:val="17"/>
                <w:szCs w:val="17"/>
              </w:rPr>
              <w:t>재단의 접점</w:t>
            </w:r>
          </w:p>
        </w:tc>
      </w:tr>
      <w:tr>
        <w:trPr>
          <w:cantSplit/>
        </w:trPr>
        <w:tc>
          <w:tcPr>
            <w:tcW w:w="1523" w:type="dxa"/>
          </w:tcPr>
          <w:p>
            <w:pPr>
              <w:spacing w:line="276" w:lineRule="auto"/>
            </w:pPr>
            <w:r>
              <w:rPr>
                <w:rFonts w:eastAsia="Calibri"/>
                <w:sz w:val="17"/>
                <w:szCs w:val="17"/>
              </w:rPr>
              <w:t>인식</w:t>
            </w:r>
          </w:p>
        </w:tc>
        <w:tc>
          <w:tcPr>
            <w:tcW w:w="2681" w:type="dxa"/>
          </w:tcPr>
          <w:p>
            <w:pPr>
              <w:spacing w:line="276" w:lineRule="auto"/>
            </w:pPr>
            <w:r>
              <w:rPr>
                <w:rFonts w:eastAsia="Calibri"/>
                <w:sz w:val="17"/>
                <w:szCs w:val="17"/>
              </w:rPr>
              <w:t>챗봇 사용 경험을 준비로 착각</w:t>
            </w:r>
          </w:p>
        </w:tc>
        <w:tc>
          <w:tcPr>
            <w:tcW w:w="2224" w:type="dxa"/>
          </w:tcPr>
          <w:p>
            <w:pPr>
              <w:spacing w:line="276" w:lineRule="auto"/>
            </w:pPr>
            <w:r>
              <w:rPr>
                <w:rFonts w:eastAsia="Calibri"/>
                <w:sz w:val="17"/>
                <w:szCs w:val="17"/>
              </w:rPr>
              <w:t>연수·세미나</w:t>
            </w:r>
          </w:p>
        </w:tc>
        <w:tc>
          <w:tcPr>
            <w:tcW w:w="3312" w:type="dxa"/>
          </w:tcPr>
          <w:p>
            <w:pPr>
              <w:spacing w:line="276" w:lineRule="auto"/>
            </w:pPr>
            <w:r>
              <w:rPr>
                <w:rFonts w:eastAsia="Calibri"/>
                <w:sz w:val="17"/>
                <w:szCs w:val="17"/>
              </w:rPr>
              <w:t>AI Class ASEAN, AIM ASEAN 과정</w:t>
            </w:r>
          </w:p>
        </w:tc>
      </w:tr>
      <w:tr>
        <w:trPr>
          <w:cantSplit/>
        </w:trPr>
        <w:tc>
          <w:tcPr>
            <w:tcW w:w="1523" w:type="dxa"/>
          </w:tcPr>
          <w:p>
            <w:pPr>
              <w:spacing w:line="276" w:lineRule="auto"/>
            </w:pPr>
            <w:r>
              <w:rPr>
                <w:rFonts w:eastAsia="Calibri"/>
                <w:sz w:val="17"/>
                <w:szCs w:val="17"/>
              </w:rPr>
              <w:t>실험</w:t>
            </w:r>
          </w:p>
        </w:tc>
        <w:tc>
          <w:tcPr>
            <w:tcW w:w="2681" w:type="dxa"/>
          </w:tcPr>
          <w:p>
            <w:pPr>
              <w:spacing w:line="276" w:lineRule="auto"/>
            </w:pPr>
            <w:r>
              <w:rPr>
                <w:rFonts w:eastAsia="Calibri"/>
                <w:sz w:val="17"/>
                <w:szCs w:val="17"/>
              </w:rPr>
              <w:t>활용처 불확실, 실패 비용</w:t>
            </w:r>
          </w:p>
        </w:tc>
        <w:tc>
          <w:tcPr>
            <w:tcW w:w="2224" w:type="dxa"/>
          </w:tcPr>
          <w:p>
            <w:pPr>
              <w:spacing w:line="276" w:lineRule="auto"/>
            </w:pPr>
            <w:r>
              <w:rPr>
                <w:rFonts w:eastAsia="Calibri"/>
                <w:sz w:val="17"/>
                <w:szCs w:val="17"/>
              </w:rPr>
              <w:t>응용 시나리오·기업 매칭(난닝)</w:t>
            </w:r>
          </w:p>
        </w:tc>
        <w:tc>
          <w:tcPr>
            <w:tcW w:w="3312" w:type="dxa"/>
          </w:tcPr>
          <w:p>
            <w:pPr>
              <w:spacing w:line="276" w:lineRule="auto"/>
            </w:pPr>
            <w:r>
              <w:rPr>
                <w:rFonts w:eastAsia="Calibri"/>
                <w:sz w:val="17"/>
                <w:szCs w:val="17"/>
              </w:rPr>
              <w:t>저위험 시연, 책임 있는 사용 안내</w:t>
            </w:r>
          </w:p>
        </w:tc>
      </w:tr>
      <w:tr>
        <w:trPr>
          <w:cantSplit/>
        </w:trPr>
        <w:tc>
          <w:tcPr>
            <w:tcW w:w="1523" w:type="dxa"/>
          </w:tcPr>
          <w:p>
            <w:pPr>
              <w:spacing w:line="276" w:lineRule="auto"/>
            </w:pPr>
            <w:r>
              <w:rPr>
                <w:rFonts w:eastAsia="Calibri"/>
                <w:sz w:val="17"/>
                <w:szCs w:val="17"/>
              </w:rPr>
              <w:t>적용</w:t>
            </w:r>
          </w:p>
        </w:tc>
        <w:tc>
          <w:tcPr>
            <w:tcW w:w="2681" w:type="dxa"/>
          </w:tcPr>
          <w:p>
            <w:pPr>
              <w:spacing w:line="276" w:lineRule="auto"/>
            </w:pPr>
            <w:r>
              <w:rPr>
                <w:rFonts w:eastAsia="Calibri"/>
                <w:sz w:val="17"/>
                <w:szCs w:val="17"/>
              </w:rPr>
              <w:t>내부 역량 부족, 직원 불안</w:t>
            </w:r>
          </w:p>
        </w:tc>
        <w:tc>
          <w:tcPr>
            <w:tcW w:w="2224" w:type="dxa"/>
          </w:tcPr>
          <w:p>
            <w:pPr>
              <w:spacing w:line="276" w:lineRule="auto"/>
            </w:pPr>
            <w:r>
              <w:rPr>
                <w:rFonts w:eastAsia="Calibri"/>
                <w:sz w:val="17"/>
                <w:szCs w:val="17"/>
              </w:rPr>
              <w:t>공개 자료에서 확인되지 않음</w:t>
            </w:r>
          </w:p>
        </w:tc>
        <w:tc>
          <w:tcPr>
            <w:tcW w:w="3312" w:type="dxa"/>
          </w:tcPr>
          <w:p>
            <w:pPr>
              <w:spacing w:line="276" w:lineRule="auto"/>
            </w:pPr>
            <w:r>
              <w:rPr>
                <w:rFonts w:eastAsia="Calibri"/>
                <w:sz w:val="17"/>
                <w:szCs w:val="17"/>
              </w:rPr>
              <w:t>현지 파트너, 연수 이후 클리닉(제안)</w:t>
            </w:r>
          </w:p>
        </w:tc>
      </w:tr>
      <w:tr>
        <w:trPr>
          <w:cantSplit/>
        </w:trPr>
        <w:tc>
          <w:tcPr>
            <w:tcW w:w="1523" w:type="dxa"/>
          </w:tcPr>
          <w:p>
            <w:pPr>
              <w:spacing w:line="276" w:lineRule="auto"/>
            </w:pPr>
            <w:r>
              <w:rPr>
                <w:rFonts w:eastAsia="Calibri"/>
                <w:sz w:val="17"/>
                <w:szCs w:val="17"/>
              </w:rPr>
              <w:t>확산</w:t>
            </w:r>
          </w:p>
        </w:tc>
        <w:tc>
          <w:tcPr>
            <w:tcW w:w="2681" w:type="dxa"/>
          </w:tcPr>
          <w:p>
            <w:pPr>
              <w:spacing w:line="276" w:lineRule="auto"/>
            </w:pPr>
            <w:r>
              <w:rPr>
                <w:rFonts w:eastAsia="Calibri"/>
                <w:sz w:val="17"/>
                <w:szCs w:val="17"/>
              </w:rPr>
              <w:t>워크숍과 함께 지원 종료, 성과 근거 없음</w:t>
            </w:r>
          </w:p>
        </w:tc>
        <w:tc>
          <w:tcPr>
            <w:tcW w:w="2224" w:type="dxa"/>
          </w:tcPr>
          <w:p>
            <w:pPr>
              <w:spacing w:line="276" w:lineRule="auto"/>
            </w:pPr>
            <w:r>
              <w:rPr>
                <w:rFonts w:eastAsia="Calibri"/>
                <w:sz w:val="17"/>
                <w:szCs w:val="17"/>
              </w:rPr>
              <w:t>공개 자료에서 확인되지 않음</w:t>
            </w:r>
          </w:p>
        </w:tc>
        <w:tc>
          <w:tcPr>
            <w:tcW w:w="3312" w:type="dxa"/>
          </w:tcPr>
          <w:p>
            <w:pPr>
              <w:spacing w:line="276" w:lineRule="auto"/>
            </w:pPr>
            <w:r>
              <w:rPr>
                <w:rFonts w:eastAsia="Calibri"/>
                <w:sz w:val="17"/>
                <w:szCs w:val="17"/>
              </w:rPr>
              <w:t>공통 성과 지표, 지역 사례 교류(권고)</w:t>
            </w:r>
          </w:p>
        </w:tc>
      </w:tr>
    </w:tbl>
    <w:p>
      <w:pPr>
        <w:spacing w:after="60" w:line="120" w:lineRule="auto"/>
      </w:pPr>
    </w:p>
    <w:p>
      <w:pPr>
        <w:spacing w:after="120" w:line="336" w:lineRule="auto"/>
        <w:jc w:val="both"/>
      </w:pPr>
      <w:r>
        <w:rPr>
          <w:rFonts w:eastAsia="Calibri"/>
          <w:b/>
          <w:bCs/>
          <w:color w:val="0F63A8"/>
        </w:rPr>
        <w:t>[판단]</w:t>
      </w:r>
      <w:r>
        <w:rPr>
          <w:rFonts w:eastAsia="Calibri"/>
        </w:rPr>
        <w:t xml:space="preserve"> 공백은 AI 연수의 부족이 아니다. 중국 기업과 플랫폼은 이미 연수를 한다. 비어 있는 것은 연수 이후를 돕는 ASEAN 주도의 기술 중립적 지원, 그리고 연수가 일하는 방식을 바꿨는지 재는 측정이다.</w:t>
      </w:r>
    </w:p>
    <w:p>
      <w:pPr>
        <w:keepNext/>
        <w:spacing w:before="240" w:after="160" w:line="300" w:lineRule="auto"/>
      </w:pPr>
      <w:r>
        <w:rPr>
          <w:rFonts w:eastAsia="Calibri"/>
          <w:b/>
          <w:bCs/>
          <w:color w:val="00498F"/>
          <w:sz w:val="26"/>
          <w:szCs w:val="26"/>
        </w:rPr>
        <w:t>4. 재단이 내놓을 것</w:t>
      </w:r>
    </w:p>
    <w:p>
      <w:pPr>
        <w:spacing w:after="120" w:line="336" w:lineRule="auto"/>
        <w:jc w:val="both"/>
      </w:pPr>
      <w:r>
        <w:rPr>
          <w:rFonts w:eastAsia="Calibri"/>
        </w:rPr>
        <w:t>재단의 자산은 세 가지다. 전달망(Master Trainer 3,000명 이상, 현지 파트너), 근거(AI 준비도 연구, Convening 기록), 그리고 싱가포르 파트너가 권고한 역할(공통 ‘연수 이후 경로’, 공통 성과 지표, 지역 사례 교류. 합의 전)이다. 제안은 싱가포르 보고서의 핵심 요약 세 가지(연수를 실행으로 잇기, AI-bilingual 팀 구축, 책임 있는 사용과 사업 성과 측정)를 따른다.</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106"/>
        <w:gridCol w:w="4351"/>
        <w:gridCol w:w="2308"/>
        <w:gridCol w:w="1975"/>
      </w:tblGrid>
      <w:tr>
        <w:trPr>
          <w:tblHeader/>
        </w:trPr>
        <w:tc>
          <w:tcPr>
            <w:tcW w:w="1106" w:type="dxa"/>
            <w:shd w:val="clear" w:color="auto" w:fill="00498F"/>
          </w:tcPr>
          <w:p>
            <w:pPr>
              <w:spacing w:line="276" w:lineRule="auto"/>
            </w:pPr>
            <w:r>
              <w:rPr>
                <w:rFonts w:eastAsia="Calibri"/>
                <w:b/>
                <w:bCs/>
                <w:color w:val="FFFFFF"/>
                <w:sz w:val="17"/>
                <w:szCs w:val="17"/>
              </w:rPr>
              <w:t>순위</w:t>
            </w:r>
          </w:p>
        </w:tc>
        <w:tc>
          <w:tcPr>
            <w:tcW w:w="4351" w:type="dxa"/>
            <w:shd w:val="clear" w:color="auto" w:fill="00498F"/>
          </w:tcPr>
          <w:p>
            <w:pPr>
              <w:spacing w:line="276" w:lineRule="auto"/>
            </w:pPr>
            <w:r>
              <w:rPr>
                <w:rFonts w:eastAsia="Calibri"/>
                <w:b/>
                <w:bCs/>
                <w:color w:val="FFFFFF"/>
                <w:sz w:val="17"/>
                <w:szCs w:val="17"/>
              </w:rPr>
              <w:t>제안</w:t>
            </w:r>
          </w:p>
        </w:tc>
        <w:tc>
          <w:tcPr>
            <w:tcW w:w="2308" w:type="dxa"/>
            <w:shd w:val="clear" w:color="auto" w:fill="00498F"/>
          </w:tcPr>
          <w:p>
            <w:pPr>
              <w:spacing w:line="276" w:lineRule="auto"/>
            </w:pPr>
            <w:r>
              <w:rPr>
                <w:rFonts w:eastAsia="Calibri"/>
                <w:b/>
                <w:bCs/>
                <w:color w:val="FFFFFF"/>
                <w:sz w:val="17"/>
                <w:szCs w:val="17"/>
              </w:rPr>
              <w:t>경로</w:t>
            </w:r>
          </w:p>
        </w:tc>
        <w:tc>
          <w:tcPr>
            <w:tcW w:w="1975" w:type="dxa"/>
            <w:shd w:val="clear" w:color="auto" w:fill="00498F"/>
          </w:tcPr>
          <w:p>
            <w:pPr>
              <w:spacing w:line="276" w:lineRule="auto"/>
            </w:pPr>
            <w:r>
              <w:rPr>
                <w:rFonts w:eastAsia="Calibri"/>
                <w:b/>
                <w:bCs/>
                <w:color w:val="FFFFFF"/>
                <w:sz w:val="17"/>
                <w:szCs w:val="17"/>
              </w:rPr>
              <w:t>시점</w:t>
            </w:r>
          </w:p>
        </w:tc>
      </w:tr>
      <w:tr>
        <w:trPr>
          <w:cantSplit/>
        </w:trPr>
        <w:tc>
          <w:tcPr>
            <w:tcW w:w="1106" w:type="dxa"/>
          </w:tcPr>
          <w:p>
            <w:pPr>
              <w:spacing w:line="276" w:lineRule="auto"/>
            </w:pPr>
            <w:r>
              <w:rPr>
                <w:rFonts w:eastAsia="Calibri"/>
                <w:sz w:val="17"/>
                <w:szCs w:val="17"/>
              </w:rPr>
              <w:t>1</w:t>
            </w:r>
          </w:p>
        </w:tc>
        <w:tc>
          <w:tcPr>
            <w:tcW w:w="4351" w:type="dxa"/>
          </w:tcPr>
          <w:p>
            <w:pPr>
              <w:spacing w:line="276" w:lineRule="auto"/>
            </w:pPr>
            <w:r>
              <w:rPr>
                <w:rFonts w:eastAsia="Calibri"/>
                <w:b/>
                <w:bCs/>
                <w:sz w:val="17"/>
                <w:szCs w:val="17"/>
              </w:rPr>
              <w:t>CIIS 발언</w:t>
            </w:r>
            <w:r>
              <w:rPr>
                <w:rFonts w:eastAsia="Calibri"/>
                <w:sz w:val="17"/>
                <w:szCs w:val="17"/>
              </w:rPr>
              <w:t>: ‘연수 이후’ 질문, 싱가포르의 교훈, 경로 설계·AI 인재 범위 확대·지속적 활용 측정의 필요성</w:t>
            </w:r>
          </w:p>
        </w:tc>
        <w:tc>
          <w:tcPr>
            <w:tcW w:w="2308" w:type="dxa"/>
          </w:tcPr>
          <w:p>
            <w:pPr>
              <w:spacing w:line="276" w:lineRule="auto"/>
            </w:pPr>
            <w:r>
              <w:rPr>
                <w:rFonts w:eastAsia="Calibri"/>
                <w:sz w:val="17"/>
                <w:szCs w:val="17"/>
              </w:rPr>
              <w:t>CIIS 라운드테이블 2세션</w:t>
            </w:r>
          </w:p>
        </w:tc>
        <w:tc>
          <w:tcPr>
            <w:tcW w:w="1975" w:type="dxa"/>
          </w:tcPr>
          <w:p>
            <w:pPr>
              <w:spacing w:line="276" w:lineRule="auto"/>
            </w:pPr>
            <w:r>
              <w:rPr>
                <w:rFonts w:eastAsia="Calibri"/>
                <w:sz w:val="17"/>
                <w:szCs w:val="17"/>
              </w:rPr>
              <w:t>2026년 10월</w:t>
            </w:r>
          </w:p>
        </w:tc>
      </w:tr>
      <w:tr>
        <w:trPr>
          <w:cantSplit/>
        </w:trPr>
        <w:tc>
          <w:tcPr>
            <w:tcW w:w="1106" w:type="dxa"/>
          </w:tcPr>
          <w:p>
            <w:pPr>
              <w:spacing w:line="276" w:lineRule="auto"/>
            </w:pPr>
            <w:r>
              <w:rPr>
                <w:rFonts w:eastAsia="Calibri"/>
                <w:sz w:val="17"/>
                <w:szCs w:val="17"/>
              </w:rPr>
              <w:t>2</w:t>
            </w:r>
          </w:p>
        </w:tc>
        <w:tc>
          <w:tcPr>
            <w:tcW w:w="4351" w:type="dxa"/>
          </w:tcPr>
          <w:p>
            <w:pPr>
              <w:spacing w:line="276" w:lineRule="auto"/>
            </w:pPr>
            <w:r>
              <w:rPr>
                <w:rFonts w:eastAsia="Calibri"/>
                <w:b/>
                <w:bCs/>
                <w:sz w:val="17"/>
                <w:szCs w:val="17"/>
              </w:rPr>
              <w:t>측정</w:t>
            </w:r>
            <w:r>
              <w:rPr>
                <w:rFonts w:eastAsia="Calibri"/>
                <w:sz w:val="17"/>
                <w:szCs w:val="17"/>
              </w:rPr>
              <w:t>: 도달, 사업 통합, 검증된 성과를 구분하는 지속 활용·사업 가치 지표</w:t>
            </w:r>
          </w:p>
        </w:tc>
        <w:tc>
          <w:tcPr>
            <w:tcW w:w="2308" w:type="dxa"/>
          </w:tcPr>
          <w:p>
            <w:pPr>
              <w:spacing w:line="276" w:lineRule="auto"/>
            </w:pPr>
            <w:r>
              <w:rPr>
                <w:rFonts w:eastAsia="Calibri"/>
                <w:sz w:val="17"/>
                <w:szCs w:val="17"/>
              </w:rPr>
              <w:t>AIM ASEAN 파트너, CIIS 공동 연구</w:t>
            </w:r>
          </w:p>
        </w:tc>
        <w:tc>
          <w:tcPr>
            <w:tcW w:w="1975" w:type="dxa"/>
          </w:tcPr>
          <w:p>
            <w:pPr>
              <w:spacing w:line="276" w:lineRule="auto"/>
            </w:pPr>
            <w:r>
              <w:rPr>
                <w:rFonts w:eastAsia="Calibri"/>
                <w:sz w:val="17"/>
                <w:szCs w:val="17"/>
              </w:rPr>
              <w:t>2027년(싱가포르 기준선 2026년 4분기, 검토 2027년 1분기 이후)</w:t>
            </w:r>
          </w:p>
        </w:tc>
      </w:tr>
      <w:tr>
        <w:trPr>
          <w:cantSplit/>
        </w:trPr>
        <w:tc>
          <w:tcPr>
            <w:tcW w:w="1106" w:type="dxa"/>
          </w:tcPr>
          <w:p>
            <w:pPr>
              <w:spacing w:line="276" w:lineRule="auto"/>
            </w:pPr>
            <w:r>
              <w:rPr>
                <w:rFonts w:eastAsia="Calibri"/>
                <w:sz w:val="17"/>
                <w:szCs w:val="17"/>
              </w:rPr>
              <w:t>3</w:t>
            </w:r>
          </w:p>
        </w:tc>
        <w:tc>
          <w:tcPr>
            <w:tcW w:w="4351" w:type="dxa"/>
          </w:tcPr>
          <w:p>
            <w:pPr>
              <w:spacing w:line="276" w:lineRule="auto"/>
            </w:pPr>
            <w:r>
              <w:rPr>
                <w:rFonts w:eastAsia="Calibri"/>
                <w:b/>
                <w:bCs/>
                <w:sz w:val="17"/>
                <w:szCs w:val="17"/>
              </w:rPr>
              <w:t>사례 근거</w:t>
            </w:r>
            <w:r>
              <w:rPr>
                <w:rFonts w:eastAsia="Calibri"/>
                <w:sz w:val="17"/>
                <w:szCs w:val="17"/>
              </w:rPr>
              <w:t>: 잘 안 된 것까지 담은 MSME 구조화 사례, 연수 이후 단계의 공개 자료</w:t>
            </w:r>
          </w:p>
        </w:tc>
        <w:tc>
          <w:tcPr>
            <w:tcW w:w="2308" w:type="dxa"/>
          </w:tcPr>
          <w:p>
            <w:pPr>
              <w:spacing w:line="276" w:lineRule="auto"/>
            </w:pPr>
            <w:r>
              <w:rPr>
                <w:rFonts w:eastAsia="Calibri"/>
                <w:sz w:val="17"/>
                <w:szCs w:val="17"/>
              </w:rPr>
              <w:t>ACCMSME, ASEAN–중국 포럼(공개 사례만)</w:t>
            </w:r>
          </w:p>
        </w:tc>
        <w:tc>
          <w:tcPr>
            <w:tcW w:w="1975" w:type="dxa"/>
          </w:tcPr>
          <w:p>
            <w:pPr>
              <w:spacing w:line="276" w:lineRule="auto"/>
            </w:pPr>
            <w:r>
              <w:rPr>
                <w:rFonts w:eastAsia="Calibri"/>
                <w:sz w:val="17"/>
                <w:szCs w:val="17"/>
              </w:rPr>
              <w:t>2027년</w:t>
            </w:r>
          </w:p>
        </w:tc>
      </w:tr>
      <w:tr>
        <w:trPr>
          <w:cantSplit/>
        </w:trPr>
        <w:tc>
          <w:tcPr>
            <w:tcW w:w="1106" w:type="dxa"/>
          </w:tcPr>
          <w:p>
            <w:pPr>
              <w:spacing w:line="276" w:lineRule="auto"/>
            </w:pPr>
            <w:r>
              <w:rPr>
                <w:rFonts w:eastAsia="Calibri"/>
                <w:sz w:val="17"/>
                <w:szCs w:val="17"/>
              </w:rPr>
              <w:t>4</w:t>
            </w:r>
          </w:p>
        </w:tc>
        <w:tc>
          <w:tcPr>
            <w:tcW w:w="4351" w:type="dxa"/>
          </w:tcPr>
          <w:p>
            <w:pPr>
              <w:spacing w:line="276" w:lineRule="auto"/>
            </w:pPr>
            <w:r>
              <w:rPr>
                <w:rFonts w:eastAsia="Calibri"/>
                <w:b/>
                <w:bCs/>
                <w:sz w:val="17"/>
                <w:szCs w:val="17"/>
              </w:rPr>
              <w:t>MSME 공동 사업</w:t>
            </w:r>
            <w:r>
              <w:rPr>
                <w:rFonts w:eastAsia="Calibri"/>
                <w:sz w:val="17"/>
                <w:szCs w:val="17"/>
              </w:rPr>
              <w:t>: AIM ASEAN과 혁신센터의 역내 역량 강화 과제 연결</w:t>
            </w:r>
          </w:p>
        </w:tc>
        <w:tc>
          <w:tcPr>
            <w:tcW w:w="2308" w:type="dxa"/>
          </w:tcPr>
          <w:p>
            <w:pPr>
              <w:spacing w:line="276" w:lineRule="auto"/>
            </w:pPr>
            <w:r>
              <w:rPr>
                <w:rFonts w:eastAsia="Calibri"/>
                <w:sz w:val="17"/>
                <w:szCs w:val="17"/>
              </w:rPr>
              <w:t>ACCMSME ↔ 중국 산업·상무 부처</w:t>
            </w:r>
          </w:p>
        </w:tc>
        <w:tc>
          <w:tcPr>
            <w:tcW w:w="1975" w:type="dxa"/>
          </w:tcPr>
          <w:p>
            <w:pPr>
              <w:spacing w:line="276" w:lineRule="auto"/>
            </w:pPr>
            <w:r>
              <w:rPr>
                <w:rFonts w:eastAsia="Calibri"/>
                <w:sz w:val="17"/>
                <w:szCs w:val="17"/>
              </w:rPr>
              <w:t>2027년(ACCMSME 보고와 후속 재원 확보 후)</w:t>
            </w:r>
          </w:p>
        </w:tc>
      </w:tr>
      <w:tr>
        <w:trPr>
          <w:cantSplit/>
        </w:trPr>
        <w:tc>
          <w:tcPr>
            <w:tcW w:w="1106" w:type="dxa"/>
          </w:tcPr>
          <w:p>
            <w:pPr>
              <w:spacing w:line="276" w:lineRule="auto"/>
            </w:pPr>
            <w:r>
              <w:rPr>
                <w:rFonts w:eastAsia="Calibri"/>
                <w:sz w:val="17"/>
                <w:szCs w:val="17"/>
              </w:rPr>
              <w:t>5</w:t>
            </w:r>
          </w:p>
        </w:tc>
        <w:tc>
          <w:tcPr>
            <w:tcW w:w="4351" w:type="dxa"/>
          </w:tcPr>
          <w:p>
            <w:pPr>
              <w:spacing w:line="276" w:lineRule="auto"/>
            </w:pPr>
            <w:r>
              <w:rPr>
                <w:rFonts w:eastAsia="Calibri"/>
                <w:b/>
                <w:bCs/>
                <w:sz w:val="17"/>
                <w:szCs w:val="17"/>
              </w:rPr>
              <w:t>저비용 콘텐츠</w:t>
            </w:r>
            <w:r>
              <w:rPr>
                <w:rFonts w:eastAsia="Calibri"/>
                <w:sz w:val="17"/>
                <w:szCs w:val="17"/>
              </w:rPr>
              <w:t>: AI Class ASEAN을 사전 학습 자료로, 시민·MSME용 AI 윤리·안전 모듈</w:t>
            </w:r>
          </w:p>
        </w:tc>
        <w:tc>
          <w:tcPr>
            <w:tcW w:w="2308" w:type="dxa"/>
          </w:tcPr>
          <w:p>
            <w:pPr>
              <w:spacing w:line="276" w:lineRule="auto"/>
            </w:pPr>
            <w:r>
              <w:rPr>
                <w:rFonts w:eastAsia="Calibri"/>
                <w:sz w:val="17"/>
                <w:szCs w:val="17"/>
              </w:rPr>
              <w:t>중국 측 연수 과정, ADGSOM·WG-AI</w:t>
            </w:r>
          </w:p>
        </w:tc>
        <w:tc>
          <w:tcPr>
            <w:tcW w:w="1975" w:type="dxa"/>
          </w:tcPr>
          <w:p>
            <w:pPr>
              <w:spacing w:line="276" w:lineRule="auto"/>
            </w:pPr>
            <w:r>
              <w:rPr>
                <w:rFonts w:eastAsia="Calibri"/>
                <w:sz w:val="17"/>
                <w:szCs w:val="17"/>
              </w:rPr>
              <w:t>2027년 상반기</w:t>
            </w:r>
          </w:p>
        </w:tc>
      </w:tr>
      <w:tr>
        <w:trPr>
          <w:cantSplit/>
        </w:trPr>
        <w:tc>
          <w:tcPr>
            <w:tcW w:w="1106" w:type="dxa"/>
          </w:tcPr>
          <w:p>
            <w:pPr>
              <w:spacing w:line="276" w:lineRule="auto"/>
            </w:pPr>
            <w:r>
              <w:rPr>
                <w:rFonts w:eastAsia="Calibri"/>
                <w:sz w:val="17"/>
                <w:szCs w:val="17"/>
              </w:rPr>
              <w:t>6</w:t>
            </w:r>
          </w:p>
        </w:tc>
        <w:tc>
          <w:tcPr>
            <w:tcW w:w="4351" w:type="dxa"/>
          </w:tcPr>
          <w:p>
            <w:pPr>
              <w:spacing w:line="276" w:lineRule="auto"/>
            </w:pPr>
            <w:r>
              <w:rPr>
                <w:rFonts w:eastAsia="Calibri"/>
                <w:b/>
                <w:bCs/>
                <w:sz w:val="17"/>
                <w:szCs w:val="17"/>
              </w:rPr>
              <w:t>교사</w:t>
            </w:r>
            <w:r>
              <w:rPr>
                <w:rFonts w:eastAsia="Calibri"/>
                <w:sz w:val="17"/>
                <w:szCs w:val="17"/>
              </w:rPr>
              <w:t>(조건부): 역할 분담과 공통 기준. AI Ready ASEAN 2단계를 토대로</w:t>
            </w:r>
          </w:p>
        </w:tc>
        <w:tc>
          <w:tcPr>
            <w:tcW w:w="2308" w:type="dxa"/>
          </w:tcPr>
          <w:p>
            <w:pPr>
              <w:spacing w:line="276" w:lineRule="auto"/>
            </w:pPr>
            <w:r>
              <w:rPr>
                <w:rFonts w:eastAsia="Calibri"/>
                <w:sz w:val="17"/>
                <w:szCs w:val="17"/>
              </w:rPr>
              <w:t>SOM-ED ↔ 중국 교육부</w:t>
            </w:r>
          </w:p>
        </w:tc>
        <w:tc>
          <w:tcPr>
            <w:tcW w:w="1975" w:type="dxa"/>
          </w:tcPr>
          <w:p>
            <w:pPr>
              <w:spacing w:line="276" w:lineRule="auto"/>
            </w:pPr>
            <w:r>
              <w:rPr>
                <w:rFonts w:eastAsia="Calibri"/>
                <w:sz w:val="17"/>
                <w:szCs w:val="17"/>
              </w:rPr>
              <w:t>2027–2028년</w:t>
            </w:r>
          </w:p>
        </w:tc>
      </w:tr>
    </w:tbl>
    <w:p>
      <w:pPr>
        <w:spacing w:after="60" w:line="120" w:lineRule="auto"/>
      </w:pPr>
    </w:p>
    <w:p>
      <w:pPr>
        <w:spacing w:after="120" w:line="336" w:lineRule="auto"/>
        <w:jc w:val="both"/>
      </w:pPr>
      <w:r>
        <w:rPr>
          <w:rFonts w:eastAsia="Calibri"/>
        </w:rPr>
        <w:t>모든 제안은 ASEAN 소유, 회원국 경유, 다른 대화상대국에 대한 개방, 기술 중립을 원칙으로 한다. 학습자 데이터는 제공하지 않으며, AI 표준·규범에 대한 ASEAN 입장은 밝히지 않는다.</w:t>
      </w:r>
    </w:p>
    <w:p>
      <w:pPr>
        <w:spacing w:after="120" w:line="336" w:lineRule="auto"/>
        <w:jc w:val="both"/>
      </w:pPr>
      <w:r>
        <w:rPr>
          <w:rFonts w:eastAsia="Calibri"/>
          <w:b/>
          <w:bCs/>
        </w:rPr>
        <w:t>순서.</w:t>
      </w:r>
      <w:r>
        <w:rPr>
          <w:rFonts w:eastAsia="Calibri"/>
        </w:rPr>
        <w:t xml:space="preserve"> 지금(2026년 10–11월)은 경험을 나눈다. 마닐라 정상회의 뒤 2027년 상반기에 근거를 쌓는다. 공동 사업은 SOM-ED와 ACCMSME의 판단 뒤에 연다. AI 협력의 해가 채택되면 사용자 AI 역량 패키지를 그 성과물 가운데 하나로 제안할 수 있다.</w:t>
      </w:r>
    </w:p>
    <w:p>
      <w:pPr>
        <w:keepNext/>
        <w:spacing w:before="240" w:after="160" w:line="300" w:lineRule="auto"/>
      </w:pPr>
      <w:r>
        <w:rPr>
          <w:rFonts w:eastAsia="Calibri"/>
          <w:b/>
          <w:bCs/>
          <w:color w:val="00498F"/>
          <w:sz w:val="26"/>
          <w:szCs w:val="26"/>
        </w:rPr>
        <w:t>5. 관리할 리스크</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4714"/>
        <w:gridCol w:w="5026"/>
      </w:tblGrid>
      <w:tr>
        <w:trPr>
          <w:tblHeader/>
        </w:trPr>
        <w:tc>
          <w:tcPr>
            <w:tcW w:w="4714" w:type="dxa"/>
            <w:shd w:val="clear" w:color="auto" w:fill="00498F"/>
          </w:tcPr>
          <w:p>
            <w:pPr>
              <w:spacing w:line="276" w:lineRule="auto"/>
            </w:pPr>
            <w:r>
              <w:rPr>
                <w:rFonts w:eastAsia="Calibri"/>
                <w:b/>
                <w:bCs/>
                <w:color w:val="FFFFFF"/>
              </w:rPr>
              <w:t>리스크</w:t>
            </w:r>
          </w:p>
        </w:tc>
        <w:tc>
          <w:tcPr>
            <w:tcW w:w="5026" w:type="dxa"/>
            <w:shd w:val="clear" w:color="auto" w:fill="00498F"/>
          </w:tcPr>
          <w:p>
            <w:pPr>
              <w:spacing w:line="276" w:lineRule="auto"/>
            </w:pPr>
            <w:r>
              <w:rPr>
                <w:rFonts w:eastAsia="Calibri"/>
                <w:b/>
                <w:bCs/>
                <w:color w:val="FFFFFF"/>
              </w:rPr>
              <w:t>대응</w:t>
            </w:r>
          </w:p>
        </w:tc>
      </w:tr>
      <w:tr>
        <w:trPr>
          <w:cantSplit/>
        </w:trPr>
        <w:tc>
          <w:tcPr>
            <w:tcW w:w="4714" w:type="dxa"/>
          </w:tcPr>
          <w:p>
            <w:pPr>
              <w:spacing w:line="276" w:lineRule="auto"/>
            </w:pPr>
            <w:r>
              <w:rPr>
                <w:rFonts w:eastAsia="Calibri"/>
                <w:b/>
                <w:bCs/>
              </w:rPr>
              <w:t>재원 제공자.</w:t>
            </w:r>
            <w:r>
              <w:rPr>
                <w:rFonts w:eastAsia="Calibri"/>
              </w:rPr>
              <w:t xml:space="preserve"> Google.org·AVPN·ADB 약정이 콘텐츠 공유와 제3자 협력을 어디까지 허용하는지 불분명하다. 미·중 경쟁도 부담이다</w:t>
            </w:r>
          </w:p>
        </w:tc>
        <w:tc>
          <w:tcPr>
            <w:tcW w:w="5026" w:type="dxa"/>
          </w:tcPr>
          <w:p>
            <w:pPr>
              <w:spacing w:line="276" w:lineRule="auto"/>
            </w:pPr>
            <w:r>
              <w:rPr>
                <w:rFonts w:eastAsia="Calibri"/>
              </w:rPr>
              <w:t>방문 전 재원 제공자와 협의한다. ‘ASEAN 공공재 운영 경험의 공유’로 제시한다</w:t>
            </w:r>
          </w:p>
        </w:tc>
      </w:tr>
      <w:tr>
        <w:trPr>
          <w:cantSplit/>
        </w:trPr>
        <w:tc>
          <w:tcPr>
            <w:tcW w:w="4714" w:type="dxa"/>
          </w:tcPr>
          <w:p>
            <w:pPr>
              <w:spacing w:line="276" w:lineRule="auto"/>
            </w:pPr>
            <w:r>
              <w:rPr>
                <w:rFonts w:eastAsia="Calibri"/>
                <w:b/>
                <w:bCs/>
              </w:rPr>
              <w:t>기술 중립성.</w:t>
            </w:r>
            <w:r>
              <w:rPr>
                <w:rFonts w:eastAsia="Calibri"/>
              </w:rPr>
              <w:t xml:space="preserve"> AIM ASEAN은 ‘Google의 AI 도구군 활용’을 내건다. 중국 측은 자국 모델 활용을 조건으로 걸 수 있다</w:t>
            </w:r>
          </w:p>
        </w:tc>
        <w:tc>
          <w:tcPr>
            <w:tcW w:w="5026" w:type="dxa"/>
          </w:tcPr>
          <w:p>
            <w:pPr>
              <w:spacing w:line="276" w:lineRule="auto"/>
            </w:pPr>
            <w:r>
              <w:rPr>
                <w:rFonts w:eastAsia="Calibri"/>
              </w:rPr>
              <w:t>교육을 도구가 아니라 역량 중심으로 설명하고, 도구 선택은 회원국에 맡긴다. 싱가포르에서 단일 선호 모델이 없었다는 기록과, Google·Huawei와 각각 협력한 경험을 근거로 든다</w:t>
            </w:r>
          </w:p>
        </w:tc>
      </w:tr>
      <w:tr>
        <w:trPr>
          <w:cantSplit/>
        </w:trPr>
        <w:tc>
          <w:tcPr>
            <w:tcW w:w="4714" w:type="dxa"/>
          </w:tcPr>
          <w:p>
            <w:pPr>
              <w:spacing w:line="276" w:lineRule="auto"/>
            </w:pPr>
            <w:r>
              <w:rPr>
                <w:rFonts w:eastAsia="Calibri"/>
                <w:b/>
                <w:bCs/>
              </w:rPr>
              <w:t>권한.</w:t>
            </w:r>
            <w:r>
              <w:rPr>
                <w:rFonts w:eastAsia="Calibri"/>
              </w:rPr>
              <w:t xml:space="preserve"> 재단은 ASEAN을 대표하지 않는다. CIIS 발언은 중국 정부에 전달된다</w:t>
            </w:r>
          </w:p>
        </w:tc>
        <w:tc>
          <w:tcPr>
            <w:tcW w:w="5026" w:type="dxa"/>
          </w:tcPr>
          <w:p>
            <w:pPr>
              <w:spacing w:line="276" w:lineRule="auto"/>
            </w:pPr>
            <w:r>
              <w:rPr>
                <w:rFonts w:eastAsia="Calibri"/>
              </w:rPr>
              <w:t>재단의 경험으로 말한다. 글로벌 AI 거버넌스 행동계획이나 WAICO 같은 중국 측 구상을 지지하지 않는다. ASEAN 사무국, SOM-ED, ACCMSME와 사전 조율한다</w:t>
            </w:r>
          </w:p>
        </w:tc>
      </w:tr>
      <w:tr>
        <w:trPr>
          <w:cantSplit/>
        </w:trPr>
        <w:tc>
          <w:tcPr>
            <w:tcW w:w="4714" w:type="dxa"/>
          </w:tcPr>
          <w:p>
            <w:pPr>
              <w:spacing w:line="276" w:lineRule="auto"/>
            </w:pPr>
            <w:r>
              <w:rPr>
                <w:rFonts w:eastAsia="Calibri"/>
                <w:b/>
                <w:bCs/>
              </w:rPr>
              <w:t>제안과 약속의 혼동.</w:t>
            </w:r>
            <w:r>
              <w:rPr>
                <w:rFonts w:eastAsia="Calibri"/>
              </w:rPr>
              <w:t xml:space="preserve"> 싱가포르 후속 계획은 아직 제안이고, LIP 보고서는 내부 자료다</w:t>
            </w:r>
          </w:p>
        </w:tc>
        <w:tc>
          <w:tcPr>
            <w:tcW w:w="5026" w:type="dxa"/>
          </w:tcPr>
          <w:p>
            <w:pPr>
              <w:spacing w:line="276" w:lineRule="auto"/>
            </w:pPr>
            <w:r>
              <w:rPr>
                <w:rFonts w:eastAsia="Calibri"/>
              </w:rPr>
              <w:t>‘검토 중’으로 말하고 일정은 밝히지 않는다. 공개 자료나 비식별 요약만 쓰고, 사례 사용은 LIP와 확인한다</w:t>
            </w:r>
          </w:p>
        </w:tc>
      </w:tr>
      <w:tr>
        <w:trPr>
          <w:cantSplit/>
        </w:trPr>
        <w:tc>
          <w:tcPr>
            <w:tcW w:w="4714" w:type="dxa"/>
          </w:tcPr>
          <w:p>
            <w:pPr>
              <w:spacing w:line="276" w:lineRule="auto"/>
            </w:pPr>
            <w:r>
              <w:rPr>
                <w:rFonts w:eastAsia="Calibri"/>
                <w:b/>
                <w:bCs/>
              </w:rPr>
              <w:t>회원국별 민감성.</w:t>
            </w:r>
            <w:r>
              <w:rPr>
                <w:rFonts w:eastAsia="Calibri"/>
              </w:rPr>
              <w:t xml:space="preserve"> 회원국마다 중국과의 AI 협력 수준이 다르다. WAICO 서명국에 라오스·인도네시아가 포함된 것으로 보도되었다</w:t>
            </w:r>
          </w:p>
        </w:tc>
        <w:tc>
          <w:tcPr>
            <w:tcW w:w="5026" w:type="dxa"/>
          </w:tcPr>
          <w:p>
            <w:pPr>
              <w:spacing w:line="276" w:lineRule="auto"/>
            </w:pPr>
            <w:r>
              <w:rPr>
                <w:rFonts w:eastAsia="Calibri"/>
              </w:rPr>
              <w:t>관심 있는 회원국만 참여하게 하고, ASEAN이 합의한 표현을 쓴다</w:t>
            </w:r>
          </w:p>
        </w:tc>
      </w:tr>
    </w:tbl>
    <w:p>
      <w:pPr>
        <w:spacing w:after="60" w:line="120" w:lineRule="auto"/>
      </w:pPr>
    </w:p>
    <w:p>
      <w:pPr>
        <w:spacing w:after="0"/>
      </w:pPr>
    </w:p>
    <w:sectPr w:rsidR="008F3ECF">
      <w:headerReference w:type="default" r:id="rId8"/>
      <w:footerReference w:type="default" r:id="rId9"/>
      <w:pgSz w:w="11906" w:h="16838"/>
      <w:pgMar w:top="1000" w:right="1080" w:bottom="1080" w:left="1080" w:header="6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6FD56C" w14:textId="77777777" w:rsidR="000A55CA" w:rsidRDefault="000A55CA">
      <w:r>
        <w:separator/>
      </w:r>
    </w:p>
  </w:endnote>
  <w:endnote w:type="continuationSeparator" w:id="0">
    <w:p w14:paraId="4106954C" w14:textId="77777777" w:rsidR="000A55CA" w:rsidRDefault="000A55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65C15A" w14:textId="77777777" w:rsidR="005C7CC5" w:rsidRDefault="00000000">
    <w:pPr>
      <w:jc w:val="center"/>
    </w:pPr>
    <w:r>
      <w:rPr>
        <w:rFonts w:eastAsia="Calibri"/>
        <w:color w:val="6B6B6B"/>
        <w:sz w:val="16"/>
        <w:szCs w:val="16"/>
      </w:rPr>
      <w:t xml:space="preserve">Page </w:t>
    </w:r>
    <w:r>
      <w:rPr>
        <w:color w:val="6B6B6B"/>
        <w:sz w:val="16"/>
        <w:szCs w:val="16"/>
      </w:rPr>
      <w:fldChar w:fldCharType="begin"/>
    </w:r>
    <w:r>
      <w:rPr>
        <w:rFonts w:eastAsia="Calibri"/>
        <w:color w:val="6B6B6B"/>
        <w:sz w:val="16"/>
        <w:szCs w:val="16"/>
      </w:rPr>
      <w:instrText>PAGE</w:instrText>
    </w:r>
    <w:r>
      <w:rPr>
        <w:color w:val="6B6B6B"/>
        <w:sz w:val="16"/>
        <w:szCs w:val="16"/>
      </w:rPr>
      <w:fldChar w:fldCharType="separate"/>
    </w:r>
    <w:r w:rsidR="00C158DD">
      <w:rPr>
        <w:rFonts w:eastAsia="Calibri"/>
        <w:noProof/>
        <w:color w:val="6B6B6B"/>
        <w:sz w:val="16"/>
        <w:szCs w:val="16"/>
      </w:rPr>
      <w:t>1</w:t>
    </w:r>
    <w:r>
      <w:rPr>
        <w:color w:val="6B6B6B"/>
        <w:sz w:val="16"/>
        <w:szCs w:val="16"/>
      </w:rPr>
      <w:fldChar w:fldCharType="end"/>
    </w:r>
    <w:r>
      <w:rPr>
        <w:rFonts w:eastAsia="Calibri"/>
        <w:color w:val="6B6B6B"/>
        <w:sz w:val="16"/>
        <w:szCs w:val="16"/>
      </w:rPr>
      <w:t xml:space="preserve"> of </w:t>
    </w:r>
    <w:r>
      <w:rPr>
        <w:color w:val="6B6B6B"/>
        <w:sz w:val="16"/>
        <w:szCs w:val="16"/>
      </w:rPr>
      <w:fldChar w:fldCharType="begin"/>
    </w:r>
    <w:r>
      <w:rPr>
        <w:rFonts w:eastAsia="Calibri"/>
        <w:color w:val="6B6B6B"/>
        <w:sz w:val="16"/>
        <w:szCs w:val="16"/>
      </w:rPr>
      <w:instrText>NUMPAGES</w:instrText>
    </w:r>
    <w:r>
      <w:rPr>
        <w:color w:val="6B6B6B"/>
        <w:sz w:val="16"/>
        <w:szCs w:val="16"/>
      </w:rPr>
      <w:fldChar w:fldCharType="separate"/>
    </w:r>
    <w:r w:rsidR="00C158DD">
      <w:rPr>
        <w:rFonts w:eastAsia="Calibri"/>
        <w:noProof/>
        <w:color w:val="6B6B6B"/>
        <w:sz w:val="16"/>
        <w:szCs w:val="16"/>
      </w:rPr>
      <w:t>2</w:t>
    </w:r>
    <w:r>
      <w:rPr>
        <w:color w:val="6B6B6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9EBD32" w14:textId="77777777" w:rsidR="000A55CA" w:rsidRDefault="000A55CA">
      <w:r>
        <w:separator/>
      </w:r>
    </w:p>
  </w:footnote>
  <w:footnote w:type="continuationSeparator" w:id="0">
    <w:p w14:paraId="7660EA6E" w14:textId="77777777" w:rsidR="000A55CA" w:rsidRDefault="000A55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65D82B" w14:textId="77777777" w:rsidR="005C7CC5" w:rsidRDefault="00000000">
    <w:pPr>
      <w:jc w:val="right"/>
    </w:pPr>
    <w:r>
      <w:rPr>
        <w:rFonts w:eastAsia="Calibri"/>
        <w:color w:val="6B6B6B"/>
        <w:sz w:val="16"/>
        <w:szCs w:val="16"/>
      </w:rPr>
      <w:t>리서치 브리핑 | 내부용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E1136FE"/>
    <w:multiLevelType w:val="hybridMultilevel"/>
    <w:tmpl w:val="CD5CC706"/>
    <w:lvl w:ilvl="0" w:tplc="D0280DB8">
      <w:start w:val="1"/>
      <w:numFmt w:val="bullet"/>
      <w:lvlText w:val="●"/>
      <w:lvlJc w:val="left"/>
      <w:pPr>
        <w:ind w:left="356" w:hanging="356"/>
      </w:pPr>
      <w:rPr>
        <w:rFonts w:ascii="Calibri" w:eastAsia="Calibri" w:hAnsi="Calibri" w:cs="Calibri"/>
        <w:color w:val="222222"/>
        <w:sz w:val="20"/>
        <w:szCs w:val="20"/>
      </w:rPr>
    </w:lvl>
    <w:lvl w:ilvl="1" w:tplc="9B746232">
      <w:numFmt w:val="decimal"/>
      <w:lvlText w:val=""/>
      <w:lvlJc w:val="left"/>
    </w:lvl>
    <w:lvl w:ilvl="2" w:tplc="B59CD080">
      <w:numFmt w:val="decimal"/>
      <w:lvlText w:val=""/>
      <w:lvlJc w:val="left"/>
    </w:lvl>
    <w:lvl w:ilvl="3" w:tplc="459CE024">
      <w:numFmt w:val="decimal"/>
      <w:lvlText w:val=""/>
      <w:lvlJc w:val="left"/>
    </w:lvl>
    <w:lvl w:ilvl="4" w:tplc="8AF8C140">
      <w:numFmt w:val="decimal"/>
      <w:lvlText w:val=""/>
      <w:lvlJc w:val="left"/>
    </w:lvl>
    <w:lvl w:ilvl="5" w:tplc="53E039B8">
      <w:numFmt w:val="decimal"/>
      <w:lvlText w:val=""/>
      <w:lvlJc w:val="left"/>
    </w:lvl>
    <w:lvl w:ilvl="6" w:tplc="B982434E">
      <w:numFmt w:val="decimal"/>
      <w:lvlText w:val=""/>
      <w:lvlJc w:val="left"/>
    </w:lvl>
    <w:lvl w:ilvl="7" w:tplc="96444818">
      <w:numFmt w:val="decimal"/>
      <w:lvlText w:val=""/>
      <w:lvlJc w:val="left"/>
    </w:lvl>
    <w:lvl w:ilvl="8" w:tplc="51EC1EAE">
      <w:numFmt w:val="decimal"/>
      <w:lvlText w:val=""/>
      <w:lvlJc w:val="left"/>
    </w:lvl>
  </w:abstractNum>
  <w:abstractNum w:abstractNumId="1" w15:restartNumberingAfterBreak="0">
    <w:nsid w:val="4EE01F54"/>
    <w:multiLevelType w:val="hybridMultilevel"/>
    <w:tmpl w:val="0B0894F4"/>
    <w:lvl w:ilvl="0" w:tplc="D812C7FC">
      <w:start w:val="1"/>
      <w:numFmt w:val="bullet"/>
      <w:lvlText w:val="●"/>
      <w:lvlJc w:val="left"/>
      <w:pPr>
        <w:ind w:left="720" w:hanging="360"/>
      </w:pPr>
    </w:lvl>
    <w:lvl w:ilvl="1" w:tplc="C22EF0B4">
      <w:start w:val="1"/>
      <w:numFmt w:val="bullet"/>
      <w:lvlText w:val="○"/>
      <w:lvlJc w:val="left"/>
      <w:pPr>
        <w:ind w:left="1440" w:hanging="360"/>
      </w:pPr>
    </w:lvl>
    <w:lvl w:ilvl="2" w:tplc="BF9C4040">
      <w:start w:val="1"/>
      <w:numFmt w:val="bullet"/>
      <w:lvlText w:val="■"/>
      <w:lvlJc w:val="left"/>
      <w:pPr>
        <w:ind w:left="2160" w:hanging="360"/>
      </w:pPr>
    </w:lvl>
    <w:lvl w:ilvl="3" w:tplc="4F1EC27E">
      <w:start w:val="1"/>
      <w:numFmt w:val="bullet"/>
      <w:lvlText w:val="●"/>
      <w:lvlJc w:val="left"/>
      <w:pPr>
        <w:ind w:left="2880" w:hanging="360"/>
      </w:pPr>
    </w:lvl>
    <w:lvl w:ilvl="4" w:tplc="E0641076">
      <w:start w:val="1"/>
      <w:numFmt w:val="bullet"/>
      <w:lvlText w:val="○"/>
      <w:lvlJc w:val="left"/>
      <w:pPr>
        <w:ind w:left="3600" w:hanging="360"/>
      </w:pPr>
    </w:lvl>
    <w:lvl w:ilvl="5" w:tplc="C074BFAC">
      <w:start w:val="1"/>
      <w:numFmt w:val="bullet"/>
      <w:lvlText w:val="■"/>
      <w:lvlJc w:val="left"/>
      <w:pPr>
        <w:ind w:left="4320" w:hanging="360"/>
      </w:pPr>
    </w:lvl>
    <w:lvl w:ilvl="6" w:tplc="C512001C">
      <w:start w:val="1"/>
      <w:numFmt w:val="bullet"/>
      <w:lvlText w:val="●"/>
      <w:lvlJc w:val="left"/>
      <w:pPr>
        <w:ind w:left="5040" w:hanging="360"/>
      </w:pPr>
    </w:lvl>
    <w:lvl w:ilvl="7" w:tplc="ADFC12F4">
      <w:start w:val="1"/>
      <w:numFmt w:val="bullet"/>
      <w:lvlText w:val="●"/>
      <w:lvlJc w:val="left"/>
      <w:pPr>
        <w:ind w:left="5760" w:hanging="360"/>
      </w:pPr>
    </w:lvl>
    <w:lvl w:ilvl="8" w:tplc="92B8172E">
      <w:start w:val="1"/>
      <w:numFmt w:val="bullet"/>
      <w:lvlText w:val="●"/>
      <w:lvlJc w:val="left"/>
      <w:pPr>
        <w:ind w:left="6480" w:hanging="360"/>
      </w:pPr>
    </w:lvl>
  </w:abstractNum>
  <w:abstractNum w:abstractNumId="2">
    <w:nsid w:val="5A1C3E77"/>
    <w:multiLevelType w:val="hybridMultilevel"/>
    <w:tmpl w:val="7B2E4C10"/>
    <w:lvl w:ilvl="0">
      <w:start w:val="1"/>
      <w:numFmt w:val="decimal"/>
      <w:lvlText w:val="%1."/>
      <w:lvlJc w:val="left"/>
      <w:pPr>
        <w:ind w:left="356" w:hanging="356"/>
      </w:pPr>
      <w:rPr>
        <w:rFonts w:ascii="Calibri" w:eastAsia="Calibri" w:hAnsi="Calibri" w:cs="Calibri"/>
        <w:b/>
        <w:bCs/>
        <w:color w:val="00498F"/>
        <w:sz w:val="19"/>
        <w:szCs w:val="19"/>
      </w:rPr>
    </w:lvl>
    <w:lvl w:ilvl="1">
      <w:start w:val="1"/>
      <w:numFmt w:val="decimal"/>
      <w:lvlText w:val="%2."/>
      <w:lvlJc w:val="left"/>
      <w:pPr>
        <w:ind w:left="716" w:hanging="356"/>
      </w:pPr>
    </w:lvl>
    <w:lvl w:ilvl="2">
      <w:start w:val="1"/>
      <w:numFmt w:val="decimal"/>
      <w:lvlText w:val="%3."/>
      <w:lvlJc w:val="left"/>
      <w:pPr>
        <w:ind w:left="1076" w:hanging="356"/>
      </w:pPr>
    </w:lvl>
    <w:lvl w:ilvl="3">
      <w:start w:val="1"/>
      <w:numFmt w:val="decimal"/>
      <w:lvlText w:val="%4."/>
      <w:lvlJc w:val="left"/>
      <w:pPr>
        <w:ind w:left="1436" w:hanging="356"/>
      </w:pPr>
    </w:lvl>
    <w:lvl w:ilvl="4">
      <w:start w:val="1"/>
      <w:numFmt w:val="decimal"/>
      <w:lvlText w:val="%5."/>
      <w:lvlJc w:val="left"/>
      <w:pPr>
        <w:ind w:left="1796" w:hanging="356"/>
      </w:pPr>
    </w:lvl>
    <w:lvl w:ilvl="5">
      <w:start w:val="1"/>
      <w:numFmt w:val="decimal"/>
      <w:lvlText w:val="%6."/>
      <w:lvlJc w:val="left"/>
      <w:pPr>
        <w:ind w:left="2156" w:hanging="356"/>
      </w:pPr>
    </w:lvl>
    <w:lvl w:ilvl="6">
      <w:start w:val="1"/>
      <w:numFmt w:val="decimal"/>
      <w:lvlText w:val="%7."/>
      <w:lvlJc w:val="left"/>
      <w:pPr>
        <w:ind w:left="2516" w:hanging="356"/>
      </w:pPr>
    </w:lvl>
    <w:lvl w:ilvl="7">
      <w:start w:val="1"/>
      <w:numFmt w:val="decimal"/>
      <w:lvlText w:val="%8."/>
      <w:lvlJc w:val="left"/>
      <w:pPr>
        <w:ind w:left="2876" w:hanging="356"/>
      </w:pPr>
    </w:lvl>
    <w:lvl w:ilvl="8">
      <w:start w:val="1"/>
      <w:numFmt w:val="decimal"/>
      <w:lvlText w:val="%9."/>
      <w:lvlJc w:val="left"/>
      <w:pPr>
        <w:ind w:left="3236" w:hanging="356"/>
      </w:pPr>
    </w:lvl>
  </w:abstractNum>
  <w:num w:numId="1" w16cid:durableId="1318262813">
    <w:abstractNumId w:val="1"/>
    <w:lvlOverride w:ilvl="0">
      <w:startOverride w:val="1"/>
    </w:lvlOverride>
  </w:num>
  <w:num w:numId="2" w16cid:durableId="4273924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oNotDisplayPageBoundaries/>
  <w:displayBackgroundShape/>
  <w:bordersDoNotSurroundHeader/>
  <w:bordersDoNotSurroundFooter/>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7CC5"/>
    <w:rsid w:val="0005736B"/>
    <w:rsid w:val="000A55CA"/>
    <w:rsid w:val="001C20AB"/>
    <w:rsid w:val="005C7CC5"/>
    <w:rsid w:val="008F3ECF"/>
    <w:rsid w:val="00C158DD"/>
    <w:rsid w:val="00D40D2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8A9130C"/>
  <w15:docId w15:val="{F5C110E9-C2A9-4745-B459-7684602C2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Theme="minorEastAsia" w:hAnsi="Calibri" w:cs="Calibri"/>
        <w:color w:val="222222"/>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1263</Words>
  <Characters>7203</Characters>
  <Application>Microsoft Office Word</Application>
  <DocSecurity>0</DocSecurity>
  <Lines>60</Lines>
  <Paragraphs>16</Paragraphs>
  <ScaleCrop>false</ScaleCrop>
  <Company/>
  <LinksUpToDate>false</LinksUpToDate>
  <CharactersWithSpaces>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Lee Seongjae</cp:lastModifiedBy>
  <cp:revision>3</cp:revision>
  <dcterms:created xsi:type="dcterms:W3CDTF">2026-08-12T08:05:00Z</dcterms:created>
  <dcterms:modified xsi:type="dcterms:W3CDTF">2026-10-14T14:56:38Z</dcterms:modified>
  <dc:title>리서치 브리핑: ASEAN–중국 AI 협력과 ASEAN Foundation의 기여 방안</dc:title>
</cp:coreProperties>
</file>