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7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0" w:type="dxa"/>
          <w:right w:w="0" w:type="dxa"/>
        </w:tblCellMar>
        <w:tblLook w:val="04A0" w:firstRow="1" w:lastRow="0" w:firstColumn="1" w:lastColumn="0" w:noHBand="0" w:noVBand="1"/>
      </w:tblPr>
      <w:tblGrid>
        <w:gridCol w:w="5000"/>
        <w:gridCol w:w="4740"/>
      </w:tblGrid>
      <w:tr w:rsidR="005C7CC5" w14:paraId="68A00669" w14:textId="77777777">
        <w:tc>
          <w:tcPr>
            <w:tcW w:w="5000" w:type="dxa"/>
            <w:vAlign w:val="bottom"/>
          </w:tcPr>
          <w:p w14:paraId="6C2DB77E" w14:textId="77777777" w:rsidR="005C7CC5" w:rsidRDefault="00000000">
            <w:r>
              <w:rPr>
                <w:noProof/>
              </w:rPr>
              <w:drawing>
                <wp:inline distT="0" distB="0" distL="0" distR="0" wp14:anchorId="13065488" wp14:editId="74E5992E">
                  <wp:extent cx="1066800" cy="409575"/>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066800" cy="409575"/>
                          </a:xfrm>
                          <a:prstGeom prst="rect">
                            <a:avLst/>
                          </a:prstGeom>
                        </pic:spPr>
                      </pic:pic>
                    </a:graphicData>
                  </a:graphic>
                </wp:inline>
              </w:drawing>
            </w:r>
          </w:p>
        </w:tc>
        <w:tc>
          <w:tcPr>
            <w:tcW w:w="4740" w:type="dxa"/>
            <w:vAlign w:val="bottom"/>
          </w:tcPr>
          <w:p w14:paraId="30E552A3" w14:textId="74700D2E" w:rsidR="005C7CC5" w:rsidRDefault="005C7CC5">
            <w:pPr>
              <w:jc w:val="right"/>
            </w:pPr>
          </w:p>
        </w:tc>
      </w:tr>
    </w:tbl>
    <w:p w14:paraId="5E22EA1F" w14:textId="77777777" w:rsidR="005C7CC5" w:rsidRDefault="005C7CC5">
      <w:pPr>
        <w:pBdr>
          <w:bottom w:val="single" w:sz="8" w:space="1" w:color="00498F"/>
        </w:pBdr>
        <w:spacing w:before="120" w:after="60" w:line="20" w:lineRule="exact"/>
      </w:pPr>
    </w:p>
    <w:tbl>
      <w:tblPr>
        <w:tblW w:w="97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top w:w="260" w:type="dxa"/>
          <w:left w:w="260" w:type="dxa"/>
          <w:bottom w:w="260" w:type="dxa"/>
          <w:right w:w="260" w:type="dxa"/>
        </w:tblCellMar>
        <w:tblLook w:val="04A0" w:firstRow="1" w:lastRow="0" w:firstColumn="1" w:lastColumn="0" w:noHBand="0" w:noVBand="1"/>
      </w:tblPr>
      <w:tblGrid>
        <w:gridCol w:w="9740"/>
      </w:tblGrid>
      <w:tr w:rsidR="005C7CC5" w14:paraId="3D6766BB" w14:textId="77777777">
        <w:tc>
          <w:tcPr>
            <w:tcW w:w="9740" w:type="dxa"/>
            <w:shd w:val="clear" w:color="auto" w:fill="00498F"/>
          </w:tcPr>
          <w:p w14:paraId="7C7C8A63" w14:textId="77777777" w:rsidR="005C7CC5" w:rsidRDefault="00000000">
            <w:pPr>
              <w:spacing w:after="60" w:line="300" w:lineRule="auto"/>
            </w:pPr>
            <w:r>
              <w:rPr>
                <w:rFonts w:eastAsia="Calibri"/>
                <w:b/>
                <w:bCs/>
                <w:color w:val="FFFFFF"/>
                <w:sz w:val="34"/>
                <w:szCs w:val="34"/>
              </w:rPr>
              <w:t>Research Briefing</w:t>
            </w:r>
          </w:p>
          <w:p w14:paraId="50D60414" w14:textId="77777777" w:rsidR="005C7CC5" w:rsidRDefault="00000000">
            <w:pPr>
              <w:spacing w:line="260" w:lineRule="auto"/>
            </w:pPr>
            <w:r>
              <w:rPr>
                <w:rFonts w:eastAsia="Calibri"/>
                <w:color w:val="A8CBEA"/>
              </w:rPr>
              <w:t>ASEAN–China AI Cooperation: Where the ASEAN Foundation Can Contribute</w:t>
            </w:r>
          </w:p>
        </w:tc>
      </w:tr>
    </w:tbl>
    <w:p w14:paraId="42DCEA40" w14:textId="77777777" w:rsidR="005C7CC5" w:rsidRDefault="005C7CC5">
      <w:pPr>
        <w:spacing w:after="240"/>
      </w:pPr>
    </w:p>
    <w:tbl>
      <w:tblPr>
        <w:tblW w:w="9740" w:type="dxa"/>
        <w:tblBorders>
          <w:top w:val="single" w:sz="4" w:space="0" w:color="C3D6E8"/>
          <w:left w:val="single" w:sz="4" w:space="0" w:color="C3D6E8"/>
          <w:bottom w:val="single" w:sz="4" w:space="0" w:color="C3D6E8"/>
          <w:right w:val="single" w:sz="4" w:space="0" w:color="C3D6E8"/>
          <w:insideH w:val="single" w:sz="4" w:space="0" w:color="C3D6E8"/>
          <w:insideV w:val="single" w:sz="4" w:space="0" w:color="C3D6E8"/>
        </w:tblBorders>
        <w:tblCellMar>
          <w:top w:w="90" w:type="dxa"/>
          <w:left w:w="106" w:type="dxa"/>
          <w:bottom w:w="90" w:type="dxa"/>
          <w:right w:w="106" w:type="dxa"/>
        </w:tblCellMar>
        <w:tblLook w:val="04A0" w:firstRow="1" w:lastRow="0" w:firstColumn="1" w:lastColumn="0" w:noHBand="0" w:noVBand="1"/>
      </w:tblPr>
      <w:tblGrid>
        <w:gridCol w:w="2392"/>
        <w:gridCol w:w="7348"/>
      </w:tblGrid>
      <w:tr>
        <w:trPr>
          <w:cantSplit/>
        </w:trPr>
        <w:tc>
          <w:tcPr>
            <w:tcW w:w="2392" w:type="dxa"/>
            <w:shd w:val="clear" w:color="auto" w:fill="EAF1F8"/>
          </w:tcPr>
          <w:p>
            <w:pPr>
              <w:spacing w:line="276" w:lineRule="auto"/>
            </w:pPr>
            <w:r>
              <w:rPr>
                <w:rFonts w:eastAsia="Calibri"/>
                <w:b/>
                <w:bCs/>
              </w:rPr>
              <w:t>Purpose</w:t>
            </w:r>
          </w:p>
        </w:tc>
        <w:tc>
          <w:tcPr>
            <w:tcW w:w="7348" w:type="dxa"/>
          </w:tcPr>
          <w:p>
            <w:pPr>
              <w:spacing w:line="276" w:lineRule="auto"/>
            </w:pPr>
            <w:r>
              <w:rPr>
                <w:rFonts w:eastAsia="Calibri"/>
              </w:rPr>
              <w:t>Background for the ASEAN Foundation’s mission to China in October 2026 and for the CIIS roundtable remarks</w:t>
            </w:r>
          </w:p>
        </w:tc>
      </w:tr>
      <w:tr>
        <w:trPr>
          <w:cantSplit/>
        </w:trPr>
        <w:tc>
          <w:tcPr>
            <w:tcW w:w="2392" w:type="dxa"/>
            <w:shd w:val="clear" w:color="auto" w:fill="EAF1F8"/>
          </w:tcPr>
          <w:p>
            <w:pPr>
              <w:spacing w:line="276" w:lineRule="auto"/>
            </w:pPr>
            <w:r>
              <w:rPr>
                <w:rFonts w:eastAsia="Calibri"/>
                <w:b/>
                <w:bCs/>
              </w:rPr>
              <w:t>Date</w:t>
            </w:r>
          </w:p>
        </w:tc>
        <w:tc>
          <w:tcPr>
            <w:tcW w:w="7348" w:type="dxa"/>
          </w:tcPr>
          <w:p>
            <w:pPr>
              <w:spacing w:line="276" w:lineRule="auto"/>
            </w:pPr>
            <w:r>
              <w:rPr>
                <w:rFonts w:eastAsia="Calibri"/>
              </w:rPr>
              <w:t>14 October 2026</w:t>
            </w:r>
          </w:p>
        </w:tc>
      </w:tr>
      <w:tr>
        <w:trPr>
          <w:cantSplit/>
        </w:trPr>
        <w:tc>
          <w:tcPr>
            <w:tcW w:w="2392" w:type="dxa"/>
            <w:shd w:val="clear" w:color="auto" w:fill="EAF1F8"/>
          </w:tcPr>
          <w:p>
            <w:pPr>
              <w:spacing w:line="276" w:lineRule="auto"/>
            </w:pPr>
            <w:r>
              <w:rPr>
                <w:rFonts w:eastAsia="Calibri"/>
                <w:b/>
                <w:bCs/>
              </w:rPr>
              <w:t>Basis</w:t>
            </w:r>
          </w:p>
        </w:tc>
        <w:tc>
          <w:tcPr>
            <w:tcW w:w="7348" w:type="dxa"/>
          </w:tcPr>
          <w:p>
            <w:pPr>
              <w:spacing w:line="276" w:lineRule="auto"/>
            </w:pPr>
            <w:r>
              <w:rPr>
                <w:rFonts w:eastAsia="Calibri"/>
              </w:rPr>
              <w:t>Public documents and media reports to 14 October 2026; the local implementing partner’s internal reports on the Singapore National Policy Convening</w:t>
            </w:r>
          </w:p>
        </w:tc>
      </w:tr>
    </w:tbl>
    <w:p>
      <w:pPr>
        <w:keepNext/>
        <w:spacing w:before="240" w:after="160" w:line="300" w:lineRule="auto"/>
      </w:pPr>
      <w:r>
        <w:rPr>
          <w:rFonts w:eastAsia="Calibri"/>
          <w:b/>
          <w:bCs/>
          <w:color w:val="00498F"/>
          <w:sz w:val="26"/>
          <w:szCs w:val="26"/>
        </w:rPr>
        <w:t>Summary</w:t>
      </w:r>
    </w:p>
    <w:p>
      <w:pPr>
        <w:spacing w:after="120" w:line="336" w:lineRule="auto"/>
        <w:jc w:val="both"/>
      </w:pPr>
      <w:r>
        <w:rPr>
          <w:rFonts w:eastAsia="Calibri"/>
          <w:b/>
          <w:bCs/>
        </w:rPr>
        <w:t>In ASEAN–China AI cooperation, the ASEAN Foundation’s place is with the people and businesses that use AI, and above all with the stage at which training turns into actual use.</w:t>
      </w:r>
    </w:p>
    <w:p>
      <w:pPr>
        <w:pStyle w:val="a4"/>
        <w:numPr>
          <w:ilvl w:val="0"/>
          <w:numId w:val="3"/>
        </w:numPr>
        <w:spacing w:after="60" w:line="336" w:lineRule="auto"/>
        <w:jc w:val="both"/>
      </w:pPr>
      <w:r>
        <w:rPr>
          <w:rFonts w:eastAsia="Calibri"/>
          <w:b/>
          <w:bCs/>
        </w:rPr>
        <w:t>ASEAN–China AI cooperation now reaches almost every AI layer.</w:t>
      </w:r>
      <w:r>
        <w:rPr>
          <w:rFonts w:eastAsia="Calibri"/>
        </w:rPr>
        <w:t xml:space="preserve"> In two years it has moved from a leaders’ statement to a network of institutions: a ministerial roundtable on AI, an AI Industry Innovation Centre in Beijing, an AI Application Cooperation Centre in Nanning, a three-year capacity-building plan and an offer of 5,000 AI training opportunities to developing countries. A 2027 ASEAN–China Year of AI Cooperation is under discussion. Yet the talent programmes are counted in numbers trained: how people use AI after training is neither supported nor measured.</w:t>
      </w:r>
    </w:p>
    <w:p>
      <w:pPr>
        <w:pStyle w:val="a4"/>
        <w:numPr>
          <w:ilvl w:val="0"/>
          <w:numId w:val="3"/>
        </w:numPr>
        <w:spacing w:after="60" w:line="336" w:lineRule="auto"/>
        <w:jc w:val="both"/>
      </w:pPr>
      <w:r>
        <w:rPr>
          <w:rFonts w:eastAsia="Calibri"/>
          <w:b/>
          <w:bCs/>
        </w:rPr>
        <w:t>That stage after training is the gap.</w:t>
      </w:r>
      <w:r>
        <w:rPr>
          <w:rFonts w:eastAsia="Calibri"/>
        </w:rPr>
        <w:t xml:space="preserve"> No ASEAN-led, technology-neutral programme for teachers, citizens or MSMEs is linked to the cooperation. 72.4 per cent of students and 70.5 per cent of educators have never taken an AI course. The Singapore National Policy Convening found that even where policy support is strong, help tends to break off between awareness, experimentation, implementation and scaling.</w:t>
      </w:r>
    </w:p>
    <w:p>
      <w:pPr>
        <w:pStyle w:val="a4"/>
        <w:numPr>
          <w:ilvl w:val="0"/>
          <w:numId w:val="3"/>
        </w:numPr>
        <w:spacing w:after="120" w:line="336" w:lineRule="auto"/>
        <w:jc w:val="both"/>
      </w:pPr>
      <w:r>
        <w:rPr>
          <w:rFonts w:eastAsia="Calibri"/>
          <w:b/>
          <w:bCs/>
        </w:rPr>
        <w:t>The Foundation has the assets to fill it.</w:t>
      </w:r>
      <w:r>
        <w:rPr>
          <w:rFonts w:eastAsia="Calibri"/>
        </w:rPr>
        <w:t xml:space="preserve"> It has a network of more than 3,000 Master Trainers and local partners, evidence from its AI readiness research and the convenings, and a role its Singapore partner has recommended (subject to agreement): a common pathway after training, common outcome indicators and regional case exchange. At a governance roundtable, the strongest argument pairs supply-side AI safety, such as model testing, with the demand side: people’s capacity to use AI responsibly.</w:t>
      </w:r>
    </w:p>
    <w:p>
      <w:pPr>
        <w:spacing w:after="120" w:line="336" w:lineRule="auto"/>
        <w:jc w:val="both"/>
      </w:pPr>
      <w:r>
        <w:rPr>
          <w:rFonts w:eastAsia="Calibri"/>
          <w:b/>
          <w:bCs/>
        </w:rPr>
        <w:t>Recommendation.</w:t>
      </w:r>
      <w:r>
        <w:rPr>
          <w:rFonts w:eastAsia="Calibri"/>
        </w:rPr>
        <w:t xml:space="preserve"> Lead with MSMEs: open with the CIIS remarks, then offer evidence and measurement before any joint programme. Take up teacher cooperation only once it is confirmed whether China’s Smart Education covers teachers, and after informing SOM-ED. Before offering anything, confirm what the funders (Google.org, AVPN and the ADB) allow. The next decision point is the Manila Summit in November 2026.</w:t>
      </w:r>
    </w:p>
    <w:p>
      <w:pPr>
        <w:keepNext/>
        <w:spacing w:before="240" w:after="160" w:line="300" w:lineRule="auto"/>
      </w:pPr>
      <w:r>
        <w:rPr>
          <w:rFonts w:eastAsia="Calibri"/>
          <w:b/>
          <w:bCs/>
          <w:color w:val="00498F"/>
          <w:sz w:val="26"/>
          <w:szCs w:val="26"/>
        </w:rPr>
        <w:t>1. ASEAN–China AI Cooperation: Where It Stands</w:t>
      </w:r>
    </w:p>
    <w:p>
      <w:pPr>
        <w:spacing w:after="120" w:line="336" w:lineRule="auto"/>
        <w:jc w:val="both"/>
      </w:pPr>
      <w:r>
        <w:rPr>
          <w:rFonts w:eastAsia="Calibri"/>
          <w:b/>
          <w:bCs/>
        </w:rPr>
        <w:t>From principle to institutions in two years.</w:t>
      </w:r>
      <w:r>
        <w:rPr>
          <w:rFonts w:eastAsia="Calibri"/>
        </w:rPr>
        <w:t xml:space="preserve"> The October 2024 Joint Statement on a sustainable and inclusive digital ecosystem committed ASEAN and China to exchange best practice on AI principles, development, safety and governance. By late 2026 that commitment had produced institutions and programmes at almost every AI layer, and the next step, a Year of AI Cooperation, is on the table.</w:t>
      </w:r>
    </w:p>
    <w:tbl>
      <w:tblPr>
        <w:tblW w:w="9740" w:type="dxa"/>
        <w:tblBorders>
          <w:top w:val="single" w:sz="4" w:space="0" w:color="C3D6E8"/>
          <w:left w:val="single" w:sz="4" w:space="0" w:color="C3D6E8"/>
          <w:bottom w:val="single" w:sz="4" w:space="0" w:color="C3D6E8"/>
          <w:right w:val="single" w:sz="4" w:space="0" w:color="C3D6E8"/>
          <w:insideH w:val="single" w:sz="4" w:space="0" w:color="C3D6E8"/>
          <w:insideV w:val="single" w:sz="4" w:space="0" w:color="C3D6E8"/>
        </w:tblBorders>
        <w:tblLayout w:type="fixed"/>
        <w:tblCellMar>
          <w:top w:w="60" w:type="dxa"/>
          <w:left w:w="106" w:type="dxa"/>
          <w:bottom w:w="60" w:type="dxa"/>
          <w:right w:w="106" w:type="dxa"/>
        </w:tblCellMar>
        <w:tblLook w:val="04A0" w:firstRow="1" w:lastRow="0" w:firstColumn="1" w:lastColumn="0" w:noHBand="0" w:noVBand="1"/>
      </w:tblPr>
      <w:tblGrid>
        <w:gridCol w:w="900"/>
        <w:gridCol w:w="5052"/>
        <w:gridCol w:w="3788"/>
      </w:tblGrid>
      <w:tr>
        <w:trPr>
          <w:tblHeader/>
        </w:trPr>
        <w:tc>
          <w:tcPr>
            <w:tcW w:w="900" w:type="dxa"/>
            <w:shd w:val="clear" w:color="auto" w:fill="00498F"/>
          </w:tcPr>
          <w:p>
            <w:pPr>
              <w:spacing w:line="276" w:lineRule="auto"/>
            </w:pPr>
            <w:r>
              <w:rPr>
                <w:rFonts w:eastAsia="Calibri"/>
                <w:b/>
                <w:bCs/>
                <w:color w:val="FFFFFF"/>
              </w:rPr>
              <w:t>When</w:t>
            </w:r>
          </w:p>
        </w:tc>
        <w:tc>
          <w:tcPr>
            <w:tcW w:w="5052" w:type="dxa"/>
            <w:shd w:val="clear" w:color="auto" w:fill="00498F"/>
          </w:tcPr>
          <w:p>
            <w:pPr>
              <w:spacing w:line="276" w:lineRule="auto"/>
            </w:pPr>
            <w:r>
              <w:rPr>
                <w:rFonts w:eastAsia="Calibri"/>
                <w:b/>
                <w:bCs/>
                <w:color w:val="FFFFFF"/>
              </w:rPr>
              <w:t>Event</w:t>
            </w:r>
          </w:p>
        </w:tc>
        <w:tc>
          <w:tcPr>
            <w:tcW w:w="3788" w:type="dxa"/>
            <w:shd w:val="clear" w:color="auto" w:fill="00498F"/>
          </w:tcPr>
          <w:p>
            <w:pPr>
              <w:spacing w:line="276" w:lineRule="auto"/>
            </w:pPr>
            <w:r>
              <w:rPr>
                <w:rFonts w:eastAsia="Calibri"/>
                <w:b/>
                <w:bCs/>
                <w:color w:val="FFFFFF"/>
              </w:rPr>
              <w:t>Significance</w:t>
            </w:r>
          </w:p>
        </w:tc>
      </w:tr>
      <w:tr>
        <w:trPr>
          <w:cantSplit/>
        </w:trPr>
        <w:tc>
          <w:tcPr>
            <w:tcW w:w="900" w:type="dxa"/>
          </w:tcPr>
          <w:p>
            <w:pPr>
              <w:spacing w:line="276" w:lineRule="auto"/>
            </w:pPr>
            <w:r>
              <w:rPr>
                <w:rFonts w:eastAsia="Calibri"/>
              </w:rPr>
              <w:t>Oct 2024</w:t>
            </w:r>
          </w:p>
        </w:tc>
        <w:tc>
          <w:tcPr>
            <w:tcW w:w="5052" w:type="dxa"/>
          </w:tcPr>
          <w:p>
            <w:pPr>
              <w:spacing w:line="276" w:lineRule="auto"/>
            </w:pPr>
            <w:r>
              <w:rPr>
                <w:rFonts w:eastAsia="Calibri"/>
              </w:rPr>
              <w:t>27th ASEAN–China Summit (Vientiane): Joint Statement on a sustainable and inclusive digital ecosystem</w:t>
            </w:r>
          </w:p>
        </w:tc>
        <w:tc>
          <w:tcPr>
            <w:tcW w:w="3788" w:type="dxa"/>
          </w:tcPr>
          <w:p>
            <w:pPr>
              <w:spacing w:line="276" w:lineRule="auto"/>
            </w:pPr>
            <w:r>
              <w:rPr>
                <w:rFonts w:eastAsia="Calibri"/>
              </w:rPr>
              <w:t>Leaders’ mandate for AI cooperation</w:t>
            </w:r>
          </w:p>
        </w:tc>
      </w:tr>
      <w:tr>
        <w:trPr>
          <w:cantSplit/>
        </w:trPr>
        <w:tc>
          <w:tcPr>
            <w:tcW w:w="900" w:type="dxa"/>
          </w:tcPr>
          <w:p>
            <w:pPr>
              <w:spacing w:line="276" w:lineRule="auto"/>
            </w:pPr>
            <w:r>
              <w:rPr>
                <w:rFonts w:eastAsia="Calibri"/>
              </w:rPr>
              <w:t>Sep 2025</w:t>
            </w:r>
          </w:p>
        </w:tc>
        <w:tc>
          <w:tcPr>
            <w:tcW w:w="5052" w:type="dxa"/>
          </w:tcPr>
          <w:p>
            <w:pPr>
              <w:spacing w:line="276" w:lineRule="auto"/>
            </w:pPr>
            <w:r>
              <w:rPr>
                <w:rFonts w:eastAsia="Calibri"/>
              </w:rPr>
              <w:t>1st China–ASEAN ministerial roundtable on AI (Nanning); Ministry of Science and Technology three-year action plan on AI capacity building for ASEAN (2025–2027)</w:t>
            </w:r>
          </w:p>
        </w:tc>
        <w:tc>
          <w:tcPr>
            <w:tcW w:w="3788" w:type="dxa"/>
          </w:tcPr>
          <w:p>
            <w:pPr>
              <w:spacing w:line="276" w:lineRule="auto"/>
            </w:pPr>
            <w:r>
              <w:rPr>
                <w:rFonts w:eastAsia="Calibri"/>
              </w:rPr>
              <w:t>A ministerial track and a capacity-building plan</w:t>
            </w:r>
          </w:p>
        </w:tc>
      </w:tr>
      <w:tr>
        <w:trPr>
          <w:cantSplit/>
        </w:trPr>
        <w:tc>
          <w:tcPr>
            <w:tcW w:w="900" w:type="dxa"/>
          </w:tcPr>
          <w:p>
            <w:pPr>
              <w:spacing w:line="276" w:lineRule="auto"/>
            </w:pPr>
            <w:r>
              <w:rPr>
                <w:rFonts w:eastAsia="Calibri"/>
              </w:rPr>
              <w:t>Jan 2026</w:t>
            </w:r>
          </w:p>
        </w:tc>
        <w:tc>
          <w:tcPr>
            <w:tcW w:w="5052" w:type="dxa"/>
          </w:tcPr>
          <w:p>
            <w:pPr>
              <w:spacing w:line="276" w:lineRule="auto"/>
            </w:pPr>
            <w:r>
              <w:rPr>
                <w:rFonts w:eastAsia="Calibri"/>
              </w:rPr>
              <w:t>6th ASEAN Digital Ministers’ Meeting (Hanoi): consultations with China; action plan for 2026–2030</w:t>
            </w:r>
          </w:p>
        </w:tc>
        <w:tc>
          <w:tcPr>
            <w:tcW w:w="3788" w:type="dxa"/>
          </w:tcPr>
          <w:p>
            <w:pPr>
              <w:spacing w:line="276" w:lineRule="auto"/>
            </w:pPr>
            <w:r>
              <w:rPr>
                <w:rFonts w:eastAsia="Calibri"/>
              </w:rPr>
              <w:t>Digital talent, open-source AI and AI security governance on the joint agenda</w:t>
            </w:r>
          </w:p>
        </w:tc>
      </w:tr>
      <w:tr>
        <w:trPr>
          <w:cantSplit/>
        </w:trPr>
        <w:tc>
          <w:tcPr>
            <w:tcW w:w="900" w:type="dxa"/>
          </w:tcPr>
          <w:p>
            <w:pPr>
              <w:spacing w:line="276" w:lineRule="auto"/>
            </w:pPr>
            <w:r>
              <w:rPr>
                <w:rFonts w:eastAsia="Calibri"/>
              </w:rPr>
              <w:t>May 2026</w:t>
            </w:r>
          </w:p>
        </w:tc>
        <w:tc>
          <w:tcPr>
            <w:tcW w:w="5052" w:type="dxa"/>
          </w:tcPr>
          <w:p>
            <w:pPr>
              <w:spacing w:line="276" w:lineRule="auto"/>
            </w:pPr>
            <w:r>
              <w:rPr>
                <w:rFonts w:eastAsia="Calibri"/>
              </w:rPr>
              <w:t>China–ASEAN AI Industry Innovation Centre launched in Beijing</w:t>
            </w:r>
          </w:p>
        </w:tc>
        <w:tc>
          <w:tcPr>
            <w:tcW w:w="3788" w:type="dxa"/>
          </w:tcPr>
          <w:p>
            <w:pPr>
              <w:spacing w:line="276" w:lineRule="auto"/>
            </w:pPr>
            <w:r>
              <w:rPr>
                <w:rFonts w:eastAsia="Calibri"/>
              </w:rPr>
              <w:t>Its tasks include regional capacity building; training for ASEAN officials, company staff and students</w:t>
            </w:r>
          </w:p>
        </w:tc>
      </w:tr>
      <w:tr>
        <w:trPr>
          <w:cantSplit/>
        </w:trPr>
        <w:tc>
          <w:tcPr>
            <w:tcW w:w="900" w:type="dxa"/>
          </w:tcPr>
          <w:p>
            <w:pPr>
              <w:spacing w:line="276" w:lineRule="auto"/>
            </w:pPr>
            <w:r>
              <w:rPr>
                <w:rFonts w:eastAsia="Calibri"/>
              </w:rPr>
              <w:t>Jul 2026</w:t>
            </w:r>
          </w:p>
        </w:tc>
        <w:tc>
          <w:tcPr>
            <w:tcW w:w="5052" w:type="dxa"/>
          </w:tcPr>
          <w:p>
            <w:pPr>
              <w:spacing w:line="276" w:lineRule="auto"/>
            </w:pPr>
            <w:r>
              <w:rPr>
                <w:rFonts w:eastAsia="Calibri"/>
              </w:rPr>
              <w:t>ASEAN–China Foreign Ministers’ Meeting (Manila) notes a proposal for a 2027 Year of AI Cooperation</w:t>
            </w:r>
          </w:p>
        </w:tc>
        <w:tc>
          <w:tcPr>
            <w:tcW w:w="3788" w:type="dxa"/>
          </w:tcPr>
          <w:p>
            <w:pPr>
              <w:spacing w:line="276" w:lineRule="auto"/>
            </w:pPr>
            <w:r>
              <w:rPr>
                <w:rFonts w:eastAsia="Calibri"/>
              </w:rPr>
              <w:t>The cooperation may soon need visible deliverables</w:t>
            </w:r>
          </w:p>
        </w:tc>
      </w:tr>
      <w:tr>
        <w:trPr>
          <w:cantSplit/>
        </w:trPr>
        <w:tc>
          <w:tcPr>
            <w:tcW w:w="900" w:type="dxa"/>
          </w:tcPr>
          <w:p>
            <w:pPr>
              <w:spacing w:line="276" w:lineRule="auto"/>
            </w:pPr>
            <w:r>
              <w:rPr>
                <w:rFonts w:eastAsia="Calibri"/>
              </w:rPr>
              <w:t>Jul 2026</w:t>
            </w:r>
          </w:p>
        </w:tc>
        <w:tc>
          <w:tcPr>
            <w:tcW w:w="5052" w:type="dxa"/>
          </w:tcPr>
          <w:p>
            <w:pPr>
              <w:spacing w:line="276" w:lineRule="auto"/>
            </w:pPr>
            <w:r>
              <w:rPr>
                <w:rFonts w:eastAsia="Calibri"/>
              </w:rPr>
              <w:t>China offers developing countries 5,000 AI training and seminar opportunities over five years; Smart Education Capacity Building Project launched</w:t>
            </w:r>
          </w:p>
        </w:tc>
        <w:tc>
          <w:tcPr>
            <w:tcW w:w="3788" w:type="dxa"/>
          </w:tcPr>
          <w:p>
            <w:pPr>
              <w:spacing w:line="276" w:lineRule="auto"/>
            </w:pPr>
            <w:r>
              <w:rPr>
                <w:rFonts w:eastAsia="Calibri"/>
              </w:rPr>
              <w:t>Training at scale; ASEAN’s share and Smart Education’s details not public</w:t>
            </w:r>
          </w:p>
        </w:tc>
      </w:tr>
      <w:tr>
        <w:trPr>
          <w:cantSplit/>
        </w:trPr>
        <w:tc>
          <w:tcPr>
            <w:tcW w:w="900" w:type="dxa"/>
          </w:tcPr>
          <w:p>
            <w:pPr>
              <w:spacing w:line="276" w:lineRule="auto"/>
            </w:pPr>
            <w:r>
              <w:rPr>
                <w:rFonts w:eastAsia="Calibri"/>
              </w:rPr>
              <w:t>Sep 2026</w:t>
            </w:r>
          </w:p>
        </w:tc>
        <w:tc>
          <w:tcPr>
            <w:tcW w:w="5052" w:type="dxa"/>
          </w:tcPr>
          <w:p>
            <w:pPr>
              <w:spacing w:line="276" w:lineRule="auto"/>
            </w:pPr>
            <w:r>
              <w:rPr>
                <w:rFonts w:eastAsia="Calibri"/>
              </w:rPr>
              <w:t>2nd ministerial roundtable on AI (Nanning): AI ethics and safety cooperation initiative for ASEAN; casebook of 31 cases</w:t>
            </w:r>
          </w:p>
        </w:tc>
        <w:tc>
          <w:tcPr>
            <w:tcW w:w="3788" w:type="dxa"/>
          </w:tcPr>
          <w:p>
            <w:pPr>
              <w:spacing w:line="276" w:lineRule="auto"/>
            </w:pPr>
            <w:r>
              <w:rPr>
                <w:rFonts w:eastAsia="Calibri"/>
              </w:rPr>
              <w:t>Governance and safety enter the cooperation; details not public</w:t>
            </w:r>
          </w:p>
        </w:tc>
      </w:tr>
      <w:tr>
        <w:trPr>
          <w:cantSplit/>
        </w:trPr>
        <w:tc>
          <w:tcPr>
            <w:tcW w:w="900" w:type="dxa"/>
          </w:tcPr>
          <w:p>
            <w:pPr>
              <w:spacing w:line="276" w:lineRule="auto"/>
            </w:pPr>
            <w:r>
              <w:rPr>
                <w:rFonts w:eastAsia="Calibri"/>
              </w:rPr>
              <w:t>Nov 2026</w:t>
            </w:r>
          </w:p>
        </w:tc>
        <w:tc>
          <w:tcPr>
            <w:tcW w:w="5052" w:type="dxa"/>
          </w:tcPr>
          <w:p>
            <w:pPr>
              <w:spacing w:line="276" w:lineRule="auto"/>
            </w:pPr>
            <w:r>
              <w:rPr>
                <w:rFonts w:eastAsia="Calibri"/>
              </w:rPr>
              <w:t>Manila Summit</w:t>
            </w:r>
          </w:p>
        </w:tc>
        <w:tc>
          <w:tcPr>
            <w:tcW w:w="3788" w:type="dxa"/>
          </w:tcPr>
          <w:p>
            <w:pPr>
              <w:spacing w:line="276" w:lineRule="auto"/>
            </w:pPr>
            <w:r>
              <w:rPr>
                <w:rFonts w:eastAsia="Calibri"/>
              </w:rPr>
              <w:t>Decisions on the Year of AI Cooperation and a leaders’ declaration on AI-driven MSME growth</w:t>
            </w:r>
          </w:p>
        </w:tc>
      </w:tr>
    </w:tbl>
    <w:p>
      <w:pPr>
        <w:spacing w:after="60" w:line="120" w:lineRule="auto"/>
      </w:pPr>
    </w:p>
    <w:tbl>
      <w:tblPr>
        <w:tblW w:w="9740" w:type="dxa"/>
        <w:tblBorders>
          <w:top w:val="single" w:sz="4" w:space="0" w:color="C3D6E8"/>
          <w:left w:val="single" w:sz="4" w:space="0" w:color="C3D6E8"/>
          <w:bottom w:val="single" w:sz="4" w:space="0" w:color="C3D6E8"/>
          <w:right w:val="single" w:sz="4" w:space="0" w:color="C3D6E8"/>
          <w:insideH w:val="single" w:sz="4" w:space="0" w:color="C3D6E8"/>
          <w:insideV w:val="single" w:sz="4" w:space="0" w:color="C3D6E8"/>
        </w:tblBorders>
        <w:tblLayout w:type="fixed"/>
        <w:tblCellMar>
          <w:top w:w="60" w:type="dxa"/>
          <w:left w:w="106" w:type="dxa"/>
          <w:bottom w:w="60" w:type="dxa"/>
          <w:right w:w="106" w:type="dxa"/>
        </w:tblCellMar>
        <w:tblLook w:val="04A0" w:firstRow="1" w:lastRow="0" w:firstColumn="1" w:lastColumn="0" w:noHBand="0" w:noVBand="1"/>
      </w:tblPr>
      <w:tblGrid>
        <w:gridCol w:w="1338"/>
        <w:gridCol w:w="2761"/>
        <w:gridCol w:w="3159"/>
        <w:gridCol w:w="2482"/>
      </w:tblGrid>
      <w:tr>
        <w:trPr>
          <w:tblHeader/>
        </w:trPr>
        <w:tc>
          <w:tcPr>
            <w:tcW w:w="1338" w:type="dxa"/>
            <w:shd w:val="clear" w:color="auto" w:fill="00498F"/>
          </w:tcPr>
          <w:p>
            <w:pPr>
              <w:spacing w:line="276" w:lineRule="auto"/>
            </w:pPr>
            <w:r>
              <w:rPr>
                <w:rFonts w:eastAsia="Calibri"/>
                <w:b/>
                <w:bCs/>
                <w:color w:val="FFFFFF"/>
                <w:sz w:val="17"/>
                <w:szCs w:val="17"/>
              </w:rPr>
              <w:t>AI layer</w:t>
            </w:r>
          </w:p>
        </w:tc>
        <w:tc>
          <w:tcPr>
            <w:tcW w:w="2761" w:type="dxa"/>
            <w:shd w:val="clear" w:color="auto" w:fill="00498F"/>
          </w:tcPr>
          <w:p>
            <w:pPr>
              <w:spacing w:line="276" w:lineRule="auto"/>
            </w:pPr>
            <w:r>
              <w:rPr>
                <w:rFonts w:eastAsia="Calibri"/>
                <w:b/>
                <w:bCs/>
                <w:color w:val="FFFFFF"/>
                <w:sz w:val="17"/>
                <w:szCs w:val="17"/>
              </w:rPr>
              <w:t>ASEAN’s own frameworks</w:t>
            </w:r>
          </w:p>
        </w:tc>
        <w:tc>
          <w:tcPr>
            <w:tcW w:w="3159" w:type="dxa"/>
            <w:shd w:val="clear" w:color="auto" w:fill="00498F"/>
          </w:tcPr>
          <w:p>
            <w:pPr>
              <w:spacing w:line="276" w:lineRule="auto"/>
            </w:pPr>
            <w:r>
              <w:rPr>
                <w:rFonts w:eastAsia="Calibri"/>
                <w:b/>
                <w:bCs/>
                <w:color w:val="FFFFFF"/>
                <w:sz w:val="17"/>
                <w:szCs w:val="17"/>
              </w:rPr>
              <w:t>ASEAN–China cooperation</w:t>
            </w:r>
          </w:p>
        </w:tc>
        <w:tc>
          <w:tcPr>
            <w:tcW w:w="2482" w:type="dxa"/>
            <w:shd w:val="clear" w:color="auto" w:fill="00498F"/>
          </w:tcPr>
          <w:p>
            <w:pPr>
              <w:spacing w:line="276" w:lineRule="auto"/>
            </w:pPr>
            <w:r>
              <w:rPr>
                <w:rFonts w:eastAsia="Calibri"/>
                <w:b/>
                <w:bCs/>
                <w:color w:val="FFFFFF"/>
                <w:sz w:val="17"/>
                <w:szCs w:val="17"/>
              </w:rPr>
              <w:t>Chinese lead bodies</w:t>
            </w:r>
          </w:p>
        </w:tc>
      </w:tr>
      <w:tr>
        <w:trPr>
          <w:cantSplit/>
        </w:trPr>
        <w:tc>
          <w:tcPr>
            <w:tcW w:w="1338" w:type="dxa"/>
          </w:tcPr>
          <w:p>
            <w:pPr>
              <w:spacing w:line="276" w:lineRule="auto"/>
            </w:pPr>
            <w:r>
              <w:rPr>
                <w:rFonts w:eastAsia="Calibri"/>
                <w:sz w:val="17"/>
                <w:szCs w:val="17"/>
              </w:rPr>
              <w:t>Governance and safety</w:t>
            </w:r>
          </w:p>
        </w:tc>
        <w:tc>
          <w:tcPr>
            <w:tcW w:w="2761" w:type="dxa"/>
          </w:tcPr>
          <w:p>
            <w:pPr>
              <w:spacing w:line="276" w:lineRule="auto"/>
            </w:pPr>
            <w:r>
              <w:rPr>
                <w:rFonts w:eastAsia="Calibri"/>
                <w:sz w:val="17"/>
                <w:szCs w:val="17"/>
              </w:rPr>
              <w:t>ASEAN Guide on AI Governance and Ethics (2024; expanded for generative AI in 2025); Responsible AI Roadmap 2025–2030; ASEAN AI Safe</w:t>
            </w:r>
          </w:p>
        </w:tc>
        <w:tc>
          <w:tcPr>
            <w:tcW w:w="3159" w:type="dxa"/>
          </w:tcPr>
          <w:p>
            <w:pPr>
              <w:spacing w:line="276" w:lineRule="auto"/>
            </w:pPr>
            <w:r>
              <w:rPr>
                <w:rFonts w:eastAsia="Calibri"/>
                <w:sz w:val="17"/>
                <w:szCs w:val="17"/>
              </w:rPr>
              <w:t>Ministerial roundtable on AI; AI ethics and safety initiative (2026); CIIS roundtable</w:t>
            </w:r>
          </w:p>
        </w:tc>
        <w:tc>
          <w:tcPr>
            <w:tcW w:w="2482" w:type="dxa"/>
          </w:tcPr>
          <w:p>
            <w:pPr>
              <w:spacing w:line="276" w:lineRule="auto"/>
            </w:pPr>
            <w:r>
              <w:rPr>
                <w:rFonts w:eastAsia="Calibri"/>
                <w:sz w:val="17"/>
                <w:szCs w:val="17"/>
              </w:rPr>
              <w:t>National Development and Reform Commission (NDRC) and Guangxi; Ministry of Foreign Affairs and CIIS</w:t>
            </w:r>
          </w:p>
        </w:tc>
      </w:tr>
      <w:tr>
        <w:trPr>
          <w:cantSplit/>
        </w:trPr>
        <w:tc>
          <w:tcPr>
            <w:tcW w:w="1338" w:type="dxa"/>
          </w:tcPr>
          <w:p>
            <w:pPr>
              <w:spacing w:line="276" w:lineRule="auto"/>
            </w:pPr>
            <w:r>
              <w:rPr>
                <w:rFonts w:eastAsia="Calibri"/>
                <w:sz w:val="17"/>
                <w:szCs w:val="17"/>
              </w:rPr>
              <w:t>Industrial application</w:t>
            </w:r>
          </w:p>
        </w:tc>
        <w:tc>
          <w:tcPr>
            <w:tcW w:w="2761" w:type="dxa"/>
          </w:tcPr>
          <w:p>
            <w:pPr>
              <w:spacing w:line="276" w:lineRule="auto"/>
            </w:pPr>
            <w:r>
              <w:rPr>
                <w:rFonts w:eastAsia="Calibri"/>
                <w:sz w:val="17"/>
                <w:szCs w:val="17"/>
              </w:rPr>
              <w:t>ASEAN Digital Masterplan 2030; proposed leaders’ declaration on AI-driven MSME growth</w:t>
            </w:r>
          </w:p>
        </w:tc>
        <w:tc>
          <w:tcPr>
            <w:tcW w:w="3159" w:type="dxa"/>
          </w:tcPr>
          <w:p>
            <w:pPr>
              <w:spacing w:line="276" w:lineRule="auto"/>
            </w:pPr>
            <w:r>
              <w:rPr>
                <w:rFonts w:eastAsia="Calibri"/>
                <w:sz w:val="17"/>
                <w:szCs w:val="17"/>
              </w:rPr>
              <w:t>Innovation Centre (Beijing) and its Guangxi branch; AI Application Cooperation Centre (Nanning), with offices in Viet Nam, Lao PDR and Malaysia</w:t>
            </w:r>
          </w:p>
        </w:tc>
        <w:tc>
          <w:tcPr>
            <w:tcW w:w="2482" w:type="dxa"/>
          </w:tcPr>
          <w:p>
            <w:pPr>
              <w:spacing w:line="276" w:lineRule="auto"/>
            </w:pPr>
            <w:r>
              <w:rPr>
                <w:rFonts w:eastAsia="Calibri"/>
                <w:sz w:val="17"/>
                <w:szCs w:val="17"/>
              </w:rPr>
              <w:t>Ministry of Industry and Information Technology (MIIT); NDRC and Guangxi</w:t>
            </w:r>
          </w:p>
        </w:tc>
      </w:tr>
      <w:tr>
        <w:trPr>
          <w:cantSplit/>
        </w:trPr>
        <w:tc>
          <w:tcPr>
            <w:tcW w:w="1338" w:type="dxa"/>
          </w:tcPr>
          <w:p>
            <w:pPr>
              <w:spacing w:line="276" w:lineRule="auto"/>
            </w:pPr>
            <w:r>
              <w:rPr>
                <w:rFonts w:eastAsia="Calibri"/>
                <w:sz w:val="17"/>
                <w:szCs w:val="17"/>
              </w:rPr>
              <w:t>Talent</w:t>
            </w:r>
          </w:p>
        </w:tc>
        <w:tc>
          <w:tcPr>
            <w:tcW w:w="2761" w:type="dxa"/>
          </w:tcPr>
          <w:p>
            <w:pPr>
              <w:spacing w:line="276" w:lineRule="auto"/>
            </w:pPr>
            <w:r>
              <w:rPr>
                <w:rFonts w:eastAsia="Calibri"/>
                <w:sz w:val="17"/>
                <w:szCs w:val="17"/>
              </w:rPr>
              <w:t>Hanoi Digital Declaration (future digital workforce)</w:t>
            </w:r>
          </w:p>
        </w:tc>
        <w:tc>
          <w:tcPr>
            <w:tcW w:w="3159" w:type="dxa"/>
          </w:tcPr>
          <w:p>
            <w:pPr>
              <w:spacing w:line="276" w:lineRule="auto"/>
            </w:pPr>
            <w:r>
              <w:rPr>
                <w:rFonts w:eastAsia="Calibri"/>
                <w:sz w:val="17"/>
                <w:szCs w:val="17"/>
              </w:rPr>
              <w:t>Three-year plan; Innovation Centre training; 5,000 training opportunities; Digital Academy; Smart Education</w:t>
            </w:r>
          </w:p>
        </w:tc>
        <w:tc>
          <w:tcPr>
            <w:tcW w:w="2482" w:type="dxa"/>
          </w:tcPr>
          <w:p>
            <w:pPr>
              <w:spacing w:line="276" w:lineRule="auto"/>
            </w:pPr>
            <w:r>
              <w:rPr>
                <w:rFonts w:eastAsia="Calibri"/>
                <w:sz w:val="17"/>
                <w:szCs w:val="17"/>
              </w:rPr>
              <w:t>Ministry of Foreign Affairs; Ministry of Science and Technology; MIIT; Ministry of Education</w:t>
            </w:r>
          </w:p>
        </w:tc>
      </w:tr>
      <w:tr>
        <w:trPr>
          <w:cantSplit/>
        </w:trPr>
        <w:tc>
          <w:tcPr>
            <w:tcW w:w="1338" w:type="dxa"/>
          </w:tcPr>
          <w:p>
            <w:pPr>
              <w:spacing w:line="276" w:lineRule="auto"/>
            </w:pPr>
            <w:r>
              <w:rPr>
                <w:rFonts w:eastAsia="Calibri"/>
                <w:sz w:val="17"/>
                <w:szCs w:val="17"/>
              </w:rPr>
              <w:t>Language and data</w:t>
            </w:r>
          </w:p>
        </w:tc>
        <w:tc>
          <w:tcPr>
            <w:tcW w:w="2761" w:type="dxa"/>
          </w:tcPr>
          <w:p>
            <w:pPr>
              <w:spacing w:line="276" w:lineRule="auto"/>
            </w:pPr>
            <w:r>
              <w:rPr>
                <w:rFonts w:eastAsia="Calibri"/>
                <w:sz w:val="17"/>
                <w:szCs w:val="17"/>
              </w:rPr>
              <w:t>Regional language models (e.g. SEA-LION, 11 regional languages)</w:t>
            </w:r>
          </w:p>
        </w:tc>
        <w:tc>
          <w:tcPr>
            <w:tcW w:w="3159" w:type="dxa"/>
          </w:tcPr>
          <w:p>
            <w:pPr>
              <w:spacing w:line="276" w:lineRule="auto"/>
            </w:pPr>
            <w:r>
              <w:rPr>
                <w:rFonts w:eastAsia="Calibri"/>
                <w:sz w:val="17"/>
                <w:szCs w:val="17"/>
              </w:rPr>
              <w:t>Lao national language model; ASEAN AI open-source community</w:t>
            </w:r>
          </w:p>
        </w:tc>
        <w:tc>
          <w:tcPr>
            <w:tcW w:w="2482" w:type="dxa"/>
          </w:tcPr>
          <w:p>
            <w:pPr>
              <w:spacing w:line="276" w:lineRule="auto"/>
            </w:pPr>
            <w:r>
              <w:rPr>
                <w:rFonts w:eastAsia="Calibri"/>
                <w:sz w:val="17"/>
                <w:szCs w:val="17"/>
              </w:rPr>
              <w:t>NDRC and Guangxi; MIIT</w:t>
            </w:r>
          </w:p>
        </w:tc>
      </w:tr>
    </w:tbl>
    <w:p>
      <w:pPr>
        <w:spacing w:after="60" w:line="120" w:lineRule="auto"/>
      </w:pPr>
    </w:p>
    <w:p>
      <w:pPr>
        <w:keepNext/>
        <w:spacing w:after="120" w:line="336" w:lineRule="auto"/>
        <w:jc w:val="both"/>
      </w:pPr>
      <w:r>
        <w:rPr>
          <w:rFonts w:eastAsia="Calibri"/>
          <w:b/>
          <w:bCs/>
          <w:color w:val="0F63A8"/>
        </w:rPr>
        <w:t>[Assessment]</w:t>
      </w:r>
      <w:r>
        <w:rPr>
          <w:rFonts w:eastAsia="Calibri"/>
        </w:rPr>
        <w:t xml:space="preserve"> Four points matter for the Foundation.</w:t>
      </w:r>
    </w:p>
    <w:p>
      <w:pPr>
        <w:pStyle w:val="a4"/>
        <w:numPr>
          <w:ilvl w:val="0"/>
          <w:numId w:val="4"/>
        </w:numPr>
        <w:spacing w:after="60" w:line="336" w:lineRule="auto"/>
        <w:jc w:val="both"/>
      </w:pPr>
      <w:r>
        <w:rPr>
          <w:rFonts w:eastAsia="Calibri"/>
          <w:b/>
          <w:bCs/>
        </w:rPr>
        <w:t>China brings a package; ASEAN brings non-binding rules.</w:t>
      </w:r>
      <w:r>
        <w:rPr>
          <w:rFonts w:eastAsia="Calibri"/>
        </w:rPr>
        <w:t xml:space="preserve"> China puts infrastructure, industry, talent and standards on the table at once. ASEAN’s frameworks are non-binding and implemented by member states at their own pace, and ASEAN AI Safe is an ASEAN mechanism, not a joint one. Unless ASEAN bodies bring content of their own, the cooperation will be shaped by what China offers.</w:t>
      </w:r>
    </w:p>
    <w:p>
      <w:pPr>
        <w:pStyle w:val="a4"/>
        <w:numPr>
          <w:ilvl w:val="0"/>
          <w:numId w:val="4"/>
        </w:numPr>
        <w:spacing w:after="60" w:line="336" w:lineRule="auto"/>
        <w:jc w:val="both"/>
      </w:pPr>
      <w:r>
        <w:rPr>
          <w:rFonts w:eastAsia="Calibri"/>
          <w:b/>
          <w:bCs/>
        </w:rPr>
        <w:t>There is no single Chinese counterpart.</w:t>
      </w:r>
      <w:r>
        <w:rPr>
          <w:rFonts w:eastAsia="Calibri"/>
        </w:rPr>
        <w:t xml:space="preserve"> The channels run through NDRC and Guangxi, MIIT, the Ministry of Science and Technology, the Ministry of Education and the Ministry of Foreign Affairs. Each offer has to travel on its own track: MSMEs through ACCMSME, education through SOM-ED, governance through the ASEAN Secretariat.</w:t>
      </w:r>
    </w:p>
    <w:p>
      <w:pPr>
        <w:pStyle w:val="a4"/>
        <w:numPr>
          <w:ilvl w:val="0"/>
          <w:numId w:val="4"/>
        </w:numPr>
        <w:spacing w:after="60" w:line="336" w:lineRule="auto"/>
        <w:jc w:val="both"/>
      </w:pPr>
      <w:r>
        <w:rPr>
          <w:rFonts w:eastAsia="Calibri"/>
          <w:b/>
          <w:bCs/>
        </w:rPr>
        <w:t>Talent is counted, not followed up.</w:t>
      </w:r>
      <w:r>
        <w:rPr>
          <w:rFonts w:eastAsia="Calibri"/>
        </w:rPr>
        <w:t xml:space="preserve"> The training offers are framed by numbers and target groups. None explains how participants are helped to apply AI, or how results are measured. Teachers, citizens and MSMEs are served mainly by company and platform courses.</w:t>
      </w:r>
    </w:p>
    <w:p>
      <w:pPr>
        <w:pStyle w:val="a4"/>
        <w:numPr>
          <w:ilvl w:val="0"/>
          <w:numId w:val="4"/>
        </w:numPr>
        <w:spacing w:after="120" w:line="336" w:lineRule="auto"/>
        <w:jc w:val="both"/>
      </w:pPr>
      <w:r>
        <w:rPr>
          <w:rFonts w:eastAsia="Calibri"/>
          <w:b/>
          <w:bCs/>
        </w:rPr>
        <w:t>The content is still being designed.</w:t>
      </w:r>
      <w:r>
        <w:rPr>
          <w:rFonts w:eastAsia="Calibri"/>
        </w:rPr>
        <w:t xml:space="preserve"> The details of the ethics and safety initiative, the Innovation Centre’s courses and Smart Education are not yet public, and a Year of AI Cooperation would need deliverables. This is the window for ASEAN-owned, technology-neutral content on people’s capacity to use AI.</w:t>
      </w:r>
    </w:p>
    <w:p>
      <w:pPr>
        <w:spacing w:after="120" w:line="336" w:lineRule="auto"/>
        <w:jc w:val="both"/>
      </w:pPr>
      <w:r>
        <w:rPr>
          <w:rFonts w:eastAsia="Calibri"/>
        </w:rPr>
        <w:t>CIIS sits under China’s Ministry of Foreign Affairs, so remarks at the roundtable should be prepared on the assumption that they will be relayed to the Chinese government.</w:t>
      </w:r>
    </w:p>
    <w:p>
      <w:pPr>
        <w:keepNext/>
        <w:spacing w:before="240" w:after="160" w:line="300" w:lineRule="auto"/>
      </w:pPr>
      <w:r>
        <w:rPr>
          <w:rFonts w:eastAsia="Calibri"/>
          <w:b/>
          <w:bCs/>
          <w:color w:val="00498F"/>
          <w:sz w:val="26"/>
          <w:szCs w:val="26"/>
        </w:rPr>
        <w:t>2. The Gap: What Happens after Training</w:t>
      </w:r>
    </w:p>
    <w:p>
      <w:pPr>
        <w:keepNext/>
        <w:spacing w:after="120" w:line="336" w:lineRule="auto"/>
        <w:jc w:val="both"/>
      </w:pPr>
      <w:r>
        <w:rPr>
          <w:rFonts w:eastAsia="Calibri"/>
        </w:rPr>
        <w:t>The evidence points to the same break: people and firms are trained, but do not go on to use AI in their work.</w:t>
      </w:r>
    </w:p>
    <w:p>
      <w:pPr>
        <w:pStyle w:val="a4"/>
        <w:numPr>
          <w:ilvl w:val="0"/>
          <w:numId w:val="2"/>
        </w:numPr>
        <w:spacing w:after="60" w:line="336" w:lineRule="auto"/>
        <w:jc w:val="both"/>
      </w:pPr>
      <w:r>
        <w:rPr>
          <w:rFonts w:eastAsia="Calibri"/>
          <w:b/>
          <w:bCs/>
        </w:rPr>
        <w:t>Readiness is low.</w:t>
      </w:r>
      <w:r>
        <w:rPr>
          <w:rFonts w:eastAsia="Calibri"/>
        </w:rPr>
        <w:t xml:space="preserve"> 72.4 per cent of students and 70.5 per cent of educators have never taken an AI course. Educators’ measured AI literacy falls short of their confidence, institutional readiness scores lowest, and the urban–rural gap is marked (AI Ready ASEAN Research, 2026).</w:t>
      </w:r>
    </w:p>
    <w:p>
      <w:pPr>
        <w:pStyle w:val="a4"/>
        <w:numPr>
          <w:ilvl w:val="0"/>
          <w:numId w:val="2"/>
        </w:numPr>
        <w:spacing w:after="60" w:line="336" w:lineRule="auto"/>
        <w:jc w:val="both"/>
      </w:pPr>
      <w:r>
        <w:rPr>
          <w:rFonts w:eastAsia="Calibri"/>
          <w:b/>
          <w:bCs/>
        </w:rPr>
        <w:t>Strong support does not close the gap.</w:t>
      </w:r>
      <w:r>
        <w:rPr>
          <w:rFonts w:eastAsia="Calibri"/>
        </w:rPr>
        <w:t xml:space="preserve"> In Singapore, 23.4 per cent of SMEs had adopted AI in 2025, against 70.4 per cent of other firms (IMDA). The Singapore Convening (15 September 2026) found that access to tools is not integration: readiness takes clear leadership, usable data, suitable workflows and capable staff. Support breaks off between awareness, experimentation, implementation and scaling, and micro enterprises are the most constrained by time, technology literacy and budgets.</w:t>
      </w:r>
    </w:p>
    <w:p>
      <w:pPr>
        <w:pStyle w:val="a4"/>
        <w:numPr>
          <w:ilvl w:val="0"/>
          <w:numId w:val="2"/>
        </w:numPr>
        <w:spacing w:after="60" w:line="336" w:lineRule="auto"/>
        <w:jc w:val="both"/>
      </w:pPr>
      <w:r>
        <w:rPr>
          <w:rFonts w:eastAsia="Calibri"/>
          <w:b/>
          <w:bCs/>
        </w:rPr>
        <w:t>The partner’s report reduces it to three tasks</w:t>
      </w:r>
      <w:r>
        <w:rPr>
          <w:rFonts w:eastAsia="Calibri"/>
        </w:rPr>
        <w:t>: link training to implementation, build AI-bilingual teams, and measure responsible use and business outcomes.</w:t>
      </w:r>
    </w:p>
    <w:p>
      <w:pPr>
        <w:pStyle w:val="a4"/>
        <w:numPr>
          <w:ilvl w:val="0"/>
          <w:numId w:val="2"/>
        </w:numPr>
        <w:spacing w:after="120" w:line="336" w:lineRule="auto"/>
        <w:jc w:val="both"/>
      </w:pPr>
      <w:r>
        <w:rPr>
          <w:rFonts w:eastAsia="Calibri"/>
          <w:b/>
          <w:bCs/>
        </w:rPr>
        <w:t>Elsewhere the barriers are more basic.</w:t>
      </w:r>
      <w:r>
        <w:rPr>
          <w:rFonts w:eastAsia="Calibri"/>
        </w:rPr>
        <w:t xml:space="preserve"> The Indonesia Convening pointed to gaps in digital and financial literacy.</w:t>
      </w:r>
    </w:p>
    <w:tbl>
      <w:tblPr>
        <w:tblW w:w="9740" w:type="dxa"/>
        <w:tblBorders>
          <w:top w:val="single" w:sz="4" w:space="0" w:color="C3D6E8"/>
          <w:left w:val="single" w:sz="4" w:space="0" w:color="C3D6E8"/>
          <w:bottom w:val="single" w:sz="4" w:space="0" w:color="C3D6E8"/>
          <w:right w:val="single" w:sz="4" w:space="0" w:color="C3D6E8"/>
          <w:insideH w:val="single" w:sz="4" w:space="0" w:color="C3D6E8"/>
          <w:insideV w:val="single" w:sz="4" w:space="0" w:color="C3D6E8"/>
        </w:tblBorders>
        <w:tblLayout w:type="fixed"/>
        <w:tblCellMar>
          <w:top w:w="60" w:type="dxa"/>
          <w:left w:w="106" w:type="dxa"/>
          <w:bottom w:w="60" w:type="dxa"/>
          <w:right w:w="106" w:type="dxa"/>
        </w:tblCellMar>
        <w:tblLook w:val="04A0" w:firstRow="1" w:lastRow="0" w:firstColumn="1" w:lastColumn="0" w:noHBand="0" w:noVBand="1"/>
      </w:tblPr>
      <w:tblGrid>
        <w:gridCol w:w="1730"/>
        <w:gridCol w:w="2621"/>
        <w:gridCol w:w="2284"/>
        <w:gridCol w:w="3105"/>
      </w:tblGrid>
      <w:tr>
        <w:trPr>
          <w:tblHeader/>
        </w:trPr>
        <w:tc>
          <w:tcPr>
            <w:tcW w:w="1730" w:type="dxa"/>
            <w:shd w:val="clear" w:color="auto" w:fill="00498F"/>
          </w:tcPr>
          <w:p>
            <w:pPr>
              <w:spacing w:line="276" w:lineRule="auto"/>
            </w:pPr>
            <w:r>
              <w:rPr>
                <w:rFonts w:eastAsia="Calibri"/>
                <w:b/>
                <w:bCs/>
                <w:color w:val="FFFFFF"/>
                <w:sz w:val="17"/>
                <w:szCs w:val="17"/>
              </w:rPr>
              <w:t>Stage</w:t>
            </w:r>
          </w:p>
        </w:tc>
        <w:tc>
          <w:tcPr>
            <w:tcW w:w="2621" w:type="dxa"/>
            <w:shd w:val="clear" w:color="auto" w:fill="00498F"/>
          </w:tcPr>
          <w:p>
            <w:pPr>
              <w:spacing w:line="276" w:lineRule="auto"/>
            </w:pPr>
            <w:r>
              <w:rPr>
                <w:rFonts w:eastAsia="Calibri"/>
                <w:b/>
                <w:bCs/>
                <w:color w:val="FFFFFF"/>
                <w:sz w:val="17"/>
                <w:szCs w:val="17"/>
              </w:rPr>
              <w:t>Where support breaks off</w:t>
            </w:r>
          </w:p>
        </w:tc>
        <w:tc>
          <w:tcPr>
            <w:tcW w:w="2284" w:type="dxa"/>
            <w:shd w:val="clear" w:color="auto" w:fill="00498F"/>
          </w:tcPr>
          <w:p>
            <w:pPr>
              <w:spacing w:line="276" w:lineRule="auto"/>
            </w:pPr>
            <w:r>
              <w:rPr>
                <w:rFonts w:eastAsia="Calibri"/>
                <w:b/>
                <w:bCs/>
                <w:color w:val="FFFFFF"/>
                <w:sz w:val="17"/>
                <w:szCs w:val="17"/>
              </w:rPr>
              <w:t>ASEAN–China cooperation today</w:t>
            </w:r>
          </w:p>
        </w:tc>
        <w:tc>
          <w:tcPr>
            <w:tcW w:w="3105" w:type="dxa"/>
            <w:shd w:val="clear" w:color="auto" w:fill="00498F"/>
          </w:tcPr>
          <w:p>
            <w:pPr>
              <w:spacing w:line="276" w:lineRule="auto"/>
            </w:pPr>
            <w:r>
              <w:rPr>
                <w:rFonts w:eastAsia="Calibri"/>
                <w:b/>
                <w:bCs/>
                <w:color w:val="FFFFFF"/>
                <w:sz w:val="17"/>
                <w:szCs w:val="17"/>
              </w:rPr>
              <w:t>Foundation entry point</w:t>
            </w:r>
          </w:p>
        </w:tc>
      </w:tr>
      <w:tr>
        <w:trPr>
          <w:cantSplit/>
        </w:trPr>
        <w:tc>
          <w:tcPr>
            <w:tcW w:w="1730" w:type="dxa"/>
          </w:tcPr>
          <w:p>
            <w:pPr>
              <w:spacing w:line="276" w:lineRule="auto"/>
            </w:pPr>
            <w:r>
              <w:rPr>
                <w:rFonts w:eastAsia="Calibri"/>
                <w:sz w:val="17"/>
                <w:szCs w:val="17"/>
              </w:rPr>
              <w:t>Awareness</w:t>
            </w:r>
          </w:p>
        </w:tc>
        <w:tc>
          <w:tcPr>
            <w:tcW w:w="2621" w:type="dxa"/>
          </w:tcPr>
          <w:p>
            <w:pPr>
              <w:spacing w:line="276" w:lineRule="auto"/>
            </w:pPr>
            <w:r>
              <w:rPr>
                <w:rFonts w:eastAsia="Calibri"/>
                <w:sz w:val="17"/>
                <w:szCs w:val="17"/>
              </w:rPr>
              <w:t>Chatbot use mistaken for readiness</w:t>
            </w:r>
          </w:p>
        </w:tc>
        <w:tc>
          <w:tcPr>
            <w:tcW w:w="2284" w:type="dxa"/>
          </w:tcPr>
          <w:p>
            <w:pPr>
              <w:spacing w:line="276" w:lineRule="auto"/>
            </w:pPr>
            <w:r>
              <w:rPr>
                <w:rFonts w:eastAsia="Calibri"/>
                <w:sz w:val="17"/>
                <w:szCs w:val="17"/>
              </w:rPr>
              <w:t>Training and seminars</w:t>
            </w:r>
          </w:p>
        </w:tc>
        <w:tc>
          <w:tcPr>
            <w:tcW w:w="3105" w:type="dxa"/>
          </w:tcPr>
          <w:p>
            <w:pPr>
              <w:spacing w:line="276" w:lineRule="auto"/>
            </w:pPr>
            <w:r>
              <w:rPr>
                <w:rFonts w:eastAsia="Calibri"/>
                <w:sz w:val="17"/>
                <w:szCs w:val="17"/>
              </w:rPr>
              <w:t>AI Class ASEAN; AIM ASEAN courses</w:t>
            </w:r>
          </w:p>
        </w:tc>
      </w:tr>
      <w:tr>
        <w:trPr>
          <w:cantSplit/>
        </w:trPr>
        <w:tc>
          <w:tcPr>
            <w:tcW w:w="1730" w:type="dxa"/>
          </w:tcPr>
          <w:p>
            <w:pPr>
              <w:spacing w:line="276" w:lineRule="auto"/>
            </w:pPr>
            <w:r>
              <w:rPr>
                <w:rFonts w:eastAsia="Calibri"/>
                <w:sz w:val="17"/>
                <w:szCs w:val="17"/>
              </w:rPr>
              <w:t>Experimentation</w:t>
            </w:r>
          </w:p>
        </w:tc>
        <w:tc>
          <w:tcPr>
            <w:tcW w:w="2621" w:type="dxa"/>
          </w:tcPr>
          <w:p>
            <w:pPr>
              <w:spacing w:line="276" w:lineRule="auto"/>
            </w:pPr>
            <w:r>
              <w:rPr>
                <w:rFonts w:eastAsia="Calibri"/>
                <w:sz w:val="17"/>
                <w:szCs w:val="17"/>
              </w:rPr>
              <w:t>Unclear use cases; cost of failure</w:t>
            </w:r>
          </w:p>
        </w:tc>
        <w:tc>
          <w:tcPr>
            <w:tcW w:w="2284" w:type="dxa"/>
          </w:tcPr>
          <w:p>
            <w:pPr>
              <w:spacing w:line="276" w:lineRule="auto"/>
            </w:pPr>
            <w:r>
              <w:rPr>
                <w:rFonts w:eastAsia="Calibri"/>
                <w:sz w:val="17"/>
                <w:szCs w:val="17"/>
              </w:rPr>
              <w:t>Application scenarios and company matchmaking (Nanning)</w:t>
            </w:r>
          </w:p>
        </w:tc>
        <w:tc>
          <w:tcPr>
            <w:tcW w:w="3105" w:type="dxa"/>
          </w:tcPr>
          <w:p>
            <w:pPr>
              <w:spacing w:line="276" w:lineRule="auto"/>
            </w:pPr>
            <w:r>
              <w:rPr>
                <w:rFonts w:eastAsia="Calibri"/>
                <w:sz w:val="17"/>
                <w:szCs w:val="17"/>
              </w:rPr>
              <w:t>Low-risk demonstrations; guidance on responsible use</w:t>
            </w:r>
          </w:p>
        </w:tc>
      </w:tr>
      <w:tr>
        <w:trPr>
          <w:cantSplit/>
        </w:trPr>
        <w:tc>
          <w:tcPr>
            <w:tcW w:w="1730" w:type="dxa"/>
          </w:tcPr>
          <w:p>
            <w:pPr>
              <w:spacing w:line="276" w:lineRule="auto"/>
            </w:pPr>
            <w:r>
              <w:rPr>
                <w:rFonts w:eastAsia="Calibri"/>
                <w:sz w:val="17"/>
                <w:szCs w:val="17"/>
              </w:rPr>
              <w:t>Implementation</w:t>
            </w:r>
          </w:p>
        </w:tc>
        <w:tc>
          <w:tcPr>
            <w:tcW w:w="2621" w:type="dxa"/>
          </w:tcPr>
          <w:p>
            <w:pPr>
              <w:spacing w:line="276" w:lineRule="auto"/>
            </w:pPr>
            <w:r>
              <w:rPr>
                <w:rFonts w:eastAsia="Calibri"/>
                <w:sz w:val="17"/>
                <w:szCs w:val="17"/>
              </w:rPr>
              <w:t>Little in-house capacity; staff anxiety</w:t>
            </w:r>
          </w:p>
        </w:tc>
        <w:tc>
          <w:tcPr>
            <w:tcW w:w="2284" w:type="dxa"/>
          </w:tcPr>
          <w:p>
            <w:pPr>
              <w:spacing w:line="276" w:lineRule="auto"/>
            </w:pPr>
            <w:r>
              <w:rPr>
                <w:rFonts w:eastAsia="Calibri"/>
                <w:sz w:val="17"/>
                <w:szCs w:val="17"/>
              </w:rPr>
              <w:t>Not found in public sources</w:t>
            </w:r>
          </w:p>
        </w:tc>
        <w:tc>
          <w:tcPr>
            <w:tcW w:w="3105" w:type="dxa"/>
          </w:tcPr>
          <w:p>
            <w:pPr>
              <w:spacing w:line="276" w:lineRule="auto"/>
            </w:pPr>
            <w:r>
              <w:rPr>
                <w:rFonts w:eastAsia="Calibri"/>
                <w:sz w:val="17"/>
                <w:szCs w:val="17"/>
              </w:rPr>
              <w:t>Local partners; clinics after training (proposed)</w:t>
            </w:r>
          </w:p>
        </w:tc>
      </w:tr>
      <w:tr>
        <w:trPr>
          <w:cantSplit/>
        </w:trPr>
        <w:tc>
          <w:tcPr>
            <w:tcW w:w="1730" w:type="dxa"/>
          </w:tcPr>
          <w:p>
            <w:pPr>
              <w:spacing w:line="276" w:lineRule="auto"/>
            </w:pPr>
            <w:r>
              <w:rPr>
                <w:rFonts w:eastAsia="Calibri"/>
                <w:sz w:val="17"/>
                <w:szCs w:val="17"/>
              </w:rPr>
              <w:t>Scaling</w:t>
            </w:r>
          </w:p>
        </w:tc>
        <w:tc>
          <w:tcPr>
            <w:tcW w:w="2621" w:type="dxa"/>
          </w:tcPr>
          <w:p>
            <w:pPr>
              <w:spacing w:line="276" w:lineRule="auto"/>
            </w:pPr>
            <w:r>
              <w:rPr>
                <w:rFonts w:eastAsia="Calibri"/>
                <w:sz w:val="17"/>
                <w:szCs w:val="17"/>
              </w:rPr>
              <w:t>Support ends with the workshop; no evidence of results</w:t>
            </w:r>
          </w:p>
        </w:tc>
        <w:tc>
          <w:tcPr>
            <w:tcW w:w="2284" w:type="dxa"/>
          </w:tcPr>
          <w:p>
            <w:pPr>
              <w:spacing w:line="276" w:lineRule="auto"/>
            </w:pPr>
            <w:r>
              <w:rPr>
                <w:rFonts w:eastAsia="Calibri"/>
                <w:sz w:val="17"/>
                <w:szCs w:val="17"/>
              </w:rPr>
              <w:t>Not found in public sources</w:t>
            </w:r>
          </w:p>
        </w:tc>
        <w:tc>
          <w:tcPr>
            <w:tcW w:w="3105" w:type="dxa"/>
          </w:tcPr>
          <w:p>
            <w:pPr>
              <w:spacing w:line="276" w:lineRule="auto"/>
            </w:pPr>
            <w:r>
              <w:rPr>
                <w:rFonts w:eastAsia="Calibri"/>
                <w:sz w:val="17"/>
                <w:szCs w:val="17"/>
              </w:rPr>
              <w:t>Common outcome indicators; regional case exchange (recommended)</w:t>
            </w:r>
          </w:p>
        </w:tc>
      </w:tr>
    </w:tbl>
    <w:p>
      <w:pPr>
        <w:spacing w:after="60" w:line="120" w:lineRule="auto"/>
      </w:pPr>
    </w:p>
    <w:p>
      <w:pPr>
        <w:spacing w:after="120" w:line="336" w:lineRule="auto"/>
        <w:jc w:val="both"/>
      </w:pPr>
      <w:r>
        <w:rPr>
          <w:rFonts w:eastAsia="Calibri"/>
          <w:b/>
          <w:bCs/>
          <w:color w:val="0F63A8"/>
        </w:rPr>
        <w:t>[Assessment]</w:t>
      </w:r>
      <w:r>
        <w:rPr>
          <w:rFonts w:eastAsia="Calibri"/>
        </w:rPr>
        <w:t xml:space="preserve"> The gap is not a lack of AI training: Chinese companies and platforms already provide it. It is the absence of ASEAN-led, technology-neutral support after training, and of any measure of whether training changes how people work. The same test applies to the Foundation: AIM ASEAN has reached more than 1,500 MSMEs in Singapore against a target of 3,000, but its partner’s report notes that reach is not yet evidence of sustained use.</w:t>
      </w:r>
    </w:p>
    <w:p>
      <w:pPr>
        <w:keepNext/>
        <w:spacing w:before="240" w:after="160" w:line="300" w:lineRule="auto"/>
      </w:pPr>
      <w:r>
        <w:rPr>
          <w:rFonts w:eastAsia="Calibri"/>
          <w:b/>
          <w:bCs/>
          <w:color w:val="00498F"/>
          <w:sz w:val="26"/>
          <w:szCs w:val="26"/>
        </w:rPr>
        <w:t>3. Where the Foundation Fits</w:t>
      </w:r>
    </w:p>
    <w:p>
      <w:pPr>
        <w:keepNext/>
        <w:spacing w:after="120" w:line="336" w:lineRule="auto"/>
        <w:jc w:val="both"/>
      </w:pPr>
      <w:r>
        <w:rPr>
          <w:rFonts w:eastAsia="Calibri"/>
          <w:b/>
          <w:bCs/>
          <w:color w:val="0F63A8"/>
        </w:rPr>
        <w:t>[Assessment]</w:t>
      </w:r>
      <w:r>
        <w:rPr>
          <w:rFonts w:eastAsia="Calibri"/>
        </w:rPr>
        <w:t xml:space="preserve"> Four reasons make this stage the Foundation’s to take.</w:t>
      </w:r>
    </w:p>
    <w:p>
      <w:pPr>
        <w:pStyle w:val="a4"/>
        <w:numPr>
          <w:ilvl w:val="0"/>
          <w:numId w:val="2"/>
        </w:numPr>
        <w:spacing w:after="60" w:line="336" w:lineRule="auto"/>
        <w:jc w:val="both"/>
      </w:pPr>
      <w:r>
        <w:rPr>
          <w:rFonts w:eastAsia="Calibri"/>
          <w:b/>
          <w:bCs/>
        </w:rPr>
        <w:t>Neither side covers it.</w:t>
      </w:r>
      <w:r>
        <w:rPr>
          <w:rFonts w:eastAsia="Calibri"/>
        </w:rPr>
        <w:t xml:space="preserve"> ASEAN’s frameworks set principles; China’s programmes count trainees. The stage at which training becomes practice belongs to no one.</w:t>
      </w:r>
    </w:p>
    <w:p>
      <w:pPr>
        <w:pStyle w:val="a4"/>
        <w:numPr>
          <w:ilvl w:val="0"/>
          <w:numId w:val="2"/>
        </w:numPr>
        <w:spacing w:after="60" w:line="336" w:lineRule="auto"/>
        <w:jc w:val="both"/>
      </w:pPr>
      <w:r>
        <w:rPr>
          <w:rFonts w:eastAsia="Calibri"/>
          <w:b/>
          <w:bCs/>
        </w:rPr>
        <w:t>The Foundation has the assets.</w:t>
      </w:r>
      <w:r>
        <w:rPr>
          <w:rFonts w:eastAsia="Calibri"/>
        </w:rPr>
        <w:t xml:space="preserve"> For delivery, it has more than 3,000 Master Trainers and local implementing partners across member states, plus nine AIM ASEAN partners. For evidence, it has AI readiness data on students and educators, and field records of MSME barriers from the National Policy Convenings. And it has a role the Singapore partner has recommended: a common pathway after training, common outcome indicators and regional case exchange (subject to agreement).</w:t>
      </w:r>
    </w:p>
    <w:p>
      <w:pPr>
        <w:pStyle w:val="a4"/>
        <w:numPr>
          <w:ilvl w:val="0"/>
          <w:numId w:val="2"/>
        </w:numPr>
        <w:spacing w:after="60" w:line="336" w:lineRule="auto"/>
        <w:jc w:val="both"/>
      </w:pPr>
      <w:r>
        <w:rPr>
          <w:rFonts w:eastAsia="Calibri"/>
          <w:b/>
          <w:bCs/>
        </w:rPr>
        <w:t>It fits a governance roundtable.</w:t>
      </w:r>
      <w:r>
        <w:rPr>
          <w:rFonts w:eastAsia="Calibri"/>
        </w:rPr>
        <w:t xml:space="preserve"> Both sides have put AI safety on the agenda (ASEAN AI Safe; the September 2026 initiative). Model testing and standards address the supply side. People’s capacity to use AI responsibly is the demand side, and it is missing.</w:t>
      </w:r>
    </w:p>
    <w:p>
      <w:pPr>
        <w:pStyle w:val="a4"/>
        <w:numPr>
          <w:ilvl w:val="0"/>
          <w:numId w:val="2"/>
        </w:numPr>
        <w:spacing w:after="120" w:line="336" w:lineRule="auto"/>
        <w:jc w:val="both"/>
      </w:pPr>
      <w:r>
        <w:rPr>
          <w:rFonts w:eastAsia="Calibri"/>
          <w:b/>
          <w:bCs/>
        </w:rPr>
        <w:t>It works for China and for ASEAN.</w:t>
      </w:r>
      <w:r>
        <w:rPr>
          <w:rFonts w:eastAsia="Calibri"/>
        </w:rPr>
        <w:t xml:space="preserve"> China needs to show results from its training offers, and measurement after training helps it do so. ASEAN keeps ownership and neutrality, because the contribution is technology-neutral and runs through ASEAN bodies.</w:t>
      </w:r>
    </w:p>
    <w:p>
      <w:pPr>
        <w:keepNext/>
        <w:spacing w:before="240" w:after="160" w:line="300" w:lineRule="auto"/>
      </w:pPr>
      <w:r>
        <w:rPr>
          <w:rFonts w:eastAsia="Calibri"/>
          <w:b/>
          <w:bCs/>
          <w:color w:val="00498F"/>
          <w:sz w:val="26"/>
          <w:szCs w:val="26"/>
        </w:rPr>
        <w:t>4. What to Offer, and When</w:t>
      </w:r>
    </w:p>
    <w:tbl>
      <w:tblPr>
        <w:tblW w:w="9740" w:type="dxa"/>
        <w:tblBorders>
          <w:top w:val="single" w:sz="4" w:space="0" w:color="C3D6E8"/>
          <w:left w:val="single" w:sz="4" w:space="0" w:color="C3D6E8"/>
          <w:bottom w:val="single" w:sz="4" w:space="0" w:color="C3D6E8"/>
          <w:right w:val="single" w:sz="4" w:space="0" w:color="C3D6E8"/>
          <w:insideH w:val="single" w:sz="4" w:space="0" w:color="C3D6E8"/>
          <w:insideV w:val="single" w:sz="4" w:space="0" w:color="C3D6E8"/>
        </w:tblBorders>
        <w:tblLayout w:type="fixed"/>
        <w:tblCellMar>
          <w:top w:w="60" w:type="dxa"/>
          <w:left w:w="106" w:type="dxa"/>
          <w:bottom w:w="60" w:type="dxa"/>
          <w:right w:w="106" w:type="dxa"/>
        </w:tblCellMar>
        <w:tblLook w:val="04A0" w:firstRow="1" w:lastRow="0" w:firstColumn="1" w:lastColumn="0" w:noHBand="0" w:noVBand="1"/>
      </w:tblPr>
      <w:tblGrid>
        <w:gridCol w:w="1044"/>
        <w:gridCol w:w="4697"/>
        <w:gridCol w:w="2452"/>
        <w:gridCol w:w="1547"/>
      </w:tblGrid>
      <w:tr>
        <w:trPr>
          <w:tblHeader/>
        </w:trPr>
        <w:tc>
          <w:tcPr>
            <w:tcW w:w="1044" w:type="dxa"/>
            <w:shd w:val="clear" w:color="auto" w:fill="00498F"/>
          </w:tcPr>
          <w:p>
            <w:pPr>
              <w:spacing w:line="276" w:lineRule="auto"/>
            </w:pPr>
            <w:r>
              <w:rPr>
                <w:rFonts w:eastAsia="Calibri"/>
                <w:b/>
                <w:bCs/>
                <w:color w:val="FFFFFF"/>
                <w:sz w:val="17"/>
                <w:szCs w:val="17"/>
              </w:rPr>
              <w:t>Priority</w:t>
            </w:r>
          </w:p>
        </w:tc>
        <w:tc>
          <w:tcPr>
            <w:tcW w:w="4697" w:type="dxa"/>
            <w:shd w:val="clear" w:color="auto" w:fill="00498F"/>
          </w:tcPr>
          <w:p>
            <w:pPr>
              <w:spacing w:line="276" w:lineRule="auto"/>
            </w:pPr>
            <w:r>
              <w:rPr>
                <w:rFonts w:eastAsia="Calibri"/>
                <w:b/>
                <w:bCs/>
                <w:color w:val="FFFFFF"/>
                <w:sz w:val="17"/>
                <w:szCs w:val="17"/>
              </w:rPr>
              <w:t>Offer</w:t>
            </w:r>
          </w:p>
        </w:tc>
        <w:tc>
          <w:tcPr>
            <w:tcW w:w="2452" w:type="dxa"/>
            <w:shd w:val="clear" w:color="auto" w:fill="00498F"/>
          </w:tcPr>
          <w:p>
            <w:pPr>
              <w:spacing w:line="276" w:lineRule="auto"/>
            </w:pPr>
            <w:r>
              <w:rPr>
                <w:rFonts w:eastAsia="Calibri"/>
                <w:b/>
                <w:bCs/>
                <w:color w:val="FFFFFF"/>
                <w:sz w:val="17"/>
                <w:szCs w:val="17"/>
              </w:rPr>
              <w:t>Channel</w:t>
            </w:r>
          </w:p>
        </w:tc>
        <w:tc>
          <w:tcPr>
            <w:tcW w:w="1547" w:type="dxa"/>
            <w:shd w:val="clear" w:color="auto" w:fill="00498F"/>
          </w:tcPr>
          <w:p>
            <w:pPr>
              <w:spacing w:line="276" w:lineRule="auto"/>
            </w:pPr>
            <w:r>
              <w:rPr>
                <w:rFonts w:eastAsia="Calibri"/>
                <w:b/>
                <w:bCs/>
                <w:color w:val="FFFFFF"/>
                <w:sz w:val="17"/>
                <w:szCs w:val="17"/>
              </w:rPr>
              <w:t>Timing</w:t>
            </w:r>
          </w:p>
        </w:tc>
      </w:tr>
      <w:tr>
        <w:trPr>
          <w:cantSplit/>
        </w:trPr>
        <w:tc>
          <w:tcPr>
            <w:tcW w:w="1044" w:type="dxa"/>
          </w:tcPr>
          <w:p>
            <w:pPr>
              <w:spacing w:line="276" w:lineRule="auto"/>
            </w:pPr>
            <w:r>
              <w:rPr>
                <w:rFonts w:eastAsia="Calibri"/>
                <w:sz w:val="17"/>
                <w:szCs w:val="17"/>
              </w:rPr>
              <w:t>1</w:t>
            </w:r>
          </w:p>
        </w:tc>
        <w:tc>
          <w:tcPr>
            <w:tcW w:w="4697" w:type="dxa"/>
          </w:tcPr>
          <w:p>
            <w:pPr>
              <w:spacing w:line="276" w:lineRule="auto"/>
            </w:pPr>
            <w:r>
              <w:rPr>
                <w:rFonts w:eastAsia="Calibri"/>
                <w:b/>
                <w:bCs/>
                <w:sz w:val="17"/>
                <w:szCs w:val="17"/>
              </w:rPr>
              <w:t>CIIS remarks</w:t>
            </w:r>
            <w:r>
              <w:rPr>
                <w:rFonts w:eastAsia="Calibri"/>
                <w:sz w:val="17"/>
                <w:szCs w:val="17"/>
              </w:rPr>
              <w:t>: the ‘after training’ question, the Singapore lessons, and the case for pathways, a wider view of AI talent and measuring sustained use</w:t>
            </w:r>
          </w:p>
        </w:tc>
        <w:tc>
          <w:tcPr>
            <w:tcW w:w="2452" w:type="dxa"/>
          </w:tcPr>
          <w:p>
            <w:pPr>
              <w:spacing w:line="276" w:lineRule="auto"/>
            </w:pPr>
            <w:r>
              <w:rPr>
                <w:rFonts w:eastAsia="Calibri"/>
                <w:sz w:val="17"/>
                <w:szCs w:val="17"/>
              </w:rPr>
              <w:t>CIIS roundtable, Session 2</w:t>
            </w:r>
          </w:p>
        </w:tc>
        <w:tc>
          <w:tcPr>
            <w:tcW w:w="1547" w:type="dxa"/>
          </w:tcPr>
          <w:p>
            <w:pPr>
              <w:spacing w:line="276" w:lineRule="auto"/>
            </w:pPr>
            <w:r>
              <w:rPr>
                <w:rFonts w:eastAsia="Calibri"/>
                <w:sz w:val="17"/>
                <w:szCs w:val="17"/>
              </w:rPr>
              <w:t>October 2026</w:t>
            </w:r>
          </w:p>
        </w:tc>
      </w:tr>
      <w:tr>
        <w:trPr>
          <w:cantSplit/>
        </w:trPr>
        <w:tc>
          <w:tcPr>
            <w:tcW w:w="1044" w:type="dxa"/>
          </w:tcPr>
          <w:p>
            <w:pPr>
              <w:spacing w:line="276" w:lineRule="auto"/>
            </w:pPr>
            <w:r>
              <w:rPr>
                <w:rFonts w:eastAsia="Calibri"/>
                <w:sz w:val="17"/>
                <w:szCs w:val="17"/>
              </w:rPr>
              <w:t>2</w:t>
            </w:r>
          </w:p>
        </w:tc>
        <w:tc>
          <w:tcPr>
            <w:tcW w:w="4697" w:type="dxa"/>
          </w:tcPr>
          <w:p>
            <w:pPr>
              <w:spacing w:line="276" w:lineRule="auto"/>
            </w:pPr>
            <w:r>
              <w:rPr>
                <w:rFonts w:eastAsia="Calibri"/>
                <w:b/>
                <w:bCs/>
                <w:sz w:val="17"/>
                <w:szCs w:val="17"/>
              </w:rPr>
              <w:t>Experience and evidence</w:t>
            </w:r>
            <w:r>
              <w:rPr>
                <w:rFonts w:eastAsia="Calibri"/>
                <w:sz w:val="17"/>
                <w:szCs w:val="17"/>
              </w:rPr>
              <w:t>: the Master Trainer model (selection, quality assurance, tracking reach and completion) and a briefing on AI readiness</w:t>
            </w:r>
          </w:p>
        </w:tc>
        <w:tc>
          <w:tcPr>
            <w:tcW w:w="2452" w:type="dxa"/>
          </w:tcPr>
          <w:p>
            <w:pPr>
              <w:spacing w:line="276" w:lineRule="auto"/>
            </w:pPr>
            <w:r>
              <w:rPr>
                <w:rFonts w:eastAsia="Calibri"/>
                <w:sz w:val="17"/>
                <w:szCs w:val="17"/>
              </w:rPr>
              <w:t>Smart Education officials; Innovation Centre training staff; the ASEAN Secretariat</w:t>
            </w:r>
          </w:p>
        </w:tc>
        <w:tc>
          <w:tcPr>
            <w:tcW w:w="1547" w:type="dxa"/>
          </w:tcPr>
          <w:p>
            <w:pPr>
              <w:spacing w:line="276" w:lineRule="auto"/>
            </w:pPr>
            <w:r>
              <w:rPr>
                <w:rFonts w:eastAsia="Calibri"/>
                <w:sz w:val="17"/>
                <w:szCs w:val="17"/>
              </w:rPr>
              <w:t>From now</w:t>
            </w:r>
          </w:p>
        </w:tc>
      </w:tr>
      <w:tr>
        <w:trPr>
          <w:cantSplit/>
        </w:trPr>
        <w:tc>
          <w:tcPr>
            <w:tcW w:w="1044" w:type="dxa"/>
          </w:tcPr>
          <w:p>
            <w:pPr>
              <w:spacing w:line="276" w:lineRule="auto"/>
            </w:pPr>
            <w:r>
              <w:rPr>
                <w:rFonts w:eastAsia="Calibri"/>
                <w:sz w:val="17"/>
                <w:szCs w:val="17"/>
              </w:rPr>
              <w:t>3</w:t>
            </w:r>
          </w:p>
        </w:tc>
        <w:tc>
          <w:tcPr>
            <w:tcW w:w="4697" w:type="dxa"/>
          </w:tcPr>
          <w:p>
            <w:pPr>
              <w:spacing w:line="276" w:lineRule="auto"/>
            </w:pPr>
            <w:r>
              <w:rPr>
                <w:rFonts w:eastAsia="Calibri"/>
                <w:b/>
                <w:bCs/>
                <w:sz w:val="17"/>
                <w:szCs w:val="17"/>
              </w:rPr>
              <w:t>Measurement</w:t>
            </w:r>
            <w:r>
              <w:rPr>
                <w:rFonts w:eastAsia="Calibri"/>
                <w:sz w:val="17"/>
                <w:szCs w:val="17"/>
              </w:rPr>
              <w:t>: indicators of sustained use and business value that separate reach, business integration and verified outcomes</w:t>
            </w:r>
          </w:p>
        </w:tc>
        <w:tc>
          <w:tcPr>
            <w:tcW w:w="2452" w:type="dxa"/>
          </w:tcPr>
          <w:p>
            <w:pPr>
              <w:spacing w:line="276" w:lineRule="auto"/>
            </w:pPr>
            <w:r>
              <w:rPr>
                <w:rFonts w:eastAsia="Calibri"/>
                <w:sz w:val="17"/>
                <w:szCs w:val="17"/>
              </w:rPr>
              <w:t>AIM ASEAN partners; joint research with CIIS</w:t>
            </w:r>
          </w:p>
        </w:tc>
        <w:tc>
          <w:tcPr>
            <w:tcW w:w="1547" w:type="dxa"/>
          </w:tcPr>
          <w:p>
            <w:pPr>
              <w:spacing w:line="276" w:lineRule="auto"/>
            </w:pPr>
            <w:r>
              <w:rPr>
                <w:rFonts w:eastAsia="Calibri"/>
                <w:sz w:val="17"/>
                <w:szCs w:val="17"/>
              </w:rPr>
              <w:t>2027, after the Singapore baseline (Q4 2026) and review (Q1 2027)</w:t>
            </w:r>
          </w:p>
        </w:tc>
      </w:tr>
      <w:tr>
        <w:trPr>
          <w:cantSplit/>
        </w:trPr>
        <w:tc>
          <w:tcPr>
            <w:tcW w:w="1044" w:type="dxa"/>
          </w:tcPr>
          <w:p>
            <w:pPr>
              <w:spacing w:line="276" w:lineRule="auto"/>
            </w:pPr>
            <w:r>
              <w:rPr>
                <w:rFonts w:eastAsia="Calibri"/>
                <w:sz w:val="17"/>
                <w:szCs w:val="17"/>
              </w:rPr>
              <w:t>4</w:t>
            </w:r>
          </w:p>
        </w:tc>
        <w:tc>
          <w:tcPr>
            <w:tcW w:w="4697" w:type="dxa"/>
          </w:tcPr>
          <w:p>
            <w:pPr>
              <w:spacing w:line="276" w:lineRule="auto"/>
            </w:pPr>
            <w:r>
              <w:rPr>
                <w:rFonts w:eastAsia="Calibri"/>
                <w:b/>
                <w:bCs/>
                <w:sz w:val="17"/>
                <w:szCs w:val="17"/>
              </w:rPr>
              <w:t>Case evidence</w:t>
            </w:r>
            <w:r>
              <w:rPr>
                <w:rFonts w:eastAsia="Calibri"/>
                <w:sz w:val="17"/>
                <w:szCs w:val="17"/>
              </w:rPr>
              <w:t>: structured MSME cases, including what did not work, and open materials for the stage after training</w:t>
            </w:r>
          </w:p>
        </w:tc>
        <w:tc>
          <w:tcPr>
            <w:tcW w:w="2452" w:type="dxa"/>
          </w:tcPr>
          <w:p>
            <w:pPr>
              <w:spacing w:line="276" w:lineRule="auto"/>
            </w:pPr>
            <w:r>
              <w:rPr>
                <w:rFonts w:eastAsia="Calibri"/>
                <w:sz w:val="17"/>
                <w:szCs w:val="17"/>
              </w:rPr>
              <w:t>ACCMSME; ASEAN–China forums (public cases only)</w:t>
            </w:r>
          </w:p>
        </w:tc>
        <w:tc>
          <w:tcPr>
            <w:tcW w:w="1547" w:type="dxa"/>
          </w:tcPr>
          <w:p>
            <w:pPr>
              <w:spacing w:line="276" w:lineRule="auto"/>
            </w:pPr>
            <w:r>
              <w:rPr>
                <w:rFonts w:eastAsia="Calibri"/>
                <w:sz w:val="17"/>
                <w:szCs w:val="17"/>
              </w:rPr>
              <w:t>2027</w:t>
            </w:r>
          </w:p>
        </w:tc>
      </w:tr>
      <w:tr>
        <w:trPr>
          <w:cantSplit/>
        </w:trPr>
        <w:tc>
          <w:tcPr>
            <w:tcW w:w="1044" w:type="dxa"/>
          </w:tcPr>
          <w:p>
            <w:pPr>
              <w:spacing w:line="276" w:lineRule="auto"/>
            </w:pPr>
            <w:r>
              <w:rPr>
                <w:rFonts w:eastAsia="Calibri"/>
                <w:sz w:val="17"/>
                <w:szCs w:val="17"/>
              </w:rPr>
              <w:t>5</w:t>
            </w:r>
          </w:p>
        </w:tc>
        <w:tc>
          <w:tcPr>
            <w:tcW w:w="4697" w:type="dxa"/>
          </w:tcPr>
          <w:p>
            <w:pPr>
              <w:spacing w:line="276" w:lineRule="auto"/>
            </w:pPr>
            <w:r>
              <w:rPr>
                <w:rFonts w:eastAsia="Calibri"/>
                <w:b/>
                <w:bCs/>
                <w:sz w:val="17"/>
                <w:szCs w:val="17"/>
              </w:rPr>
              <w:t>Joint MSME programme</w:t>
            </w:r>
            <w:r>
              <w:rPr>
                <w:rFonts w:eastAsia="Calibri"/>
                <w:sz w:val="17"/>
                <w:szCs w:val="17"/>
              </w:rPr>
              <w:t>: linking AIM ASEAN to the Innovation Centre’s regional capacity building</w:t>
            </w:r>
          </w:p>
        </w:tc>
        <w:tc>
          <w:tcPr>
            <w:tcW w:w="2452" w:type="dxa"/>
          </w:tcPr>
          <w:p>
            <w:pPr>
              <w:spacing w:line="276" w:lineRule="auto"/>
            </w:pPr>
            <w:r>
              <w:rPr>
                <w:rFonts w:eastAsia="Calibri"/>
                <w:sz w:val="17"/>
                <w:szCs w:val="17"/>
              </w:rPr>
              <w:t>ACCMSME with China’s industry and commerce ministries</w:t>
            </w:r>
          </w:p>
        </w:tc>
        <w:tc>
          <w:tcPr>
            <w:tcW w:w="1547" w:type="dxa"/>
          </w:tcPr>
          <w:p>
            <w:pPr>
              <w:spacing w:line="276" w:lineRule="auto"/>
            </w:pPr>
            <w:r>
              <w:rPr>
                <w:rFonts w:eastAsia="Calibri"/>
                <w:sz w:val="17"/>
                <w:szCs w:val="17"/>
              </w:rPr>
              <w:t>2027, after reporting to ACCMSME and securing follow-up funding</w:t>
            </w:r>
          </w:p>
        </w:tc>
      </w:tr>
      <w:tr>
        <w:trPr>
          <w:cantSplit/>
        </w:trPr>
        <w:tc>
          <w:tcPr>
            <w:tcW w:w="1044" w:type="dxa"/>
          </w:tcPr>
          <w:p>
            <w:pPr>
              <w:spacing w:line="276" w:lineRule="auto"/>
            </w:pPr>
            <w:r>
              <w:rPr>
                <w:rFonts w:eastAsia="Calibri"/>
                <w:sz w:val="17"/>
                <w:szCs w:val="17"/>
              </w:rPr>
              <w:t>6</w:t>
            </w:r>
          </w:p>
        </w:tc>
        <w:tc>
          <w:tcPr>
            <w:tcW w:w="4697" w:type="dxa"/>
          </w:tcPr>
          <w:p>
            <w:pPr>
              <w:spacing w:line="276" w:lineRule="auto"/>
            </w:pPr>
            <w:r>
              <w:rPr>
                <w:rFonts w:eastAsia="Calibri"/>
                <w:b/>
                <w:bCs/>
                <w:sz w:val="17"/>
                <w:szCs w:val="17"/>
              </w:rPr>
              <w:t>Low-cost content</w:t>
            </w:r>
            <w:r>
              <w:rPr>
                <w:rFonts w:eastAsia="Calibri"/>
                <w:sz w:val="17"/>
                <w:szCs w:val="17"/>
              </w:rPr>
              <w:t>: AI Class ASEAN as pre-learning; an AI ethics and safety module for citizens and MSMEs</w:t>
            </w:r>
          </w:p>
        </w:tc>
        <w:tc>
          <w:tcPr>
            <w:tcW w:w="2452" w:type="dxa"/>
          </w:tcPr>
          <w:p>
            <w:pPr>
              <w:spacing w:line="276" w:lineRule="auto"/>
            </w:pPr>
            <w:r>
              <w:rPr>
                <w:rFonts w:eastAsia="Calibri"/>
                <w:sz w:val="17"/>
                <w:szCs w:val="17"/>
              </w:rPr>
              <w:t>Chinese training programmes; ADGSOM and WG-AI</w:t>
            </w:r>
          </w:p>
        </w:tc>
        <w:tc>
          <w:tcPr>
            <w:tcW w:w="1547" w:type="dxa"/>
          </w:tcPr>
          <w:p>
            <w:pPr>
              <w:spacing w:line="276" w:lineRule="auto"/>
            </w:pPr>
            <w:r>
              <w:rPr>
                <w:rFonts w:eastAsia="Calibri"/>
                <w:sz w:val="17"/>
                <w:szCs w:val="17"/>
              </w:rPr>
              <w:t>First half of 2027</w:t>
            </w:r>
          </w:p>
        </w:tc>
      </w:tr>
      <w:tr>
        <w:trPr>
          <w:cantSplit/>
        </w:trPr>
        <w:tc>
          <w:tcPr>
            <w:tcW w:w="1044" w:type="dxa"/>
          </w:tcPr>
          <w:p>
            <w:pPr>
              <w:spacing w:line="276" w:lineRule="auto"/>
            </w:pPr>
            <w:r>
              <w:rPr>
                <w:rFonts w:eastAsia="Calibri"/>
                <w:sz w:val="17"/>
                <w:szCs w:val="17"/>
              </w:rPr>
              <w:t>7</w:t>
            </w:r>
          </w:p>
        </w:tc>
        <w:tc>
          <w:tcPr>
            <w:tcW w:w="4697" w:type="dxa"/>
          </w:tcPr>
          <w:p>
            <w:pPr>
              <w:spacing w:line="276" w:lineRule="auto"/>
            </w:pPr>
            <w:r>
              <w:rPr>
                <w:rFonts w:eastAsia="Calibri"/>
                <w:b/>
                <w:bCs/>
                <w:sz w:val="17"/>
                <w:szCs w:val="17"/>
              </w:rPr>
              <w:t>Teachers</w:t>
            </w:r>
            <w:r>
              <w:rPr>
                <w:rFonts w:eastAsia="Calibri"/>
                <w:sz w:val="17"/>
                <w:szCs w:val="17"/>
              </w:rPr>
              <w:t xml:space="preserve"> (conditional): division of roles and common standards, building on AI Ready ASEAN Phase 2</w:t>
            </w:r>
          </w:p>
        </w:tc>
        <w:tc>
          <w:tcPr>
            <w:tcW w:w="2452" w:type="dxa"/>
          </w:tcPr>
          <w:p>
            <w:pPr>
              <w:spacing w:line="276" w:lineRule="auto"/>
            </w:pPr>
            <w:r>
              <w:rPr>
                <w:rFonts w:eastAsia="Calibri"/>
                <w:sz w:val="17"/>
                <w:szCs w:val="17"/>
              </w:rPr>
              <w:t>SOM-ED with China’s Ministry of Education</w:t>
            </w:r>
          </w:p>
        </w:tc>
        <w:tc>
          <w:tcPr>
            <w:tcW w:w="1547" w:type="dxa"/>
          </w:tcPr>
          <w:p>
            <w:pPr>
              <w:spacing w:line="276" w:lineRule="auto"/>
            </w:pPr>
            <w:r>
              <w:rPr>
                <w:rFonts w:eastAsia="Calibri"/>
                <w:sz w:val="17"/>
                <w:szCs w:val="17"/>
              </w:rPr>
              <w:t>2027–2028</w:t>
            </w:r>
          </w:p>
        </w:tc>
      </w:tr>
    </w:tbl>
    <w:p>
      <w:pPr>
        <w:spacing w:after="60" w:line="120" w:lineRule="auto"/>
      </w:pPr>
    </w:p>
    <w:p>
      <w:pPr>
        <w:spacing w:after="120" w:line="336" w:lineRule="auto"/>
        <w:jc w:val="both"/>
      </w:pPr>
      <w:r>
        <w:rPr>
          <w:rFonts w:eastAsia="Calibri"/>
        </w:rPr>
        <w:t>All offers rest on ASEAN ownership, working through member states, openness to other Dialogue Partners and technology neutrality. The Foundation will not provide learner data or state ASEAN positions on AI standards and norms.</w:t>
      </w:r>
    </w:p>
    <w:p>
      <w:pPr>
        <w:keepNext/>
        <w:spacing w:after="120" w:line="336" w:lineRule="auto"/>
        <w:jc w:val="both"/>
      </w:pPr>
      <w:r>
        <w:rPr>
          <w:rFonts w:eastAsia="Calibri"/>
          <w:b/>
          <w:bCs/>
        </w:rPr>
        <w:t>Sequence.</w:t>
      </w:r>
    </w:p>
    <w:p>
      <w:pPr>
        <w:pStyle w:val="a4"/>
        <w:numPr>
          <w:ilvl w:val="0"/>
          <w:numId w:val="2"/>
        </w:numPr>
        <w:spacing w:after="60" w:line="336" w:lineRule="auto"/>
        <w:jc w:val="both"/>
      </w:pPr>
      <w:r>
        <w:rPr>
          <w:rFonts w:eastAsia="Calibri"/>
          <w:b/>
          <w:bCs/>
        </w:rPr>
        <w:t>Now to November 2026</w:t>
      </w:r>
      <w:r>
        <w:rPr>
          <w:rFonts w:eastAsia="Calibri"/>
        </w:rPr>
        <w:t>: share experience and evidence; consult the funders; brief the ASEAN Secretariat, SOM-ED and ACCMSME. Decision point: the Manila Summit.</w:t>
      </w:r>
    </w:p>
    <w:p>
      <w:pPr>
        <w:pStyle w:val="a4"/>
        <w:numPr>
          <w:ilvl w:val="0"/>
          <w:numId w:val="2"/>
        </w:numPr>
        <w:spacing w:after="60" w:line="336" w:lineRule="auto"/>
        <w:jc w:val="both"/>
      </w:pPr>
      <w:r>
        <w:rPr>
          <w:rFonts w:eastAsia="Calibri"/>
          <w:b/>
          <w:bCs/>
        </w:rPr>
        <w:t>First half of 2027</w:t>
      </w:r>
      <w:r>
        <w:rPr>
          <w:rFonts w:eastAsia="Calibri"/>
        </w:rPr>
        <w:t>: build the evidence (measurement, cases and materials), and put draft proposals to SOM-ED and ACCMSME. Decision point: their response.</w:t>
      </w:r>
    </w:p>
    <w:p>
      <w:pPr>
        <w:pStyle w:val="a4"/>
        <w:numPr>
          <w:ilvl w:val="0"/>
          <w:numId w:val="2"/>
        </w:numPr>
        <w:spacing w:after="120" w:line="336" w:lineRule="auto"/>
        <w:jc w:val="both"/>
      </w:pPr>
      <w:r>
        <w:rPr>
          <w:rFonts w:eastAsia="Calibri"/>
          <w:b/>
          <w:bCs/>
        </w:rPr>
        <w:t>Second half of 2027 to 2028</w:t>
      </w:r>
      <w:r>
        <w:rPr>
          <w:rFonts w:eastAsia="Calibri"/>
        </w:rPr>
        <w:t>: open joint programmes for MSMEs and teachers. If the Year of AI Cooperation is adopted, offer a package on people’s AI capacity as one of its deliverables.</w:t>
      </w:r>
    </w:p>
    <w:p>
      <w:pPr>
        <w:spacing w:after="0"/>
      </w:pPr>
    </w:p>
    <w:sectPr w:rsidR="008F3ECF">
      <w:headerReference w:type="default" r:id="rId8"/>
      <w:footerReference w:type="default" r:id="rId9"/>
      <w:pgSz w:w="11906" w:h="16838"/>
      <w:pgMar w:top="1000" w:right="1080" w:bottom="1080" w:left="1080" w:header="6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86FD56C" w14:textId="77777777" w:rsidR="000A55CA" w:rsidRDefault="000A55CA">
      <w:r>
        <w:separator/>
      </w:r>
    </w:p>
  </w:endnote>
  <w:endnote w:type="continuationSeparator" w:id="0">
    <w:p w14:paraId="4106954C" w14:textId="77777777" w:rsidR="000A55CA" w:rsidRDefault="000A55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65C15A" w14:textId="77777777" w:rsidR="005C7CC5" w:rsidRDefault="00000000">
    <w:pPr>
      <w:jc w:val="center"/>
    </w:pPr>
    <w:r>
      <w:rPr>
        <w:rFonts w:eastAsia="Calibri"/>
        <w:color w:val="6B6B6B"/>
        <w:sz w:val="16"/>
        <w:szCs w:val="16"/>
      </w:rPr>
      <w:t xml:space="preserve">Page </w:t>
    </w:r>
    <w:r>
      <w:rPr>
        <w:color w:val="6B6B6B"/>
        <w:sz w:val="16"/>
        <w:szCs w:val="16"/>
      </w:rPr>
      <w:fldChar w:fldCharType="begin"/>
    </w:r>
    <w:r>
      <w:rPr>
        <w:rFonts w:eastAsia="Calibri"/>
        <w:color w:val="6B6B6B"/>
        <w:sz w:val="16"/>
        <w:szCs w:val="16"/>
      </w:rPr>
      <w:instrText>PAGE</w:instrText>
    </w:r>
    <w:r>
      <w:rPr>
        <w:color w:val="6B6B6B"/>
        <w:sz w:val="16"/>
        <w:szCs w:val="16"/>
      </w:rPr>
      <w:fldChar w:fldCharType="separate"/>
    </w:r>
    <w:r w:rsidR="00C158DD">
      <w:rPr>
        <w:rFonts w:eastAsia="Calibri"/>
        <w:noProof/>
        <w:color w:val="6B6B6B"/>
        <w:sz w:val="16"/>
        <w:szCs w:val="16"/>
      </w:rPr>
      <w:t>1</w:t>
    </w:r>
    <w:r>
      <w:rPr>
        <w:color w:val="6B6B6B"/>
        <w:sz w:val="16"/>
        <w:szCs w:val="16"/>
      </w:rPr>
      <w:fldChar w:fldCharType="end"/>
    </w:r>
    <w:r>
      <w:rPr>
        <w:rFonts w:eastAsia="Calibri"/>
        <w:color w:val="6B6B6B"/>
        <w:sz w:val="16"/>
        <w:szCs w:val="16"/>
      </w:rPr>
      <w:t xml:space="preserve"> of </w:t>
    </w:r>
    <w:r>
      <w:rPr>
        <w:color w:val="6B6B6B"/>
        <w:sz w:val="16"/>
        <w:szCs w:val="16"/>
      </w:rPr>
      <w:fldChar w:fldCharType="begin"/>
    </w:r>
    <w:r>
      <w:rPr>
        <w:rFonts w:eastAsia="Calibri"/>
        <w:color w:val="6B6B6B"/>
        <w:sz w:val="16"/>
        <w:szCs w:val="16"/>
      </w:rPr>
      <w:instrText>NUMPAGES</w:instrText>
    </w:r>
    <w:r>
      <w:rPr>
        <w:color w:val="6B6B6B"/>
        <w:sz w:val="16"/>
        <w:szCs w:val="16"/>
      </w:rPr>
      <w:fldChar w:fldCharType="separate"/>
    </w:r>
    <w:r w:rsidR="00C158DD">
      <w:rPr>
        <w:rFonts w:eastAsia="Calibri"/>
        <w:noProof/>
        <w:color w:val="6B6B6B"/>
        <w:sz w:val="16"/>
        <w:szCs w:val="16"/>
      </w:rPr>
      <w:t>2</w:t>
    </w:r>
    <w:r>
      <w:rPr>
        <w:color w:val="6B6B6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39EBD32" w14:textId="77777777" w:rsidR="000A55CA" w:rsidRDefault="000A55CA">
      <w:r>
        <w:separator/>
      </w:r>
    </w:p>
  </w:footnote>
  <w:footnote w:type="continuationSeparator" w:id="0">
    <w:p w14:paraId="7660EA6E" w14:textId="77777777" w:rsidR="000A55CA" w:rsidRDefault="000A55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65D82B" w14:textId="77777777" w:rsidR="005C7CC5" w:rsidRDefault="00000000">
    <w:pPr>
      <w:jc w:val="right"/>
    </w:pPr>
    <w:r>
      <w:rPr>
        <w:rFonts w:eastAsia="Calibri"/>
        <w:color w:val="6B6B6B"/>
        <w:sz w:val="16"/>
        <w:szCs w:val="16"/>
      </w:rPr>
      <w:t>Research Briefing | Internal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E1136FE"/>
    <w:multiLevelType w:val="hybridMultilevel"/>
    <w:tmpl w:val="CD5CC706"/>
    <w:lvl w:ilvl="0" w:tplc="D0280DB8">
      <w:start w:val="1"/>
      <w:numFmt w:val="bullet"/>
      <w:lvlText w:val="●"/>
      <w:lvlJc w:val="left"/>
      <w:pPr>
        <w:ind w:left="356" w:hanging="356"/>
      </w:pPr>
      <w:rPr>
        <w:rFonts w:ascii="Calibri" w:eastAsia="Calibri" w:hAnsi="Calibri" w:cs="Calibri"/>
        <w:color w:val="222222"/>
        <w:sz w:val="20"/>
        <w:szCs w:val="20"/>
      </w:rPr>
    </w:lvl>
    <w:lvl w:ilvl="1" w:tplc="9B746232">
      <w:numFmt w:val="decimal"/>
      <w:lvlText w:val=""/>
      <w:lvlJc w:val="left"/>
    </w:lvl>
    <w:lvl w:ilvl="2" w:tplc="B59CD080">
      <w:numFmt w:val="decimal"/>
      <w:lvlText w:val=""/>
      <w:lvlJc w:val="left"/>
    </w:lvl>
    <w:lvl w:ilvl="3" w:tplc="459CE024">
      <w:numFmt w:val="decimal"/>
      <w:lvlText w:val=""/>
      <w:lvlJc w:val="left"/>
    </w:lvl>
    <w:lvl w:ilvl="4" w:tplc="8AF8C140">
      <w:numFmt w:val="decimal"/>
      <w:lvlText w:val=""/>
      <w:lvlJc w:val="left"/>
    </w:lvl>
    <w:lvl w:ilvl="5" w:tplc="53E039B8">
      <w:numFmt w:val="decimal"/>
      <w:lvlText w:val=""/>
      <w:lvlJc w:val="left"/>
    </w:lvl>
    <w:lvl w:ilvl="6" w:tplc="B982434E">
      <w:numFmt w:val="decimal"/>
      <w:lvlText w:val=""/>
      <w:lvlJc w:val="left"/>
    </w:lvl>
    <w:lvl w:ilvl="7" w:tplc="96444818">
      <w:numFmt w:val="decimal"/>
      <w:lvlText w:val=""/>
      <w:lvlJc w:val="left"/>
    </w:lvl>
    <w:lvl w:ilvl="8" w:tplc="51EC1EAE">
      <w:numFmt w:val="decimal"/>
      <w:lvlText w:val=""/>
      <w:lvlJc w:val="left"/>
    </w:lvl>
  </w:abstractNum>
  <w:abstractNum w:abstractNumId="1" w15:restartNumberingAfterBreak="0">
    <w:nsid w:val="4EE01F54"/>
    <w:multiLevelType w:val="hybridMultilevel"/>
    <w:tmpl w:val="0B0894F4"/>
    <w:lvl w:ilvl="0" w:tplc="D812C7FC">
      <w:start w:val="1"/>
      <w:numFmt w:val="bullet"/>
      <w:lvlText w:val="●"/>
      <w:lvlJc w:val="left"/>
      <w:pPr>
        <w:ind w:left="720" w:hanging="360"/>
      </w:pPr>
    </w:lvl>
    <w:lvl w:ilvl="1" w:tplc="C22EF0B4">
      <w:start w:val="1"/>
      <w:numFmt w:val="bullet"/>
      <w:lvlText w:val="○"/>
      <w:lvlJc w:val="left"/>
      <w:pPr>
        <w:ind w:left="1440" w:hanging="360"/>
      </w:pPr>
    </w:lvl>
    <w:lvl w:ilvl="2" w:tplc="BF9C4040">
      <w:start w:val="1"/>
      <w:numFmt w:val="bullet"/>
      <w:lvlText w:val="■"/>
      <w:lvlJc w:val="left"/>
      <w:pPr>
        <w:ind w:left="2160" w:hanging="360"/>
      </w:pPr>
    </w:lvl>
    <w:lvl w:ilvl="3" w:tplc="4F1EC27E">
      <w:start w:val="1"/>
      <w:numFmt w:val="bullet"/>
      <w:lvlText w:val="●"/>
      <w:lvlJc w:val="left"/>
      <w:pPr>
        <w:ind w:left="2880" w:hanging="360"/>
      </w:pPr>
    </w:lvl>
    <w:lvl w:ilvl="4" w:tplc="E0641076">
      <w:start w:val="1"/>
      <w:numFmt w:val="bullet"/>
      <w:lvlText w:val="○"/>
      <w:lvlJc w:val="left"/>
      <w:pPr>
        <w:ind w:left="3600" w:hanging="360"/>
      </w:pPr>
    </w:lvl>
    <w:lvl w:ilvl="5" w:tplc="C074BFAC">
      <w:start w:val="1"/>
      <w:numFmt w:val="bullet"/>
      <w:lvlText w:val="■"/>
      <w:lvlJc w:val="left"/>
      <w:pPr>
        <w:ind w:left="4320" w:hanging="360"/>
      </w:pPr>
    </w:lvl>
    <w:lvl w:ilvl="6" w:tplc="C512001C">
      <w:start w:val="1"/>
      <w:numFmt w:val="bullet"/>
      <w:lvlText w:val="●"/>
      <w:lvlJc w:val="left"/>
      <w:pPr>
        <w:ind w:left="5040" w:hanging="360"/>
      </w:pPr>
    </w:lvl>
    <w:lvl w:ilvl="7" w:tplc="ADFC12F4">
      <w:start w:val="1"/>
      <w:numFmt w:val="bullet"/>
      <w:lvlText w:val="●"/>
      <w:lvlJc w:val="left"/>
      <w:pPr>
        <w:ind w:left="5760" w:hanging="360"/>
      </w:pPr>
    </w:lvl>
    <w:lvl w:ilvl="8" w:tplc="92B8172E">
      <w:start w:val="1"/>
      <w:numFmt w:val="bullet"/>
      <w:lvlText w:val="●"/>
      <w:lvlJc w:val="left"/>
      <w:pPr>
        <w:ind w:left="6480" w:hanging="360"/>
      </w:pPr>
    </w:lvl>
  </w:abstractNum>
  <w:abstractNum w:abstractNumId="2">
    <w:nsid w:val="5A1C3E77"/>
    <w:multiLevelType w:val="hybridMultilevel"/>
    <w:tmpl w:val="7B2E4C10"/>
    <w:lvl w:ilvl="0">
      <w:start w:val="1"/>
      <w:numFmt w:val="decimal"/>
      <w:lvlText w:val="%1."/>
      <w:lvlJc w:val="left"/>
      <w:pPr>
        <w:ind w:left="356" w:hanging="356"/>
      </w:pPr>
      <w:rPr>
        <w:rFonts w:ascii="Calibri" w:eastAsia="Calibri" w:hAnsi="Calibri" w:cs="Calibri"/>
        <w:b/>
        <w:bCs/>
        <w:color w:val="00498F"/>
        <w:sz w:val="19"/>
        <w:szCs w:val="19"/>
      </w:rPr>
    </w:lvl>
    <w:lvl w:ilvl="1">
      <w:start w:val="1"/>
      <w:numFmt w:val="decimal"/>
      <w:lvlText w:val="%2."/>
      <w:lvlJc w:val="left"/>
      <w:pPr>
        <w:ind w:left="716" w:hanging="356"/>
      </w:pPr>
    </w:lvl>
    <w:lvl w:ilvl="2">
      <w:start w:val="1"/>
      <w:numFmt w:val="decimal"/>
      <w:lvlText w:val="%3."/>
      <w:lvlJc w:val="left"/>
      <w:pPr>
        <w:ind w:left="1076" w:hanging="356"/>
      </w:pPr>
    </w:lvl>
    <w:lvl w:ilvl="3">
      <w:start w:val="1"/>
      <w:numFmt w:val="decimal"/>
      <w:lvlText w:val="%4."/>
      <w:lvlJc w:val="left"/>
      <w:pPr>
        <w:ind w:left="1436" w:hanging="356"/>
      </w:pPr>
    </w:lvl>
    <w:lvl w:ilvl="4">
      <w:start w:val="1"/>
      <w:numFmt w:val="decimal"/>
      <w:lvlText w:val="%5."/>
      <w:lvlJc w:val="left"/>
      <w:pPr>
        <w:ind w:left="1796" w:hanging="356"/>
      </w:pPr>
    </w:lvl>
    <w:lvl w:ilvl="5">
      <w:start w:val="1"/>
      <w:numFmt w:val="decimal"/>
      <w:lvlText w:val="%6."/>
      <w:lvlJc w:val="left"/>
      <w:pPr>
        <w:ind w:left="2156" w:hanging="356"/>
      </w:pPr>
    </w:lvl>
    <w:lvl w:ilvl="6">
      <w:start w:val="1"/>
      <w:numFmt w:val="decimal"/>
      <w:lvlText w:val="%7."/>
      <w:lvlJc w:val="left"/>
      <w:pPr>
        <w:ind w:left="2516" w:hanging="356"/>
      </w:pPr>
    </w:lvl>
    <w:lvl w:ilvl="7">
      <w:start w:val="1"/>
      <w:numFmt w:val="decimal"/>
      <w:lvlText w:val="%8."/>
      <w:lvlJc w:val="left"/>
      <w:pPr>
        <w:ind w:left="2876" w:hanging="356"/>
      </w:pPr>
    </w:lvl>
    <w:lvl w:ilvl="8">
      <w:start w:val="1"/>
      <w:numFmt w:val="decimal"/>
      <w:lvlText w:val="%9."/>
      <w:lvlJc w:val="left"/>
      <w:pPr>
        <w:ind w:left="3236" w:hanging="356"/>
      </w:pPr>
    </w:lvl>
  </w:abstractNum>
  <w:num w:numId="1" w16cid:durableId="1318262813">
    <w:abstractNumId w:val="1"/>
    <w:lvlOverride w:ilvl="0">
      <w:startOverride w:val="1"/>
    </w:lvlOverride>
  </w:num>
  <w:num w:numId="2" w16cid:durableId="427392447">
    <w:abstractNumId w:val="0"/>
    <w:lvlOverride w:ilvl="0">
      <w:startOverride w:val="1"/>
    </w:lvlOverride>
  </w:num>
  <w:num w:numId="3">
    <w:abstractNumId w:val="2"/>
    <w:lvlOverride w:ilvl="0">
      <w:startOverride w:val="1"/>
    </w:lvlOverride>
  </w:num>
  <w:num w:numId="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oNotDisplayPageBoundaries/>
  <w:displayBackgroundShape/>
  <w:bordersDoNotSurroundHeader/>
  <w:bordersDoNotSurroundFooter/>
  <w:defaultTabStop w:val="80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7CC5"/>
    <w:rsid w:val="0005736B"/>
    <w:rsid w:val="000A55CA"/>
    <w:rsid w:val="001C20AB"/>
    <w:rsid w:val="005C7CC5"/>
    <w:rsid w:val="008F3ECF"/>
    <w:rsid w:val="00C158DD"/>
    <w:rsid w:val="00D40D2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18A9130C"/>
  <w15:docId w15:val="{F5C110E9-C2A9-4745-B459-7684602C2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Theme="minorEastAsia" w:hAnsi="Calibri" w:cs="Calibri"/>
        <w:color w:val="222222"/>
        <w:sz w:val="19"/>
        <w:szCs w:val="19"/>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1263</Words>
  <Characters>7203</Characters>
  <Application>Microsoft Office Word</Application>
  <DocSecurity>0</DocSecurity>
  <Lines>60</Lines>
  <Paragraphs>16</Paragraphs>
  <ScaleCrop>false</ScaleCrop>
  <Company/>
  <LinksUpToDate>false</LinksUpToDate>
  <CharactersWithSpaces>8450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Lee Seongjae</cp:lastModifiedBy>
  <cp:revision>3</cp:revision>
  <dcterms:created xsi:type="dcterms:W3CDTF">2026-08-12T08:05:00Z</dcterms:created>
  <dcterms:modified xsi:type="dcterms:W3CDTF">2026-10-14T15:32:03Z</dcterms:modified>
  <dc:title>Research Briefing: ASEAN–China AI Cooperation: Where the ASEAN Foundation Can Contribute</dc:title>
</cp:coreProperties>
</file>