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0" w:type="dxa"/>
          <w:right w:w="0" w:type="dxa"/>
        </w:tblCellMar>
        <w:tblLook w:val="04A0" w:firstRow="1" w:lastRow="0" w:firstColumn="1" w:lastColumn="0" w:noHBand="0" w:noVBand="1"/>
      </w:tblPr>
      <w:tblGrid>
        <w:gridCol w:w="5000"/>
        <w:gridCol w:w="4740"/>
      </w:tblGrid>
      <w:tr w:rsidR="005C7CC5" w14:paraId="68A00669" w14:textId="77777777">
        <w:tc>
          <w:tcPr>
            <w:tcW w:w="5000" w:type="dxa"/>
            <w:vAlign w:val="bottom"/>
          </w:tcPr>
          <w:p w14:paraId="6C2DB77E" w14:textId="77777777" w:rsidR="005C7CC5" w:rsidRDefault="00000000">
            <w:r>
              <w:rPr>
                <w:noProof/>
              </w:rPr>
              <w:drawing>
                <wp:inline distT="0" distB="0" distL="0" distR="0" wp14:anchorId="13065488" wp14:editId="74E5992E">
                  <wp:extent cx="1066800" cy="4095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66800" cy="409575"/>
                          </a:xfrm>
                          <a:prstGeom prst="rect">
                            <a:avLst/>
                          </a:prstGeom>
                        </pic:spPr>
                      </pic:pic>
                    </a:graphicData>
                  </a:graphic>
                </wp:inline>
              </w:drawing>
            </w:r>
          </w:p>
        </w:tc>
        <w:tc>
          <w:tcPr>
            <w:tcW w:w="4740" w:type="dxa"/>
            <w:vAlign w:val="bottom"/>
          </w:tcPr>
          <w:p w14:paraId="30E552A3" w14:textId="74700D2E" w:rsidR="005C7CC5" w:rsidRDefault="005C7CC5">
            <w:pPr>
              <w:jc w:val="right"/>
            </w:pPr>
          </w:p>
        </w:tc>
      </w:tr>
    </w:tbl>
    <w:p w14:paraId="5E22EA1F" w14:textId="77777777" w:rsidR="005C7CC5" w:rsidRDefault="005C7CC5">
      <w:pPr>
        <w:pBdr>
          <w:bottom w:val="single" w:sz="8" w:space="1" w:color="00498F"/>
        </w:pBdr>
        <w:spacing w:before="120" w:after="60" w:line="20" w:lineRule="exact"/>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260" w:type="dxa"/>
          <w:left w:w="260" w:type="dxa"/>
          <w:bottom w:w="260" w:type="dxa"/>
          <w:right w:w="260" w:type="dxa"/>
        </w:tblCellMar>
        <w:tblLook w:val="04A0" w:firstRow="1" w:lastRow="0" w:firstColumn="1" w:lastColumn="0" w:noHBand="0" w:noVBand="1"/>
      </w:tblPr>
      <w:tblGrid>
        <w:gridCol w:w="9740"/>
      </w:tblGrid>
      <w:tr w:rsidR="005C7CC5" w14:paraId="3D6766BB" w14:textId="77777777">
        <w:tc>
          <w:tcPr>
            <w:tcW w:w="9740" w:type="dxa"/>
            <w:shd w:val="clear" w:color="auto" w:fill="00498F"/>
          </w:tcPr>
          <w:p w14:paraId="7C7C8A63" w14:textId="77777777" w:rsidR="005C7CC5" w:rsidRDefault="00000000">
            <w:pPr>
              <w:spacing w:after="60" w:line="300" w:lineRule="auto"/>
            </w:pPr>
            <w:r>
              <w:rPr>
                <w:rFonts w:eastAsia="Calibri"/>
                <w:b/>
                <w:bCs/>
                <w:color w:val="FFFFFF"/>
                <w:sz w:val="34"/>
                <w:szCs w:val="34"/>
              </w:rPr>
              <w:t>리서치 브리핑</w:t>
            </w:r>
          </w:p>
          <w:p w14:paraId="50D60414" w14:textId="77777777" w:rsidR="005C7CC5" w:rsidRDefault="00000000">
            <w:pPr>
              <w:spacing w:line="260" w:lineRule="auto"/>
            </w:pPr>
            <w:r>
              <w:rPr>
                <w:rFonts w:eastAsia="Calibri"/>
                <w:color w:val="A8CBEA"/>
              </w:rPr>
              <w:t>ASEAN–중국 AI 협력과 ASEAN Foundation의 기여 방안</w:t>
            </w:r>
          </w:p>
        </w:tc>
      </w:tr>
    </w:tbl>
    <w:p w14:paraId="42DCEA40" w14:textId="77777777" w:rsidR="005C7CC5" w:rsidRDefault="005C7CC5">
      <w:pPr>
        <w:spacing w:after="240"/>
      </w:pP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CellMar>
          <w:top w:w="90" w:type="dxa"/>
          <w:left w:w="106" w:type="dxa"/>
          <w:bottom w:w="90" w:type="dxa"/>
          <w:right w:w="106" w:type="dxa"/>
        </w:tblCellMar>
        <w:tblLook w:val="04A0" w:firstRow="1" w:lastRow="0" w:firstColumn="1" w:lastColumn="0" w:noHBand="0" w:noVBand="1"/>
      </w:tblPr>
      <w:tblGrid>
        <w:gridCol w:w="2392"/>
        <w:gridCol w:w="7348"/>
      </w:tblGrid>
      <w:tr>
        <w:trPr>
          <w:cantSplit/>
        </w:trPr>
        <w:tc>
          <w:tcPr>
            <w:tcW w:w="2392" w:type="dxa"/>
            <w:shd w:val="clear" w:color="auto" w:fill="EAF1F8"/>
          </w:tcPr>
          <w:p>
            <w:pPr>
              <w:spacing w:line="276" w:lineRule="auto"/>
            </w:pPr>
            <w:r>
              <w:rPr>
                <w:rFonts w:eastAsia="Calibri"/>
                <w:b/>
                <w:bCs/>
              </w:rPr>
              <w:t>목적</w:t>
            </w:r>
          </w:p>
        </w:tc>
        <w:tc>
          <w:tcPr>
            <w:tcW w:w="7348" w:type="dxa"/>
          </w:tcPr>
          <w:p>
            <w:pPr>
              <w:spacing w:line="276" w:lineRule="auto"/>
            </w:pPr>
            <w:r>
              <w:rPr>
                <w:rFonts w:eastAsia="Calibri"/>
              </w:rPr>
              <w:t>2026년 10월 ASEAN Foundation 중국 미션과 CIIS 라운드테이블 발언의 배경 자료</w:t>
            </w:r>
          </w:p>
        </w:tc>
      </w:tr>
      <w:tr>
        <w:trPr>
          <w:cantSplit/>
        </w:trPr>
        <w:tc>
          <w:tcPr>
            <w:tcW w:w="2392" w:type="dxa"/>
            <w:shd w:val="clear" w:color="auto" w:fill="EAF1F8"/>
          </w:tcPr>
          <w:p>
            <w:pPr>
              <w:spacing w:line="276" w:lineRule="auto"/>
            </w:pPr>
            <w:r>
              <w:rPr>
                <w:rFonts w:eastAsia="Calibri"/>
                <w:b/>
                <w:bCs/>
              </w:rPr>
              <w:t>작성일</w:t>
            </w:r>
          </w:p>
        </w:tc>
        <w:tc>
          <w:tcPr>
            <w:tcW w:w="7348" w:type="dxa"/>
          </w:tcPr>
          <w:p>
            <w:pPr>
              <w:spacing w:line="276" w:lineRule="auto"/>
            </w:pPr>
            <w:r>
              <w:rPr>
                <w:rFonts w:eastAsia="Calibri"/>
              </w:rPr>
              <w:t>2026년 10월 14일</w:t>
            </w:r>
          </w:p>
        </w:tc>
      </w:tr>
      <w:tr>
        <w:trPr>
          <w:cantSplit/>
        </w:trPr>
        <w:tc>
          <w:tcPr>
            <w:tcW w:w="2392" w:type="dxa"/>
            <w:shd w:val="clear" w:color="auto" w:fill="EAF1F8"/>
          </w:tcPr>
          <w:p>
            <w:pPr>
              <w:spacing w:line="276" w:lineRule="auto"/>
            </w:pPr>
            <w:r>
              <w:rPr>
                <w:rFonts w:eastAsia="Calibri"/>
                <w:b/>
                <w:bCs/>
              </w:rPr>
              <w:t>근거</w:t>
            </w:r>
          </w:p>
        </w:tc>
        <w:tc>
          <w:tcPr>
            <w:tcW w:w="7348" w:type="dxa"/>
          </w:tcPr>
          <w:p>
            <w:pPr>
              <w:spacing w:line="276" w:lineRule="auto"/>
            </w:pPr>
            <w:r>
              <w:rPr>
                <w:rFonts w:eastAsia="Calibri"/>
              </w:rPr>
              <w:t>2026년 10월 14일까지의 공개 자료·보도, 싱가포르 National Policy Convening 현지 이행 파트너의 내부 보고서</w:t>
            </w:r>
          </w:p>
        </w:tc>
      </w:tr>
    </w:tbl>
    <w:p>
      <w:pPr>
        <w:keepNext/>
        <w:spacing w:before="240" w:after="160" w:line="300" w:lineRule="auto"/>
      </w:pPr>
      <w:r>
        <w:rPr>
          <w:rFonts w:eastAsia="Calibri"/>
          <w:b/>
          <w:bCs/>
          <w:color w:val="00498F"/>
          <w:sz w:val="26"/>
          <w:szCs w:val="26"/>
        </w:rPr>
        <w:t>요약</w:t>
      </w:r>
    </w:p>
    <w:p>
      <w:pPr>
        <w:keepNext/>
        <w:spacing w:after="120" w:line="336" w:lineRule="auto"/>
        <w:jc w:val="both"/>
      </w:pPr>
      <w:r>
        <w:rPr>
          <w:rFonts w:eastAsia="Calibri"/>
          <w:b/>
          <w:bCs/>
        </w:rPr>
        <w:t>ASEAN–중국 AI 협력에서 ASEAN Foundation의 자리는 AI를 쓰는 사람과 기업, 그중에서도 연수가 실제 활용으로 이어지는 구간이다.</w:t>
      </w:r>
    </w:p>
    <w:p>
      <w:pPr>
        <w:pStyle w:val="a4"/>
        <w:numPr>
          <w:ilvl w:val="0"/>
          <w:numId w:val="3"/>
        </w:numPr>
        <w:spacing w:after="60" w:line="336" w:lineRule="auto"/>
        <w:jc w:val="both"/>
      </w:pPr>
      <w:r>
        <w:rPr>
          <w:rFonts w:eastAsia="Calibri"/>
          <w:b/>
          <w:bCs/>
        </w:rPr>
        <w:t>ASEAN–중국 AI 협력은 AI의 거의 전 층위로 넓어졌다.</w:t>
      </w:r>
      <w:r>
        <w:rPr>
          <w:rFonts w:eastAsia="Calibri"/>
        </w:rPr>
        <w:t xml:space="preserve"> 2년 만에 정상 공동성명에서 기관의 망으로 나아갔다. AI 장관급 라운드테이블, 베이징 AI 산업혁신센터, 난닝 AI 응용협력센터, 3개년 역량 강화 계획, 개도국 대상 AI 연수 5,000건 제안이 그것이다. 2027 ASEAN–중국 AI 협력의 해도 논의 중이다. 그러나 인재 사업은 연수 인원으로만 집계되고, 연수 뒤 사람들이 AI를 어떻게 쓰는지는 지원도 측정도 되지 않는다.</w:t>
      </w:r>
    </w:p>
    <w:p>
      <w:pPr>
        <w:pStyle w:val="a4"/>
        <w:numPr>
          <w:ilvl w:val="0"/>
          <w:numId w:val="3"/>
        </w:numPr>
        <w:spacing w:after="60" w:line="336" w:lineRule="auto"/>
        <w:jc w:val="both"/>
      </w:pPr>
      <w:r>
        <w:rPr>
          <w:rFonts w:eastAsia="Calibri"/>
          <w:b/>
          <w:bCs/>
        </w:rPr>
        <w:t>그 ‘연수 이후’가 공백이다.</w:t>
      </w:r>
      <w:r>
        <w:rPr>
          <w:rFonts w:eastAsia="Calibri"/>
        </w:rPr>
        <w:t xml:space="preserve"> 교사·시민·MSME를 위한 ASEAN 주도의 기술 중립적 사업은 협력에 연결되어 있지 않다. 학생의 72.4%, 교육자의 70.5%는 AI 강좌를 들은 적이 없다. 싱가포르 National Policy Convening은 정책 지원이 탄탄한 곳에서도 인식·실험·적용·확산 사이에서 지원이 끊기기 쉽다고 진단했다.</w:t>
      </w:r>
    </w:p>
    <w:p>
      <w:pPr>
        <w:pStyle w:val="a4"/>
        <w:numPr>
          <w:ilvl w:val="0"/>
          <w:numId w:val="3"/>
        </w:numPr>
        <w:spacing w:after="120" w:line="336" w:lineRule="auto"/>
        <w:jc w:val="both"/>
      </w:pPr>
      <w:r>
        <w:rPr>
          <w:rFonts w:eastAsia="Calibri"/>
          <w:b/>
          <w:bCs/>
        </w:rPr>
        <w:t>재단은 이 공백을 메울 자산을 갖추었다.</w:t>
      </w:r>
      <w:r>
        <w:rPr>
          <w:rFonts w:eastAsia="Calibri"/>
        </w:rPr>
        <w:t xml:space="preserve"> Master Trainer 3,000명 이상과 현지 파트너로 이뤄진 전달망, AI 준비도 연구와 Convening의 근거, 그리고 싱가포르 파트너가 권고한 역할(공통 ‘연수 이후 경로’, 공통 성과 지표, 지역 사례 교류. 합의 전)이다. 거버넌스 라운드테이블에서는 모델 시험 같은 공급 측 AI 안전에, 사람들이 AI를 책임 있게 쓰는 역량이라는 수요 측을 짝짓는 논리가 가장 설득력 있다.</w:t>
      </w:r>
    </w:p>
    <w:p>
      <w:pPr>
        <w:spacing w:after="120" w:line="336" w:lineRule="auto"/>
        <w:jc w:val="both"/>
      </w:pPr>
      <w:r>
        <w:rPr>
          <w:rFonts w:eastAsia="Calibri"/>
          <w:b/>
          <w:bCs/>
        </w:rPr>
        <w:t>권고.</w:t>
      </w:r>
      <w:r>
        <w:rPr>
          <w:rFonts w:eastAsia="Calibri"/>
        </w:rPr>
        <w:t xml:space="preserve"> MSME부터 간다. CIIS 발언으로 시작하고, 공동 사업을 제안하기 전에 근거와 측정부터 내놓는다. 교사 협력은 중국 측 Smart Education의 교사 포함 여부를 확인하고 SOM-ED에 알린 뒤 추진한다. 무엇을 제안하든 재원 제공자(Google.org·AVPN·ADB)의 허용 범위를 먼저 확인한다. 다음 분기점은 2026년 11월 마닐라 정상회의다.</w:t>
      </w:r>
    </w:p>
    <w:p>
      <w:pPr>
        <w:keepNext/>
        <w:spacing w:before="240" w:after="160" w:line="300" w:lineRule="auto"/>
      </w:pPr>
      <w:r>
        <w:rPr>
          <w:rFonts w:eastAsia="Calibri"/>
          <w:b/>
          <w:bCs/>
          <w:color w:val="00498F"/>
          <w:sz w:val="26"/>
          <w:szCs w:val="26"/>
        </w:rPr>
        <w:t>1. ASEAN–중국 AI 협력의 현재</w:t>
      </w:r>
    </w:p>
    <w:p>
      <w:pPr>
        <w:spacing w:after="120" w:line="336" w:lineRule="auto"/>
        <w:jc w:val="both"/>
      </w:pPr>
      <w:r>
        <w:rPr>
          <w:rFonts w:eastAsia="Calibri"/>
          <w:b/>
          <w:bCs/>
        </w:rPr>
        <w:t>2년 만에 원칙에서 기관으로.</w:t>
      </w:r>
      <w:r>
        <w:rPr>
          <w:rFonts w:eastAsia="Calibri"/>
        </w:rPr>
        <w:t xml:space="preserve"> 2024년 10월 ‘지속 가능하고 포용적인 디지털 생태계’ 공동성명은 AI 원칙·개발·안전·거버넌스의 모범사례 교류를 약속했다. 2026년 하반기에는 이 약속이 AI의 거의 전 층위에서 기관과 사업으로 이어졌고, 다음 단계인 AI 협력의 해가 논의되고 있다.</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60" w:type="dxa"/>
          <w:left w:w="106" w:type="dxa"/>
          <w:bottom w:w="60" w:type="dxa"/>
          <w:right w:w="106" w:type="dxa"/>
        </w:tblCellMar>
        <w:tblLook w:val="04A0" w:firstRow="1" w:lastRow="0" w:firstColumn="1" w:lastColumn="0" w:noHBand="0" w:noVBand="1"/>
      </w:tblPr>
      <w:tblGrid>
        <w:gridCol w:w="1366"/>
        <w:gridCol w:w="4664"/>
        <w:gridCol w:w="3710"/>
      </w:tblGrid>
      <w:tr>
        <w:trPr>
          <w:tblHeader/>
        </w:trPr>
        <w:tc>
          <w:tcPr>
            <w:tcW w:w="1366" w:type="dxa"/>
            <w:shd w:val="clear" w:color="auto" w:fill="00498F"/>
          </w:tcPr>
          <w:p>
            <w:pPr>
              <w:spacing w:line="276" w:lineRule="auto"/>
            </w:pPr>
            <w:r>
              <w:rPr>
                <w:rFonts w:eastAsia="Calibri"/>
                <w:b/>
                <w:bCs/>
                <w:color w:val="FFFFFF"/>
              </w:rPr>
              <w:t>시점</w:t>
            </w:r>
          </w:p>
        </w:tc>
        <w:tc>
          <w:tcPr>
            <w:tcW w:w="4664" w:type="dxa"/>
            <w:shd w:val="clear" w:color="auto" w:fill="00498F"/>
          </w:tcPr>
          <w:p>
            <w:pPr>
              <w:spacing w:line="276" w:lineRule="auto"/>
            </w:pPr>
            <w:r>
              <w:rPr>
                <w:rFonts w:eastAsia="Calibri"/>
                <w:b/>
                <w:bCs/>
                <w:color w:val="FFFFFF"/>
              </w:rPr>
              <w:t>사안</w:t>
            </w:r>
          </w:p>
        </w:tc>
        <w:tc>
          <w:tcPr>
            <w:tcW w:w="3710" w:type="dxa"/>
            <w:shd w:val="clear" w:color="auto" w:fill="00498F"/>
          </w:tcPr>
          <w:p>
            <w:pPr>
              <w:spacing w:line="276" w:lineRule="auto"/>
            </w:pPr>
            <w:r>
              <w:rPr>
                <w:rFonts w:eastAsia="Calibri"/>
                <w:b/>
                <w:bCs/>
                <w:color w:val="FFFFFF"/>
              </w:rPr>
              <w:t>의미</w:t>
            </w:r>
          </w:p>
        </w:tc>
      </w:tr>
      <w:tr>
        <w:trPr>
          <w:cantSplit/>
        </w:trPr>
        <w:tc>
          <w:tcPr>
            <w:tcW w:w="1366" w:type="dxa"/>
          </w:tcPr>
          <w:p>
            <w:pPr>
              <w:spacing w:line="276" w:lineRule="auto"/>
            </w:pPr>
            <w:r>
              <w:rPr>
                <w:rFonts w:eastAsia="Calibri"/>
              </w:rPr>
              <w:t>2024년 10월</w:t>
            </w:r>
          </w:p>
        </w:tc>
        <w:tc>
          <w:tcPr>
            <w:tcW w:w="4664" w:type="dxa"/>
          </w:tcPr>
          <w:p>
            <w:pPr>
              <w:spacing w:line="276" w:lineRule="auto"/>
            </w:pPr>
            <w:r>
              <w:rPr>
                <w:rFonts w:eastAsia="Calibri"/>
              </w:rPr>
              <w:t>제27차 ASEAN–중국 정상회의(비엔티안), 디지털 생태계 공동성명</w:t>
            </w:r>
          </w:p>
        </w:tc>
        <w:tc>
          <w:tcPr>
            <w:tcW w:w="3710" w:type="dxa"/>
          </w:tcPr>
          <w:p>
            <w:pPr>
              <w:spacing w:line="276" w:lineRule="auto"/>
            </w:pPr>
            <w:r>
              <w:rPr>
                <w:rFonts w:eastAsia="Calibri"/>
              </w:rPr>
              <w:t>AI 협력에 대한 정상 차원의 근거</w:t>
            </w:r>
          </w:p>
        </w:tc>
      </w:tr>
      <w:tr>
        <w:trPr>
          <w:cantSplit/>
        </w:trPr>
        <w:tc>
          <w:tcPr>
            <w:tcW w:w="1366" w:type="dxa"/>
          </w:tcPr>
          <w:p>
            <w:pPr>
              <w:spacing w:line="276" w:lineRule="auto"/>
            </w:pPr>
            <w:r>
              <w:rPr>
                <w:rFonts w:eastAsia="Calibri"/>
              </w:rPr>
              <w:t>2025년 9월</w:t>
            </w:r>
          </w:p>
        </w:tc>
        <w:tc>
          <w:tcPr>
            <w:tcW w:w="4664" w:type="dxa"/>
          </w:tcPr>
          <w:p>
            <w:pPr>
              <w:spacing w:line="276" w:lineRule="auto"/>
            </w:pPr>
            <w:r>
              <w:rPr>
                <w:rFonts w:eastAsia="Calibri"/>
              </w:rPr>
              <w:t>제1차 AI 장관급 라운드테이블(난닝), 중국 과학기술부의 ASEAN 대상 AI 역량 강화 3개년 행동계획(2025–2027)</w:t>
            </w:r>
          </w:p>
        </w:tc>
        <w:tc>
          <w:tcPr>
            <w:tcW w:w="3710" w:type="dxa"/>
          </w:tcPr>
          <w:p>
            <w:pPr>
              <w:spacing w:line="276" w:lineRule="auto"/>
            </w:pPr>
            <w:r>
              <w:rPr>
                <w:rFonts w:eastAsia="Calibri"/>
              </w:rPr>
              <w:t>장관급 트랙과 역량 강화 계획</w:t>
            </w:r>
          </w:p>
        </w:tc>
      </w:tr>
      <w:tr>
        <w:trPr>
          <w:cantSplit/>
        </w:trPr>
        <w:tc>
          <w:tcPr>
            <w:tcW w:w="1366" w:type="dxa"/>
          </w:tcPr>
          <w:p>
            <w:pPr>
              <w:spacing w:line="276" w:lineRule="auto"/>
            </w:pPr>
            <w:r>
              <w:rPr>
                <w:rFonts w:eastAsia="Calibri"/>
              </w:rPr>
              <w:t>2026년 1월</w:t>
            </w:r>
          </w:p>
        </w:tc>
        <w:tc>
          <w:tcPr>
            <w:tcW w:w="4664" w:type="dxa"/>
          </w:tcPr>
          <w:p>
            <w:pPr>
              <w:spacing w:line="276" w:lineRule="auto"/>
            </w:pPr>
            <w:r>
              <w:rPr>
                <w:rFonts w:eastAsia="Calibri"/>
              </w:rPr>
              <w:t>제6차 ASEAN 디지털장관회의(하노이): 중국과 협의, 2026–2030 행동계획</w:t>
            </w:r>
          </w:p>
        </w:tc>
        <w:tc>
          <w:tcPr>
            <w:tcW w:w="3710" w:type="dxa"/>
          </w:tcPr>
          <w:p>
            <w:pPr>
              <w:spacing w:line="276" w:lineRule="auto"/>
            </w:pPr>
            <w:r>
              <w:rPr>
                <w:rFonts w:eastAsia="Calibri"/>
              </w:rPr>
              <w:t>디지털 인재, 오픈소스 AI, AI 보안 거버넌스가 공동 의제로</w:t>
            </w:r>
          </w:p>
        </w:tc>
      </w:tr>
      <w:tr>
        <w:trPr>
          <w:cantSplit/>
        </w:trPr>
        <w:tc>
          <w:tcPr>
            <w:tcW w:w="1366" w:type="dxa"/>
          </w:tcPr>
          <w:p>
            <w:pPr>
              <w:spacing w:line="276" w:lineRule="auto"/>
            </w:pPr>
            <w:r>
              <w:rPr>
                <w:rFonts w:eastAsia="Calibri"/>
              </w:rPr>
              <w:t>2026년 5월</w:t>
            </w:r>
          </w:p>
        </w:tc>
        <w:tc>
          <w:tcPr>
            <w:tcW w:w="4664" w:type="dxa"/>
          </w:tcPr>
          <w:p>
            <w:pPr>
              <w:spacing w:line="276" w:lineRule="auto"/>
            </w:pPr>
            <w:r>
              <w:rPr>
                <w:rFonts w:eastAsia="Calibri"/>
              </w:rPr>
              <w:t>베이징 AI 산업혁신센터 출범</w:t>
            </w:r>
          </w:p>
        </w:tc>
        <w:tc>
          <w:tcPr>
            <w:tcW w:w="3710" w:type="dxa"/>
          </w:tcPr>
          <w:p>
            <w:pPr>
              <w:spacing w:line="276" w:lineRule="auto"/>
            </w:pPr>
            <w:r>
              <w:rPr>
                <w:rFonts w:eastAsia="Calibri"/>
              </w:rPr>
              <w:t>과제에 역내 역량 강화 포함. ASEAN 공무원·기업 직원·유학생 대상 연수</w:t>
            </w:r>
          </w:p>
        </w:tc>
      </w:tr>
      <w:tr>
        <w:trPr>
          <w:cantSplit/>
        </w:trPr>
        <w:tc>
          <w:tcPr>
            <w:tcW w:w="1366" w:type="dxa"/>
          </w:tcPr>
          <w:p>
            <w:pPr>
              <w:spacing w:line="276" w:lineRule="auto"/>
            </w:pPr>
            <w:r>
              <w:rPr>
                <w:rFonts w:eastAsia="Calibri"/>
              </w:rPr>
              <w:t>2026년 7월</w:t>
            </w:r>
          </w:p>
        </w:tc>
        <w:tc>
          <w:tcPr>
            <w:tcW w:w="4664" w:type="dxa"/>
          </w:tcPr>
          <w:p>
            <w:pPr>
              <w:spacing w:line="276" w:lineRule="auto"/>
            </w:pPr>
            <w:r>
              <w:rPr>
                <w:rFonts w:eastAsia="Calibri"/>
              </w:rPr>
              <w:t>ASEAN–중국 외교장관회의(마닐라), 2027 AI 협력의 해 제안에 유의</w:t>
            </w:r>
          </w:p>
        </w:tc>
        <w:tc>
          <w:tcPr>
            <w:tcW w:w="3710" w:type="dxa"/>
          </w:tcPr>
          <w:p>
            <w:pPr>
              <w:spacing w:line="276" w:lineRule="auto"/>
            </w:pPr>
            <w:r>
              <w:rPr>
                <w:rFonts w:eastAsia="Calibri"/>
              </w:rPr>
              <w:t>협력이 곧 가시적 성과물을 요구할 수 있음</w:t>
            </w:r>
          </w:p>
        </w:tc>
      </w:tr>
      <w:tr>
        <w:trPr>
          <w:cantSplit/>
        </w:trPr>
        <w:tc>
          <w:tcPr>
            <w:tcW w:w="1366" w:type="dxa"/>
          </w:tcPr>
          <w:p>
            <w:pPr>
              <w:spacing w:line="276" w:lineRule="auto"/>
            </w:pPr>
            <w:r>
              <w:rPr>
                <w:rFonts w:eastAsia="Calibri"/>
              </w:rPr>
              <w:t>2026년 7월</w:t>
            </w:r>
          </w:p>
        </w:tc>
        <w:tc>
          <w:tcPr>
            <w:tcW w:w="4664" w:type="dxa"/>
          </w:tcPr>
          <w:p>
            <w:pPr>
              <w:spacing w:line="276" w:lineRule="auto"/>
            </w:pPr>
            <w:r>
              <w:rPr>
                <w:rFonts w:eastAsia="Calibri"/>
              </w:rPr>
              <w:t>중국, 개도국에 5년간 AI 연수·세미나 5,000건 제안. Smart Education 역량 강화 사업 출범</w:t>
            </w:r>
          </w:p>
        </w:tc>
        <w:tc>
          <w:tcPr>
            <w:tcW w:w="3710" w:type="dxa"/>
          </w:tcPr>
          <w:p>
            <w:pPr>
              <w:spacing w:line="276" w:lineRule="auto"/>
            </w:pPr>
            <w:r>
              <w:rPr>
                <w:rFonts w:eastAsia="Calibri"/>
              </w:rPr>
              <w:t>대규모 연수. ASEAN 몫과 Smart Education의 세부 내용은 미공개</w:t>
            </w:r>
          </w:p>
        </w:tc>
      </w:tr>
      <w:tr>
        <w:trPr>
          <w:cantSplit/>
        </w:trPr>
        <w:tc>
          <w:tcPr>
            <w:tcW w:w="1366" w:type="dxa"/>
          </w:tcPr>
          <w:p>
            <w:pPr>
              <w:spacing w:line="276" w:lineRule="auto"/>
            </w:pPr>
            <w:r>
              <w:rPr>
                <w:rFonts w:eastAsia="Calibri"/>
              </w:rPr>
              <w:t>2026년 9월</w:t>
            </w:r>
          </w:p>
        </w:tc>
        <w:tc>
          <w:tcPr>
            <w:tcW w:w="4664" w:type="dxa"/>
          </w:tcPr>
          <w:p>
            <w:pPr>
              <w:spacing w:line="276" w:lineRule="auto"/>
            </w:pPr>
            <w:r>
              <w:rPr>
                <w:rFonts w:eastAsia="Calibri"/>
              </w:rPr>
              <w:t>제2차 AI 장관급 라운드테이블(난닝): ASEAN 대상 AI 윤리·안전 협력 이니셔티브, 사례집 31건</w:t>
            </w:r>
          </w:p>
        </w:tc>
        <w:tc>
          <w:tcPr>
            <w:tcW w:w="3710" w:type="dxa"/>
          </w:tcPr>
          <w:p>
            <w:pPr>
              <w:spacing w:line="276" w:lineRule="auto"/>
            </w:pPr>
            <w:r>
              <w:rPr>
                <w:rFonts w:eastAsia="Calibri"/>
              </w:rPr>
              <w:t>거버넌스·안전이 협력 의제에 들어옴. 세부 내용 미공개</w:t>
            </w:r>
          </w:p>
        </w:tc>
      </w:tr>
      <w:tr>
        <w:trPr>
          <w:cantSplit/>
        </w:trPr>
        <w:tc>
          <w:tcPr>
            <w:tcW w:w="1366" w:type="dxa"/>
          </w:tcPr>
          <w:p>
            <w:pPr>
              <w:spacing w:line="276" w:lineRule="auto"/>
            </w:pPr>
            <w:r>
              <w:rPr>
                <w:rFonts w:eastAsia="Calibri"/>
              </w:rPr>
              <w:t>2026년 11월</w:t>
            </w:r>
          </w:p>
        </w:tc>
        <w:tc>
          <w:tcPr>
            <w:tcW w:w="4664" w:type="dxa"/>
          </w:tcPr>
          <w:p>
            <w:pPr>
              <w:spacing w:line="276" w:lineRule="auto"/>
            </w:pPr>
            <w:r>
              <w:rPr>
                <w:rFonts w:eastAsia="Calibri"/>
              </w:rPr>
              <w:t>마닐라 정상회의</w:t>
            </w:r>
          </w:p>
        </w:tc>
        <w:tc>
          <w:tcPr>
            <w:tcW w:w="3710" w:type="dxa"/>
          </w:tcPr>
          <w:p>
            <w:pPr>
              <w:spacing w:line="276" w:lineRule="auto"/>
            </w:pPr>
            <w:r>
              <w:rPr>
                <w:rFonts w:eastAsia="Calibri"/>
              </w:rPr>
              <w:t>AI 협력의 해와 ‘AI 기반 MSME 성장’ 정상 선언의 채택 여부 결정</w:t>
            </w:r>
          </w:p>
        </w:tc>
      </w:tr>
    </w:tbl>
    <w:p>
      <w:pPr>
        <w:spacing w:after="60" w:line="120" w:lineRule="auto"/>
      </w:pP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60" w:type="dxa"/>
          <w:left w:w="106" w:type="dxa"/>
          <w:bottom w:w="60" w:type="dxa"/>
          <w:right w:w="106" w:type="dxa"/>
        </w:tblCellMar>
        <w:tblLook w:val="04A0" w:firstRow="1" w:lastRow="0" w:firstColumn="1" w:lastColumn="0" w:noHBand="0" w:noVBand="1"/>
      </w:tblPr>
      <w:tblGrid>
        <w:gridCol w:w="946"/>
        <w:gridCol w:w="3408"/>
        <w:gridCol w:w="3264"/>
        <w:gridCol w:w="2122"/>
      </w:tblGrid>
      <w:tr>
        <w:trPr>
          <w:tblHeader/>
        </w:trPr>
        <w:tc>
          <w:tcPr>
            <w:tcW w:w="946" w:type="dxa"/>
            <w:shd w:val="clear" w:color="auto" w:fill="00498F"/>
          </w:tcPr>
          <w:p>
            <w:pPr>
              <w:spacing w:line="276" w:lineRule="auto"/>
            </w:pPr>
            <w:r>
              <w:rPr>
                <w:rFonts w:eastAsia="Calibri"/>
                <w:b/>
                <w:bCs/>
                <w:color w:val="FFFFFF"/>
                <w:sz w:val="17"/>
                <w:szCs w:val="17"/>
              </w:rPr>
              <w:t>AI 층위</w:t>
            </w:r>
          </w:p>
        </w:tc>
        <w:tc>
          <w:tcPr>
            <w:tcW w:w="3408" w:type="dxa"/>
            <w:shd w:val="clear" w:color="auto" w:fill="00498F"/>
          </w:tcPr>
          <w:p>
            <w:pPr>
              <w:spacing w:line="276" w:lineRule="auto"/>
            </w:pPr>
            <w:r>
              <w:rPr>
                <w:rFonts w:eastAsia="Calibri"/>
                <w:b/>
                <w:bCs/>
                <w:color w:val="FFFFFF"/>
                <w:sz w:val="17"/>
                <w:szCs w:val="17"/>
              </w:rPr>
              <w:t>ASEAN 자체 체계</w:t>
            </w:r>
          </w:p>
        </w:tc>
        <w:tc>
          <w:tcPr>
            <w:tcW w:w="3264" w:type="dxa"/>
            <w:shd w:val="clear" w:color="auto" w:fill="00498F"/>
          </w:tcPr>
          <w:p>
            <w:pPr>
              <w:spacing w:line="276" w:lineRule="auto"/>
            </w:pPr>
            <w:r>
              <w:rPr>
                <w:rFonts w:eastAsia="Calibri"/>
                <w:b/>
                <w:bCs/>
                <w:color w:val="FFFFFF"/>
                <w:sz w:val="17"/>
                <w:szCs w:val="17"/>
              </w:rPr>
              <w:t>ASEAN–중국 협력</w:t>
            </w:r>
          </w:p>
        </w:tc>
        <w:tc>
          <w:tcPr>
            <w:tcW w:w="2122" w:type="dxa"/>
            <w:shd w:val="clear" w:color="auto" w:fill="00498F"/>
          </w:tcPr>
          <w:p>
            <w:pPr>
              <w:spacing w:line="276" w:lineRule="auto"/>
            </w:pPr>
            <w:r>
              <w:rPr>
                <w:rFonts w:eastAsia="Calibri"/>
                <w:b/>
                <w:bCs/>
                <w:color w:val="FFFFFF"/>
                <w:sz w:val="17"/>
                <w:szCs w:val="17"/>
              </w:rPr>
              <w:t>중국 측 주관</w:t>
            </w:r>
          </w:p>
        </w:tc>
      </w:tr>
      <w:tr>
        <w:trPr>
          <w:cantSplit/>
        </w:trPr>
        <w:tc>
          <w:tcPr>
            <w:tcW w:w="946" w:type="dxa"/>
          </w:tcPr>
          <w:p>
            <w:pPr>
              <w:spacing w:line="276" w:lineRule="auto"/>
            </w:pPr>
            <w:r>
              <w:rPr>
                <w:rFonts w:eastAsia="Calibri"/>
                <w:sz w:val="17"/>
                <w:szCs w:val="17"/>
              </w:rPr>
              <w:t>거버넌스·안전</w:t>
            </w:r>
          </w:p>
        </w:tc>
        <w:tc>
          <w:tcPr>
            <w:tcW w:w="3408" w:type="dxa"/>
          </w:tcPr>
          <w:p>
            <w:pPr>
              <w:spacing w:line="276" w:lineRule="auto"/>
            </w:pPr>
            <w:r>
              <w:rPr>
                <w:rFonts w:eastAsia="Calibri"/>
                <w:sz w:val="17"/>
                <w:szCs w:val="17"/>
              </w:rPr>
              <w:t>ASEAN AI 거버넌스·윤리 가이드(2024, 2025년 생성형 AI 확장), Responsible AI Roadmap 2025–2030, ASEAN AI Safe</w:t>
            </w:r>
          </w:p>
        </w:tc>
        <w:tc>
          <w:tcPr>
            <w:tcW w:w="3264" w:type="dxa"/>
          </w:tcPr>
          <w:p>
            <w:pPr>
              <w:spacing w:line="276" w:lineRule="auto"/>
            </w:pPr>
            <w:r>
              <w:rPr>
                <w:rFonts w:eastAsia="Calibri"/>
                <w:sz w:val="17"/>
                <w:szCs w:val="17"/>
              </w:rPr>
              <w:t>AI 장관급 라운드테이블, AI 윤리·안전 이니셔티브(2026), CIIS 라운드테이블</w:t>
            </w:r>
          </w:p>
        </w:tc>
        <w:tc>
          <w:tcPr>
            <w:tcW w:w="2122" w:type="dxa"/>
          </w:tcPr>
          <w:p>
            <w:pPr>
              <w:spacing w:line="276" w:lineRule="auto"/>
            </w:pPr>
            <w:r>
              <w:rPr>
                <w:rFonts w:eastAsia="Calibri"/>
                <w:sz w:val="17"/>
                <w:szCs w:val="17"/>
              </w:rPr>
              <w:t>국가발전개혁위원회(NDRC)·광시, 외교부·CIIS</w:t>
            </w:r>
          </w:p>
        </w:tc>
      </w:tr>
      <w:tr>
        <w:trPr>
          <w:cantSplit/>
        </w:trPr>
        <w:tc>
          <w:tcPr>
            <w:tcW w:w="946" w:type="dxa"/>
          </w:tcPr>
          <w:p>
            <w:pPr>
              <w:spacing w:line="276" w:lineRule="auto"/>
            </w:pPr>
            <w:r>
              <w:rPr>
                <w:rFonts w:eastAsia="Calibri"/>
                <w:sz w:val="17"/>
                <w:szCs w:val="17"/>
              </w:rPr>
              <w:t>산업 응용</w:t>
            </w:r>
          </w:p>
        </w:tc>
        <w:tc>
          <w:tcPr>
            <w:tcW w:w="3408" w:type="dxa"/>
          </w:tcPr>
          <w:p>
            <w:pPr>
              <w:spacing w:line="276" w:lineRule="auto"/>
            </w:pPr>
            <w:r>
              <w:rPr>
                <w:rFonts w:eastAsia="Calibri"/>
                <w:sz w:val="17"/>
                <w:szCs w:val="17"/>
              </w:rPr>
              <w:t>ASEAN Digital Masterplan 2030, ‘AI 기반 MSME 성장’ 정상 선언(추진 중)</w:t>
            </w:r>
          </w:p>
        </w:tc>
        <w:tc>
          <w:tcPr>
            <w:tcW w:w="3264" w:type="dxa"/>
          </w:tcPr>
          <w:p>
            <w:pPr>
              <w:spacing w:line="276" w:lineRule="auto"/>
            </w:pPr>
            <w:r>
              <w:rPr>
                <w:rFonts w:eastAsia="Calibri"/>
                <w:sz w:val="17"/>
                <w:szCs w:val="17"/>
              </w:rPr>
              <w:t>베이징 혁신센터와 광시 분원, 난닝 응용협력센터(베트남·라오스·말레이시아 사무소)</w:t>
            </w:r>
          </w:p>
        </w:tc>
        <w:tc>
          <w:tcPr>
            <w:tcW w:w="2122" w:type="dxa"/>
          </w:tcPr>
          <w:p>
            <w:pPr>
              <w:spacing w:line="276" w:lineRule="auto"/>
            </w:pPr>
            <w:r>
              <w:rPr>
                <w:rFonts w:eastAsia="Calibri"/>
                <w:sz w:val="17"/>
                <w:szCs w:val="17"/>
              </w:rPr>
              <w:t>공업정보화부(MIIT), NDRC·광시</w:t>
            </w:r>
          </w:p>
        </w:tc>
      </w:tr>
      <w:tr>
        <w:trPr>
          <w:cantSplit/>
        </w:trPr>
        <w:tc>
          <w:tcPr>
            <w:tcW w:w="946" w:type="dxa"/>
          </w:tcPr>
          <w:p>
            <w:pPr>
              <w:spacing w:line="276" w:lineRule="auto"/>
            </w:pPr>
            <w:r>
              <w:rPr>
                <w:rFonts w:eastAsia="Calibri"/>
                <w:sz w:val="17"/>
                <w:szCs w:val="17"/>
              </w:rPr>
              <w:t>인재</w:t>
            </w:r>
          </w:p>
        </w:tc>
        <w:tc>
          <w:tcPr>
            <w:tcW w:w="3408" w:type="dxa"/>
          </w:tcPr>
          <w:p>
            <w:pPr>
              <w:spacing w:line="276" w:lineRule="auto"/>
            </w:pPr>
            <w:r>
              <w:rPr>
                <w:rFonts w:eastAsia="Calibri"/>
                <w:sz w:val="17"/>
                <w:szCs w:val="17"/>
              </w:rPr>
              <w:t>하노이 디지털 선언(미래 디지털 인력)</w:t>
            </w:r>
          </w:p>
        </w:tc>
        <w:tc>
          <w:tcPr>
            <w:tcW w:w="3264" w:type="dxa"/>
          </w:tcPr>
          <w:p>
            <w:pPr>
              <w:spacing w:line="276" w:lineRule="auto"/>
            </w:pPr>
            <w:r>
              <w:rPr>
                <w:rFonts w:eastAsia="Calibri"/>
                <w:sz w:val="17"/>
                <w:szCs w:val="17"/>
              </w:rPr>
              <w:t>3개년 계획, 혁신센터 연수, 연수 5,000건, Digital Academy, Smart Education</w:t>
            </w:r>
          </w:p>
        </w:tc>
        <w:tc>
          <w:tcPr>
            <w:tcW w:w="2122" w:type="dxa"/>
          </w:tcPr>
          <w:p>
            <w:pPr>
              <w:spacing w:line="276" w:lineRule="auto"/>
            </w:pPr>
            <w:r>
              <w:rPr>
                <w:rFonts w:eastAsia="Calibri"/>
                <w:sz w:val="17"/>
                <w:szCs w:val="17"/>
              </w:rPr>
              <w:t>외교부, 과학기술부, MIIT, 교육부</w:t>
            </w:r>
          </w:p>
        </w:tc>
      </w:tr>
      <w:tr>
        <w:trPr>
          <w:cantSplit/>
        </w:trPr>
        <w:tc>
          <w:tcPr>
            <w:tcW w:w="946" w:type="dxa"/>
          </w:tcPr>
          <w:p>
            <w:pPr>
              <w:spacing w:line="276" w:lineRule="auto"/>
            </w:pPr>
            <w:r>
              <w:rPr>
                <w:rFonts w:eastAsia="Calibri"/>
                <w:sz w:val="17"/>
                <w:szCs w:val="17"/>
              </w:rPr>
              <w:t>언어·데이터</w:t>
            </w:r>
          </w:p>
        </w:tc>
        <w:tc>
          <w:tcPr>
            <w:tcW w:w="3408" w:type="dxa"/>
          </w:tcPr>
          <w:p>
            <w:pPr>
              <w:spacing w:line="276" w:lineRule="auto"/>
            </w:pPr>
            <w:r>
              <w:rPr>
                <w:rFonts w:eastAsia="Calibri"/>
                <w:sz w:val="17"/>
                <w:szCs w:val="17"/>
              </w:rPr>
              <w:t>역내 언어모델(예: SEA-LION, 역내 11개 언어)</w:t>
            </w:r>
          </w:p>
        </w:tc>
        <w:tc>
          <w:tcPr>
            <w:tcW w:w="3264" w:type="dxa"/>
          </w:tcPr>
          <w:p>
            <w:pPr>
              <w:spacing w:line="276" w:lineRule="auto"/>
            </w:pPr>
            <w:r>
              <w:rPr>
                <w:rFonts w:eastAsia="Calibri"/>
                <w:sz w:val="17"/>
                <w:szCs w:val="17"/>
              </w:rPr>
              <w:t>라오스 국가 언어모델, ASEAN AI 오픈소스 커뮤니티</w:t>
            </w:r>
          </w:p>
        </w:tc>
        <w:tc>
          <w:tcPr>
            <w:tcW w:w="2122" w:type="dxa"/>
          </w:tcPr>
          <w:p>
            <w:pPr>
              <w:spacing w:line="276" w:lineRule="auto"/>
            </w:pPr>
            <w:r>
              <w:rPr>
                <w:rFonts w:eastAsia="Calibri"/>
                <w:sz w:val="17"/>
                <w:szCs w:val="17"/>
              </w:rPr>
              <w:t>NDRC·광시, MIIT</w:t>
            </w:r>
          </w:p>
        </w:tc>
      </w:tr>
    </w:tbl>
    <w:p>
      <w:pPr>
        <w:spacing w:after="60" w:line="120" w:lineRule="auto"/>
      </w:pPr>
    </w:p>
    <w:p>
      <w:pPr>
        <w:keepNext/>
        <w:spacing w:after="120" w:line="336" w:lineRule="auto"/>
        <w:jc w:val="both"/>
      </w:pPr>
      <w:r>
        <w:rPr>
          <w:rFonts w:eastAsia="Calibri"/>
          <w:b/>
          <w:bCs/>
          <w:color w:val="0F63A8"/>
        </w:rPr>
        <w:t>[판단]</w:t>
      </w:r>
      <w:r>
        <w:rPr>
          <w:rFonts w:eastAsia="Calibri"/>
        </w:rPr>
        <w:t xml:space="preserve"> 재단에 중요한 점은 네 가지다.</w:t>
      </w:r>
    </w:p>
    <w:p>
      <w:pPr>
        <w:pStyle w:val="a4"/>
        <w:numPr>
          <w:ilvl w:val="0"/>
          <w:numId w:val="4"/>
        </w:numPr>
        <w:spacing w:after="60" w:line="336" w:lineRule="auto"/>
        <w:jc w:val="both"/>
      </w:pPr>
      <w:r>
        <w:rPr>
          <w:rFonts w:eastAsia="Calibri"/>
          <w:b/>
          <w:bCs/>
        </w:rPr>
        <w:t>중국은 묶음을, ASEAN은 비구속적 규범을 내놓는다.</w:t>
      </w:r>
      <w:r>
        <w:rPr>
          <w:rFonts w:eastAsia="Calibri"/>
        </w:rPr>
        <w:t xml:space="preserve"> 중국은 인프라·산업·인재·표준을 한꺼번에 제시한다. ASEAN의 체계는 비구속적이고 회원국이 각자 속도로 이행하며, ASEAN AI Safe는 공동 기제가 아니라 ASEAN 내부 기제다. ASEAN 측 기구가 자기 콘텐츠를 들고 가지 않으면 협력은 중국이 내놓는 것으로 채워진다.</w:t>
      </w:r>
    </w:p>
    <w:p>
      <w:pPr>
        <w:pStyle w:val="a4"/>
        <w:numPr>
          <w:ilvl w:val="0"/>
          <w:numId w:val="4"/>
        </w:numPr>
        <w:spacing w:after="60" w:line="336" w:lineRule="auto"/>
        <w:jc w:val="both"/>
      </w:pPr>
      <w:r>
        <w:rPr>
          <w:rFonts w:eastAsia="Calibri"/>
          <w:b/>
          <w:bCs/>
        </w:rPr>
        <w:t>중국 측 상대는 하나가 아니다.</w:t>
      </w:r>
      <w:r>
        <w:rPr>
          <w:rFonts w:eastAsia="Calibri"/>
        </w:rPr>
        <w:t xml:space="preserve"> 채널이 NDRC·광시, MIIT, 과학기술부, 교육부, 외교부로 나뉘어 있다. 제안마다 경로가 달라야 한다. MSME는 ACCMSME, 교육은 SOM-ED, 거버넌스는 ASEAN 사무국을 거친다.</w:t>
      </w:r>
    </w:p>
    <w:p>
      <w:pPr>
        <w:pStyle w:val="a4"/>
        <w:numPr>
          <w:ilvl w:val="0"/>
          <w:numId w:val="4"/>
        </w:numPr>
        <w:spacing w:after="60" w:line="336" w:lineRule="auto"/>
        <w:jc w:val="both"/>
      </w:pPr>
      <w:r>
        <w:rPr>
          <w:rFonts w:eastAsia="Calibri"/>
          <w:b/>
          <w:bCs/>
        </w:rPr>
        <w:t>인재는 세기만 하고 이후를 따라가지 않는다.</w:t>
      </w:r>
      <w:r>
        <w:rPr>
          <w:rFonts w:eastAsia="Calibri"/>
        </w:rPr>
        <w:t xml:space="preserve"> 연수 제안은 인원과 대상으로만 제시된다. 연수 뒤 AI 활용을 어떻게 돕고 성과를 어떻게 재는지는 어디에도 없다. 교사·시민·MSME는 주로 기업·플랫폼 과정에 맡겨져 있다.</w:t>
      </w:r>
    </w:p>
    <w:p>
      <w:pPr>
        <w:pStyle w:val="a4"/>
        <w:numPr>
          <w:ilvl w:val="0"/>
          <w:numId w:val="4"/>
        </w:numPr>
        <w:spacing w:after="120" w:line="336" w:lineRule="auto"/>
        <w:jc w:val="both"/>
      </w:pPr>
      <w:r>
        <w:rPr>
          <w:rFonts w:eastAsia="Calibri"/>
          <w:b/>
          <w:bCs/>
        </w:rPr>
        <w:t>내용은 아직 설계 중이다.</w:t>
      </w:r>
      <w:r>
        <w:rPr>
          <w:rFonts w:eastAsia="Calibri"/>
        </w:rPr>
        <w:t xml:space="preserve"> 윤리·안전 이니셔티브, 혁신센터 과정, Smart Education의 세부 내용은 공개되지 않았고, AI 협력의 해가 채택되면 성과물이 필요하다. 사람들의 AI 활용 역량에 관한 ASEAN 소유의 기술 중립적 콘텐츠를 올려놓을 때가 지금이다.</w:t>
      </w:r>
    </w:p>
    <w:p>
      <w:pPr>
        <w:spacing w:after="120" w:line="336" w:lineRule="auto"/>
        <w:jc w:val="both"/>
      </w:pPr>
      <w:r>
        <w:rPr>
          <w:rFonts w:eastAsia="Calibri"/>
        </w:rPr>
        <w:t>CIIS는 중국 외교부 산하이므로, 라운드테이블 발언은 중국 정부에 전달된다는 전제로 준비한다.</w:t>
      </w:r>
    </w:p>
    <w:p>
      <w:pPr>
        <w:keepNext/>
        <w:spacing w:before="240" w:after="160" w:line="300" w:lineRule="auto"/>
      </w:pPr>
      <w:r>
        <w:rPr>
          <w:rFonts w:eastAsia="Calibri"/>
          <w:b/>
          <w:bCs/>
          <w:color w:val="00498F"/>
          <w:sz w:val="26"/>
          <w:szCs w:val="26"/>
        </w:rPr>
        <w:t>2. 공백: 연수 이후</w:t>
      </w:r>
    </w:p>
    <w:p>
      <w:pPr>
        <w:keepNext/>
        <w:spacing w:after="120" w:line="336" w:lineRule="auto"/>
        <w:jc w:val="both"/>
      </w:pPr>
      <w:r>
        <w:rPr>
          <w:rFonts w:eastAsia="Calibri"/>
        </w:rPr>
        <w:t>근거는 같은 단절을 가리킨다. 연수는 받지만, 업무에서 AI를 계속 쓰는 데까지 가지 못한다.</w:t>
      </w:r>
    </w:p>
    <w:p>
      <w:pPr>
        <w:pStyle w:val="a4"/>
        <w:numPr>
          <w:ilvl w:val="0"/>
          <w:numId w:val="2"/>
        </w:numPr>
        <w:spacing w:after="60" w:line="336" w:lineRule="auto"/>
        <w:jc w:val="both"/>
      </w:pPr>
      <w:r>
        <w:rPr>
          <w:rFonts w:eastAsia="Calibri"/>
          <w:b/>
          <w:bCs/>
        </w:rPr>
        <w:t>준비도가 낮다.</w:t>
      </w:r>
      <w:r>
        <w:rPr>
          <w:rFonts w:eastAsia="Calibri"/>
        </w:rPr>
        <w:t xml:space="preserve"> 학생의 72.4%, 교육자의 70.5%는 AI 강좌를 들은 적이 없다. 교육자의 실측 AI 리터러시는 자신감에 못 미치고, 기관 준비도가 가장 낮으며, 도농 격차도 뚜렷하다(AI Ready ASEAN Research, 2026).</w:t>
      </w:r>
    </w:p>
    <w:p>
      <w:pPr>
        <w:pStyle w:val="a4"/>
        <w:numPr>
          <w:ilvl w:val="0"/>
          <w:numId w:val="2"/>
        </w:numPr>
        <w:spacing w:after="60" w:line="336" w:lineRule="auto"/>
        <w:jc w:val="both"/>
      </w:pPr>
      <w:r>
        <w:rPr>
          <w:rFonts w:eastAsia="Calibri"/>
          <w:b/>
          <w:bCs/>
        </w:rPr>
        <w:t>지원이 탄탄해도 공백은 남는다.</w:t>
      </w:r>
      <w:r>
        <w:rPr>
          <w:rFonts w:eastAsia="Calibri"/>
        </w:rPr>
        <w:t xml:space="preserve"> 싱가포르의 2025년 AI 도입률은 중소기업 23.4%, 그 외 기업 70.4%다(IMDA). 싱가포르 Convening(2026년 9월 15일)은 도구 접근이 곧 사업 통합은 아니라고 진단했다. 준비가 되려면 리더의 분명한 방향, 쓸 수 있는 데이터, 맞는 업무 흐름, 역량 있는 직원이 함께 필요하다. 지원은 인식·실험·적용·확산 사이에서 끊기며, 시간·기술 리터러시·예산의 제약은 영세기업이 가장 크다.</w:t>
      </w:r>
    </w:p>
    <w:p>
      <w:pPr>
        <w:pStyle w:val="a4"/>
        <w:numPr>
          <w:ilvl w:val="0"/>
          <w:numId w:val="2"/>
        </w:numPr>
        <w:spacing w:after="60" w:line="336" w:lineRule="auto"/>
        <w:jc w:val="both"/>
      </w:pPr>
      <w:r>
        <w:rPr>
          <w:rFonts w:eastAsia="Calibri"/>
          <w:b/>
          <w:bCs/>
        </w:rPr>
        <w:t>파트너 보고서는 이를 세 가지 과제로 요약했다.</w:t>
      </w:r>
      <w:r>
        <w:rPr>
          <w:rFonts w:eastAsia="Calibri"/>
        </w:rPr>
        <w:t xml:space="preserve"> 연수를 실행으로 잇기, AI-bilingual 팀 구축, 책임 있는 사용과 사업 성과 측정이다.</w:t>
      </w:r>
    </w:p>
    <w:p>
      <w:pPr>
        <w:pStyle w:val="a4"/>
        <w:numPr>
          <w:ilvl w:val="0"/>
          <w:numId w:val="2"/>
        </w:numPr>
        <w:spacing w:after="120" w:line="336" w:lineRule="auto"/>
        <w:jc w:val="both"/>
      </w:pPr>
      <w:r>
        <w:rPr>
          <w:rFonts w:eastAsia="Calibri"/>
          <w:b/>
          <w:bCs/>
        </w:rPr>
        <w:t>다른 곳의 장벽은 더 기초적이다.</w:t>
      </w:r>
      <w:r>
        <w:rPr>
          <w:rFonts w:eastAsia="Calibri"/>
        </w:rPr>
        <w:t xml:space="preserve"> 인도네시아 Convening은 디지털·금융 리터러시 격차를 짚었다.</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60" w:type="dxa"/>
          <w:left w:w="106" w:type="dxa"/>
          <w:bottom w:w="60" w:type="dxa"/>
          <w:right w:w="106" w:type="dxa"/>
        </w:tblCellMar>
        <w:tblLook w:val="04A0" w:firstRow="1" w:lastRow="0" w:firstColumn="1" w:lastColumn="0" w:noHBand="0" w:noVBand="1"/>
      </w:tblPr>
      <w:tblGrid>
        <w:gridCol w:w="1523"/>
        <w:gridCol w:w="2681"/>
        <w:gridCol w:w="2224"/>
        <w:gridCol w:w="3312"/>
      </w:tblGrid>
      <w:tr>
        <w:trPr>
          <w:tblHeader/>
        </w:trPr>
        <w:tc>
          <w:tcPr>
            <w:tcW w:w="1523" w:type="dxa"/>
            <w:shd w:val="clear" w:color="auto" w:fill="00498F"/>
          </w:tcPr>
          <w:p>
            <w:pPr>
              <w:spacing w:line="276" w:lineRule="auto"/>
            </w:pPr>
            <w:r>
              <w:rPr>
                <w:rFonts w:eastAsia="Calibri"/>
                <w:b/>
                <w:bCs/>
                <w:color w:val="FFFFFF"/>
                <w:sz w:val="17"/>
                <w:szCs w:val="17"/>
              </w:rPr>
              <w:t>단계</w:t>
            </w:r>
          </w:p>
        </w:tc>
        <w:tc>
          <w:tcPr>
            <w:tcW w:w="2681" w:type="dxa"/>
            <w:shd w:val="clear" w:color="auto" w:fill="00498F"/>
          </w:tcPr>
          <w:p>
            <w:pPr>
              <w:spacing w:line="276" w:lineRule="auto"/>
            </w:pPr>
            <w:r>
              <w:rPr>
                <w:rFonts w:eastAsia="Calibri"/>
                <w:b/>
                <w:bCs/>
                <w:color w:val="FFFFFF"/>
                <w:sz w:val="17"/>
                <w:szCs w:val="17"/>
              </w:rPr>
              <w:t>끊기는 지점</w:t>
            </w:r>
          </w:p>
        </w:tc>
        <w:tc>
          <w:tcPr>
            <w:tcW w:w="2224" w:type="dxa"/>
            <w:shd w:val="clear" w:color="auto" w:fill="00498F"/>
          </w:tcPr>
          <w:p>
            <w:pPr>
              <w:spacing w:line="276" w:lineRule="auto"/>
            </w:pPr>
            <w:r>
              <w:rPr>
                <w:rFonts w:eastAsia="Calibri"/>
                <w:b/>
                <w:bCs/>
                <w:color w:val="FFFFFF"/>
                <w:sz w:val="17"/>
                <w:szCs w:val="17"/>
              </w:rPr>
              <w:t>ASEAN–중국 협력의 현재</w:t>
            </w:r>
          </w:p>
        </w:tc>
        <w:tc>
          <w:tcPr>
            <w:tcW w:w="3312" w:type="dxa"/>
            <w:shd w:val="clear" w:color="auto" w:fill="00498F"/>
          </w:tcPr>
          <w:p>
            <w:pPr>
              <w:spacing w:line="276" w:lineRule="auto"/>
            </w:pPr>
            <w:r>
              <w:rPr>
                <w:rFonts w:eastAsia="Calibri"/>
                <w:b/>
                <w:bCs/>
                <w:color w:val="FFFFFF"/>
                <w:sz w:val="17"/>
                <w:szCs w:val="17"/>
              </w:rPr>
              <w:t>재단의 접점</w:t>
            </w:r>
          </w:p>
        </w:tc>
      </w:tr>
      <w:tr>
        <w:trPr>
          <w:cantSplit/>
        </w:trPr>
        <w:tc>
          <w:tcPr>
            <w:tcW w:w="1523" w:type="dxa"/>
          </w:tcPr>
          <w:p>
            <w:pPr>
              <w:spacing w:line="276" w:lineRule="auto"/>
            </w:pPr>
            <w:r>
              <w:rPr>
                <w:rFonts w:eastAsia="Calibri"/>
                <w:sz w:val="17"/>
                <w:szCs w:val="17"/>
              </w:rPr>
              <w:t>인식</w:t>
            </w:r>
          </w:p>
        </w:tc>
        <w:tc>
          <w:tcPr>
            <w:tcW w:w="2681" w:type="dxa"/>
          </w:tcPr>
          <w:p>
            <w:pPr>
              <w:spacing w:line="276" w:lineRule="auto"/>
            </w:pPr>
            <w:r>
              <w:rPr>
                <w:rFonts w:eastAsia="Calibri"/>
                <w:sz w:val="17"/>
                <w:szCs w:val="17"/>
              </w:rPr>
              <w:t>챗봇 사용 경험을 준비로 착각</w:t>
            </w:r>
          </w:p>
        </w:tc>
        <w:tc>
          <w:tcPr>
            <w:tcW w:w="2224" w:type="dxa"/>
          </w:tcPr>
          <w:p>
            <w:pPr>
              <w:spacing w:line="276" w:lineRule="auto"/>
            </w:pPr>
            <w:r>
              <w:rPr>
                <w:rFonts w:eastAsia="Calibri"/>
                <w:sz w:val="17"/>
                <w:szCs w:val="17"/>
              </w:rPr>
              <w:t>연수·세미나</w:t>
            </w:r>
          </w:p>
        </w:tc>
        <w:tc>
          <w:tcPr>
            <w:tcW w:w="3312" w:type="dxa"/>
          </w:tcPr>
          <w:p>
            <w:pPr>
              <w:spacing w:line="276" w:lineRule="auto"/>
            </w:pPr>
            <w:r>
              <w:rPr>
                <w:rFonts w:eastAsia="Calibri"/>
                <w:sz w:val="17"/>
                <w:szCs w:val="17"/>
              </w:rPr>
              <w:t>AI Class ASEAN, AIM ASEAN 과정</w:t>
            </w:r>
          </w:p>
        </w:tc>
      </w:tr>
      <w:tr>
        <w:trPr>
          <w:cantSplit/>
        </w:trPr>
        <w:tc>
          <w:tcPr>
            <w:tcW w:w="1523" w:type="dxa"/>
          </w:tcPr>
          <w:p>
            <w:pPr>
              <w:spacing w:line="276" w:lineRule="auto"/>
            </w:pPr>
            <w:r>
              <w:rPr>
                <w:rFonts w:eastAsia="Calibri"/>
                <w:sz w:val="17"/>
                <w:szCs w:val="17"/>
              </w:rPr>
              <w:t>실험</w:t>
            </w:r>
          </w:p>
        </w:tc>
        <w:tc>
          <w:tcPr>
            <w:tcW w:w="2681" w:type="dxa"/>
          </w:tcPr>
          <w:p>
            <w:pPr>
              <w:spacing w:line="276" w:lineRule="auto"/>
            </w:pPr>
            <w:r>
              <w:rPr>
                <w:rFonts w:eastAsia="Calibri"/>
                <w:sz w:val="17"/>
                <w:szCs w:val="17"/>
              </w:rPr>
              <w:t>활용처 불확실, 실패 비용</w:t>
            </w:r>
          </w:p>
        </w:tc>
        <w:tc>
          <w:tcPr>
            <w:tcW w:w="2224" w:type="dxa"/>
          </w:tcPr>
          <w:p>
            <w:pPr>
              <w:spacing w:line="276" w:lineRule="auto"/>
            </w:pPr>
            <w:r>
              <w:rPr>
                <w:rFonts w:eastAsia="Calibri"/>
                <w:sz w:val="17"/>
                <w:szCs w:val="17"/>
              </w:rPr>
              <w:t>응용 시나리오·기업 매칭(난닝)</w:t>
            </w:r>
          </w:p>
        </w:tc>
        <w:tc>
          <w:tcPr>
            <w:tcW w:w="3312" w:type="dxa"/>
          </w:tcPr>
          <w:p>
            <w:pPr>
              <w:spacing w:line="276" w:lineRule="auto"/>
            </w:pPr>
            <w:r>
              <w:rPr>
                <w:rFonts w:eastAsia="Calibri"/>
                <w:sz w:val="17"/>
                <w:szCs w:val="17"/>
              </w:rPr>
              <w:t>저위험 시연, 책임 있는 사용 안내</w:t>
            </w:r>
          </w:p>
        </w:tc>
      </w:tr>
      <w:tr>
        <w:trPr>
          <w:cantSplit/>
        </w:trPr>
        <w:tc>
          <w:tcPr>
            <w:tcW w:w="1523" w:type="dxa"/>
          </w:tcPr>
          <w:p>
            <w:pPr>
              <w:spacing w:line="276" w:lineRule="auto"/>
            </w:pPr>
            <w:r>
              <w:rPr>
                <w:rFonts w:eastAsia="Calibri"/>
                <w:sz w:val="17"/>
                <w:szCs w:val="17"/>
              </w:rPr>
              <w:t>적용</w:t>
            </w:r>
          </w:p>
        </w:tc>
        <w:tc>
          <w:tcPr>
            <w:tcW w:w="2681" w:type="dxa"/>
          </w:tcPr>
          <w:p>
            <w:pPr>
              <w:spacing w:line="276" w:lineRule="auto"/>
            </w:pPr>
            <w:r>
              <w:rPr>
                <w:rFonts w:eastAsia="Calibri"/>
                <w:sz w:val="17"/>
                <w:szCs w:val="17"/>
              </w:rPr>
              <w:t>내부 역량 부족, 직원 불안</w:t>
            </w:r>
          </w:p>
        </w:tc>
        <w:tc>
          <w:tcPr>
            <w:tcW w:w="2224" w:type="dxa"/>
          </w:tcPr>
          <w:p>
            <w:pPr>
              <w:spacing w:line="276" w:lineRule="auto"/>
            </w:pPr>
            <w:r>
              <w:rPr>
                <w:rFonts w:eastAsia="Calibri"/>
                <w:sz w:val="17"/>
                <w:szCs w:val="17"/>
              </w:rPr>
              <w:t>공개 자료에서 확인되지 않음</w:t>
            </w:r>
          </w:p>
        </w:tc>
        <w:tc>
          <w:tcPr>
            <w:tcW w:w="3312" w:type="dxa"/>
          </w:tcPr>
          <w:p>
            <w:pPr>
              <w:spacing w:line="276" w:lineRule="auto"/>
            </w:pPr>
            <w:r>
              <w:rPr>
                <w:rFonts w:eastAsia="Calibri"/>
                <w:sz w:val="17"/>
                <w:szCs w:val="17"/>
              </w:rPr>
              <w:t>현지 파트너, 연수 이후 클리닉(제안)</w:t>
            </w:r>
          </w:p>
        </w:tc>
      </w:tr>
      <w:tr>
        <w:trPr>
          <w:cantSplit/>
        </w:trPr>
        <w:tc>
          <w:tcPr>
            <w:tcW w:w="1523" w:type="dxa"/>
          </w:tcPr>
          <w:p>
            <w:pPr>
              <w:spacing w:line="276" w:lineRule="auto"/>
            </w:pPr>
            <w:r>
              <w:rPr>
                <w:rFonts w:eastAsia="Calibri"/>
                <w:sz w:val="17"/>
                <w:szCs w:val="17"/>
              </w:rPr>
              <w:t>확산</w:t>
            </w:r>
          </w:p>
        </w:tc>
        <w:tc>
          <w:tcPr>
            <w:tcW w:w="2681" w:type="dxa"/>
          </w:tcPr>
          <w:p>
            <w:pPr>
              <w:spacing w:line="276" w:lineRule="auto"/>
            </w:pPr>
            <w:r>
              <w:rPr>
                <w:rFonts w:eastAsia="Calibri"/>
                <w:sz w:val="17"/>
                <w:szCs w:val="17"/>
              </w:rPr>
              <w:t>워크숍과 함께 지원 종료, 성과 근거 없음</w:t>
            </w:r>
          </w:p>
        </w:tc>
        <w:tc>
          <w:tcPr>
            <w:tcW w:w="2224" w:type="dxa"/>
          </w:tcPr>
          <w:p>
            <w:pPr>
              <w:spacing w:line="276" w:lineRule="auto"/>
            </w:pPr>
            <w:r>
              <w:rPr>
                <w:rFonts w:eastAsia="Calibri"/>
                <w:sz w:val="17"/>
                <w:szCs w:val="17"/>
              </w:rPr>
              <w:t>공개 자료에서 확인되지 않음</w:t>
            </w:r>
          </w:p>
        </w:tc>
        <w:tc>
          <w:tcPr>
            <w:tcW w:w="3312" w:type="dxa"/>
          </w:tcPr>
          <w:p>
            <w:pPr>
              <w:spacing w:line="276" w:lineRule="auto"/>
            </w:pPr>
            <w:r>
              <w:rPr>
                <w:rFonts w:eastAsia="Calibri"/>
                <w:sz w:val="17"/>
                <w:szCs w:val="17"/>
              </w:rPr>
              <w:t>공통 성과 지표, 지역 사례 교류(권고)</w:t>
            </w:r>
          </w:p>
        </w:tc>
      </w:tr>
    </w:tbl>
    <w:p>
      <w:pPr>
        <w:spacing w:after="60" w:line="120" w:lineRule="auto"/>
      </w:pPr>
    </w:p>
    <w:p>
      <w:pPr>
        <w:spacing w:after="120" w:line="336" w:lineRule="auto"/>
        <w:jc w:val="both"/>
      </w:pPr>
      <w:r>
        <w:rPr>
          <w:rFonts w:eastAsia="Calibri"/>
          <w:b/>
          <w:bCs/>
          <w:color w:val="0F63A8"/>
        </w:rPr>
        <w:t>[판단]</w:t>
      </w:r>
      <w:r>
        <w:rPr>
          <w:rFonts w:eastAsia="Calibri"/>
        </w:rPr>
        <w:t xml:space="preserve"> 공백은 AI 연수의 부족이 아니다. 중국 기업과 플랫폼은 이미 연수를 한다. 비어 있는 것은 연수 이후를 돕는 ASEAN 주도의 기술 중립적 지원, 그리고 연수가 일하는 방식을 바꿨는지 재는 측정이다. 같은 잣대는 재단에도 적용된다. AIM ASEAN은 싱가포르에서 목표 3,000곳 가운데 1,500곳 넘게 닿았지만, 파트너 보고서는 도달이 아직 지속적 활용의 증거는 아니라고 적었다.</w:t>
      </w:r>
    </w:p>
    <w:p>
      <w:pPr>
        <w:keepNext/>
        <w:spacing w:before="240" w:after="160" w:line="300" w:lineRule="auto"/>
      </w:pPr>
      <w:r>
        <w:rPr>
          <w:rFonts w:eastAsia="Calibri"/>
          <w:b/>
          <w:bCs/>
          <w:color w:val="00498F"/>
          <w:sz w:val="26"/>
          <w:szCs w:val="26"/>
        </w:rPr>
        <w:t>3. 재단이 맡을 자리</w:t>
      </w:r>
    </w:p>
    <w:p>
      <w:pPr>
        <w:keepNext/>
        <w:spacing w:after="120" w:line="336" w:lineRule="auto"/>
        <w:jc w:val="both"/>
      </w:pPr>
      <w:r>
        <w:rPr>
          <w:rFonts w:eastAsia="Calibri"/>
          <w:b/>
          <w:bCs/>
          <w:color w:val="0F63A8"/>
        </w:rPr>
        <w:t>[판단]</w:t>
      </w:r>
      <w:r>
        <w:rPr>
          <w:rFonts w:eastAsia="Calibri"/>
        </w:rPr>
        <w:t xml:space="preserve"> 이 구간을 재단이 맡아야 할 이유는 네 가지다.</w:t>
      </w:r>
    </w:p>
    <w:p>
      <w:pPr>
        <w:pStyle w:val="a4"/>
        <w:numPr>
          <w:ilvl w:val="0"/>
          <w:numId w:val="2"/>
        </w:numPr>
        <w:spacing w:after="60" w:line="336" w:lineRule="auto"/>
        <w:jc w:val="both"/>
      </w:pPr>
      <w:r>
        <w:rPr>
          <w:rFonts w:eastAsia="Calibri"/>
          <w:b/>
          <w:bCs/>
        </w:rPr>
        <w:t>어느 쪽도 다루지 않는다.</w:t>
      </w:r>
      <w:r>
        <w:rPr>
          <w:rFonts w:eastAsia="Calibri"/>
        </w:rPr>
        <w:t xml:space="preserve"> ASEAN의 체계는 원칙을 정하고, 중국의 사업은 연수 인원을 센다. 연수가 실무로 바뀌는 구간은 누구의 몫도 아니다.</w:t>
      </w:r>
    </w:p>
    <w:p>
      <w:pPr>
        <w:pStyle w:val="a4"/>
        <w:numPr>
          <w:ilvl w:val="0"/>
          <w:numId w:val="2"/>
        </w:numPr>
        <w:spacing w:after="60" w:line="336" w:lineRule="auto"/>
        <w:jc w:val="both"/>
      </w:pPr>
      <w:r>
        <w:rPr>
          <w:rFonts w:eastAsia="Calibri"/>
          <w:b/>
          <w:bCs/>
        </w:rPr>
        <w:t>재단에 자산이 있다.</w:t>
      </w:r>
      <w:r>
        <w:rPr>
          <w:rFonts w:eastAsia="Calibri"/>
        </w:rPr>
        <w:t xml:space="preserve"> 전달 측면에서는 회원국 전역의 Master Trainer 3,000명 이상과 현지 이행 파트너, 그리고 AIM ASEAN 파트너 9곳이 있다. 근거 측면에서는 학생·교육자의 AI 준비도 데이터와, National Policy Convening에서 모은 MSME 장벽의 현장 기록이 있다. 여기에 싱가포르 파트너가 권고한 역할(공통 ‘연수 이후 경로’, 공통 성과 지표, 지역 사례 교류. 합의 전)이 있다.</w:t>
      </w:r>
    </w:p>
    <w:p>
      <w:pPr>
        <w:pStyle w:val="a4"/>
        <w:numPr>
          <w:ilvl w:val="0"/>
          <w:numId w:val="2"/>
        </w:numPr>
        <w:spacing w:after="60" w:line="336" w:lineRule="auto"/>
        <w:jc w:val="both"/>
      </w:pPr>
      <w:r>
        <w:rPr>
          <w:rFonts w:eastAsia="Calibri"/>
          <w:b/>
          <w:bCs/>
        </w:rPr>
        <w:t>거버넌스 라운드테이블에 맞는다.</w:t>
      </w:r>
      <w:r>
        <w:rPr>
          <w:rFonts w:eastAsia="Calibri"/>
        </w:rPr>
        <w:t xml:space="preserve"> 양측 모두 AI 안전을 의제에 올렸다(ASEAN AI Safe, 2026년 9월 이니셔티브). 모델 시험과 표준은 공급 측을 다룬다. 사람들이 AI를 책임 있게 쓰는 역량은 수요 측이며, 바로 그것이 빠져 있다.</w:t>
      </w:r>
    </w:p>
    <w:p>
      <w:pPr>
        <w:pStyle w:val="a4"/>
        <w:numPr>
          <w:ilvl w:val="0"/>
          <w:numId w:val="2"/>
        </w:numPr>
        <w:spacing w:after="120" w:line="336" w:lineRule="auto"/>
        <w:jc w:val="both"/>
      </w:pPr>
      <w:r>
        <w:rPr>
          <w:rFonts w:eastAsia="Calibri"/>
          <w:b/>
          <w:bCs/>
        </w:rPr>
        <w:t>중국과 ASEAN 모두에 도움이 된다.</w:t>
      </w:r>
      <w:r>
        <w:rPr>
          <w:rFonts w:eastAsia="Calibri"/>
        </w:rPr>
        <w:t xml:space="preserve"> 중국은 연수 제안의 성과를 보여 줘야 하고, 연수 이후의 측정이 그 근거가 된다. ASEAN은 소유권과 중립성을 지킨다. 기여가 기술 중립적이고 ASEAN 기구를 거치기 때문이다.</w:t>
      </w:r>
    </w:p>
    <w:p>
      <w:pPr>
        <w:keepNext/>
        <w:spacing w:before="240" w:after="160" w:line="300" w:lineRule="auto"/>
      </w:pPr>
      <w:r>
        <w:rPr>
          <w:rFonts w:eastAsia="Calibri"/>
          <w:b/>
          <w:bCs/>
          <w:color w:val="00498F"/>
          <w:sz w:val="26"/>
          <w:szCs w:val="26"/>
        </w:rPr>
        <w:t>4. 무엇을, 언제 내놓을 것인가</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60" w:type="dxa"/>
          <w:left w:w="106" w:type="dxa"/>
          <w:bottom w:w="60" w:type="dxa"/>
          <w:right w:w="106" w:type="dxa"/>
        </w:tblCellMar>
        <w:tblLook w:val="04A0" w:firstRow="1" w:lastRow="0" w:firstColumn="1" w:lastColumn="0" w:noHBand="0" w:noVBand="1"/>
      </w:tblPr>
      <w:tblGrid>
        <w:gridCol w:w="1083"/>
        <w:gridCol w:w="4394"/>
        <w:gridCol w:w="2491"/>
        <w:gridCol w:w="1772"/>
      </w:tblGrid>
      <w:tr>
        <w:trPr>
          <w:tblHeader/>
        </w:trPr>
        <w:tc>
          <w:tcPr>
            <w:tcW w:w="1083" w:type="dxa"/>
            <w:shd w:val="clear" w:color="auto" w:fill="00498F"/>
          </w:tcPr>
          <w:p>
            <w:pPr>
              <w:spacing w:line="276" w:lineRule="auto"/>
            </w:pPr>
            <w:r>
              <w:rPr>
                <w:rFonts w:eastAsia="Calibri"/>
                <w:b/>
                <w:bCs/>
                <w:color w:val="FFFFFF"/>
                <w:sz w:val="17"/>
                <w:szCs w:val="17"/>
              </w:rPr>
              <w:t>순위</w:t>
            </w:r>
          </w:p>
        </w:tc>
        <w:tc>
          <w:tcPr>
            <w:tcW w:w="4394" w:type="dxa"/>
            <w:shd w:val="clear" w:color="auto" w:fill="00498F"/>
          </w:tcPr>
          <w:p>
            <w:pPr>
              <w:spacing w:line="276" w:lineRule="auto"/>
            </w:pPr>
            <w:r>
              <w:rPr>
                <w:rFonts w:eastAsia="Calibri"/>
                <w:b/>
                <w:bCs/>
                <w:color w:val="FFFFFF"/>
                <w:sz w:val="17"/>
                <w:szCs w:val="17"/>
              </w:rPr>
              <w:t>제안</w:t>
            </w:r>
          </w:p>
        </w:tc>
        <w:tc>
          <w:tcPr>
            <w:tcW w:w="2491" w:type="dxa"/>
            <w:shd w:val="clear" w:color="auto" w:fill="00498F"/>
          </w:tcPr>
          <w:p>
            <w:pPr>
              <w:spacing w:line="276" w:lineRule="auto"/>
            </w:pPr>
            <w:r>
              <w:rPr>
                <w:rFonts w:eastAsia="Calibri"/>
                <w:b/>
                <w:bCs/>
                <w:color w:val="FFFFFF"/>
                <w:sz w:val="17"/>
                <w:szCs w:val="17"/>
              </w:rPr>
              <w:t>경로</w:t>
            </w:r>
          </w:p>
        </w:tc>
        <w:tc>
          <w:tcPr>
            <w:tcW w:w="1772" w:type="dxa"/>
            <w:shd w:val="clear" w:color="auto" w:fill="00498F"/>
          </w:tcPr>
          <w:p>
            <w:pPr>
              <w:spacing w:line="276" w:lineRule="auto"/>
            </w:pPr>
            <w:r>
              <w:rPr>
                <w:rFonts w:eastAsia="Calibri"/>
                <w:b/>
                <w:bCs/>
                <w:color w:val="FFFFFF"/>
                <w:sz w:val="17"/>
                <w:szCs w:val="17"/>
              </w:rPr>
              <w:t>시점</w:t>
            </w:r>
          </w:p>
        </w:tc>
      </w:tr>
      <w:tr>
        <w:trPr>
          <w:cantSplit/>
        </w:trPr>
        <w:tc>
          <w:tcPr>
            <w:tcW w:w="1083" w:type="dxa"/>
          </w:tcPr>
          <w:p>
            <w:pPr>
              <w:spacing w:line="276" w:lineRule="auto"/>
            </w:pPr>
            <w:r>
              <w:rPr>
                <w:rFonts w:eastAsia="Calibri"/>
                <w:sz w:val="17"/>
                <w:szCs w:val="17"/>
              </w:rPr>
              <w:t>1</w:t>
            </w:r>
          </w:p>
        </w:tc>
        <w:tc>
          <w:tcPr>
            <w:tcW w:w="4394" w:type="dxa"/>
          </w:tcPr>
          <w:p>
            <w:pPr>
              <w:spacing w:line="276" w:lineRule="auto"/>
            </w:pPr>
            <w:r>
              <w:rPr>
                <w:rFonts w:eastAsia="Calibri"/>
                <w:b/>
                <w:bCs/>
                <w:sz w:val="17"/>
                <w:szCs w:val="17"/>
              </w:rPr>
              <w:t>CIIS 발언</w:t>
            </w:r>
            <w:r>
              <w:rPr>
                <w:rFonts w:eastAsia="Calibri"/>
                <w:sz w:val="17"/>
                <w:szCs w:val="17"/>
              </w:rPr>
              <w:t>: ‘연수 이후’ 질문, 싱가포르의 교훈, 경로 설계·AI 인재 범위 확대·지속적 활용 측정의 필요성</w:t>
            </w:r>
          </w:p>
        </w:tc>
        <w:tc>
          <w:tcPr>
            <w:tcW w:w="2491" w:type="dxa"/>
          </w:tcPr>
          <w:p>
            <w:pPr>
              <w:spacing w:line="276" w:lineRule="auto"/>
            </w:pPr>
            <w:r>
              <w:rPr>
                <w:rFonts w:eastAsia="Calibri"/>
                <w:sz w:val="17"/>
                <w:szCs w:val="17"/>
              </w:rPr>
              <w:t>CIIS 라운드테이블 2세션</w:t>
            </w:r>
          </w:p>
        </w:tc>
        <w:tc>
          <w:tcPr>
            <w:tcW w:w="1772" w:type="dxa"/>
          </w:tcPr>
          <w:p>
            <w:pPr>
              <w:spacing w:line="276" w:lineRule="auto"/>
            </w:pPr>
            <w:r>
              <w:rPr>
                <w:rFonts w:eastAsia="Calibri"/>
                <w:sz w:val="17"/>
                <w:szCs w:val="17"/>
              </w:rPr>
              <w:t>2026년 10월</w:t>
            </w:r>
          </w:p>
        </w:tc>
      </w:tr>
      <w:tr>
        <w:trPr>
          <w:cantSplit/>
        </w:trPr>
        <w:tc>
          <w:tcPr>
            <w:tcW w:w="1083" w:type="dxa"/>
          </w:tcPr>
          <w:p>
            <w:pPr>
              <w:spacing w:line="276" w:lineRule="auto"/>
            </w:pPr>
            <w:r>
              <w:rPr>
                <w:rFonts w:eastAsia="Calibri"/>
                <w:sz w:val="17"/>
                <w:szCs w:val="17"/>
              </w:rPr>
              <w:t>2</w:t>
            </w:r>
          </w:p>
        </w:tc>
        <w:tc>
          <w:tcPr>
            <w:tcW w:w="4394" w:type="dxa"/>
          </w:tcPr>
          <w:p>
            <w:pPr>
              <w:spacing w:line="276" w:lineRule="auto"/>
            </w:pPr>
            <w:r>
              <w:rPr>
                <w:rFonts w:eastAsia="Calibri"/>
                <w:b/>
                <w:bCs/>
                <w:sz w:val="17"/>
                <w:szCs w:val="17"/>
              </w:rPr>
              <w:t>경험과 근거 공유</w:t>
            </w:r>
            <w:r>
              <w:rPr>
                <w:rFonts w:eastAsia="Calibri"/>
                <w:sz w:val="17"/>
                <w:szCs w:val="17"/>
              </w:rPr>
              <w:t>: Master Trainer 모델(선발, 품질 관리, 도달·이수 추적)과 AI 준비도 근거 브리핑</w:t>
            </w:r>
          </w:p>
        </w:tc>
        <w:tc>
          <w:tcPr>
            <w:tcW w:w="2491" w:type="dxa"/>
          </w:tcPr>
          <w:p>
            <w:pPr>
              <w:spacing w:line="276" w:lineRule="auto"/>
            </w:pPr>
            <w:r>
              <w:rPr>
                <w:rFonts w:eastAsia="Calibri"/>
                <w:sz w:val="17"/>
                <w:szCs w:val="17"/>
              </w:rPr>
              <w:t>Smart Education 실무진, 혁신센터 연수 담당, ASEAN 사무국</w:t>
            </w:r>
          </w:p>
        </w:tc>
        <w:tc>
          <w:tcPr>
            <w:tcW w:w="1772" w:type="dxa"/>
          </w:tcPr>
          <w:p>
            <w:pPr>
              <w:spacing w:line="276" w:lineRule="auto"/>
            </w:pPr>
            <w:r>
              <w:rPr>
                <w:rFonts w:eastAsia="Calibri"/>
                <w:sz w:val="17"/>
                <w:szCs w:val="17"/>
              </w:rPr>
              <w:t>지금부터</w:t>
            </w:r>
          </w:p>
        </w:tc>
      </w:tr>
      <w:tr>
        <w:trPr>
          <w:cantSplit/>
        </w:trPr>
        <w:tc>
          <w:tcPr>
            <w:tcW w:w="1083" w:type="dxa"/>
          </w:tcPr>
          <w:p>
            <w:pPr>
              <w:spacing w:line="276" w:lineRule="auto"/>
            </w:pPr>
            <w:r>
              <w:rPr>
                <w:rFonts w:eastAsia="Calibri"/>
                <w:sz w:val="17"/>
                <w:szCs w:val="17"/>
              </w:rPr>
              <w:t>3</w:t>
            </w:r>
          </w:p>
        </w:tc>
        <w:tc>
          <w:tcPr>
            <w:tcW w:w="4394" w:type="dxa"/>
          </w:tcPr>
          <w:p>
            <w:pPr>
              <w:spacing w:line="276" w:lineRule="auto"/>
            </w:pPr>
            <w:r>
              <w:rPr>
                <w:rFonts w:eastAsia="Calibri"/>
                <w:b/>
                <w:bCs/>
                <w:sz w:val="17"/>
                <w:szCs w:val="17"/>
              </w:rPr>
              <w:t>측정</w:t>
            </w:r>
            <w:r>
              <w:rPr>
                <w:rFonts w:eastAsia="Calibri"/>
                <w:sz w:val="17"/>
                <w:szCs w:val="17"/>
              </w:rPr>
              <w:t>: 도달, 사업 통합, 검증된 성과를 구분하는 지속 활용·사업 가치 지표</w:t>
            </w:r>
          </w:p>
        </w:tc>
        <w:tc>
          <w:tcPr>
            <w:tcW w:w="2491" w:type="dxa"/>
          </w:tcPr>
          <w:p>
            <w:pPr>
              <w:spacing w:line="276" w:lineRule="auto"/>
            </w:pPr>
            <w:r>
              <w:rPr>
                <w:rFonts w:eastAsia="Calibri"/>
                <w:sz w:val="17"/>
                <w:szCs w:val="17"/>
              </w:rPr>
              <w:t>AIM ASEAN 파트너, CIIS 공동 연구</w:t>
            </w:r>
          </w:p>
        </w:tc>
        <w:tc>
          <w:tcPr>
            <w:tcW w:w="1772" w:type="dxa"/>
          </w:tcPr>
          <w:p>
            <w:pPr>
              <w:spacing w:line="276" w:lineRule="auto"/>
            </w:pPr>
            <w:r>
              <w:rPr>
                <w:rFonts w:eastAsia="Calibri"/>
                <w:sz w:val="17"/>
                <w:szCs w:val="17"/>
              </w:rPr>
              <w:t>2027년(싱가포르 기준선 2026년 4분기, 검토 2027년 1분기 이후)</w:t>
            </w:r>
          </w:p>
        </w:tc>
      </w:tr>
      <w:tr>
        <w:trPr>
          <w:cantSplit/>
        </w:trPr>
        <w:tc>
          <w:tcPr>
            <w:tcW w:w="1083" w:type="dxa"/>
          </w:tcPr>
          <w:p>
            <w:pPr>
              <w:spacing w:line="276" w:lineRule="auto"/>
            </w:pPr>
            <w:r>
              <w:rPr>
                <w:rFonts w:eastAsia="Calibri"/>
                <w:sz w:val="17"/>
                <w:szCs w:val="17"/>
              </w:rPr>
              <w:t>4</w:t>
            </w:r>
          </w:p>
        </w:tc>
        <w:tc>
          <w:tcPr>
            <w:tcW w:w="4394" w:type="dxa"/>
          </w:tcPr>
          <w:p>
            <w:pPr>
              <w:spacing w:line="276" w:lineRule="auto"/>
            </w:pPr>
            <w:r>
              <w:rPr>
                <w:rFonts w:eastAsia="Calibri"/>
                <w:b/>
                <w:bCs/>
                <w:sz w:val="17"/>
                <w:szCs w:val="17"/>
              </w:rPr>
              <w:t>사례 근거</w:t>
            </w:r>
            <w:r>
              <w:rPr>
                <w:rFonts w:eastAsia="Calibri"/>
                <w:sz w:val="17"/>
                <w:szCs w:val="17"/>
              </w:rPr>
              <w:t>: 잘 안 된 것까지 담은 MSME 구조화 사례, 연수 이후 단계의 공개 자료</w:t>
            </w:r>
          </w:p>
        </w:tc>
        <w:tc>
          <w:tcPr>
            <w:tcW w:w="2491" w:type="dxa"/>
          </w:tcPr>
          <w:p>
            <w:pPr>
              <w:spacing w:line="276" w:lineRule="auto"/>
            </w:pPr>
            <w:r>
              <w:rPr>
                <w:rFonts w:eastAsia="Calibri"/>
                <w:sz w:val="17"/>
                <w:szCs w:val="17"/>
              </w:rPr>
              <w:t>ACCMSME, ASEAN–중국 포럼(공개 사례만)</w:t>
            </w:r>
          </w:p>
        </w:tc>
        <w:tc>
          <w:tcPr>
            <w:tcW w:w="1772" w:type="dxa"/>
          </w:tcPr>
          <w:p>
            <w:pPr>
              <w:spacing w:line="276" w:lineRule="auto"/>
            </w:pPr>
            <w:r>
              <w:rPr>
                <w:rFonts w:eastAsia="Calibri"/>
                <w:sz w:val="17"/>
                <w:szCs w:val="17"/>
              </w:rPr>
              <w:t>2027년</w:t>
            </w:r>
          </w:p>
        </w:tc>
      </w:tr>
      <w:tr>
        <w:trPr>
          <w:cantSplit/>
        </w:trPr>
        <w:tc>
          <w:tcPr>
            <w:tcW w:w="1083" w:type="dxa"/>
          </w:tcPr>
          <w:p>
            <w:pPr>
              <w:spacing w:line="276" w:lineRule="auto"/>
            </w:pPr>
            <w:r>
              <w:rPr>
                <w:rFonts w:eastAsia="Calibri"/>
                <w:sz w:val="17"/>
                <w:szCs w:val="17"/>
              </w:rPr>
              <w:t>5</w:t>
            </w:r>
          </w:p>
        </w:tc>
        <w:tc>
          <w:tcPr>
            <w:tcW w:w="4394" w:type="dxa"/>
          </w:tcPr>
          <w:p>
            <w:pPr>
              <w:spacing w:line="276" w:lineRule="auto"/>
            </w:pPr>
            <w:r>
              <w:rPr>
                <w:rFonts w:eastAsia="Calibri"/>
                <w:b/>
                <w:bCs/>
                <w:sz w:val="17"/>
                <w:szCs w:val="17"/>
              </w:rPr>
              <w:t>MSME 공동 사업</w:t>
            </w:r>
            <w:r>
              <w:rPr>
                <w:rFonts w:eastAsia="Calibri"/>
                <w:sz w:val="17"/>
                <w:szCs w:val="17"/>
              </w:rPr>
              <w:t>: AIM ASEAN과 혁신센터의 역내 역량 강화 과제 연결</w:t>
            </w:r>
          </w:p>
        </w:tc>
        <w:tc>
          <w:tcPr>
            <w:tcW w:w="2491" w:type="dxa"/>
          </w:tcPr>
          <w:p>
            <w:pPr>
              <w:spacing w:line="276" w:lineRule="auto"/>
            </w:pPr>
            <w:r>
              <w:rPr>
                <w:rFonts w:eastAsia="Calibri"/>
                <w:sz w:val="17"/>
                <w:szCs w:val="17"/>
              </w:rPr>
              <w:t>ACCMSME ↔ 중국 산업·상무 부처</w:t>
            </w:r>
          </w:p>
        </w:tc>
        <w:tc>
          <w:tcPr>
            <w:tcW w:w="1772" w:type="dxa"/>
          </w:tcPr>
          <w:p>
            <w:pPr>
              <w:spacing w:line="276" w:lineRule="auto"/>
            </w:pPr>
            <w:r>
              <w:rPr>
                <w:rFonts w:eastAsia="Calibri"/>
                <w:sz w:val="17"/>
                <w:szCs w:val="17"/>
              </w:rPr>
              <w:t>2027년(ACCMSME 보고와 후속 재원 확보 후)</w:t>
            </w:r>
          </w:p>
        </w:tc>
      </w:tr>
      <w:tr>
        <w:trPr>
          <w:cantSplit/>
        </w:trPr>
        <w:tc>
          <w:tcPr>
            <w:tcW w:w="1083" w:type="dxa"/>
          </w:tcPr>
          <w:p>
            <w:pPr>
              <w:spacing w:line="276" w:lineRule="auto"/>
            </w:pPr>
            <w:r>
              <w:rPr>
                <w:rFonts w:eastAsia="Calibri"/>
                <w:sz w:val="17"/>
                <w:szCs w:val="17"/>
              </w:rPr>
              <w:t>6</w:t>
            </w:r>
          </w:p>
        </w:tc>
        <w:tc>
          <w:tcPr>
            <w:tcW w:w="4394" w:type="dxa"/>
          </w:tcPr>
          <w:p>
            <w:pPr>
              <w:spacing w:line="276" w:lineRule="auto"/>
            </w:pPr>
            <w:r>
              <w:rPr>
                <w:rFonts w:eastAsia="Calibri"/>
                <w:b/>
                <w:bCs/>
                <w:sz w:val="17"/>
                <w:szCs w:val="17"/>
              </w:rPr>
              <w:t>저비용 콘텐츠</w:t>
            </w:r>
            <w:r>
              <w:rPr>
                <w:rFonts w:eastAsia="Calibri"/>
                <w:sz w:val="17"/>
                <w:szCs w:val="17"/>
              </w:rPr>
              <w:t>: AI Class ASEAN을 사전 학습 자료로, 시민·MSME용 AI 윤리·안전 모듈</w:t>
            </w:r>
          </w:p>
        </w:tc>
        <w:tc>
          <w:tcPr>
            <w:tcW w:w="2491" w:type="dxa"/>
          </w:tcPr>
          <w:p>
            <w:pPr>
              <w:spacing w:line="276" w:lineRule="auto"/>
            </w:pPr>
            <w:r>
              <w:rPr>
                <w:rFonts w:eastAsia="Calibri"/>
                <w:sz w:val="17"/>
                <w:szCs w:val="17"/>
              </w:rPr>
              <w:t>중국 측 연수 과정, ADGSOM·WG-AI</w:t>
            </w:r>
          </w:p>
        </w:tc>
        <w:tc>
          <w:tcPr>
            <w:tcW w:w="1772" w:type="dxa"/>
          </w:tcPr>
          <w:p>
            <w:pPr>
              <w:spacing w:line="276" w:lineRule="auto"/>
            </w:pPr>
            <w:r>
              <w:rPr>
                <w:rFonts w:eastAsia="Calibri"/>
                <w:sz w:val="17"/>
                <w:szCs w:val="17"/>
              </w:rPr>
              <w:t>2027년 상반기</w:t>
            </w:r>
          </w:p>
        </w:tc>
      </w:tr>
      <w:tr>
        <w:trPr>
          <w:cantSplit/>
        </w:trPr>
        <w:tc>
          <w:tcPr>
            <w:tcW w:w="1083" w:type="dxa"/>
          </w:tcPr>
          <w:p>
            <w:pPr>
              <w:spacing w:line="276" w:lineRule="auto"/>
            </w:pPr>
            <w:r>
              <w:rPr>
                <w:rFonts w:eastAsia="Calibri"/>
                <w:sz w:val="17"/>
                <w:szCs w:val="17"/>
              </w:rPr>
              <w:t>7</w:t>
            </w:r>
          </w:p>
        </w:tc>
        <w:tc>
          <w:tcPr>
            <w:tcW w:w="4394" w:type="dxa"/>
          </w:tcPr>
          <w:p>
            <w:pPr>
              <w:spacing w:line="276" w:lineRule="auto"/>
            </w:pPr>
            <w:r>
              <w:rPr>
                <w:rFonts w:eastAsia="Calibri"/>
                <w:b/>
                <w:bCs/>
                <w:sz w:val="17"/>
                <w:szCs w:val="17"/>
              </w:rPr>
              <w:t>교사</w:t>
            </w:r>
            <w:r>
              <w:rPr>
                <w:rFonts w:eastAsia="Calibri"/>
                <w:sz w:val="17"/>
                <w:szCs w:val="17"/>
              </w:rPr>
              <w:t>(조건부): 역할 분담과 공통 기준. AI Ready ASEAN 2단계를 토대로</w:t>
            </w:r>
          </w:p>
        </w:tc>
        <w:tc>
          <w:tcPr>
            <w:tcW w:w="2491" w:type="dxa"/>
          </w:tcPr>
          <w:p>
            <w:pPr>
              <w:spacing w:line="276" w:lineRule="auto"/>
            </w:pPr>
            <w:r>
              <w:rPr>
                <w:rFonts w:eastAsia="Calibri"/>
                <w:sz w:val="17"/>
                <w:szCs w:val="17"/>
              </w:rPr>
              <w:t>SOM-ED ↔ 중국 교육부</w:t>
            </w:r>
          </w:p>
        </w:tc>
        <w:tc>
          <w:tcPr>
            <w:tcW w:w="1772" w:type="dxa"/>
          </w:tcPr>
          <w:p>
            <w:pPr>
              <w:spacing w:line="276" w:lineRule="auto"/>
            </w:pPr>
            <w:r>
              <w:rPr>
                <w:rFonts w:eastAsia="Calibri"/>
                <w:sz w:val="17"/>
                <w:szCs w:val="17"/>
              </w:rPr>
              <w:t>2027–2028년</w:t>
            </w:r>
          </w:p>
        </w:tc>
      </w:tr>
    </w:tbl>
    <w:p>
      <w:pPr>
        <w:spacing w:after="60" w:line="120" w:lineRule="auto"/>
      </w:pPr>
    </w:p>
    <w:p>
      <w:pPr>
        <w:spacing w:after="120" w:line="336" w:lineRule="auto"/>
        <w:jc w:val="both"/>
      </w:pPr>
      <w:r>
        <w:rPr>
          <w:rFonts w:eastAsia="Calibri"/>
        </w:rPr>
        <w:t>모든 제안은 ASEAN 소유, 회원국 경유, 다른 대화상대국에 대한 개방, 기술 중립을 원칙으로 한다. 학습자 데이터는 제공하지 않으며, AI 표준·규범에 대한 ASEAN 입장은 밝히지 않는다.</w:t>
      </w:r>
    </w:p>
    <w:p>
      <w:pPr>
        <w:keepNext/>
        <w:spacing w:after="120" w:line="336" w:lineRule="auto"/>
        <w:jc w:val="both"/>
      </w:pPr>
      <w:r>
        <w:rPr>
          <w:rFonts w:eastAsia="Calibri"/>
          <w:b/>
          <w:bCs/>
        </w:rPr>
        <w:t>순서.</w:t>
      </w:r>
    </w:p>
    <w:p>
      <w:pPr>
        <w:pStyle w:val="a4"/>
        <w:numPr>
          <w:ilvl w:val="0"/>
          <w:numId w:val="2"/>
        </w:numPr>
        <w:spacing w:after="60" w:line="336" w:lineRule="auto"/>
        <w:jc w:val="both"/>
      </w:pPr>
      <w:r>
        <w:rPr>
          <w:rFonts w:eastAsia="Calibri"/>
          <w:b/>
          <w:bCs/>
        </w:rPr>
        <w:t>지금–2026년 11월</w:t>
      </w:r>
      <w:r>
        <w:rPr>
          <w:rFonts w:eastAsia="Calibri"/>
        </w:rPr>
        <w:t>: 경험과 근거를 나누고, 재원 제공자와 협의하며, ASEAN 사무국·SOM-ED·ACCMSME에 사전 공유한다. 분기점: 마닐라 정상회의.</w:t>
      </w:r>
    </w:p>
    <w:p>
      <w:pPr>
        <w:pStyle w:val="a4"/>
        <w:numPr>
          <w:ilvl w:val="0"/>
          <w:numId w:val="2"/>
        </w:numPr>
        <w:spacing w:after="60" w:line="336" w:lineRule="auto"/>
        <w:jc w:val="both"/>
      </w:pPr>
      <w:r>
        <w:rPr>
          <w:rFonts w:eastAsia="Calibri"/>
          <w:b/>
          <w:bCs/>
        </w:rPr>
        <w:t>2027년 상반기</w:t>
      </w:r>
      <w:r>
        <w:rPr>
          <w:rFonts w:eastAsia="Calibri"/>
        </w:rPr>
        <w:t>: 측정·사례·자료로 근거를 쌓고, SOM-ED와 ACCMSME에 제안 초안을 보고한다. 분기점: 두 기구의 판단.</w:t>
      </w:r>
    </w:p>
    <w:p>
      <w:pPr>
        <w:pStyle w:val="a4"/>
        <w:numPr>
          <w:ilvl w:val="0"/>
          <w:numId w:val="2"/>
        </w:numPr>
        <w:spacing w:after="120" w:line="336" w:lineRule="auto"/>
        <w:jc w:val="both"/>
      </w:pPr>
      <w:r>
        <w:rPr>
          <w:rFonts w:eastAsia="Calibri"/>
          <w:b/>
          <w:bCs/>
        </w:rPr>
        <w:t>2027년 하반기–2028년</w:t>
      </w:r>
      <w:r>
        <w:rPr>
          <w:rFonts w:eastAsia="Calibri"/>
        </w:rPr>
        <w:t>: MSME와 교사 분야의 공동 사업을 연다. AI 협력의 해가 채택되면 사람들의 AI 역량에 관한 패키지를 성과물 가운데 하나로 제안한다.</w:t>
      </w:r>
    </w:p>
    <w:p>
      <w:pPr>
        <w:spacing w:after="0"/>
      </w:pPr>
    </w:p>
    <w:sectPr w:rsidR="008F3ECF">
      <w:headerReference w:type="default" r:id="rId8"/>
      <w:footerReference w:type="default" r:id="rId9"/>
      <w:pgSz w:w="11906" w:h="16838"/>
      <w:pgMar w:top="1000" w:right="1080" w:bottom="1080" w:left="1080" w:header="6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FD56C" w14:textId="77777777" w:rsidR="000A55CA" w:rsidRDefault="000A55CA">
      <w:r>
        <w:separator/>
      </w:r>
    </w:p>
  </w:endnote>
  <w:endnote w:type="continuationSeparator" w:id="0">
    <w:p w14:paraId="4106954C" w14:textId="77777777" w:rsidR="000A55CA" w:rsidRDefault="000A5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5C15A" w14:textId="77777777" w:rsidR="005C7CC5" w:rsidRDefault="00000000">
    <w:pPr>
      <w:jc w:val="center"/>
    </w:pPr>
    <w:r>
      <w:rPr>
        <w:rFonts w:eastAsia="Calibri"/>
        <w:color w:val="6B6B6B"/>
        <w:sz w:val="16"/>
        <w:szCs w:val="16"/>
      </w:rPr>
      <w:t xml:space="preserve">Page </w:t>
    </w:r>
    <w:r>
      <w:rPr>
        <w:color w:val="6B6B6B"/>
        <w:sz w:val="16"/>
        <w:szCs w:val="16"/>
      </w:rPr>
      <w:fldChar w:fldCharType="begin"/>
    </w:r>
    <w:r>
      <w:rPr>
        <w:rFonts w:eastAsia="Calibri"/>
        <w:color w:val="6B6B6B"/>
        <w:sz w:val="16"/>
        <w:szCs w:val="16"/>
      </w:rPr>
      <w:instrText>PAGE</w:instrText>
    </w:r>
    <w:r>
      <w:rPr>
        <w:color w:val="6B6B6B"/>
        <w:sz w:val="16"/>
        <w:szCs w:val="16"/>
      </w:rPr>
      <w:fldChar w:fldCharType="separate"/>
    </w:r>
    <w:r w:rsidR="00C158DD">
      <w:rPr>
        <w:rFonts w:eastAsia="Calibri"/>
        <w:noProof/>
        <w:color w:val="6B6B6B"/>
        <w:sz w:val="16"/>
        <w:szCs w:val="16"/>
      </w:rPr>
      <w:t>1</w:t>
    </w:r>
    <w:r>
      <w:rPr>
        <w:color w:val="6B6B6B"/>
        <w:sz w:val="16"/>
        <w:szCs w:val="16"/>
      </w:rPr>
      <w:fldChar w:fldCharType="end"/>
    </w:r>
    <w:r>
      <w:rPr>
        <w:rFonts w:eastAsia="Calibri"/>
        <w:color w:val="6B6B6B"/>
        <w:sz w:val="16"/>
        <w:szCs w:val="16"/>
      </w:rPr>
      <w:t xml:space="preserve"> of </w:t>
    </w:r>
    <w:r>
      <w:rPr>
        <w:color w:val="6B6B6B"/>
        <w:sz w:val="16"/>
        <w:szCs w:val="16"/>
      </w:rPr>
      <w:fldChar w:fldCharType="begin"/>
    </w:r>
    <w:r>
      <w:rPr>
        <w:rFonts w:eastAsia="Calibri"/>
        <w:color w:val="6B6B6B"/>
        <w:sz w:val="16"/>
        <w:szCs w:val="16"/>
      </w:rPr>
      <w:instrText>NUMPAGES</w:instrText>
    </w:r>
    <w:r>
      <w:rPr>
        <w:color w:val="6B6B6B"/>
        <w:sz w:val="16"/>
        <w:szCs w:val="16"/>
      </w:rPr>
      <w:fldChar w:fldCharType="separate"/>
    </w:r>
    <w:r w:rsidR="00C158DD">
      <w:rPr>
        <w:rFonts w:eastAsia="Calibri"/>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EBD32" w14:textId="77777777" w:rsidR="000A55CA" w:rsidRDefault="000A55CA">
      <w:r>
        <w:separator/>
      </w:r>
    </w:p>
  </w:footnote>
  <w:footnote w:type="continuationSeparator" w:id="0">
    <w:p w14:paraId="7660EA6E" w14:textId="77777777" w:rsidR="000A55CA" w:rsidRDefault="000A5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5D82B" w14:textId="77777777" w:rsidR="005C7CC5" w:rsidRDefault="00000000">
    <w:pPr>
      <w:jc w:val="right"/>
    </w:pPr>
    <w:r>
      <w:rPr>
        <w:rFonts w:eastAsia="Calibri"/>
        <w:color w:val="6B6B6B"/>
        <w:sz w:val="16"/>
        <w:szCs w:val="16"/>
      </w:rPr>
      <w:t>리서치 브리핑 | 내부용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1136FE"/>
    <w:multiLevelType w:val="hybridMultilevel"/>
    <w:tmpl w:val="CD5CC706"/>
    <w:lvl w:ilvl="0" w:tplc="D0280DB8">
      <w:start w:val="1"/>
      <w:numFmt w:val="bullet"/>
      <w:lvlText w:val="●"/>
      <w:lvlJc w:val="left"/>
      <w:pPr>
        <w:ind w:left="356" w:hanging="356"/>
      </w:pPr>
      <w:rPr>
        <w:rFonts w:ascii="Calibri" w:eastAsia="Calibri" w:hAnsi="Calibri" w:cs="Calibri"/>
        <w:color w:val="222222"/>
        <w:sz w:val="20"/>
        <w:szCs w:val="20"/>
      </w:rPr>
    </w:lvl>
    <w:lvl w:ilvl="1" w:tplc="9B746232">
      <w:numFmt w:val="decimal"/>
      <w:lvlText w:val=""/>
      <w:lvlJc w:val="left"/>
    </w:lvl>
    <w:lvl w:ilvl="2" w:tplc="B59CD080">
      <w:numFmt w:val="decimal"/>
      <w:lvlText w:val=""/>
      <w:lvlJc w:val="left"/>
    </w:lvl>
    <w:lvl w:ilvl="3" w:tplc="459CE024">
      <w:numFmt w:val="decimal"/>
      <w:lvlText w:val=""/>
      <w:lvlJc w:val="left"/>
    </w:lvl>
    <w:lvl w:ilvl="4" w:tplc="8AF8C140">
      <w:numFmt w:val="decimal"/>
      <w:lvlText w:val=""/>
      <w:lvlJc w:val="left"/>
    </w:lvl>
    <w:lvl w:ilvl="5" w:tplc="53E039B8">
      <w:numFmt w:val="decimal"/>
      <w:lvlText w:val=""/>
      <w:lvlJc w:val="left"/>
    </w:lvl>
    <w:lvl w:ilvl="6" w:tplc="B982434E">
      <w:numFmt w:val="decimal"/>
      <w:lvlText w:val=""/>
      <w:lvlJc w:val="left"/>
    </w:lvl>
    <w:lvl w:ilvl="7" w:tplc="96444818">
      <w:numFmt w:val="decimal"/>
      <w:lvlText w:val=""/>
      <w:lvlJc w:val="left"/>
    </w:lvl>
    <w:lvl w:ilvl="8" w:tplc="51EC1EAE">
      <w:numFmt w:val="decimal"/>
      <w:lvlText w:val=""/>
      <w:lvlJc w:val="left"/>
    </w:lvl>
  </w:abstractNum>
  <w:abstractNum w:abstractNumId="1" w15:restartNumberingAfterBreak="0">
    <w:nsid w:val="4EE01F54"/>
    <w:multiLevelType w:val="hybridMultilevel"/>
    <w:tmpl w:val="0B0894F4"/>
    <w:lvl w:ilvl="0" w:tplc="D812C7FC">
      <w:start w:val="1"/>
      <w:numFmt w:val="bullet"/>
      <w:lvlText w:val="●"/>
      <w:lvlJc w:val="left"/>
      <w:pPr>
        <w:ind w:left="720" w:hanging="360"/>
      </w:pPr>
    </w:lvl>
    <w:lvl w:ilvl="1" w:tplc="C22EF0B4">
      <w:start w:val="1"/>
      <w:numFmt w:val="bullet"/>
      <w:lvlText w:val="○"/>
      <w:lvlJc w:val="left"/>
      <w:pPr>
        <w:ind w:left="1440" w:hanging="360"/>
      </w:pPr>
    </w:lvl>
    <w:lvl w:ilvl="2" w:tplc="BF9C4040">
      <w:start w:val="1"/>
      <w:numFmt w:val="bullet"/>
      <w:lvlText w:val="■"/>
      <w:lvlJc w:val="left"/>
      <w:pPr>
        <w:ind w:left="2160" w:hanging="360"/>
      </w:pPr>
    </w:lvl>
    <w:lvl w:ilvl="3" w:tplc="4F1EC27E">
      <w:start w:val="1"/>
      <w:numFmt w:val="bullet"/>
      <w:lvlText w:val="●"/>
      <w:lvlJc w:val="left"/>
      <w:pPr>
        <w:ind w:left="2880" w:hanging="360"/>
      </w:pPr>
    </w:lvl>
    <w:lvl w:ilvl="4" w:tplc="E0641076">
      <w:start w:val="1"/>
      <w:numFmt w:val="bullet"/>
      <w:lvlText w:val="○"/>
      <w:lvlJc w:val="left"/>
      <w:pPr>
        <w:ind w:left="3600" w:hanging="360"/>
      </w:pPr>
    </w:lvl>
    <w:lvl w:ilvl="5" w:tplc="C074BFAC">
      <w:start w:val="1"/>
      <w:numFmt w:val="bullet"/>
      <w:lvlText w:val="■"/>
      <w:lvlJc w:val="left"/>
      <w:pPr>
        <w:ind w:left="4320" w:hanging="360"/>
      </w:pPr>
    </w:lvl>
    <w:lvl w:ilvl="6" w:tplc="C512001C">
      <w:start w:val="1"/>
      <w:numFmt w:val="bullet"/>
      <w:lvlText w:val="●"/>
      <w:lvlJc w:val="left"/>
      <w:pPr>
        <w:ind w:left="5040" w:hanging="360"/>
      </w:pPr>
    </w:lvl>
    <w:lvl w:ilvl="7" w:tplc="ADFC12F4">
      <w:start w:val="1"/>
      <w:numFmt w:val="bullet"/>
      <w:lvlText w:val="●"/>
      <w:lvlJc w:val="left"/>
      <w:pPr>
        <w:ind w:left="5760" w:hanging="360"/>
      </w:pPr>
    </w:lvl>
    <w:lvl w:ilvl="8" w:tplc="92B8172E">
      <w:start w:val="1"/>
      <w:numFmt w:val="bullet"/>
      <w:lvlText w:val="●"/>
      <w:lvlJc w:val="left"/>
      <w:pPr>
        <w:ind w:left="6480" w:hanging="360"/>
      </w:pPr>
    </w:lvl>
  </w:abstractNum>
  <w:abstractNum w:abstractNumId="2">
    <w:nsid w:val="5A1C3E77"/>
    <w:multiLevelType w:val="hybridMultilevel"/>
    <w:tmpl w:val="7B2E4C10"/>
    <w:lvl w:ilvl="0">
      <w:start w:val="1"/>
      <w:numFmt w:val="decimal"/>
      <w:lvlText w:val="%1."/>
      <w:lvlJc w:val="left"/>
      <w:pPr>
        <w:ind w:left="356" w:hanging="356"/>
      </w:pPr>
      <w:rPr>
        <w:rFonts w:ascii="Calibri" w:eastAsia="Calibri" w:hAnsi="Calibri" w:cs="Calibri"/>
        <w:b/>
        <w:bCs/>
        <w:color w:val="00498F"/>
        <w:sz w:val="19"/>
        <w:szCs w:val="19"/>
      </w:rPr>
    </w:lvl>
    <w:lvl w:ilvl="1">
      <w:start w:val="1"/>
      <w:numFmt w:val="decimal"/>
      <w:lvlText w:val="%2."/>
      <w:lvlJc w:val="left"/>
      <w:pPr>
        <w:ind w:left="716" w:hanging="356"/>
      </w:pPr>
    </w:lvl>
    <w:lvl w:ilvl="2">
      <w:start w:val="1"/>
      <w:numFmt w:val="decimal"/>
      <w:lvlText w:val="%3."/>
      <w:lvlJc w:val="left"/>
      <w:pPr>
        <w:ind w:left="1076" w:hanging="356"/>
      </w:pPr>
    </w:lvl>
    <w:lvl w:ilvl="3">
      <w:start w:val="1"/>
      <w:numFmt w:val="decimal"/>
      <w:lvlText w:val="%4."/>
      <w:lvlJc w:val="left"/>
      <w:pPr>
        <w:ind w:left="1436" w:hanging="356"/>
      </w:pPr>
    </w:lvl>
    <w:lvl w:ilvl="4">
      <w:start w:val="1"/>
      <w:numFmt w:val="decimal"/>
      <w:lvlText w:val="%5."/>
      <w:lvlJc w:val="left"/>
      <w:pPr>
        <w:ind w:left="1796" w:hanging="356"/>
      </w:pPr>
    </w:lvl>
    <w:lvl w:ilvl="5">
      <w:start w:val="1"/>
      <w:numFmt w:val="decimal"/>
      <w:lvlText w:val="%6."/>
      <w:lvlJc w:val="left"/>
      <w:pPr>
        <w:ind w:left="2156" w:hanging="356"/>
      </w:pPr>
    </w:lvl>
    <w:lvl w:ilvl="6">
      <w:start w:val="1"/>
      <w:numFmt w:val="decimal"/>
      <w:lvlText w:val="%7."/>
      <w:lvlJc w:val="left"/>
      <w:pPr>
        <w:ind w:left="2516" w:hanging="356"/>
      </w:pPr>
    </w:lvl>
    <w:lvl w:ilvl="7">
      <w:start w:val="1"/>
      <w:numFmt w:val="decimal"/>
      <w:lvlText w:val="%8."/>
      <w:lvlJc w:val="left"/>
      <w:pPr>
        <w:ind w:left="2876" w:hanging="356"/>
      </w:pPr>
    </w:lvl>
    <w:lvl w:ilvl="8">
      <w:start w:val="1"/>
      <w:numFmt w:val="decimal"/>
      <w:lvlText w:val="%9."/>
      <w:lvlJc w:val="left"/>
      <w:pPr>
        <w:ind w:left="3236" w:hanging="356"/>
      </w:pPr>
    </w:lvl>
  </w:abstractNum>
  <w:num w:numId="1" w16cid:durableId="1318262813">
    <w:abstractNumId w:val="1"/>
    <w:lvlOverride w:ilvl="0">
      <w:startOverride w:val="1"/>
    </w:lvlOverride>
  </w:num>
  <w:num w:numId="2" w16cid:durableId="427392447">
    <w:abstractNumId w:val="0"/>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C5"/>
    <w:rsid w:val="0005736B"/>
    <w:rsid w:val="000A55CA"/>
    <w:rsid w:val="001C20AB"/>
    <w:rsid w:val="005C7CC5"/>
    <w:rsid w:val="008F3ECF"/>
    <w:rsid w:val="00C158DD"/>
    <w:rsid w:val="00D40D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8A9130C"/>
  <w15:docId w15:val="{F5C110E9-C2A9-4745-B459-7684602C2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color w:val="222222"/>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1263</Words>
  <Characters>7203</Characters>
  <Application>Microsoft Office Word</Application>
  <DocSecurity>0</DocSecurity>
  <Lines>60</Lines>
  <Paragraphs>16</Paragraphs>
  <ScaleCrop>false</ScaleCrop>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Seongjae</cp:lastModifiedBy>
  <cp:revision>3</cp:revision>
  <dcterms:created xsi:type="dcterms:W3CDTF">2026-08-12T08:05:00Z</dcterms:created>
  <dcterms:modified xsi:type="dcterms:W3CDTF">2026-10-14T15:32:05Z</dcterms:modified>
  <dc:title>리서치 브리핑: ASEAN–중국 AI 협력과 ASEAN Foundation의 기여 방안</dc:title>
</cp:coreProperties>
</file>