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4A0" w:firstRow="1" w:lastRow="0" w:firstColumn="1" w:lastColumn="0" w:noHBand="0" w:noVBand="1"/>
      </w:tblPr>
      <w:tblGrid>
        <w:gridCol w:w="5000"/>
        <w:gridCol w:w="4740"/>
      </w:tblGrid>
      <w:tr w:rsidR="005C7CC5" w14:paraId="68A00669" w14:textId="77777777">
        <w:tc>
          <w:tcPr>
            <w:tcW w:w="5000" w:type="dxa"/>
            <w:vAlign w:val="bottom"/>
          </w:tcPr>
          <w:p w14:paraId="6C2DB77E" w14:textId="77777777" w:rsidR="005C7CC5" w:rsidRDefault="00000000">
            <w:r>
              <w:rPr>
                <w:noProof/>
              </w:rPr>
              <w:drawing>
                <wp:inline distT="0" distB="0" distL="0" distR="0" wp14:anchorId="13065488" wp14:editId="74E5992E">
                  <wp:extent cx="1066800" cy="4095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6800" cy="409575"/>
                          </a:xfrm>
                          <a:prstGeom prst="rect">
                            <a:avLst/>
                          </a:prstGeom>
                        </pic:spPr>
                      </pic:pic>
                    </a:graphicData>
                  </a:graphic>
                </wp:inline>
              </w:drawing>
            </w:r>
          </w:p>
        </w:tc>
        <w:tc>
          <w:tcPr>
            <w:tcW w:w="4740" w:type="dxa"/>
            <w:vAlign w:val="bottom"/>
          </w:tcPr>
          <w:p w14:paraId="30E552A3" w14:textId="74700D2E" w:rsidR="005C7CC5" w:rsidRDefault="005C7CC5">
            <w:pPr>
              <w:jc w:val="right"/>
            </w:pPr>
          </w:p>
        </w:tc>
      </w:tr>
    </w:tbl>
    <w:p w14:paraId="5E22EA1F" w14:textId="77777777" w:rsidR="005C7CC5" w:rsidRDefault="005C7CC5">
      <w:pPr>
        <w:pBdr>
          <w:bottom w:val="single" w:sz="8" w:space="1" w:color="00498F"/>
        </w:pBdr>
        <w:spacing w:before="120" w:after="60" w:line="20" w:lineRule="exact"/>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260" w:type="dxa"/>
          <w:left w:w="260" w:type="dxa"/>
          <w:bottom w:w="260" w:type="dxa"/>
          <w:right w:w="260" w:type="dxa"/>
        </w:tblCellMar>
        <w:tblLook w:val="04A0" w:firstRow="1" w:lastRow="0" w:firstColumn="1" w:lastColumn="0" w:noHBand="0" w:noVBand="1"/>
      </w:tblPr>
      <w:tblGrid>
        <w:gridCol w:w="9740"/>
      </w:tblGrid>
      <w:tr w:rsidR="005C7CC5" w14:paraId="3D6766BB" w14:textId="77777777">
        <w:tc>
          <w:tcPr>
            <w:tcW w:w="9740" w:type="dxa"/>
            <w:shd w:val="clear" w:color="auto" w:fill="00498F"/>
          </w:tcPr>
          <w:p w14:paraId="7C7C8A63" w14:textId="77777777" w:rsidR="005C7CC5" w:rsidRDefault="00000000">
            <w:pPr>
              <w:spacing w:after="60" w:line="300" w:lineRule="auto"/>
            </w:pPr>
            <w:r>
              <w:rPr>
                <w:rFonts w:eastAsia="Calibri"/>
                <w:b/>
                <w:bCs/>
                <w:color w:val="FFFFFF"/>
                <w:sz w:val="34"/>
                <w:szCs w:val="34"/>
              </w:rPr>
              <w:t>Talking Points</w:t>
            </w:r>
          </w:p>
          <w:p w14:paraId="50D60414" w14:textId="77777777" w:rsidR="005C7CC5" w:rsidRDefault="00000000">
            <w:pPr>
              <w:spacing w:line="260" w:lineRule="auto"/>
            </w:pPr>
            <w:r>
              <w:rPr>
                <w:rFonts w:eastAsia="Calibri"/>
                <w:color w:val="A8CBEA"/>
              </w:rPr>
              <w:t>Roundtable on China–ASEAN AI Governance | Session 2</w:t>
            </w:r>
          </w:p>
        </w:tc>
      </w:tr>
    </w:tbl>
    <w:p w14:paraId="42DCEA40" w14:textId="77777777" w:rsidR="005C7CC5" w:rsidRDefault="005C7CC5">
      <w:pPr>
        <w:spacing w:after="240"/>
      </w:pP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CellMar>
          <w:top w:w="90" w:type="dxa"/>
          <w:left w:w="106" w:type="dxa"/>
          <w:bottom w:w="90" w:type="dxa"/>
          <w:right w:w="106" w:type="dxa"/>
        </w:tblCellMar>
        <w:tblLook w:val="04A0" w:firstRow="1" w:lastRow="0" w:firstColumn="1" w:lastColumn="0" w:noHBand="0" w:noVBand="1"/>
      </w:tblPr>
      <w:tblGrid>
        <w:gridCol w:w="2392"/>
        <w:gridCol w:w="7348"/>
      </w:tblGrid>
      <w:tr>
        <w:trPr>
          <w:cantSplit/>
        </w:trPr>
        <w:tc>
          <w:tcPr>
            <w:tcW w:w="2392" w:type="dxa"/>
            <w:shd w:val="clear" w:color="auto" w:fill="EAF1F8"/>
          </w:tcPr>
          <w:p>
            <w:pPr>
              <w:spacing w:line="276" w:lineRule="auto"/>
            </w:pPr>
            <w:r>
              <w:rPr>
                <w:rFonts w:eastAsia="Calibri"/>
                <w:b/>
                <w:bCs/>
              </w:rPr>
              <w:t>Event</w:t>
            </w:r>
          </w:p>
        </w:tc>
        <w:tc>
          <w:tcPr>
            <w:tcW w:w="7348" w:type="dxa"/>
          </w:tcPr>
          <w:p>
            <w:pPr>
              <w:spacing w:line="276" w:lineRule="auto"/>
            </w:pPr>
            <w:r>
              <w:rPr>
                <w:rFonts w:eastAsia="Calibri"/>
              </w:rPr>
              <w:t>Roundtable on China–ASEAN AI Governance, hosted by the China Institute of International Studies (CIIS), Beijing</w:t>
            </w:r>
          </w:p>
        </w:tc>
      </w:tr>
      <w:tr>
        <w:trPr>
          <w:cantSplit/>
        </w:trPr>
        <w:tc>
          <w:tcPr>
            <w:tcW w:w="2392" w:type="dxa"/>
            <w:shd w:val="clear" w:color="auto" w:fill="EAF1F8"/>
          </w:tcPr>
          <w:p>
            <w:pPr>
              <w:spacing w:line="276" w:lineRule="auto"/>
            </w:pPr>
            <w:r>
              <w:rPr>
                <w:rFonts w:eastAsia="Calibri"/>
                <w:b/>
                <w:bCs/>
              </w:rPr>
              <w:t>Session</w:t>
            </w:r>
          </w:p>
        </w:tc>
        <w:tc>
          <w:tcPr>
            <w:tcW w:w="7348" w:type="dxa"/>
          </w:tcPr>
          <w:p>
            <w:pPr>
              <w:spacing w:line="276" w:lineRule="auto"/>
            </w:pPr>
            <w:r>
              <w:rPr>
                <w:rFonts w:eastAsia="Calibri"/>
              </w:rPr>
              <w:t>Session 2: Strengthening AI Capacity and Empowering Industries across China and ASEAN</w:t>
            </w:r>
          </w:p>
        </w:tc>
      </w:tr>
      <w:tr>
        <w:trPr>
          <w:cantSplit/>
        </w:trPr>
        <w:tc>
          <w:tcPr>
            <w:tcW w:w="2392" w:type="dxa"/>
            <w:shd w:val="clear" w:color="auto" w:fill="EAF1F8"/>
          </w:tcPr>
          <w:p>
            <w:pPr>
              <w:spacing w:line="276" w:lineRule="auto"/>
            </w:pPr>
            <w:r>
              <w:rPr>
                <w:rFonts w:eastAsia="Calibri"/>
                <w:b/>
                <w:bCs/>
              </w:rPr>
              <w:t>Speaker</w:t>
            </w:r>
          </w:p>
        </w:tc>
        <w:tc>
          <w:tcPr>
            <w:tcW w:w="7348" w:type="dxa"/>
          </w:tcPr>
          <w:p>
            <w:pPr>
              <w:spacing w:line="276" w:lineRule="auto"/>
            </w:pPr>
            <w:r>
              <w:rPr>
                <w:rFonts w:eastAsia="Calibri"/>
              </w:rPr>
              <w:t>Ilan Asqolani, Head of Programme, ASEAN Foundation</w:t>
            </w:r>
          </w:p>
        </w:tc>
      </w:tr>
      <w:tr>
        <w:trPr>
          <w:cantSplit/>
        </w:trPr>
        <w:tc>
          <w:tcPr>
            <w:tcW w:w="2392" w:type="dxa"/>
            <w:shd w:val="clear" w:color="auto" w:fill="EAF1F8"/>
          </w:tcPr>
          <w:p>
            <w:pPr>
              <w:spacing w:line="276" w:lineRule="auto"/>
            </w:pPr>
            <w:r>
              <w:rPr>
                <w:rFonts w:eastAsia="Calibri"/>
                <w:b/>
                <w:bCs/>
              </w:rPr>
              <w:t>Date and venue</w:t>
            </w:r>
          </w:p>
        </w:tc>
        <w:tc>
          <w:tcPr>
            <w:tcW w:w="7348" w:type="dxa"/>
          </w:tcPr>
          <w:p>
            <w:pPr>
              <w:spacing w:line="276" w:lineRule="auto"/>
            </w:pPr>
            <w:r>
              <w:rPr>
                <w:rFonts w:eastAsia="Calibri"/>
              </w:rPr>
              <w:t>To be confirmed when the agenda is circulated</w:t>
            </w:r>
          </w:p>
        </w:tc>
      </w:tr>
      <w:tr>
        <w:trPr>
          <w:cantSplit/>
        </w:trPr>
        <w:tc>
          <w:tcPr>
            <w:tcW w:w="2392" w:type="dxa"/>
            <w:shd w:val="clear" w:color="auto" w:fill="EAF1F8"/>
          </w:tcPr>
          <w:p>
            <w:pPr>
              <w:spacing w:line="276" w:lineRule="auto"/>
            </w:pPr>
            <w:r>
              <w:rPr>
                <w:rFonts w:eastAsia="Calibri"/>
                <w:b/>
                <w:bCs/>
              </w:rPr>
              <w:t>Length</w:t>
            </w:r>
          </w:p>
        </w:tc>
        <w:tc>
          <w:tcPr>
            <w:tcW w:w="7348" w:type="dxa"/>
          </w:tcPr>
          <w:p>
            <w:pPr>
              <w:spacing w:line="276" w:lineRule="auto"/>
            </w:pPr>
            <w:r>
              <w:rPr>
                <w:rFonts w:eastAsia="Calibri"/>
              </w:rPr>
              <w:t>6–7 minutes. Core script about 810 words (about 6½ minutes); optional lines add about 110 words</w:t>
            </w:r>
          </w:p>
        </w:tc>
      </w:tr>
      <w:tr>
        <w:trPr>
          <w:cantSplit/>
        </w:trPr>
        <w:tc>
          <w:tcPr>
            <w:tcW w:w="2392" w:type="dxa"/>
            <w:shd w:val="clear" w:color="auto" w:fill="EAF1F8"/>
          </w:tcPr>
          <w:p>
            <w:pPr>
              <w:spacing w:line="276" w:lineRule="auto"/>
            </w:pPr>
            <w:r>
              <w:rPr>
                <w:rFonts w:eastAsia="Calibri"/>
                <w:b/>
                <w:bCs/>
              </w:rPr>
              <w:t>Link to Singapore</w:t>
            </w:r>
          </w:p>
        </w:tc>
        <w:tc>
          <w:tcPr>
            <w:tcW w:w="7348" w:type="dxa"/>
          </w:tcPr>
          <w:p>
            <w:pPr>
              <w:spacing w:line="276" w:lineRule="auto"/>
            </w:pPr>
            <w:r>
              <w:rPr>
                <w:rFonts w:eastAsia="Calibri"/>
              </w:rPr>
              <w:t>Ilan gave the closing remarks at the AIM ASEAN National Policy Convening in Singapore on 15 September 2026, where he asked what happens after training</w:t>
            </w:r>
          </w:p>
        </w:tc>
      </w:tr>
    </w:tbl>
    <w:p>
      <w:pPr>
        <w:keepNext/>
        <w:spacing w:before="240" w:after="160" w:line="300" w:lineRule="auto"/>
      </w:pPr>
      <w:r>
        <w:rPr>
          <w:rFonts w:eastAsia="Calibri"/>
          <w:b/>
          <w:bCs/>
          <w:color w:val="00498F"/>
          <w:sz w:val="26"/>
          <w:szCs w:val="26"/>
        </w:rPr>
        <w:t>1. Key Messages</w:t>
      </w:r>
    </w:p>
    <w:p>
      <w:pPr>
        <w:spacing w:after="120" w:line="336" w:lineRule="auto"/>
        <w:jc w:val="both"/>
      </w:pPr>
      <w:r>
        <w:rPr>
          <w:rFonts w:eastAsia="Calibri"/>
          <w:b/>
          <w:bCs/>
        </w:rPr>
        <w:t>The success of AI capacity building is decided after the training ends: when businesses keep using AI in their real work, and use it responsibly.</w:t>
      </w:r>
    </w:p>
    <w:p>
      <w:pPr>
        <w:pStyle w:val="a4"/>
        <w:numPr>
          <w:ilvl w:val="0"/>
          <w:numId w:val="3"/>
        </w:numPr>
        <w:spacing w:after="60" w:line="336" w:lineRule="auto"/>
        <w:jc w:val="both"/>
      </w:pPr>
      <w:r>
        <w:rPr>
          <w:rFonts w:eastAsia="Calibri"/>
          <w:b/>
          <w:bCs/>
        </w:rPr>
        <w:t>Industrial AI capacity is tested in MSMEs.</w:t>
      </w:r>
      <w:r>
        <w:rPr>
          <w:rFonts w:eastAsia="Calibri"/>
        </w:rPr>
        <w:t xml:space="preserve"> Micro, small and medium enterprises make up more than 97 per cent of businesses in ASEAN and 85 per cent of employment. Even in Singapore, 23.4 per cent of SMEs had adopted AI in 2025, against 70.4 per cent of larger firms.</w:t>
      </w:r>
    </w:p>
    <w:p>
      <w:pPr>
        <w:pStyle w:val="a4"/>
        <w:numPr>
          <w:ilvl w:val="0"/>
          <w:numId w:val="3"/>
        </w:numPr>
        <w:spacing w:after="60" w:line="336" w:lineRule="auto"/>
        <w:jc w:val="both"/>
      </w:pPr>
      <w:r>
        <w:rPr>
          <w:rFonts w:eastAsia="Calibri"/>
          <w:b/>
          <w:bCs/>
        </w:rPr>
        <w:t>The bottleneck lies between training and real use.</w:t>
      </w:r>
      <w:r>
        <w:rPr>
          <w:rFonts w:eastAsia="Calibri"/>
        </w:rPr>
        <w:t xml:space="preserve"> The Singapore convening found that trying a tool is not the same as integrating it into a business, and that support tends to break off between awareness, experimentation, implementation and scaling.</w:t>
      </w:r>
    </w:p>
    <w:p>
      <w:pPr>
        <w:pStyle w:val="a4"/>
        <w:numPr>
          <w:ilvl w:val="0"/>
          <w:numId w:val="3"/>
        </w:numPr>
        <w:spacing w:after="120" w:line="336" w:lineRule="auto"/>
        <w:jc w:val="both"/>
      </w:pPr>
      <w:r>
        <w:rPr>
          <w:rFonts w:eastAsia="Calibri"/>
          <w:b/>
          <w:bCs/>
        </w:rPr>
        <w:t>The ASEAN Foundation can contribute in three ways.</w:t>
      </w:r>
      <w:r>
        <w:rPr>
          <w:rFonts w:eastAsia="Calibri"/>
        </w:rPr>
        <w:t xml:space="preserve"> Design capacity building as a pathway from training to implementation; develop AI-bilingual people who add AI to their professional expertise; and measure responsible, sustained use and business outcomes alongside training numbers, sharing cases openly. All within ASEAN’s frameworks.</w:t>
      </w:r>
    </w:p>
    <w:p>
      <w:pPr>
        <w:keepNext/>
        <w:spacing w:before="240" w:after="160" w:line="300" w:lineRule="auto"/>
      </w:pPr>
      <w:r>
        <w:rPr>
          <w:rFonts w:eastAsia="Calibri"/>
          <w:b/>
          <w:bCs/>
          <w:color w:val="00498F"/>
          <w:sz w:val="26"/>
          <w:szCs w:val="26"/>
        </w:rPr>
        <w:t>2. Summary for the Moderator</w:t>
      </w:r>
    </w:p>
    <w:p>
      <w:pPr>
        <w:spacing w:after="120" w:line="336" w:lineRule="auto"/>
        <w:jc w:val="both"/>
      </w:pPr>
      <w:r>
        <w:rPr>
          <w:rFonts w:eastAsia="Calibri"/>
        </w:rPr>
        <w:t>To be shared with CIIS ahead of the roundtable.</w:t>
      </w:r>
    </w:p>
    <w:p>
      <w:pPr>
        <w:pStyle w:val="a4"/>
        <w:numPr>
          <w:ilvl w:val="0"/>
          <w:numId w:val="2"/>
        </w:numPr>
        <w:spacing w:after="60" w:line="336" w:lineRule="auto"/>
        <w:jc w:val="both"/>
      </w:pPr>
      <w:r>
        <w:rPr>
          <w:rFonts w:eastAsia="Calibri"/>
          <w:b/>
          <w:bCs/>
        </w:rPr>
        <w:t>Speaker</w:t>
      </w:r>
      <w:r>
        <w:rPr>
          <w:rFonts w:eastAsia="Calibri"/>
        </w:rPr>
        <w:t>: Ilan Asqolani, Head of Programme, ASEAN Foundation</w:t>
      </w:r>
    </w:p>
    <w:p>
      <w:pPr>
        <w:pStyle w:val="a4"/>
        <w:numPr>
          <w:ilvl w:val="0"/>
          <w:numId w:val="2"/>
        </w:numPr>
        <w:spacing w:after="60" w:line="336" w:lineRule="auto"/>
        <w:jc w:val="both"/>
      </w:pPr>
      <w:r>
        <w:rPr>
          <w:rFonts w:eastAsia="Calibri"/>
          <w:b/>
          <w:bCs/>
        </w:rPr>
        <w:t>Title</w:t>
      </w:r>
      <w:r>
        <w:rPr>
          <w:rFonts w:eastAsia="Calibri"/>
        </w:rPr>
        <w:t>: After the Training: What ASEAN’s Small Businesses Teach Us about AI Capacity</w:t>
      </w:r>
    </w:p>
    <w:p>
      <w:pPr>
        <w:pStyle w:val="a4"/>
        <w:numPr>
          <w:ilvl w:val="0"/>
          <w:numId w:val="2"/>
        </w:numPr>
        <w:spacing w:after="120" w:line="336" w:lineRule="auto"/>
        <w:jc w:val="both"/>
      </w:pPr>
      <w:r>
        <w:rPr>
          <w:rFonts w:eastAsia="Calibri"/>
          <w:b/>
          <w:bCs/>
        </w:rPr>
        <w:t>Key message</w:t>
      </w:r>
      <w:r>
        <w:rPr>
          <w:rFonts w:eastAsia="Calibri"/>
        </w:rPr>
        <w:t>: The success of AI capacity building is decided after the training ends, when businesses keep using AI in their real work and use it responsibly.</w:t>
      </w:r>
    </w:p>
    <w:p>
      <w:pPr>
        <w:pStyle w:val="a4"/>
        <w:numPr>
          <w:ilvl w:val="0"/>
          <w:numId w:val="4"/>
        </w:numPr>
        <w:spacing w:after="60" w:line="336" w:lineRule="auto"/>
        <w:jc w:val="both"/>
      </w:pPr>
      <w:r>
        <w:rPr>
          <w:rFonts w:eastAsia="Calibri"/>
          <w:b/>
          <w:bCs/>
        </w:rPr>
        <w:t>MSMEs are where industrial AI capacity is tested.</w:t>
      </w:r>
      <w:r>
        <w:rPr>
          <w:rFonts w:eastAsia="Calibri"/>
        </w:rPr>
        <w:t xml:space="preserve"> Micro, small and medium enterprises make up more than 97 per cent of businesses in ASEAN and 85 per cent of employment. Even in the region’s digital leaders, the gap in AI adoption between smaller and larger firms remains wide.</w:t>
      </w:r>
    </w:p>
    <w:p>
      <w:pPr>
        <w:pStyle w:val="a4"/>
        <w:numPr>
          <w:ilvl w:val="0"/>
          <w:numId w:val="4"/>
        </w:numPr>
        <w:spacing w:after="60" w:line="336" w:lineRule="auto"/>
        <w:jc w:val="both"/>
      </w:pPr>
      <w:r>
        <w:rPr>
          <w:rFonts w:eastAsia="Calibri"/>
          <w:b/>
          <w:bCs/>
        </w:rPr>
        <w:t>Lessons from AIM ASEAN and the Singapore National Policy Convening.</w:t>
      </w:r>
      <w:r>
        <w:rPr>
          <w:rFonts w:eastAsia="Calibri"/>
        </w:rPr>
        <w:t xml:space="preserve"> Through AIM ASEAN (AI for MSME Advancement in ASEAN), endorsed by the ASEAN Coordinating Committee on MSMEs, the ASEAN Foundation provides practical AI training to MSMEs and has held policy dialogues in the Philippines, Indonesia and Singapore. In Singapore in September 2026, a discussion involving government agencies, SME associations, education institutions, the technology community and the ASEAN Secretariat highlighted three points: trying a tool is not the same as integrating it into a business; capacity comes from AI-bilingual people who add AI to their professional expertise; and support after training must go hand in hand with responsible use.</w:t>
      </w:r>
    </w:p>
    <w:p>
      <w:pPr>
        <w:pStyle w:val="a4"/>
        <w:numPr>
          <w:ilvl w:val="0"/>
          <w:numId w:val="4"/>
        </w:numPr>
        <w:spacing w:after="60" w:line="336" w:lineRule="auto"/>
        <w:jc w:val="both"/>
      </w:pPr>
      <w:r>
        <w:rPr>
          <w:rFonts w:eastAsia="Calibri"/>
          <w:b/>
          <w:bCs/>
        </w:rPr>
        <w:t>For MSMEs, governance is a daily decision.</w:t>
      </w:r>
      <w:r>
        <w:rPr>
          <w:rFonts w:eastAsia="Calibri"/>
        </w:rPr>
        <w:t xml:space="preserve"> It means deciding what data to use, who checks the output and who is accountable. Capacity building turns principles into these decisions.</w:t>
      </w:r>
    </w:p>
    <w:p>
      <w:pPr>
        <w:pStyle w:val="a4"/>
        <w:numPr>
          <w:ilvl w:val="0"/>
          <w:numId w:val="4"/>
        </w:numPr>
        <w:spacing w:after="120" w:line="336" w:lineRule="auto"/>
        <w:jc w:val="both"/>
      </w:pPr>
      <w:r>
        <w:rPr>
          <w:rFonts w:eastAsia="Calibri"/>
          <w:b/>
          <w:bCs/>
        </w:rPr>
        <w:t>Directions for cooperation.</w:t>
      </w:r>
      <w:r>
        <w:rPr>
          <w:rFonts w:eastAsia="Calibri"/>
        </w:rPr>
        <w:t xml:space="preserve"> (1) Design capacity building as a pathway from training to choosing a use case, low-risk testing, implementation support and scaling, working through intermediaries that firms trust. (2) Alongside engineers and officials, develop AI-bilingual practitioners and AI champions within firms. (3) Measure sustained use and business outcomes alongside training numbers, and share cases openly, including what did not work. All of this should sit within ASEAN’s frameworks and those agreed between ASEAN and China.</w:t>
      </w:r>
    </w:p>
    <w:p>
      <w:pPr>
        <w:keepNext/>
        <w:pageBreakBefore/>
        <w:spacing w:before="240" w:after="160" w:line="300" w:lineRule="auto"/>
      </w:pPr>
      <w:r>
        <w:rPr>
          <w:rFonts w:eastAsia="Calibri"/>
          <w:b/>
          <w:bCs/>
          <w:color w:val="00498F"/>
          <w:sz w:val="26"/>
          <w:szCs w:val="26"/>
        </w:rPr>
        <w:t>3. Speech</w:t>
      </w:r>
    </w:p>
    <w:p>
      <w:pPr>
        <w:spacing w:after="120" w:line="336" w:lineRule="auto"/>
        <w:jc w:val="both"/>
      </w:pPr>
      <w:r>
        <w:rPr>
          <w:rFonts w:eastAsia="Calibri"/>
        </w:rPr>
        <w:t xml:space="preserve">About 6½ minutes for the core script (about 810 words). Lines marked </w:t>
      </w:r>
      <w:r>
        <w:rPr>
          <w:rFonts w:eastAsia="Calibri"/>
          <w:b/>
          <w:bCs/>
          <w:color w:val="0F63A8"/>
        </w:rPr>
        <w:t>[Optional]</w:t>
      </w:r>
      <w:r>
        <w:rPr>
          <w:rFonts w:eastAsia="Calibri"/>
        </w:rPr>
        <w:t xml:space="preserve"> add about 110 words and can be dropped if time is short.</w:t>
      </w:r>
    </w:p>
    <w:p>
      <w:pPr>
        <w:keepNext/>
        <w:spacing w:before="220" w:after="110" w:line="300" w:lineRule="auto"/>
      </w:pPr>
      <w:r>
        <w:rPr>
          <w:rFonts w:eastAsia="Calibri"/>
          <w:b/>
          <w:bCs/>
          <w:color w:val="0F63A8"/>
          <w:sz w:val="22"/>
          <w:szCs w:val="22"/>
        </w:rPr>
        <w:t>3.1 Opening (0:00–0:40)</w:t>
      </w:r>
    </w:p>
    <w:p>
      <w:pPr>
        <w:spacing w:after="120" w:line="336" w:lineRule="auto"/>
        <w:jc w:val="both"/>
      </w:pPr>
      <w:r>
        <w:rPr>
          <w:rFonts w:eastAsia="Calibri"/>
        </w:rPr>
        <w:t xml:space="preserve">Moderator, colleagues from CIIS, fellow panellists, thank you for inviting us. </w:t>
      </w:r>
      <w:r>
        <w:rPr>
          <w:rFonts w:eastAsia="Calibri"/>
          <w:b/>
          <w:bCs/>
          <w:color w:val="0F63A8"/>
        </w:rPr>
        <w:t>[Optional]</w:t>
      </w:r>
      <w:r>
        <w:rPr>
          <w:rFonts w:eastAsia="Calibri"/>
        </w:rPr>
        <w:t xml:space="preserve"> This year marks 35 years of ASEAN–China dialogue relations and five years of our Comprehensive Strategic Partnership. Our Foundation has also run youth exchanges with China’s Mission to ASEAN, supported by the ASEAN–China Cooperation Fund.</w:t>
      </w:r>
    </w:p>
    <w:p>
      <w:pPr>
        <w:spacing w:after="120" w:line="336" w:lineRule="auto"/>
        <w:jc w:val="both"/>
      </w:pPr>
      <w:r>
        <w:rPr>
          <w:rFonts w:eastAsia="Calibri"/>
          <w:i/>
          <w:iCs/>
          <w:color w:val="0F63A8"/>
        </w:rPr>
        <w:t>[One sentence linking to the previous speaker]</w:t>
      </w:r>
      <w:r>
        <w:rPr>
          <w:rFonts w:eastAsia="Calibri"/>
        </w:rPr>
        <w:t xml:space="preserve"> In September, I closed our AIM ASEAN National Policy Convening in Singapore with a question: when the training ends, what comes next? I bring that question here today. AI capacity building does not succeed by how many people we train. It succeeds when businesses keep using AI in their real work, and use it responsibly, after the training ends.</w:t>
      </w:r>
    </w:p>
    <w:p>
      <w:pPr>
        <w:keepNext/>
        <w:spacing w:before="220" w:after="110" w:line="300" w:lineRule="auto"/>
      </w:pPr>
      <w:r>
        <w:rPr>
          <w:rFonts w:eastAsia="Calibri"/>
          <w:b/>
          <w:bCs/>
          <w:color w:val="0F63A8"/>
          <w:sz w:val="22"/>
          <w:szCs w:val="22"/>
        </w:rPr>
        <w:t>3.2 Why MSMEs (0:40–1:20)</w:t>
      </w:r>
    </w:p>
    <w:p>
      <w:pPr>
        <w:spacing w:after="120" w:line="336" w:lineRule="auto"/>
        <w:jc w:val="both"/>
      </w:pPr>
      <w:r>
        <w:rPr>
          <w:rFonts w:eastAsia="Calibri"/>
        </w:rPr>
        <w:t>Micro, small and medium enterprises make up more than 97 per cent of businesses in ASEAN and 85 per cent of jobs. The AI capacity of our industries will be tested in these firms.</w:t>
      </w:r>
    </w:p>
    <w:p>
      <w:pPr>
        <w:spacing w:after="120" w:line="336" w:lineRule="auto"/>
        <w:jc w:val="both"/>
      </w:pPr>
      <w:r>
        <w:rPr>
          <w:rFonts w:eastAsia="Calibri"/>
        </w:rPr>
        <w:t>Even in Singapore, with a national AI strategy and strong enterprise support, 23.4 per cent of SMEs had adopted AI in 2025, about a third of the rate among larger firms. Where support is thinner, the challenge is likely to be greater.</w:t>
      </w:r>
    </w:p>
    <w:p>
      <w:pPr>
        <w:keepNext/>
        <w:spacing w:before="220" w:after="110" w:line="300" w:lineRule="auto"/>
      </w:pPr>
      <w:r>
        <w:rPr>
          <w:rFonts w:eastAsia="Calibri"/>
          <w:b/>
          <w:bCs/>
          <w:color w:val="0F63A8"/>
          <w:sz w:val="22"/>
          <w:szCs w:val="22"/>
        </w:rPr>
        <w:t>3.3 What We Learned in Singapore (1:20–3:40)</w:t>
      </w:r>
    </w:p>
    <w:p>
      <w:pPr>
        <w:spacing w:after="120" w:line="336" w:lineRule="auto"/>
        <w:jc w:val="both"/>
      </w:pPr>
      <w:r>
        <w:rPr>
          <w:rFonts w:eastAsia="Calibri"/>
        </w:rPr>
        <w:t>The ASEAN Foundation runs AIM ASEAN, endorsed by the ASEAN Coordinating Committee on MSMEs and delivered with AVPN through the AI Opportunity Fund: Asia-Pacific, supported by Google.org and the Asian Development Bank. Local partners teach small businesses practical AI towards a regional goal of 100,000 firms; in Singapore, we had reached more than 1,500 of 3,000 by July. AIM ASEAN also holds National Policy Convenings, so far in the Philippines, Indonesia and Singapore. In Singapore, government agencies, SME associations, educators, the ASEAN Secretariat and our programme partners took part. Three lessons stood out for me.</w:t>
      </w:r>
    </w:p>
    <w:p>
      <w:pPr>
        <w:spacing w:after="120" w:line="336" w:lineRule="auto"/>
        <w:jc w:val="both"/>
      </w:pPr>
      <w:r>
        <w:rPr>
          <w:rFonts w:eastAsia="Calibri"/>
          <w:b/>
          <w:bCs/>
        </w:rPr>
        <w:t>First, trying a tool is not the same as integrating it.</w:t>
      </w:r>
      <w:r>
        <w:rPr>
          <w:rFonts w:eastAsia="Calibri"/>
        </w:rPr>
        <w:t xml:space="preserve"> Readiness means clear leadership, usable data, suitable workflows and capable staff. So start with a familiar business problem, not a technology. One food manufacturer and distributor began by moving WhatsApp orders into its ERP system; sales analysis comes next. </w:t>
      </w:r>
      <w:r>
        <w:rPr>
          <w:rFonts w:eastAsia="Calibri"/>
          <w:b/>
          <w:bCs/>
          <w:color w:val="0F63A8"/>
        </w:rPr>
        <w:t>[Optional]</w:t>
      </w:r>
      <w:r>
        <w:rPr>
          <w:rFonts w:eastAsia="Calibri"/>
        </w:rPr>
        <w:t xml:space="preserve"> For a small firm, a failed experiment is costly, so letting owners try ready-made workflows with synthetic data first lowers the risk before they commit resources.</w:t>
      </w:r>
    </w:p>
    <w:p>
      <w:pPr>
        <w:spacing w:after="120" w:line="336" w:lineRule="auto"/>
        <w:jc w:val="both"/>
      </w:pPr>
      <w:r>
        <w:rPr>
          <w:rFonts w:eastAsia="Calibri"/>
          <w:b/>
          <w:bCs/>
        </w:rPr>
        <w:t>Second, capacity comes from AI-bilingual people</w:t>
      </w:r>
      <w:r>
        <w:rPr>
          <w:rFonts w:eastAsia="Calibri"/>
        </w:rPr>
        <w:t>, who add AI to the expertise they already have: AI plus X. One example was a former Traditional Chinese Medicine physician who joined a digital health start-up after training, keeping that clinical knowledge and adding AI to it. Inside firms, that means baseline skills for everyone, internal AI champions, and leaders who explain why the work is changing.</w:t>
      </w:r>
    </w:p>
    <w:p>
      <w:pPr>
        <w:spacing w:after="120" w:line="336" w:lineRule="auto"/>
        <w:jc w:val="both"/>
      </w:pPr>
      <w:r>
        <w:rPr>
          <w:rFonts w:eastAsia="Calibri"/>
          <w:b/>
          <w:bCs/>
        </w:rPr>
        <w:t>Third, support after training and responsible use must go together.</w:t>
      </w:r>
      <w:r>
        <w:rPr>
          <w:rFonts w:eastAsia="Calibri"/>
        </w:rPr>
        <w:t xml:space="preserve"> A workshop is only one step. Firms then need help to find and implement suitable solutions, staff who can work with redesigned processes and AI agents, and support that continues after the course. </w:t>
      </w:r>
      <w:r>
        <w:rPr>
          <w:rFonts w:eastAsia="Calibri"/>
          <w:b/>
          <w:bCs/>
          <w:color w:val="0F63A8"/>
        </w:rPr>
        <w:t>[Optional]</w:t>
      </w:r>
      <w:r>
        <w:rPr>
          <w:rFonts w:eastAsia="Calibri"/>
        </w:rPr>
        <w:t xml:space="preserve"> Costs go beyond subscriptions, to staff time, data, integration, cybersecurity and change management. So tools should fit the task, the budget and the sensitivity of the data. Participants did not converge on a single preferred type of model.</w:t>
      </w:r>
    </w:p>
    <w:p>
      <w:pPr>
        <w:spacing w:after="120" w:line="336" w:lineRule="auto"/>
        <w:jc w:val="both"/>
      </w:pPr>
      <w:r>
        <w:rPr>
          <w:rFonts w:eastAsia="Calibri"/>
        </w:rPr>
        <w:t>This is where governance meets the shop floor. For a small business, governance is a daily decision: what data to put in, who checks the output, who is accountable. Capacity building turns principles into decisions people can make.</w:t>
      </w:r>
    </w:p>
    <w:p>
      <w:pPr>
        <w:keepNext/>
        <w:spacing w:before="220" w:after="110" w:line="300" w:lineRule="auto"/>
      </w:pPr>
      <w:r>
        <w:rPr>
          <w:rFonts w:eastAsia="Calibri"/>
          <w:b/>
          <w:bCs/>
          <w:color w:val="0F63A8"/>
          <w:sz w:val="22"/>
          <w:szCs w:val="22"/>
        </w:rPr>
        <w:t>3.4 Three Suggestions (3:40–5:50)</w:t>
      </w:r>
    </w:p>
    <w:p>
      <w:pPr>
        <w:spacing w:after="120" w:line="336" w:lineRule="auto"/>
        <w:jc w:val="both"/>
      </w:pPr>
      <w:r>
        <w:rPr>
          <w:rFonts w:eastAsia="Calibri"/>
        </w:rPr>
        <w:t xml:space="preserve">ASEAN and China have committed, in their 2024 Joint Statement on a sustainable and inclusive digital ecosystem and since, to the digital transformation of industry and to digital talent. </w:t>
      </w:r>
      <w:r>
        <w:rPr>
          <w:rFonts w:eastAsia="Calibri"/>
          <w:b/>
          <w:bCs/>
          <w:color w:val="0F63A8"/>
        </w:rPr>
        <w:t>[Optional]</w:t>
      </w:r>
      <w:r>
        <w:rPr>
          <w:rFonts w:eastAsia="Calibri"/>
        </w:rPr>
        <w:t xml:space="preserve"> The China–ASEAN AI Industry Innovation Centre, launched in Beijing in May, also counts regional capacity building among its priorities. To help these efforts deliver results after training, may I offer three suggestions.</w:t>
      </w:r>
    </w:p>
    <w:p>
      <w:pPr>
        <w:spacing w:after="120" w:line="336" w:lineRule="auto"/>
        <w:jc w:val="both"/>
      </w:pPr>
      <w:r>
        <w:rPr>
          <w:rFonts w:eastAsia="Calibri"/>
          <w:b/>
          <w:bCs/>
        </w:rPr>
        <w:t>First, let us design capacity building as a pathway, not an event</w:t>
      </w:r>
      <w:r>
        <w:rPr>
          <w:rFonts w:eastAsia="Calibri"/>
        </w:rPr>
        <w:t>: from training to choosing a use case, low-risk testing, implementation support and scaling, with a clear place to turn for follow-up. To reach beyond early adopters, we should work through intermediaries that firms trust, such as associations, colleges and local trainers. In Singapore, we are exploring post-training clinics and peer learning with our partners.</w:t>
      </w:r>
    </w:p>
    <w:p>
      <w:pPr>
        <w:spacing w:after="120" w:line="336" w:lineRule="auto"/>
        <w:jc w:val="both"/>
      </w:pPr>
      <w:r>
        <w:rPr>
          <w:rFonts w:eastAsia="Calibri"/>
          <w:b/>
          <w:bCs/>
        </w:rPr>
        <w:t>Second, let us widen what we mean by AI talent</w:t>
      </w:r>
      <w:r>
        <w:rPr>
          <w:rFonts w:eastAsia="Calibri"/>
        </w:rPr>
        <w:t>: alongside engineers and officials, practitioners who know their work and can use AI, and AI champions inside firms. Through AI Ready ASEAN, we trained more than 3,000 Master Trainers and reached over five million people. We are glad to share that experience.</w:t>
      </w:r>
    </w:p>
    <w:p>
      <w:pPr>
        <w:spacing w:after="120" w:line="336" w:lineRule="auto"/>
        <w:jc w:val="both"/>
      </w:pPr>
      <w:r>
        <w:rPr>
          <w:rFonts w:eastAsia="Calibri"/>
          <w:b/>
          <w:bCs/>
        </w:rPr>
        <w:t>Third, let us measure what lasts and share what we learn.</w:t>
      </w:r>
      <w:r>
        <w:rPr>
          <w:rFonts w:eastAsia="Calibri"/>
        </w:rPr>
        <w:t xml:space="preserve"> We should count not only trainees, but continued use, time saved, errors avoided and what changes for customers and staff. And we should share cases in full, from the business problem, data and costs to the workforce changes, risks and results, so that others can judge what transfers. We are working with our partners on how to share what AIM ASEAN learns, including what did not work.</w:t>
      </w:r>
    </w:p>
    <w:p>
      <w:pPr>
        <w:spacing w:after="120" w:line="336" w:lineRule="auto"/>
        <w:jc w:val="both"/>
      </w:pPr>
      <w:r>
        <w:rPr>
          <w:rFonts w:eastAsia="Calibri"/>
        </w:rPr>
        <w:t xml:space="preserve">All of this belongs within ASEAN’s own frameworks. In Singapore, I linked AIM ASEAN to the ASEAN Economic Community Strategic Plan 2030 and the Strategic Action Plan on MSME Development 2026–2030. The ASEAN Guide on AI Governance and Ethics points the same way. </w:t>
      </w:r>
      <w:r>
        <w:rPr>
          <w:rFonts w:eastAsia="Calibri"/>
          <w:b/>
          <w:bCs/>
          <w:color w:val="0F63A8"/>
        </w:rPr>
        <w:t>[Optional]</w:t>
      </w:r>
      <w:r>
        <w:rPr>
          <w:rFonts w:eastAsia="Calibri"/>
        </w:rPr>
        <w:t xml:space="preserve"> This year, the Philippines, as ASEAN Chair, has also made AI for MSMEs a priority.</w:t>
      </w:r>
    </w:p>
    <w:p>
      <w:pPr>
        <w:keepNext/>
        <w:spacing w:before="220" w:after="110" w:line="300" w:lineRule="auto"/>
      </w:pPr>
      <w:r>
        <w:rPr>
          <w:rFonts w:eastAsia="Calibri"/>
          <w:b/>
          <w:bCs/>
          <w:color w:val="0F63A8"/>
          <w:sz w:val="22"/>
          <w:szCs w:val="22"/>
        </w:rPr>
        <w:t>3.5 Closing (5:50–6:30)</w:t>
      </w:r>
    </w:p>
    <w:p>
      <w:pPr>
        <w:spacing w:after="120" w:line="336" w:lineRule="auto"/>
        <w:jc w:val="both"/>
      </w:pPr>
      <w:r>
        <w:rPr>
          <w:rFonts w:eastAsia="Calibri"/>
        </w:rPr>
        <w:t>Not every business needs AI in every function. But every business, from a rural shop to an entrepreneur with a disability, should be able to judge when and how to use it well. The real test of AI capacity is taken not in the training room, but in the workplace a year later. The ASEAN Foundation will work with partners across ASEAN and China to help pass that test. Thank you.</w:t>
      </w:r>
    </w:p>
    <w:p>
      <w:pPr>
        <w:keepNext/>
        <w:pageBreakBefore/>
        <w:spacing w:before="240" w:after="160" w:line="300" w:lineRule="auto"/>
      </w:pPr>
      <w:r>
        <w:rPr>
          <w:rFonts w:eastAsia="Calibri"/>
          <w:b/>
          <w:bCs/>
          <w:color w:val="00498F"/>
          <w:sz w:val="26"/>
          <w:szCs w:val="26"/>
        </w:rPr>
        <w:t>4. Possible Questions and Suggested Answers</w:t>
      </w:r>
    </w:p>
    <w:p>
      <w:pPr>
        <w:spacing w:after="120" w:line="336" w:lineRule="auto"/>
        <w:jc w:val="both"/>
      </w:pPr>
      <w:r>
        <w:rPr>
          <w:rFonts w:eastAsia="Calibri"/>
        </w:rPr>
        <w:t>Answer from the Foundation’s own experience, leave to member states what is theirs to decide, and keep specific commitments for follow-up discussion.</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560"/>
        <w:gridCol w:w="2700"/>
        <w:gridCol w:w="6480"/>
      </w:tblGrid>
      <w:tr>
        <w:trPr>
          <w:tblHeader/>
        </w:trPr>
        <w:tc>
          <w:tcPr>
            <w:tcW w:w="560" w:type="dxa"/>
            <w:shd w:val="clear" w:color="auto" w:fill="00498F"/>
          </w:tcPr>
          <w:p>
            <w:pPr>
              <w:spacing w:line="276" w:lineRule="auto"/>
              <w:jc w:val="center"/>
            </w:pPr>
            <w:r>
              <w:rPr>
                <w:rFonts w:eastAsia="Calibri"/>
                <w:b/>
                <w:bCs/>
                <w:color w:val="FFFFFF"/>
              </w:rPr>
              <w:t>#</w:t>
            </w:r>
          </w:p>
        </w:tc>
        <w:tc>
          <w:tcPr>
            <w:tcW w:w="2700" w:type="dxa"/>
            <w:shd w:val="clear" w:color="auto" w:fill="00498F"/>
          </w:tcPr>
          <w:p>
            <w:pPr>
              <w:spacing w:line="276" w:lineRule="auto"/>
            </w:pPr>
            <w:r>
              <w:rPr>
                <w:rFonts w:eastAsia="Calibri"/>
                <w:b/>
                <w:bCs/>
                <w:color w:val="FFFFFF"/>
              </w:rPr>
              <w:t>Question</w:t>
            </w:r>
          </w:p>
        </w:tc>
        <w:tc>
          <w:tcPr>
            <w:tcW w:w="6480" w:type="dxa"/>
            <w:shd w:val="clear" w:color="auto" w:fill="00498F"/>
          </w:tcPr>
          <w:p>
            <w:pPr>
              <w:spacing w:line="276" w:lineRule="auto"/>
            </w:pPr>
            <w:r>
              <w:rPr>
                <w:rFonts w:eastAsia="Calibri"/>
                <w:b/>
                <w:bCs/>
                <w:color w:val="FFFFFF"/>
              </w:rPr>
              <w:t>Suggested answer</w:t>
            </w:r>
          </w:p>
        </w:tc>
      </w:tr>
      <w:tr>
        <w:trPr>
          <w:cantSplit/>
        </w:trPr>
        <w:tc>
          <w:tcPr>
            <w:tcW w:w="560" w:type="dxa"/>
          </w:tcPr>
          <w:p>
            <w:pPr>
              <w:spacing w:line="276" w:lineRule="auto"/>
              <w:jc w:val="center"/>
            </w:pPr>
            <w:r>
              <w:rPr>
                <w:rFonts w:eastAsia="Calibri"/>
              </w:rPr>
              <w:t>1</w:t>
            </w:r>
          </w:p>
        </w:tc>
        <w:tc>
          <w:tcPr>
            <w:tcW w:w="2700" w:type="dxa"/>
          </w:tcPr>
          <w:p>
            <w:pPr>
              <w:spacing w:line="276" w:lineRule="auto"/>
            </w:pPr>
            <w:r>
              <w:rPr>
                <w:rFonts w:eastAsia="Calibri"/>
              </w:rPr>
              <w:t>How do AI governance and capacity building connect?</w:t>
            </w:r>
          </w:p>
        </w:tc>
        <w:tc>
          <w:tcPr>
            <w:tcW w:w="6480" w:type="dxa"/>
          </w:tcPr>
          <w:p>
            <w:pPr>
              <w:spacing w:line="276" w:lineRule="auto"/>
            </w:pPr>
            <w:r>
              <w:rPr>
                <w:rFonts w:eastAsia="Calibri"/>
              </w:rPr>
              <w:t>For a small business, governance is a daily decision about data, human review and accountability. In Singapore, participants called for guidance that makes privacy, security, human oversight and accountability usable in routine decisions, including automated and agentic workflows. Capacity building turns the ASEAN Guide on AI Governance and Ethics (transparency, accountability, human-centricity, fairness, security and privacy) into language MSMEs can use.</w:t>
            </w:r>
          </w:p>
        </w:tc>
      </w:tr>
      <w:tr>
        <w:trPr>
          <w:cantSplit/>
        </w:trPr>
        <w:tc>
          <w:tcPr>
            <w:tcW w:w="560" w:type="dxa"/>
          </w:tcPr>
          <w:p>
            <w:pPr>
              <w:spacing w:line="276" w:lineRule="auto"/>
              <w:jc w:val="center"/>
            </w:pPr>
            <w:r>
              <w:rPr>
                <w:rFonts w:eastAsia="Calibri"/>
              </w:rPr>
              <w:t>2</w:t>
            </w:r>
          </w:p>
        </w:tc>
        <w:tc>
          <w:tcPr>
            <w:tcW w:w="2700" w:type="dxa"/>
          </w:tcPr>
          <w:p>
            <w:pPr>
              <w:spacing w:line="276" w:lineRule="auto"/>
            </w:pPr>
            <w:r>
              <w:rPr>
                <w:rFonts w:eastAsia="Calibri"/>
              </w:rPr>
              <w:t>What does ‘after training’ mean in practice?</w:t>
            </w:r>
          </w:p>
        </w:tc>
        <w:tc>
          <w:tcPr>
            <w:tcW w:w="6480" w:type="dxa"/>
          </w:tcPr>
          <w:p>
            <w:pPr>
              <w:spacing w:line="276" w:lineRule="auto"/>
            </w:pPr>
            <w:r>
              <w:rPr>
                <w:rFonts w:eastAsia="Calibri"/>
              </w:rPr>
              <w:t>Signposting to suitable solutions, low-risk pilots on a firm’s own work, implementation support, and follow-up clinics and peer learning. In Singapore these have been proposed as next steps and we are exploring them with our partners. Avoid giving dates: these are proposals.</w:t>
            </w:r>
          </w:p>
        </w:tc>
      </w:tr>
      <w:tr>
        <w:trPr>
          <w:cantSplit/>
        </w:trPr>
        <w:tc>
          <w:tcPr>
            <w:tcW w:w="560" w:type="dxa"/>
          </w:tcPr>
          <w:p>
            <w:pPr>
              <w:spacing w:line="276" w:lineRule="auto"/>
              <w:jc w:val="center"/>
            </w:pPr>
            <w:r>
              <w:rPr>
                <w:rFonts w:eastAsia="Calibri"/>
              </w:rPr>
              <w:t>3</w:t>
            </w:r>
          </w:p>
        </w:tc>
        <w:tc>
          <w:tcPr>
            <w:tcW w:w="2700" w:type="dxa"/>
          </w:tcPr>
          <w:p>
            <w:pPr>
              <w:spacing w:line="276" w:lineRule="auto"/>
            </w:pPr>
            <w:r>
              <w:rPr>
                <w:rFonts w:eastAsia="Calibri"/>
              </w:rPr>
              <w:t>How would you measure outcomes?</w:t>
            </w:r>
          </w:p>
        </w:tc>
        <w:tc>
          <w:tcPr>
            <w:tcW w:w="6480" w:type="dxa"/>
          </w:tcPr>
          <w:p>
            <w:pPr>
              <w:spacing w:line="276" w:lineRule="auto"/>
            </w:pPr>
            <w:r>
              <w:rPr>
                <w:rFonts w:eastAsia="Calibri"/>
              </w:rPr>
              <w:t>Continued use, time saved, errors avoided, customer outcomes and staff experience, alongside training numbers. A small set of measures helps decide whether to adapt, expand or stop a pilot. Reporting should separate reach, business integration and verified outcomes. Our AI Ready ASEAN research also found that educators rated their own AI skills above their tested literacy.</w:t>
            </w:r>
          </w:p>
        </w:tc>
      </w:tr>
      <w:tr>
        <w:trPr>
          <w:cantSplit/>
        </w:trPr>
        <w:tc>
          <w:tcPr>
            <w:tcW w:w="560" w:type="dxa"/>
          </w:tcPr>
          <w:p>
            <w:pPr>
              <w:spacing w:line="276" w:lineRule="auto"/>
              <w:jc w:val="center"/>
            </w:pPr>
            <w:r>
              <w:rPr>
                <w:rFonts w:eastAsia="Calibri"/>
              </w:rPr>
              <w:t>4</w:t>
            </w:r>
          </w:p>
        </w:tc>
        <w:tc>
          <w:tcPr>
            <w:tcW w:w="2700" w:type="dxa"/>
          </w:tcPr>
          <w:p>
            <w:pPr>
              <w:spacing w:line="276" w:lineRule="auto"/>
            </w:pPr>
            <w:r>
              <w:rPr>
                <w:rFonts w:eastAsia="Calibri"/>
              </w:rPr>
              <w:t>Isn’t Singapore a special case?</w:t>
            </w:r>
          </w:p>
        </w:tc>
        <w:tc>
          <w:tcPr>
            <w:tcW w:w="6480" w:type="dxa"/>
          </w:tcPr>
          <w:p>
            <w:pPr>
              <w:spacing w:line="276" w:lineRule="auto"/>
            </w:pPr>
            <w:r>
              <w:rPr>
                <w:rFonts w:eastAsia="Calibri"/>
              </w:rPr>
              <w:t>Yes: its support system is dense and the country is compact. That is what makes it telling, because even there, training and real use come apart. In Indonesia, the main barrier was gaps in digital and financial literacy. Rather than copy one programme, each country can adapt a shared pathway from awareness to low-risk adoption to process change.</w:t>
            </w:r>
          </w:p>
        </w:tc>
      </w:tr>
      <w:tr>
        <w:trPr>
          <w:cantSplit/>
        </w:trPr>
        <w:tc>
          <w:tcPr>
            <w:tcW w:w="560" w:type="dxa"/>
          </w:tcPr>
          <w:p>
            <w:pPr>
              <w:spacing w:line="276" w:lineRule="auto"/>
              <w:jc w:val="center"/>
            </w:pPr>
            <w:r>
              <w:rPr>
                <w:rFonts w:eastAsia="Calibri"/>
              </w:rPr>
              <w:t>5</w:t>
            </w:r>
          </w:p>
        </w:tc>
        <w:tc>
          <w:tcPr>
            <w:tcW w:w="2700" w:type="dxa"/>
          </w:tcPr>
          <w:p>
            <w:pPr>
              <w:spacing w:line="276" w:lineRule="auto"/>
            </w:pPr>
            <w:r>
              <w:rPr>
                <w:rFonts w:eastAsia="Calibri"/>
              </w:rPr>
              <w:t>Do you favour a particular technology or model, such as open source?</w:t>
            </w:r>
          </w:p>
        </w:tc>
        <w:tc>
          <w:tcPr>
            <w:tcW w:w="6480" w:type="dxa"/>
          </w:tcPr>
          <w:p>
            <w:pPr>
              <w:spacing w:line="276" w:lineRule="auto"/>
            </w:pPr>
            <w:r>
              <w:rPr>
                <w:rFonts w:eastAsia="Calibri"/>
              </w:rPr>
              <w:t>Participants in Singapore did not converge on one. Local or open-source models were raised where data control matters; familiar commercial tools lower the barrier to entry. The test is the task, the budget, the time available and the sensitivity of the data. The Foundation does not recommend particular models.</w:t>
            </w:r>
          </w:p>
        </w:tc>
      </w:tr>
      <w:tr>
        <w:trPr>
          <w:cantSplit/>
        </w:trPr>
        <w:tc>
          <w:tcPr>
            <w:tcW w:w="560" w:type="dxa"/>
          </w:tcPr>
          <w:p>
            <w:pPr>
              <w:spacing w:line="276" w:lineRule="auto"/>
              <w:jc w:val="center"/>
            </w:pPr>
            <w:r>
              <w:rPr>
                <w:rFonts w:eastAsia="Calibri"/>
              </w:rPr>
              <w:t>6</w:t>
            </w:r>
          </w:p>
        </w:tc>
        <w:tc>
          <w:tcPr>
            <w:tcW w:w="2700" w:type="dxa"/>
          </w:tcPr>
          <w:p>
            <w:pPr>
              <w:spacing w:line="276" w:lineRule="auto"/>
            </w:pPr>
            <w:r>
              <w:rPr>
                <w:rFonts w:eastAsia="Calibri"/>
              </w:rPr>
              <w:t>Your funding comes from a US company. How do you stay neutral?</w:t>
            </w:r>
          </w:p>
        </w:tc>
        <w:tc>
          <w:tcPr>
            <w:tcW w:w="6480" w:type="dxa"/>
          </w:tcPr>
          <w:p>
            <w:pPr>
              <w:spacing w:line="276" w:lineRule="auto"/>
            </w:pPr>
            <w:r>
              <w:rPr>
                <w:rFonts w:eastAsia="Calibri"/>
              </w:rPr>
              <w:t>The training focuses on how MSMEs solve business problems with AI, not on any product, and local partners adapt courses to each country. The programme is led by the ASEAN Foundation and endorsed by ACCMSME, and the fund also involves the Asian Development Bank, of which China is a member. Link this to answer 5.</w:t>
            </w:r>
          </w:p>
        </w:tc>
      </w:tr>
      <w:tr>
        <w:trPr>
          <w:cantSplit/>
        </w:trPr>
        <w:tc>
          <w:tcPr>
            <w:tcW w:w="560" w:type="dxa"/>
          </w:tcPr>
          <w:p>
            <w:pPr>
              <w:spacing w:line="276" w:lineRule="auto"/>
              <w:jc w:val="center"/>
            </w:pPr>
            <w:r>
              <w:rPr>
                <w:rFonts w:eastAsia="Calibri"/>
              </w:rPr>
              <w:t>7</w:t>
            </w:r>
          </w:p>
        </w:tc>
        <w:tc>
          <w:tcPr>
            <w:tcW w:w="2700" w:type="dxa"/>
          </w:tcPr>
          <w:p>
            <w:pPr>
              <w:spacing w:line="276" w:lineRule="auto"/>
            </w:pPr>
            <w:r>
              <w:rPr>
                <w:rFonts w:eastAsia="Calibri"/>
              </w:rPr>
              <w:t>Will AI take people’s jobs?</w:t>
            </w:r>
          </w:p>
        </w:tc>
        <w:tc>
          <w:tcPr>
            <w:tcW w:w="6480" w:type="dxa"/>
          </w:tcPr>
          <w:p>
            <w:pPr>
              <w:spacing w:line="276" w:lineRule="auto"/>
            </w:pPr>
            <w:r>
              <w:rPr>
                <w:rFonts w:eastAsia="Calibri"/>
              </w:rPr>
              <w:t>Job anxiety and uneven learning speeds came up in Singapore too. ‘AI + X’ adds AI to existing expertise rather than replacing it. Participants stressed that instructions from leaders are not enough: staff need to understand the purpose of change and help redesign their work. Automation should add capacity while keeping the human contribution.</w:t>
            </w:r>
          </w:p>
        </w:tc>
      </w:tr>
      <w:tr>
        <w:trPr>
          <w:cantSplit/>
        </w:trPr>
        <w:tc>
          <w:tcPr>
            <w:tcW w:w="560" w:type="dxa"/>
          </w:tcPr>
          <w:p>
            <w:pPr>
              <w:spacing w:line="276" w:lineRule="auto"/>
              <w:jc w:val="center"/>
            </w:pPr>
            <w:r>
              <w:rPr>
                <w:rFonts w:eastAsia="Calibri"/>
              </w:rPr>
              <w:t>8</w:t>
            </w:r>
          </w:p>
        </w:tc>
        <w:tc>
          <w:tcPr>
            <w:tcW w:w="2700" w:type="dxa"/>
          </w:tcPr>
          <w:p>
            <w:pPr>
              <w:spacing w:line="276" w:lineRule="auto"/>
            </w:pPr>
            <w:r>
              <w:rPr>
                <w:rFonts w:eastAsia="Calibri"/>
              </w:rPr>
              <w:t>How do you see the spread of AI agents?</w:t>
            </w:r>
          </w:p>
        </w:tc>
        <w:tc>
          <w:tcPr>
            <w:tcW w:w="6480" w:type="dxa"/>
          </w:tcPr>
          <w:p>
            <w:pPr>
              <w:spacing w:line="276" w:lineRule="auto"/>
            </w:pPr>
            <w:r>
              <w:rPr>
                <w:rFonts w:eastAsia="Calibri"/>
              </w:rPr>
              <w:t>Practitioners in Singapore were clear that the number of agents deployed is not a measure of value. The focus should be business outcomes, cost and collaboration, with human oversight and accountability built into automated and agentic workflows.</w:t>
            </w:r>
          </w:p>
        </w:tc>
      </w:tr>
      <w:tr>
        <w:trPr>
          <w:cantSplit/>
        </w:trPr>
        <w:tc>
          <w:tcPr>
            <w:tcW w:w="560" w:type="dxa"/>
          </w:tcPr>
          <w:p>
            <w:pPr>
              <w:spacing w:line="276" w:lineRule="auto"/>
              <w:jc w:val="center"/>
            </w:pPr>
            <w:r>
              <w:rPr>
                <w:rFonts w:eastAsia="Calibri"/>
              </w:rPr>
              <w:t>9</w:t>
            </w:r>
          </w:p>
        </w:tc>
        <w:tc>
          <w:tcPr>
            <w:tcW w:w="2700" w:type="dxa"/>
          </w:tcPr>
          <w:p>
            <w:pPr>
              <w:spacing w:line="276" w:lineRule="auto"/>
            </w:pPr>
            <w:r>
              <w:rPr>
                <w:rFonts w:eastAsia="Calibri"/>
              </w:rPr>
              <w:t>Would the Foundation work with Chinese institutions or companies?</w:t>
            </w:r>
          </w:p>
        </w:tc>
        <w:tc>
          <w:tcPr>
            <w:tcW w:w="6480" w:type="dxa"/>
          </w:tcPr>
          <w:p>
            <w:pPr>
              <w:spacing w:line="276" w:lineRule="auto"/>
            </w:pPr>
            <w:r>
              <w:rPr>
                <w:rFonts w:eastAsia="Calibri"/>
              </w:rPr>
              <w:t>We have run youth exchanges with China’s Mission to ASEAN, supported by the ASEAN–China Cooperation Fund, and worked with Huawei on ASEAN Seeds for the Future (MoU signed in 2021). Our test is whether cooperation helps MSMEs in practice. Specific cooperation is a matter for follow-up discussion.</w:t>
            </w:r>
          </w:p>
        </w:tc>
      </w:tr>
      <w:tr>
        <w:trPr>
          <w:cantSplit/>
        </w:trPr>
        <w:tc>
          <w:tcPr>
            <w:tcW w:w="560" w:type="dxa"/>
          </w:tcPr>
          <w:p>
            <w:pPr>
              <w:spacing w:line="276" w:lineRule="auto"/>
              <w:jc w:val="center"/>
            </w:pPr>
            <w:r>
              <w:rPr>
                <w:rFonts w:eastAsia="Calibri"/>
              </w:rPr>
              <w:t>10</w:t>
            </w:r>
          </w:p>
        </w:tc>
        <w:tc>
          <w:tcPr>
            <w:tcW w:w="2700" w:type="dxa"/>
          </w:tcPr>
          <w:p>
            <w:pPr>
              <w:spacing w:line="276" w:lineRule="auto"/>
            </w:pPr>
            <w:r>
              <w:rPr>
                <w:rFonts w:eastAsia="Calibri"/>
              </w:rPr>
              <w:t>How should ASEAN use China’s offer of 5,000 training opportunities?</w:t>
            </w:r>
          </w:p>
        </w:tc>
        <w:tc>
          <w:tcPr>
            <w:tcW w:w="6480" w:type="dxa"/>
          </w:tcPr>
          <w:p>
            <w:pPr>
              <w:spacing w:line="276" w:lineRule="auto"/>
            </w:pPr>
            <w:r>
              <w:rPr>
                <w:rFonts w:eastAsia="Calibri"/>
              </w:rPr>
              <w:t>Allocation and participants are for member states to decide. In Singapore, participants argued that training works better with follow-up support and when delivered through intermediaries that firms trust, such as associations. How to measure that effect is something we are looking at with our partners.</w:t>
            </w:r>
          </w:p>
        </w:tc>
      </w:tr>
      <w:tr>
        <w:trPr>
          <w:cantSplit/>
        </w:trPr>
        <w:tc>
          <w:tcPr>
            <w:tcW w:w="560" w:type="dxa"/>
          </w:tcPr>
          <w:p>
            <w:pPr>
              <w:spacing w:line="276" w:lineRule="auto"/>
              <w:jc w:val="center"/>
            </w:pPr>
            <w:r>
              <w:rPr>
                <w:rFonts w:eastAsia="Calibri"/>
              </w:rPr>
              <w:t>11</w:t>
            </w:r>
          </w:p>
        </w:tc>
        <w:tc>
          <w:tcPr>
            <w:tcW w:w="2700" w:type="dxa"/>
          </w:tcPr>
          <w:p>
            <w:pPr>
              <w:spacing w:line="276" w:lineRule="auto"/>
            </w:pPr>
            <w:r>
              <w:rPr>
                <w:rFonts w:eastAsia="Calibri"/>
              </w:rPr>
              <w:t>What is your view on a 2027 ASEAN–China Year of AI Cooperation?</w:t>
            </w:r>
          </w:p>
        </w:tc>
        <w:tc>
          <w:tcPr>
            <w:tcW w:w="6480" w:type="dxa"/>
          </w:tcPr>
          <w:p>
            <w:pPr>
              <w:spacing w:line="276" w:lineRule="auto"/>
            </w:pPr>
            <w:r>
              <w:rPr>
                <w:rFonts w:eastAsia="Calibri"/>
              </w:rPr>
              <w:t>That is for ASEAN and China to decide, and ASEAN’s position is for member states to set. What we can offer is field experience: cooperation pays off when it carries through beyond training.</w:t>
            </w:r>
          </w:p>
        </w:tc>
      </w:tr>
      <w:tr>
        <w:trPr>
          <w:cantSplit/>
        </w:trPr>
        <w:tc>
          <w:tcPr>
            <w:tcW w:w="560" w:type="dxa"/>
          </w:tcPr>
          <w:p>
            <w:pPr>
              <w:spacing w:line="276" w:lineRule="auto"/>
              <w:jc w:val="center"/>
            </w:pPr>
            <w:r>
              <w:rPr>
                <w:rFonts w:eastAsia="Calibri"/>
              </w:rPr>
              <w:t>12</w:t>
            </w:r>
          </w:p>
        </w:tc>
        <w:tc>
          <w:tcPr>
            <w:tcW w:w="2700" w:type="dxa"/>
          </w:tcPr>
          <w:p>
            <w:pPr>
              <w:spacing w:line="276" w:lineRule="auto"/>
            </w:pPr>
            <w:r>
              <w:rPr>
                <w:rFonts w:eastAsia="Calibri"/>
              </w:rPr>
              <w:t>Can you share data or platforms?</w:t>
            </w:r>
          </w:p>
        </w:tc>
        <w:tc>
          <w:tcPr>
            <w:tcW w:w="6480" w:type="dxa"/>
          </w:tcPr>
          <w:p>
            <w:pPr>
              <w:spacing w:line="276" w:lineRule="auto"/>
            </w:pPr>
            <w:r>
              <w:rPr>
                <w:rFonts w:eastAsia="Calibri"/>
              </w:rPr>
              <w:t>We are glad to share published findings and lessons. Individual participant or company data and learning platforms are not for sharing, in line with member states’ laws and our partner agreements.</w:t>
            </w:r>
          </w:p>
        </w:tc>
      </w:tr>
      <w:tr>
        <w:trPr>
          <w:cantSplit/>
        </w:trPr>
        <w:tc>
          <w:tcPr>
            <w:tcW w:w="560" w:type="dxa"/>
          </w:tcPr>
          <w:p>
            <w:pPr>
              <w:spacing w:line="276" w:lineRule="auto"/>
              <w:jc w:val="center"/>
            </w:pPr>
            <w:r>
              <w:rPr>
                <w:rFonts w:eastAsia="Calibri"/>
              </w:rPr>
              <w:t>13</w:t>
            </w:r>
          </w:p>
        </w:tc>
        <w:tc>
          <w:tcPr>
            <w:tcW w:w="2700" w:type="dxa"/>
          </w:tcPr>
          <w:p>
            <w:pPr>
              <w:spacing w:line="276" w:lineRule="auto"/>
            </w:pPr>
            <w:r>
              <w:rPr>
                <w:rFonts w:eastAsia="Calibri"/>
              </w:rPr>
              <w:t>What do you think of WAICO or the Global AI Governance Action Plan?</w:t>
            </w:r>
          </w:p>
        </w:tc>
        <w:tc>
          <w:tcPr>
            <w:tcW w:w="6480" w:type="dxa"/>
          </w:tcPr>
          <w:p>
            <w:pPr>
              <w:spacing w:line="276" w:lineRule="auto"/>
            </w:pPr>
            <w:r>
              <w:rPr>
                <w:rFonts w:eastAsia="Calibri"/>
              </w:rPr>
              <w:t>Participation is for each member state to decide, and the Foundation is not in a position to assess these initiatives. We share the aim of international cooperation on AI capacity, and we contribute through field work within the frameworks ASEAN has agreed. Do not mention which member states have joined.</w:t>
            </w:r>
          </w:p>
        </w:tc>
      </w:tr>
      <w:tr>
        <w:trPr>
          <w:cantSplit/>
        </w:trPr>
        <w:tc>
          <w:tcPr>
            <w:tcW w:w="560" w:type="dxa"/>
          </w:tcPr>
          <w:p>
            <w:pPr>
              <w:spacing w:line="276" w:lineRule="auto"/>
              <w:jc w:val="center"/>
            </w:pPr>
            <w:r>
              <w:rPr>
                <w:rFonts w:eastAsia="Calibri"/>
              </w:rPr>
              <w:t>14</w:t>
            </w:r>
          </w:p>
        </w:tc>
        <w:tc>
          <w:tcPr>
            <w:tcW w:w="2700" w:type="dxa"/>
          </w:tcPr>
          <w:p>
            <w:pPr>
              <w:spacing w:line="276" w:lineRule="auto"/>
            </w:pPr>
            <w:r>
              <w:rPr>
                <w:rFonts w:eastAsia="Calibri"/>
              </w:rPr>
              <w:t>Will the ASEAN AI Safety Network cooperate with China?</w:t>
            </w:r>
          </w:p>
        </w:tc>
        <w:tc>
          <w:tcPr>
            <w:tcW w:w="6480" w:type="dxa"/>
          </w:tcPr>
          <w:p>
            <w:pPr>
              <w:spacing w:line="276" w:lineRule="auto"/>
            </w:pPr>
            <w:r>
              <w:rPr>
                <w:rFonts w:eastAsia="Calibri"/>
              </w:rPr>
              <w:t>ASEAN AI Safe is an ASEAN mechanism, so that is for the ASEAN Secretariat and member states to answer.</w:t>
            </w:r>
          </w:p>
        </w:tc>
      </w:tr>
      <w:tr>
        <w:trPr>
          <w:cantSplit/>
        </w:trPr>
        <w:tc>
          <w:tcPr>
            <w:tcW w:w="560" w:type="dxa"/>
          </w:tcPr>
          <w:p>
            <w:pPr>
              <w:spacing w:line="276" w:lineRule="auto"/>
              <w:jc w:val="center"/>
            </w:pPr>
            <w:r>
              <w:rPr>
                <w:rFonts w:eastAsia="Calibri"/>
              </w:rPr>
              <w:t>15</w:t>
            </w:r>
          </w:p>
        </w:tc>
        <w:tc>
          <w:tcPr>
            <w:tcW w:w="2700" w:type="dxa"/>
          </w:tcPr>
          <w:p>
            <w:pPr>
              <w:spacing w:line="276" w:lineRule="auto"/>
            </w:pPr>
            <w:r>
              <w:rPr>
                <w:rFonts w:eastAsia="Calibri"/>
              </w:rPr>
              <w:t>What does the MSME chapter of the ACFTA 3.0 upgrade mean on the ground?</w:t>
            </w:r>
          </w:p>
        </w:tc>
        <w:tc>
          <w:tcPr>
            <w:tcW w:w="6480" w:type="dxa"/>
          </w:tcPr>
          <w:p>
            <w:pPr>
              <w:spacing w:line="276" w:lineRule="auto"/>
            </w:pPr>
            <w:r>
              <w:rPr>
                <w:rFonts w:eastAsia="Calibri"/>
              </w:rPr>
              <w:t>Information sharing and digital transformation cooperation only become real benefits if MSMEs have the capacity to use them. Capacity building carries those benefits to the shop floor. Entry into force is for the parties to decide.</w:t>
            </w:r>
          </w:p>
        </w:tc>
      </w:tr>
      <w:tr>
        <w:trPr>
          <w:cantSplit/>
        </w:trPr>
        <w:tc>
          <w:tcPr>
            <w:tcW w:w="560" w:type="dxa"/>
          </w:tcPr>
          <w:p>
            <w:pPr>
              <w:spacing w:line="276" w:lineRule="auto"/>
              <w:jc w:val="center"/>
            </w:pPr>
            <w:r>
              <w:rPr>
                <w:rFonts w:eastAsia="Calibri"/>
              </w:rPr>
              <w:t>16</w:t>
            </w:r>
          </w:p>
        </w:tc>
        <w:tc>
          <w:tcPr>
            <w:tcW w:w="2700" w:type="dxa"/>
          </w:tcPr>
          <w:p>
            <w:pPr>
              <w:spacing w:line="276" w:lineRule="auto"/>
            </w:pPr>
            <w:r>
              <w:rPr>
                <w:rFonts w:eastAsia="Calibri"/>
              </w:rPr>
              <w:t>What came out of the Philippines and Indonesia convenings?</w:t>
            </w:r>
          </w:p>
        </w:tc>
        <w:tc>
          <w:tcPr>
            <w:tcW w:w="6480" w:type="dxa"/>
          </w:tcPr>
          <w:p>
            <w:pPr>
              <w:spacing w:line="276" w:lineRule="auto"/>
            </w:pPr>
            <w:r>
              <w:rPr>
                <w:rFonts w:eastAsia="Calibri"/>
              </w:rPr>
              <w:t>The Philippines discussed a roadmap for responsible AI adoption by MSMEs. Indonesia focused on gaps in digital and financial literacy and on local collaboration.</w:t>
            </w:r>
          </w:p>
        </w:tc>
      </w:tr>
    </w:tbl>
    <w:p>
      <w:pPr>
        <w:spacing w:after="0"/>
      </w:pPr>
    </w:p>
    <w:sectPr w:rsidR="008F3ECF">
      <w:headerReference w:type="default" r:id="rId8"/>
      <w:footerReference w:type="default" r:id="rId9"/>
      <w:pgSz w:w="11906" w:h="16838"/>
      <w:pgMar w:top="1000" w:right="1080" w:bottom="1080" w:left="1080" w:header="6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FD56C" w14:textId="77777777" w:rsidR="000A55CA" w:rsidRDefault="000A55CA">
      <w:r>
        <w:separator/>
      </w:r>
    </w:p>
  </w:endnote>
  <w:endnote w:type="continuationSeparator" w:id="0">
    <w:p w14:paraId="4106954C" w14:textId="77777777" w:rsidR="000A55CA" w:rsidRDefault="000A5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5C15A" w14:textId="77777777" w:rsidR="005C7CC5" w:rsidRDefault="00000000">
    <w:pPr>
      <w:jc w:val="center"/>
    </w:pPr>
    <w:r>
      <w:rPr>
        <w:rFonts w:eastAsia="Calibri"/>
        <w:color w:val="6B6B6B"/>
        <w:sz w:val="16"/>
        <w:szCs w:val="16"/>
      </w:rPr>
      <w:t xml:space="preserve">Page </w:t>
    </w:r>
    <w:r>
      <w:rPr>
        <w:color w:val="6B6B6B"/>
        <w:sz w:val="16"/>
        <w:szCs w:val="16"/>
      </w:rPr>
      <w:fldChar w:fldCharType="begin"/>
    </w:r>
    <w:r>
      <w:rPr>
        <w:rFonts w:eastAsia="Calibri"/>
        <w:color w:val="6B6B6B"/>
        <w:sz w:val="16"/>
        <w:szCs w:val="16"/>
      </w:rPr>
      <w:instrText>PAGE</w:instrText>
    </w:r>
    <w:r>
      <w:rPr>
        <w:color w:val="6B6B6B"/>
        <w:sz w:val="16"/>
        <w:szCs w:val="16"/>
      </w:rPr>
      <w:fldChar w:fldCharType="separate"/>
    </w:r>
    <w:r w:rsidR="00C158DD">
      <w:rPr>
        <w:rFonts w:eastAsia="Calibri"/>
        <w:noProof/>
        <w:color w:val="6B6B6B"/>
        <w:sz w:val="16"/>
        <w:szCs w:val="16"/>
      </w:rPr>
      <w:t>1</w:t>
    </w:r>
    <w:r>
      <w:rPr>
        <w:color w:val="6B6B6B"/>
        <w:sz w:val="16"/>
        <w:szCs w:val="16"/>
      </w:rPr>
      <w:fldChar w:fldCharType="end"/>
    </w:r>
    <w:r>
      <w:rPr>
        <w:rFonts w:eastAsia="Calibri"/>
        <w:color w:val="6B6B6B"/>
        <w:sz w:val="16"/>
        <w:szCs w:val="16"/>
      </w:rPr>
      <w:t xml:space="preserve"> of </w:t>
    </w:r>
    <w:r>
      <w:rPr>
        <w:color w:val="6B6B6B"/>
        <w:sz w:val="16"/>
        <w:szCs w:val="16"/>
      </w:rPr>
      <w:fldChar w:fldCharType="begin"/>
    </w:r>
    <w:r>
      <w:rPr>
        <w:rFonts w:eastAsia="Calibri"/>
        <w:color w:val="6B6B6B"/>
        <w:sz w:val="16"/>
        <w:szCs w:val="16"/>
      </w:rPr>
      <w:instrText>NUMPAGES</w:instrText>
    </w:r>
    <w:r>
      <w:rPr>
        <w:color w:val="6B6B6B"/>
        <w:sz w:val="16"/>
        <w:szCs w:val="16"/>
      </w:rPr>
      <w:fldChar w:fldCharType="separate"/>
    </w:r>
    <w:r w:rsidR="00C158DD">
      <w:rPr>
        <w:rFonts w:eastAsia="Calibri"/>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EBD32" w14:textId="77777777" w:rsidR="000A55CA" w:rsidRDefault="000A55CA">
      <w:r>
        <w:separator/>
      </w:r>
    </w:p>
  </w:footnote>
  <w:footnote w:type="continuationSeparator" w:id="0">
    <w:p w14:paraId="7660EA6E" w14:textId="77777777" w:rsidR="000A55CA" w:rsidRDefault="000A5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5D82B" w14:textId="77777777" w:rsidR="005C7CC5" w:rsidRDefault="00000000">
    <w:pPr>
      <w:jc w:val="right"/>
    </w:pPr>
    <w:r>
      <w:rPr>
        <w:rFonts w:eastAsia="Calibri"/>
        <w:color w:val="6B6B6B"/>
        <w:sz w:val="16"/>
        <w:szCs w:val="16"/>
      </w:rPr>
      <w:t>Talking Points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1136FE"/>
    <w:multiLevelType w:val="hybridMultilevel"/>
    <w:tmpl w:val="CD5CC706"/>
    <w:lvl w:ilvl="0" w:tplc="D0280DB8">
      <w:start w:val="1"/>
      <w:numFmt w:val="bullet"/>
      <w:lvlText w:val="●"/>
      <w:lvlJc w:val="left"/>
      <w:pPr>
        <w:ind w:left="356" w:hanging="356"/>
      </w:pPr>
      <w:rPr>
        <w:rFonts w:ascii="Calibri" w:eastAsia="Calibri" w:hAnsi="Calibri" w:cs="Calibri"/>
        <w:color w:val="222222"/>
        <w:sz w:val="20"/>
        <w:szCs w:val="20"/>
      </w:rPr>
    </w:lvl>
    <w:lvl w:ilvl="1" w:tplc="9B746232">
      <w:numFmt w:val="decimal"/>
      <w:lvlText w:val=""/>
      <w:lvlJc w:val="left"/>
    </w:lvl>
    <w:lvl w:ilvl="2" w:tplc="B59CD080">
      <w:numFmt w:val="decimal"/>
      <w:lvlText w:val=""/>
      <w:lvlJc w:val="left"/>
    </w:lvl>
    <w:lvl w:ilvl="3" w:tplc="459CE024">
      <w:numFmt w:val="decimal"/>
      <w:lvlText w:val=""/>
      <w:lvlJc w:val="left"/>
    </w:lvl>
    <w:lvl w:ilvl="4" w:tplc="8AF8C140">
      <w:numFmt w:val="decimal"/>
      <w:lvlText w:val=""/>
      <w:lvlJc w:val="left"/>
    </w:lvl>
    <w:lvl w:ilvl="5" w:tplc="53E039B8">
      <w:numFmt w:val="decimal"/>
      <w:lvlText w:val=""/>
      <w:lvlJc w:val="left"/>
    </w:lvl>
    <w:lvl w:ilvl="6" w:tplc="B982434E">
      <w:numFmt w:val="decimal"/>
      <w:lvlText w:val=""/>
      <w:lvlJc w:val="left"/>
    </w:lvl>
    <w:lvl w:ilvl="7" w:tplc="96444818">
      <w:numFmt w:val="decimal"/>
      <w:lvlText w:val=""/>
      <w:lvlJc w:val="left"/>
    </w:lvl>
    <w:lvl w:ilvl="8" w:tplc="51EC1EAE">
      <w:numFmt w:val="decimal"/>
      <w:lvlText w:val=""/>
      <w:lvlJc w:val="left"/>
    </w:lvl>
  </w:abstractNum>
  <w:abstractNum w:abstractNumId="1" w15:restartNumberingAfterBreak="0">
    <w:nsid w:val="4EE01F54"/>
    <w:multiLevelType w:val="hybridMultilevel"/>
    <w:tmpl w:val="0B0894F4"/>
    <w:lvl w:ilvl="0" w:tplc="D812C7FC">
      <w:start w:val="1"/>
      <w:numFmt w:val="bullet"/>
      <w:lvlText w:val="●"/>
      <w:lvlJc w:val="left"/>
      <w:pPr>
        <w:ind w:left="720" w:hanging="360"/>
      </w:pPr>
    </w:lvl>
    <w:lvl w:ilvl="1" w:tplc="C22EF0B4">
      <w:start w:val="1"/>
      <w:numFmt w:val="bullet"/>
      <w:lvlText w:val="○"/>
      <w:lvlJc w:val="left"/>
      <w:pPr>
        <w:ind w:left="1440" w:hanging="360"/>
      </w:pPr>
    </w:lvl>
    <w:lvl w:ilvl="2" w:tplc="BF9C4040">
      <w:start w:val="1"/>
      <w:numFmt w:val="bullet"/>
      <w:lvlText w:val="■"/>
      <w:lvlJc w:val="left"/>
      <w:pPr>
        <w:ind w:left="2160" w:hanging="360"/>
      </w:pPr>
    </w:lvl>
    <w:lvl w:ilvl="3" w:tplc="4F1EC27E">
      <w:start w:val="1"/>
      <w:numFmt w:val="bullet"/>
      <w:lvlText w:val="●"/>
      <w:lvlJc w:val="left"/>
      <w:pPr>
        <w:ind w:left="2880" w:hanging="360"/>
      </w:pPr>
    </w:lvl>
    <w:lvl w:ilvl="4" w:tplc="E0641076">
      <w:start w:val="1"/>
      <w:numFmt w:val="bullet"/>
      <w:lvlText w:val="○"/>
      <w:lvlJc w:val="left"/>
      <w:pPr>
        <w:ind w:left="3600" w:hanging="360"/>
      </w:pPr>
    </w:lvl>
    <w:lvl w:ilvl="5" w:tplc="C074BFAC">
      <w:start w:val="1"/>
      <w:numFmt w:val="bullet"/>
      <w:lvlText w:val="■"/>
      <w:lvlJc w:val="left"/>
      <w:pPr>
        <w:ind w:left="4320" w:hanging="360"/>
      </w:pPr>
    </w:lvl>
    <w:lvl w:ilvl="6" w:tplc="C512001C">
      <w:start w:val="1"/>
      <w:numFmt w:val="bullet"/>
      <w:lvlText w:val="●"/>
      <w:lvlJc w:val="left"/>
      <w:pPr>
        <w:ind w:left="5040" w:hanging="360"/>
      </w:pPr>
    </w:lvl>
    <w:lvl w:ilvl="7" w:tplc="ADFC12F4">
      <w:start w:val="1"/>
      <w:numFmt w:val="bullet"/>
      <w:lvlText w:val="●"/>
      <w:lvlJc w:val="left"/>
      <w:pPr>
        <w:ind w:left="5760" w:hanging="360"/>
      </w:pPr>
    </w:lvl>
    <w:lvl w:ilvl="8" w:tplc="92B8172E">
      <w:start w:val="1"/>
      <w:numFmt w:val="bullet"/>
      <w:lvlText w:val="●"/>
      <w:lvlJc w:val="left"/>
      <w:pPr>
        <w:ind w:left="6480" w:hanging="360"/>
      </w:pPr>
    </w:lvl>
  </w:abstractNum>
  <w:abstractNum w:abstractNumId="2">
    <w:nsid w:val="5A1C3E77"/>
    <w:multiLevelType w:val="hybridMultilevel"/>
    <w:tmpl w:val="7B2E4C10"/>
    <w:lvl w:ilvl="0">
      <w:start w:val="1"/>
      <w:numFmt w:val="decimal"/>
      <w:lvlText w:val="%1."/>
      <w:lvlJc w:val="left"/>
      <w:pPr>
        <w:ind w:left="356" w:hanging="356"/>
      </w:pPr>
      <w:rPr>
        <w:rFonts w:ascii="Calibri" w:eastAsia="Calibri" w:hAnsi="Calibri" w:cs="Calibri"/>
        <w:b/>
        <w:bCs/>
        <w:color w:val="00498F"/>
        <w:sz w:val="19"/>
        <w:szCs w:val="19"/>
      </w:rPr>
    </w:lvl>
    <w:lvl w:ilvl="1">
      <w:start w:val="1"/>
      <w:numFmt w:val="decimal"/>
      <w:lvlText w:val="%2."/>
      <w:lvlJc w:val="left"/>
      <w:pPr>
        <w:ind w:left="716" w:hanging="356"/>
      </w:pPr>
    </w:lvl>
    <w:lvl w:ilvl="2">
      <w:start w:val="1"/>
      <w:numFmt w:val="decimal"/>
      <w:lvlText w:val="%3."/>
      <w:lvlJc w:val="left"/>
      <w:pPr>
        <w:ind w:left="1076" w:hanging="356"/>
      </w:pPr>
    </w:lvl>
    <w:lvl w:ilvl="3">
      <w:start w:val="1"/>
      <w:numFmt w:val="decimal"/>
      <w:lvlText w:val="%4."/>
      <w:lvlJc w:val="left"/>
      <w:pPr>
        <w:ind w:left="1436" w:hanging="356"/>
      </w:pPr>
    </w:lvl>
    <w:lvl w:ilvl="4">
      <w:start w:val="1"/>
      <w:numFmt w:val="decimal"/>
      <w:lvlText w:val="%5."/>
      <w:lvlJc w:val="left"/>
      <w:pPr>
        <w:ind w:left="1796" w:hanging="356"/>
      </w:pPr>
    </w:lvl>
    <w:lvl w:ilvl="5">
      <w:start w:val="1"/>
      <w:numFmt w:val="decimal"/>
      <w:lvlText w:val="%6."/>
      <w:lvlJc w:val="left"/>
      <w:pPr>
        <w:ind w:left="2156" w:hanging="356"/>
      </w:pPr>
    </w:lvl>
    <w:lvl w:ilvl="6">
      <w:start w:val="1"/>
      <w:numFmt w:val="decimal"/>
      <w:lvlText w:val="%7."/>
      <w:lvlJc w:val="left"/>
      <w:pPr>
        <w:ind w:left="2516" w:hanging="356"/>
      </w:pPr>
    </w:lvl>
    <w:lvl w:ilvl="7">
      <w:start w:val="1"/>
      <w:numFmt w:val="decimal"/>
      <w:lvlText w:val="%8."/>
      <w:lvlJc w:val="left"/>
      <w:pPr>
        <w:ind w:left="2876" w:hanging="356"/>
      </w:pPr>
    </w:lvl>
    <w:lvl w:ilvl="8">
      <w:start w:val="1"/>
      <w:numFmt w:val="decimal"/>
      <w:lvlText w:val="%9."/>
      <w:lvlJc w:val="left"/>
      <w:pPr>
        <w:ind w:left="3236" w:hanging="356"/>
      </w:pPr>
    </w:lvl>
  </w:abstractNum>
  <w:num w:numId="1" w16cid:durableId="1318262813">
    <w:abstractNumId w:val="1"/>
    <w:lvlOverride w:ilvl="0">
      <w:startOverride w:val="1"/>
    </w:lvlOverride>
  </w:num>
  <w:num w:numId="2" w16cid:durableId="427392447">
    <w:abstractNumId w:val="0"/>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C5"/>
    <w:rsid w:val="0005736B"/>
    <w:rsid w:val="000A55CA"/>
    <w:rsid w:val="001C20AB"/>
    <w:rsid w:val="005C7CC5"/>
    <w:rsid w:val="008F3ECF"/>
    <w:rsid w:val="00C158DD"/>
    <w:rsid w:val="00D40D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8A9130C"/>
  <w15:docId w15:val="{F5C110E9-C2A9-4745-B459-7684602C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color w:val="222222"/>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Seongjae</cp:lastModifiedBy>
  <cp:revision>3</cp:revision>
  <dcterms:created xsi:type="dcterms:W3CDTF">2026-08-12T08:05:00Z</dcterms:created>
  <dcterms:modified xsi:type="dcterms:W3CDTF">2026-10-14T09:01:35Z</dcterms:modified>
  <dc:title>Talking Points: CIIS Roundtable on China–ASEAN AI Governance, Session 2</dc:title>
</cp:coreProperties>
</file>