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2117E99A" w:rsidR="00A0400F" w:rsidRPr="00123884" w:rsidRDefault="00E42B79" w:rsidP="00811695">
      <w:pPr>
        <w:pStyle w:val="Titre"/>
        <w:rPr>
          <w:sz w:val="36"/>
          <w:szCs w:val="36"/>
        </w:rPr>
      </w:pPr>
      <w:r w:rsidRPr="00284717">
        <w:rPr>
          <w:sz w:val="36"/>
          <w:szCs w:val="36"/>
        </w:rPr>
        <w:t>{</w:t>
      </w:r>
      <w:proofErr w:type="spellStart"/>
      <w:r w:rsidR="00811695" w:rsidRPr="00123884">
        <w:rPr>
          <w:sz w:val="36"/>
          <w:szCs w:val="36"/>
        </w:rPr>
        <w:t>bailType</w:t>
      </w:r>
      <w:proofErr w:type="spellEnd"/>
      <w:r w:rsidRPr="00284717">
        <w:rPr>
          <w:sz w:val="36"/>
          <w:szCs w:val="36"/>
        </w:rPr>
        <w:t>}</w:t>
      </w:r>
      <w:r w:rsidR="00A0400F">
        <w:rPr>
          <w:sz w:val="36"/>
          <w:szCs w:val="36"/>
        </w:rPr>
        <w:t xml:space="preserve"> </w:t>
      </w:r>
    </w:p>
    <w:p w14:paraId="057F0F91" w14:textId="1CDA23AC"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w:t>
      </w:r>
      <w:proofErr w:type="spellStart"/>
      <w:r w:rsidR="00F90383">
        <w:rPr>
          <w:highlight w:val="green"/>
        </w:rPr>
        <w:t>bailleurName</w:t>
      </w:r>
      <w:proofErr w:type="spellEnd"/>
      <w:r w:rsidR="00F90383">
        <w:rPr>
          <w:highlight w:val="green"/>
        </w:rPr>
        <w:t>}</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w:t>
      </w:r>
      <w:proofErr w:type="spellStart"/>
      <w:r w:rsidR="00F90383">
        <w:rPr>
          <w:highlight w:val="green"/>
        </w:rPr>
        <w:t>bailleurAdress</w:t>
      </w:r>
      <w:proofErr w:type="spellEnd"/>
      <w:r w:rsidR="00F90383">
        <w:rPr>
          <w:highlight w:val="green"/>
        </w:rPr>
        <w:t>}</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proofErr w:type="spellStart"/>
      <w:r w:rsidR="00284717" w:rsidRPr="00811695">
        <w:t>bailleurEmail</w:t>
      </w:r>
      <w:proofErr w:type="spellEnd"/>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w:t>
      </w:r>
      <w:proofErr w:type="spellStart"/>
      <w:r w:rsidR="00F90383">
        <w:t>bailleurTelephone</w:t>
      </w:r>
      <w:proofErr w:type="spellEnd"/>
      <w:r w:rsidR="00F90383">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4D7E9294" w14:textId="1DBF3147" w:rsidR="00817D67" w:rsidRPr="00817D67" w:rsidRDefault="00A1263C" w:rsidP="00817D67">
      <w:pPr>
        <w:rPr>
          <w:bCs/>
        </w:rPr>
      </w:pPr>
      <w:commentRangeStart w:id="4"/>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5" w:name="_Hlk193706897"/>
      <w:r w:rsidR="00817D67" w:rsidRPr="00817D67">
        <w:rPr>
          <w:bCs/>
        </w:rPr>
        <w:sym w:font="Wingdings" w:char="F0A8"/>
      </w:r>
      <w:bookmarkEnd w:id="5"/>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commentRangeEnd w:id="4"/>
      <w:r w:rsidR="00AE6507">
        <w:rPr>
          <w:rStyle w:val="Marquedecommentaire"/>
        </w:rPr>
        <w:commentReference w:id="4"/>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13">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Modalité de production de chauffage </w:t>
      </w:r>
      <w:commentRangeStart w:id="6"/>
      <w:r w:rsidRPr="00005D03">
        <w:rPr>
          <w:bCs/>
        </w:rPr>
        <w:t xml:space="preserve">: </w:t>
      </w:r>
      <w:r w:rsidR="00CF398F">
        <w:rPr>
          <w:bCs/>
        </w:rPr>
        <w:t>{</w:t>
      </w:r>
      <w:proofErr w:type="spellStart"/>
      <w:r w:rsidR="00CF398F" w:rsidRPr="00CF398F">
        <w:rPr>
          <w:bCs/>
        </w:rPr>
        <w:t>appartementEnergieHeating</w:t>
      </w:r>
      <w:proofErr w:type="spellEnd"/>
      <w:r w:rsidR="00CF398F">
        <w:rPr>
          <w:bCs/>
        </w:rPr>
        <w:t>}.</w:t>
      </w:r>
      <w:commentRangeEnd w:id="6"/>
      <w:r w:rsidR="00AE6507">
        <w:rPr>
          <w:rStyle w:val="Marquedecommentaire"/>
        </w:rPr>
        <w:commentReference w:id="6"/>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7" w:name="_Hlk100144551"/>
      <w:r w:rsidRPr="000E118E">
        <w:t xml:space="preserve">Le locataire aura par ailleurs accès comme tous les occupants du logement aux parties communes dont les caractéristiques sont les suivantes </w:t>
      </w:r>
      <w:bookmarkEnd w:id="7"/>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proofErr w:type="spellStart"/>
      <w:r w:rsidR="00DE5D8F">
        <w:rPr>
          <w:rFonts w:cs="Arial"/>
          <w:szCs w:val="20"/>
        </w:rPr>
        <w:t>isI</w:t>
      </w:r>
      <w:r w:rsidR="007E4CB8">
        <w:rPr>
          <w:rFonts w:cs="Arial"/>
          <w:szCs w:val="20"/>
        </w:rPr>
        <w:t>ndetermine</w:t>
      </w:r>
      <w:proofErr w:type="spellEnd"/>
      <w:r w:rsidR="007E4CB8">
        <w:rPr>
          <w:rFonts w:cs="Arial"/>
          <w:szCs w:val="20"/>
        </w:rPr>
        <w:t>}</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proofErr w:type="spellStart"/>
      <w:r w:rsidR="00DE5D8F">
        <w:rPr>
          <w:rFonts w:cs="Arial"/>
          <w:szCs w:val="20"/>
        </w:rPr>
        <w:t>isEtudiant</w:t>
      </w:r>
      <w:proofErr w:type="spellEnd"/>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6328E6" w:rsidRDefault="007E4CB8" w:rsidP="007E4CB8">
      <w:pPr>
        <w:rPr>
          <w:rFonts w:cs="Arial"/>
          <w:szCs w:val="20"/>
        </w:rPr>
      </w:pPr>
      <w:r>
        <w:rPr>
          <w:rFonts w:cs="Arial"/>
          <w:szCs w:val="20"/>
        </w:rPr>
        <w:t>{#</w:t>
      </w:r>
      <w:r w:rsidR="00DE5D8F">
        <w:rPr>
          <w:rFonts w:cs="Arial"/>
          <w:szCs w:val="20"/>
        </w:rPr>
        <w:t>is</w:t>
      </w:r>
      <w:r w:rsidR="00DE5D8F" w:rsidRPr="006328E6">
        <w:rPr>
          <w:rFonts w:cs="Arial"/>
          <w:szCs w:val="20"/>
        </w:rPr>
        <w:t>Mobilite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proofErr w:type="spellStart"/>
      <w:r w:rsidR="00DE5D8F">
        <w:rPr>
          <w:rFonts w:cs="Arial"/>
          <w:szCs w:val="20"/>
        </w:rPr>
        <w:t>isMobilite</w:t>
      </w:r>
      <w:proofErr w:type="spellEnd"/>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w:t>
      </w:r>
      <w:proofErr w:type="spellStart"/>
      <w:r w:rsidR="00DE5D8F">
        <w:rPr>
          <w:rFonts w:cs="Arial"/>
          <w:szCs w:val="20"/>
        </w:rPr>
        <w:t>isEtudiant</w:t>
      </w:r>
      <w:proofErr w:type="spellEnd"/>
      <w:r w:rsidR="00DE5D8F">
        <w:rPr>
          <w:rFonts w:cs="Arial"/>
          <w:szCs w:val="20"/>
        </w:rPr>
        <w:t>}</w:t>
      </w:r>
    </w:p>
    <w:p w14:paraId="740D555C" w14:textId="2DDCFF74" w:rsidR="0031473A" w:rsidRPr="006328E6" w:rsidRDefault="00DE5D8F" w:rsidP="0031473A">
      <w:pPr>
        <w:rPr>
          <w:rFonts w:cs="Arial"/>
          <w:szCs w:val="20"/>
        </w:rPr>
      </w:pPr>
      <w:r>
        <w:rPr>
          <w:rFonts w:cs="Arial"/>
          <w:szCs w:val="20"/>
        </w:rPr>
        <w:t>{#is</w:t>
      </w:r>
      <w:r w:rsidRPr="006328E6">
        <w:rPr>
          <w:rFonts w:cs="Arial"/>
          <w:szCs w:val="20"/>
        </w:rPr>
        <w:t>Mobilite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w:t>
      </w:r>
      <w:proofErr w:type="spellStart"/>
      <w:r>
        <w:rPr>
          <w:rFonts w:cs="Arial"/>
          <w:szCs w:val="20"/>
        </w:rPr>
        <w:t>isMobilite</w:t>
      </w:r>
      <w:proofErr w:type="spellEnd"/>
      <w:r>
        <w:rPr>
          <w:rFonts w:cs="Arial"/>
          <w:szCs w:val="20"/>
        </w:rPr>
        <w:t>}</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proofErr w:type="spellStart"/>
      <w:r w:rsidR="00CF0D84" w:rsidRPr="00CF0D84">
        <w:rPr>
          <w:rFonts w:cs="Arial"/>
          <w:szCs w:val="20"/>
          <w:highlight w:val="green"/>
        </w:rPr>
        <w:t>appartementRentRef</w:t>
      </w:r>
      <w:proofErr w:type="spellEnd"/>
      <w:r w:rsidR="00CF0D84">
        <w:rPr>
          <w:rFonts w:cs="Arial"/>
          <w:szCs w:val="20"/>
        </w:rPr>
        <w:t>}</w:t>
      </w:r>
      <w:r w:rsidRPr="00CF0D84">
        <w:rPr>
          <w:rFonts w:cs="Arial"/>
          <w:szCs w:val="20"/>
        </w:rPr>
        <w:t>€ / mois</w:t>
      </w:r>
      <w:r w:rsidR="0031473A" w:rsidRPr="00CF0D84">
        <w:rPr>
          <w:rFonts w:cs="Arial"/>
          <w:szCs w:val="20"/>
        </w:rPr>
        <w:t xml:space="preserve">. </w:t>
      </w:r>
    </w:p>
    <w:p w14:paraId="7493CB98" w14:textId="646F60F6" w:rsidR="00DA1F8F" w:rsidRPr="00F9495D" w:rsidRDefault="00227CFB" w:rsidP="00F9495D">
      <w:pPr>
        <w:numPr>
          <w:ilvl w:val="0"/>
          <w:numId w:val="22"/>
        </w:numPr>
        <w:rPr>
          <w:rFonts w:cs="Arial"/>
          <w:szCs w:val="20"/>
        </w:rPr>
      </w:pPr>
      <w:r w:rsidRPr="003445EE">
        <w:rPr>
          <w:rFonts w:cs="Arial"/>
          <w:szCs w:val="20"/>
        </w:rPr>
        <w:t>Montant du loyer de référence majoré :</w:t>
      </w:r>
      <w:r w:rsidR="00F9495D">
        <w:rPr>
          <w:rFonts w:cs="Arial"/>
          <w:szCs w:val="20"/>
        </w:rPr>
        <w:t xml:space="preserve"> </w:t>
      </w:r>
      <w:r w:rsidR="00CF0D84">
        <w:rPr>
          <w:rFonts w:cs="Arial"/>
          <w:szCs w:val="20"/>
        </w:rPr>
        <w:t>{</w:t>
      </w:r>
      <w:proofErr w:type="spellStart"/>
      <w:r w:rsidR="00F9495D" w:rsidRPr="00F9495D">
        <w:rPr>
          <w:rFonts w:cs="Arial"/>
          <w:szCs w:val="20"/>
        </w:rPr>
        <w:t>appartementRentRefMaj</w:t>
      </w:r>
      <w:proofErr w:type="spellEnd"/>
      <w:r w:rsidR="00CF0D84" w:rsidRPr="00F9495D">
        <w:rPr>
          <w:rFonts w:cs="Arial"/>
          <w:szCs w:val="20"/>
        </w:rPr>
        <w:t>}</w:t>
      </w:r>
      <w:r w:rsidRPr="00F9495D">
        <w:rPr>
          <w:rFonts w:cs="Arial"/>
          <w:szCs w:val="20"/>
        </w:rPr>
        <w:t>€ / mois</w:t>
      </w:r>
      <w:r w:rsidR="0031473A" w:rsidRPr="00F9495D">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proofErr w:type="spellStart"/>
      <w:r w:rsidR="00090ECF" w:rsidRPr="00090ECF">
        <w:rPr>
          <w:rFonts w:cs="Arial"/>
          <w:szCs w:val="20"/>
          <w:highlight w:val="yellow"/>
        </w:rPr>
        <w:t>rentComp</w:t>
      </w:r>
      <w:proofErr w:type="spellEnd"/>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w:t>
      </w:r>
      <w:proofErr w:type="spellStart"/>
      <w:r>
        <w:t>velov</w:t>
      </w:r>
      <w:proofErr w:type="spellEnd"/>
      <w:r>
        <w:t xml:space="preserve">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proofErr w:type="spellStart"/>
      <w:r w:rsidR="00090ECF">
        <w:rPr>
          <w:highlight w:val="green"/>
        </w:rPr>
        <w:t>isFilature</w:t>
      </w:r>
      <w:proofErr w:type="spellEnd"/>
      <w:r w:rsidR="00090ECF">
        <w:rPr>
          <w:highlight w:val="green"/>
        </w:rPr>
        <w:t>}</w:t>
      </w:r>
    </w:p>
    <w:p w14:paraId="56BD6E7D" w14:textId="7036396F" w:rsidR="00F40D74" w:rsidRPr="006328E6" w:rsidRDefault="00090ECF" w:rsidP="00090ECF">
      <w:pPr>
        <w:pStyle w:val="Paragraphedeliste"/>
        <w:ind w:left="1440"/>
        <w:rPr>
          <w:highlight w:val="green"/>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 xml:space="preserve">situation de l’appartement au sein de l’immeuble (quatrième étage, avec vue dégagée sur le parc Alice et André </w:t>
      </w:r>
      <w:proofErr w:type="spellStart"/>
      <w:r w:rsidR="00072072" w:rsidRPr="003E7233">
        <w:rPr>
          <w:highlight w:val="blue"/>
        </w:rPr>
        <w:t>Vansteenberghe</w:t>
      </w:r>
      <w:proofErr w:type="spellEnd"/>
      <w:r w:rsidR="00072072" w:rsidRPr="003E7233">
        <w:rPr>
          <w:highlight w:val="blue"/>
        </w:rPr>
        <w:t>,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proofErr w:type="spellStart"/>
      <w:r w:rsidR="00090ECF" w:rsidRPr="00090ECF">
        <w:rPr>
          <w:highlight w:val="blue"/>
        </w:rPr>
        <w:t>isChateauGaillard</w:t>
      </w:r>
      <w:proofErr w:type="spellEnd"/>
      <w:r w:rsidR="00090ECF">
        <w:rPr>
          <w:highlight w:val="blue"/>
        </w:rPr>
        <w:t>}</w:t>
      </w:r>
    </w:p>
    <w:p w14:paraId="553B15BA" w14:textId="575FDEBC" w:rsidR="00F40D74" w:rsidRDefault="00090ECF" w:rsidP="00B016BA">
      <w:pPr>
        <w:pStyle w:val="Paragraphedeliste"/>
        <w:ind w:left="1440"/>
      </w:pPr>
      <w:r>
        <w:rPr>
          <w:highlight w:val="green"/>
        </w:rPr>
        <w:t>{#isRueRene}</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proofErr w:type="spellStart"/>
      <w:r w:rsidR="00090ECF">
        <w:rPr>
          <w:highlight w:val="green"/>
        </w:rPr>
        <w:t>isRueRene</w:t>
      </w:r>
      <w:proofErr w:type="spellEnd"/>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w:t>
      </w:r>
      <w:proofErr w:type="spellStart"/>
      <w:r w:rsidR="00090ECF" w:rsidRPr="00090ECF">
        <w:rPr>
          <w:rFonts w:cs="Arial"/>
          <w:szCs w:val="20"/>
          <w:highlight w:val="yellow"/>
        </w:rPr>
        <w:t>tIrl</w:t>
      </w:r>
      <w:proofErr w:type="spellEnd"/>
      <w:r w:rsidR="00090ECF" w:rsidRPr="00090ECF">
        <w:rPr>
          <w:rFonts w:cs="Arial"/>
          <w:szCs w:val="20"/>
          <w:highlight w:val="yellow"/>
        </w:rPr>
        <w:t>}</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w:t>
      </w:r>
      <w:proofErr w:type="spellStart"/>
      <w:r w:rsidR="00090ECF" w:rsidRPr="00090ECF">
        <w:rPr>
          <w:rFonts w:cs="Arial"/>
          <w:szCs w:val="20"/>
          <w:highlight w:val="yellow"/>
        </w:rPr>
        <w:t>valIrl</w:t>
      </w:r>
      <w:proofErr w:type="spellEnd"/>
      <w:r w:rsidR="00090ECF" w:rsidRPr="00090ECF">
        <w:rPr>
          <w:rFonts w:cs="Arial"/>
          <w:szCs w:val="20"/>
          <w:highlight w:val="yellow"/>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proofErr w:type="spellStart"/>
      <w:r>
        <w:rPr>
          <w:highlight w:val="green"/>
        </w:rPr>
        <w:t>isFilature</w:t>
      </w:r>
      <w:proofErr w:type="spellEnd"/>
      <w:r>
        <w:rPr>
          <w:highlight w:val="green"/>
        </w:rPr>
        <w:t>}</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proofErr w:type="spellStart"/>
      <w:r w:rsidRPr="00090ECF">
        <w:rPr>
          <w:highlight w:val="green"/>
        </w:rPr>
        <w:t>isChateauGaillard</w:t>
      </w:r>
      <w:proofErr w:type="spellEnd"/>
      <w:r w:rsidRPr="00090ECF">
        <w:rPr>
          <w:highlight w:val="green"/>
        </w:rPr>
        <w:t>}</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 xml:space="preserve">Crédit Agricole Ille et Vilaine – </w:t>
      </w:r>
      <w:proofErr w:type="spellStart"/>
      <w:r w:rsidR="00665AA3" w:rsidRPr="00462D81">
        <w:rPr>
          <w:rFonts w:ascii="T3Font_0" w:hAnsi="T3Font_0" w:cs="T3Font_0"/>
          <w:color w:val="071621"/>
          <w:sz w:val="21"/>
          <w:szCs w:val="21"/>
          <w:highlight w:val="cyan"/>
          <w:lang w:eastAsia="fr-FR"/>
        </w:rPr>
        <w:t>Maen</w:t>
      </w:r>
      <w:proofErr w:type="spellEnd"/>
      <w:r w:rsidR="00665AA3" w:rsidRPr="00462D81">
        <w:rPr>
          <w:rFonts w:ascii="T3Font_0" w:hAnsi="T3Font_0" w:cs="T3Font_0"/>
          <w:color w:val="071621"/>
          <w:sz w:val="21"/>
          <w:szCs w:val="21"/>
          <w:highlight w:val="cyan"/>
          <w:lang w:eastAsia="fr-FR"/>
        </w:rPr>
        <w:t xml:space="preserve">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proofErr w:type="spellStart"/>
      <w:r w:rsidRPr="00625A3E">
        <w:rPr>
          <w:highlight w:val="green"/>
          <w:lang w:val="de-DE"/>
        </w:rPr>
        <w:t>isRueRene</w:t>
      </w:r>
      <w:proofErr w:type="spellEnd"/>
      <w:r w:rsidRPr="00625A3E">
        <w:rPr>
          <w:highlight w:val="green"/>
          <w:lang w:val="de-DE"/>
        </w:rPr>
        <w:t>}</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proofErr w:type="spellStart"/>
      <w:r w:rsidR="00207D45" w:rsidRPr="00AD67CE">
        <w:rPr>
          <w:rFonts w:cs="Arial"/>
          <w:szCs w:val="20"/>
          <w:highlight w:val="yellow"/>
        </w:rPr>
        <w:t>rentWithoutCharge</w:t>
      </w:r>
      <w:proofErr w:type="spellEnd"/>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proofErr w:type="spellStart"/>
      <w:r w:rsidR="00207D45" w:rsidRPr="00AD67CE">
        <w:rPr>
          <w:rFonts w:cs="Arial"/>
          <w:szCs w:val="20"/>
          <w:highlight w:val="yellow"/>
        </w:rPr>
        <w:t>dayLeft</w:t>
      </w:r>
      <w:proofErr w:type="spellEnd"/>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proofErr w:type="spellStart"/>
      <w:r w:rsidR="00207D45" w:rsidRPr="00AD67CE">
        <w:rPr>
          <w:rFonts w:cs="Arial"/>
          <w:szCs w:val="20"/>
          <w:highlight w:val="yellow"/>
        </w:rPr>
        <w:t>rentPrice</w:t>
      </w:r>
      <w:proofErr w:type="spellEnd"/>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proofErr w:type="spellStart"/>
      <w:r w:rsidR="00AD67CE" w:rsidRPr="00AD67CE">
        <w:rPr>
          <w:rFonts w:cs="Arial"/>
          <w:szCs w:val="20"/>
          <w:highlight w:val="yellow"/>
        </w:rPr>
        <w:t>chargePrice</w:t>
      </w:r>
      <w:proofErr w:type="spellEnd"/>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r w:rsidR="00AD67CE">
        <w:rPr>
          <w:rFonts w:cs="Arial"/>
          <w:szCs w:val="20"/>
          <w:highlight w:val="yellow"/>
        </w:rPr>
        <w:t>{</w:t>
      </w:r>
      <w:proofErr w:type="spellStart"/>
      <w:r w:rsidR="00AD67CE" w:rsidRPr="00AD67CE">
        <w:rPr>
          <w:rFonts w:cs="Arial"/>
          <w:szCs w:val="20"/>
          <w:highlight w:val="yellow"/>
        </w:rPr>
        <w:t>chargePriceLeft</w:t>
      </w:r>
      <w:proofErr w:type="spellEnd"/>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proofErr w:type="spellStart"/>
      <w:r w:rsidR="00AD67CE" w:rsidRPr="0096186D">
        <w:rPr>
          <w:rFonts w:cs="Arial"/>
          <w:szCs w:val="20"/>
          <w:highlight w:val="yellow"/>
        </w:rPr>
        <w:t>totalRentProMonth</w:t>
      </w:r>
      <w:proofErr w:type="spellEnd"/>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bookmarkStart w:id="8" w:name="_Hlk129262699"/>
      <w:r w:rsidR="0096186D">
        <w:rPr>
          <w:rFonts w:cs="Arial"/>
          <w:szCs w:val="20"/>
          <w:highlight w:val="yellow"/>
        </w:rPr>
        <w:t>{</w:t>
      </w:r>
      <w:proofErr w:type="spellStart"/>
      <w:r w:rsidR="0096186D" w:rsidRPr="0096186D">
        <w:rPr>
          <w:rFonts w:cs="Arial"/>
          <w:szCs w:val="20"/>
          <w:highlight w:val="yellow"/>
        </w:rPr>
        <w:t>totalMontNotCompletRent</w:t>
      </w:r>
      <w:proofErr w:type="spellEnd"/>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8"/>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6328E6" w:rsidRDefault="00D92351" w:rsidP="0096186D">
      <w:pPr>
        <w:ind w:left="1416"/>
        <w:rPr>
          <w:rFonts w:cs="Arial"/>
          <w:szCs w:val="20"/>
        </w:rPr>
      </w:pPr>
      <w:r w:rsidRPr="00A127DF">
        <w:rPr>
          <w:rFonts w:cs="Arial"/>
          <w:szCs w:val="20"/>
        </w:rPr>
        <w:t xml:space="preserve">Loyer mensuel : </w:t>
      </w:r>
      <w:r w:rsidR="0096186D">
        <w:rPr>
          <w:rFonts w:cs="Arial"/>
          <w:szCs w:val="20"/>
        </w:rPr>
        <w:t>{</w:t>
      </w:r>
      <w:proofErr w:type="spellStart"/>
      <w:r w:rsidR="0096186D" w:rsidRPr="006328E6">
        <w:rPr>
          <w:rFonts w:cs="Arial"/>
          <w:szCs w:val="20"/>
        </w:rPr>
        <w:t>rentPrice</w:t>
      </w:r>
      <w:proofErr w:type="spellEnd"/>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proofErr w:type="spellStart"/>
      <w:r w:rsidR="0096186D" w:rsidRPr="0096186D">
        <w:rPr>
          <w:rFonts w:cs="Arial"/>
          <w:szCs w:val="20"/>
        </w:rPr>
        <w:t>chargePrice</w:t>
      </w:r>
      <w:proofErr w:type="spellEnd"/>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proofErr w:type="spellStart"/>
      <w:r w:rsidR="0096186D" w:rsidRPr="0096186D">
        <w:rPr>
          <w:rFonts w:cs="Arial"/>
          <w:szCs w:val="20"/>
          <w:highlight w:val="yellow"/>
          <w:lang w:val="en-GB"/>
        </w:rPr>
        <w:t>totalMontCompletRent</w:t>
      </w:r>
      <w:proofErr w:type="spellEnd"/>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proofErr w:type="spellStart"/>
      <w:r w:rsidR="0096186D" w:rsidRPr="0096186D">
        <w:rPr>
          <w:rFonts w:cs="Arial"/>
          <w:szCs w:val="20"/>
          <w:highlight w:val="yellow"/>
        </w:rPr>
        <w:t>garantiePrice</w:t>
      </w:r>
      <w:proofErr w:type="spellEnd"/>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4D5F0831" w:rsidR="007474FE" w:rsidRPr="007474FE" w:rsidRDefault="007474FE" w:rsidP="007474FE">
      <w:pPr>
        <w:rPr>
          <w:highlight w:val="green"/>
          <w:lang w:val="en-GB"/>
        </w:rPr>
      </w:pPr>
      <w:r>
        <w:rPr>
          <w:highlight w:val="green"/>
          <w:lang w:val="en-GB"/>
        </w:rPr>
        <w:t>{</w:t>
      </w:r>
      <w:proofErr w:type="spellStart"/>
      <w:r w:rsidRPr="007474FE">
        <w:rPr>
          <w:highlight w:val="green"/>
          <w:lang w:val="en-GB"/>
        </w:rPr>
        <w:t>petRule</w:t>
      </w:r>
      <w:proofErr w:type="spellEnd"/>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9"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9"/>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0"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0"/>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1"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1"/>
    </w:tbl>
    <w:p w14:paraId="6BE0F6EB" w14:textId="77777777" w:rsidR="004124C4" w:rsidRDefault="004124C4" w:rsidP="004124C4"/>
    <w:sectPr w:rsidR="004124C4" w:rsidSect="009D1B20">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hristian C" w:date="2025-03-22T09:09:00Z" w:initials="CC">
    <w:p w14:paraId="20FDD765" w14:textId="77777777" w:rsidR="00AE6507" w:rsidRDefault="00AE6507" w:rsidP="00AE6507">
      <w:pPr>
        <w:pStyle w:val="Commentaire"/>
        <w:jc w:val="left"/>
      </w:pPr>
      <w:r>
        <w:rPr>
          <w:rStyle w:val="Marquedecommentaire"/>
        </w:rPr>
        <w:annotationRef/>
      </w:r>
      <w:r>
        <w:t>Faire apparaitre un coché et l’autre décoché</w:t>
      </w:r>
    </w:p>
  </w:comment>
  <w:comment w:id="6" w:author="Christian C" w:date="2025-03-22T09:08:00Z" w:initials="CC">
    <w:p w14:paraId="35ADE381" w14:textId="2A4B30B0" w:rsidR="00AE6507" w:rsidRDefault="00AE6507" w:rsidP="00AE6507">
      <w:pPr>
        <w:pStyle w:val="Commentaire"/>
        <w:jc w:val="left"/>
      </w:pPr>
      <w:r>
        <w:rPr>
          <w:rStyle w:val="Marquedecommentaire"/>
        </w:rPr>
        <w:annotationRef/>
      </w:r>
      <w:r>
        <w:t>Problème de biding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FDD765" w15:done="0"/>
  <w15:commentEx w15:paraId="35ADE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720897" w16cex:dateUtc="2025-03-22T08:09:00Z"/>
  <w16cex:commentExtensible w16cex:durableId="1DB1F6C6" w16cex:dateUtc="2025-03-22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FDD765" w16cid:durableId="4F720897"/>
  <w16cid:commentId w16cid:paraId="35ADE381" w16cid:durableId="1DB1F6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6DC3"/>
    <w:rsid w:val="00360BDC"/>
    <w:rsid w:val="00373283"/>
    <w:rsid w:val="00386F29"/>
    <w:rsid w:val="00396E09"/>
    <w:rsid w:val="003A3835"/>
    <w:rsid w:val="003A5D6A"/>
    <w:rsid w:val="003B2771"/>
    <w:rsid w:val="003C074A"/>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3778</Words>
  <Characters>21539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200</cp:revision>
  <cp:lastPrinted>2015-07-08T14:18:00Z</cp:lastPrinted>
  <dcterms:created xsi:type="dcterms:W3CDTF">2023-03-08T08:02:00Z</dcterms:created>
  <dcterms:modified xsi:type="dcterms:W3CDTF">2025-03-27T16:49:00Z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