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 The decisions needed at the meeting are on the last page.</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About thirteen weeks for one engineer, and Azure costs of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one-week discovery to inventory the spreadsheets and name the data owners, then a two-day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The plan</w:t>
      </w:r>
    </w:p>
    <w:p>
      <w:pPr>
        <w:spacing w:after="120" w:line="276"/>
      </w:pPr>
      <w:r>
        <w:rPr>
          <w:rFonts w:ascii="Calibri" w:cs="Calibri" w:eastAsia="Calibri" w:hAnsi="Calibri"/>
          <w:color w:val="1B2430"/>
          <w:sz w:val="22"/>
          <w:szCs w:val="22"/>
        </w:rPr>
        <w:t xml:space="preserve">Ten epics, fifty-five tickets, in dependency order. Estimates are working days for one person.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 (2 to 3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 (2.5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 (0.5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 (2 weeks,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two-week parallel run with the spreadsheets frozen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Cost and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 about thirteen weeks for one engineer, with the Excel, Logfather and telemetry epics able to overlap.</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for those two weeks.</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2026-09-07T13:47:20.479Z</dcterms:created>
  <dcterms:modified xsi:type="dcterms:W3CDTF">2026-09-07T13:47:20.479Z</dcterms:modified>
</cp:coreProperties>
</file>

<file path=docProps/custom.xml><?xml version="1.0" encoding="utf-8"?>
<Properties xmlns="http://schemas.openxmlformats.org/officeDocument/2006/custom-properties" xmlns:vt="http://schemas.openxmlformats.org/officeDocument/2006/docPropsVTypes"/>
</file>