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caps/>
          <w:color w:val="4A5563"/>
          <w:spacing w:val="40"/>
          <w:sz w:val="22"/>
          <w:szCs w:val="22"/>
        </w:rPr>
        <w:t xml:space="preserve">Leap · PikPak</w:t>
      </w:r>
    </w:p>
    <w:p>
      <w:pPr>
        <w:spacing w:after="240"/>
      </w:pPr>
      <w:r>
        <w:rPr>
          <w:rFonts w:ascii="Calibri" w:cs="Calibri" w:eastAsia="Calibri" w:hAnsi="Calibri"/>
          <w:b/>
          <w:bCs/>
          <w:color w:val="1B2430"/>
          <w:sz w:val="56"/>
          <w:szCs w:val="56"/>
        </w:rPr>
        <w:t xml:space="preserve">Leap Database Plan</w:t>
      </w:r>
    </w:p>
    <w:p>
      <w:pPr>
        <w:spacing w:after="120" w:line="276"/>
      </w:pPr>
      <w:r>
        <w:rPr>
          <w:rFonts w:ascii="Calibri" w:cs="Calibri" w:eastAsia="Calibri" w:hAnsi="Calibri"/>
          <w:color w:val="4A5563"/>
          <w:sz w:val="26"/>
          <w:szCs w:val="26"/>
        </w:rPr>
        <w:t xml:space="preserve">One company database in Azure to replace the spreadsheets: the fleet, customers, SKUs, trays, maintenance, issues and root causes, daily production, with every change tracked and backups that look after themselves.</w:t>
      </w:r>
    </w:p>
    <w:p>
      <w:pPr>
        <w:spacing w:before="600"/>
      </w:pPr>
      <w:r>
        <w:rPr>
          <w:rFonts w:ascii="Calibri" w:cs="Calibri" w:eastAsia="Calibri" w:hAnsi="Calibri"/>
          <w:color w:val="4A5563"/>
          <w:sz w:val="22"/>
          <w:szCs w:val="22"/>
        </w:rPr>
        <w:t xml:space="preserve">Draft for discussion · 7 September 2026</w:t>
      </w:r>
    </w:p>
    <w:p>
      <w:pPr>
        <w:spacing w:after="120" w:line="276"/>
      </w:pPr>
      <w:r>
        <w:rPr>
          <w:rFonts w:ascii="Calibri" w:cs="Calibri" w:eastAsia="Calibri" w:hAnsi="Calibri"/>
          <w:color w:val="4A5563"/>
          <w:sz w:val="22"/>
          <w:szCs w:val="22"/>
        </w:rPr>
        <w:t xml:space="preserve">Prepared by Chris Hamblin.</w:t>
      </w:r>
    </w:p>
    <w:p>
      <w:r>
        <w:br w:type="page"/>
      </w:r>
    </w:p>
    <w:p>
      <w:pPr>
        <w:pStyle w:val="Heading1"/>
        <w:keepNext/>
        <w:spacing w:after="160" w:before="360"/>
      </w:pPr>
      <w:r>
        <w:rPr>
          <w:rFonts w:ascii="Calibri" w:cs="Calibri" w:eastAsia="Calibri" w:hAnsi="Calibri"/>
          <w:b/>
          <w:bCs/>
          <w:color w:val="1B2430"/>
          <w:sz w:val="32"/>
          <w:szCs w:val="32"/>
        </w:rPr>
        <w:t xml:space="preserve">Summary</w:t>
      </w:r>
    </w:p>
    <w:p>
      <w:pPr>
        <w:spacing w:after="120" w:line="276"/>
      </w:pPr>
      <w:r>
        <w:rPr>
          <w:rFonts w:ascii="Calibri" w:cs="Calibri" w:eastAsia="Calibri" w:hAnsi="Calibri"/>
          <w:color w:val="1B2430"/>
          <w:sz w:val="22"/>
          <w:szCs w:val="22"/>
        </w:rPr>
        <w:t xml:space="preserve">Today the fleet's information lives in spreadsheets, Teams chats, or people's heads: system serial numbers, customers, SKU numbers, tray numbers, maintenance events and root cause analyses, each in its own workbook. They are hard to join, hard to back up and impossible to audit.</w:t>
      </w:r>
    </w:p>
    <w:p>
      <w:pPr>
        <w:spacing w:after="120" w:line="276"/>
      </w:pPr>
      <w:r>
        <w:rPr>
          <w:rFonts w:ascii="Calibri" w:cs="Calibri" w:eastAsia="Calibri" w:hAnsi="Calibri"/>
          <w:color w:val="1B2430"/>
          <w:sz w:val="22"/>
          <w:szCs w:val="22"/>
        </w:rPr>
        <w:t xml:space="preserve">This plan replaces them with one database in Azure. It is a PostgreSQL database, the same engine behind most modern web systems, run for us as a managed service so backups, patching and failover are Microsoft's job.</w:t>
      </w:r>
    </w:p>
    <w:p>
      <w:pPr>
        <w:pStyle w:val="Heading1"/>
        <w:keepNext/>
        <w:spacing w:after="160" w:before="360"/>
      </w:pPr>
      <w:r>
        <w:rPr>
          <w:rFonts w:ascii="Calibri" w:cs="Calibri" w:eastAsia="Calibri" w:hAnsi="Calibri"/>
          <w:b/>
          <w:bCs/>
          <w:color w:val="1B2430"/>
          <w:sz w:val="32"/>
          <w:szCs w:val="32"/>
        </w:rPr>
        <w:t xml:space="preserve">How the system works</w:t>
      </w:r>
    </w:p>
    <w:p>
      <w:pPr>
        <w:pStyle w:val="ListParagraph"/>
        <w:numPr>
          <w:ilvl w:val="0"/>
          <w:numId w:val="2"/>
        </w:numPr>
        <w:spacing w:after="60" w:line="264"/>
      </w:pPr>
      <w:r>
        <w:rPr>
          <w:rFonts w:ascii="Calibri" w:cs="Calibri" w:eastAsia="Calibri" w:hAnsi="Calibri"/>
          <w:b/>
          <w:bCs/>
          <w:color w:val="1B2430"/>
          <w:sz w:val="22"/>
          <w:szCs w:val="22"/>
        </w:rPr>
        <w:t xml:space="preserve">One database, the source of truth. </w:t>
      </w:r>
      <w:r>
        <w:rPr>
          <w:rFonts w:ascii="Calibri" w:cs="Calibri" w:eastAsia="Calibri" w:hAnsi="Calibri"/>
          <w:color w:val="1B2430"/>
          <w:sz w:val="22"/>
          <w:szCs w:val="22"/>
        </w:rPr>
        <w:t xml:space="preserve">Azure Database for PostgreSQL holds every record: the relational tables, JSON where a record is naturally a document, and the time series through TimescaleDB. Spreadsheets become read-only views of it, never the other way round.</w:t>
      </w:r>
    </w:p>
    <w:p>
      <w:pPr>
        <w:spacing w:after="120" w:before="120"/>
        <w:jc w:val="center"/>
      </w:pPr>
      <w:r>
        <w:drawing>
          <wp:inline distT="0" distB="0" distL="0" distR="0">
            <wp:extent cx="5905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838575"/>
                    </a:xfrm>
                    <a:prstGeom prst="rect">
                      <a:avLst/>
                    </a:prstGeom>
                  </pic:spPr>
                </pic:pic>
              </a:graphicData>
            </a:graphic>
          </wp:inline>
        </w:drawing>
      </w:r>
    </w:p>
    <w:p>
      <w:pPr>
        <w:pStyle w:val="Heading2"/>
        <w:keepNext/>
        <w:spacing w:after="120" w:before="260"/>
      </w:pPr>
      <w:r>
        <w:rPr>
          <w:rFonts w:ascii="Calibri" w:cs="Calibri" w:eastAsia="Calibri" w:hAnsi="Calibri"/>
          <w:b/>
          <w:bCs/>
          <w:color w:val="1F6F8B"/>
          <w:sz w:val="26"/>
          <w:szCs w:val="26"/>
        </w:rPr>
        <w:t xml:space="preserve">Trackable</w:t>
      </w:r>
    </w:p>
    <w:p>
      <w:pPr>
        <w:spacing w:after="120" w:line="276"/>
      </w:pPr>
      <w:r>
        <w:rPr>
          <w:rFonts w:ascii="Calibri" w:cs="Calibri" w:eastAsia="Calibri" w:hAnsi="Calibri"/>
          <w:color w:val="1B2430"/>
          <w:sz w:val="22"/>
          <w:szCs w:val="22"/>
        </w:rPr>
        <w:t xml:space="preserve">Every SQL table carries who created and last changed a row and when, and the entry app writes a history row for every change on the core tables. "What did this system's line assignment look like on 3 March" is a single query. Nothing is ever hard-deleted; rows are retired with an end date.</w:t>
      </w:r>
    </w:p>
    <w:p>
      <w:pPr>
        <w:pStyle w:val="Heading2"/>
        <w:keepNext/>
        <w:spacing w:after="120" w:before="260"/>
      </w:pPr>
      <w:r>
        <w:rPr>
          <w:rFonts w:ascii="Calibri" w:cs="Calibri" w:eastAsia="Calibri" w:hAnsi="Calibri"/>
          <w:b/>
          <w:bCs/>
          <w:color w:val="1F6F8B"/>
          <w:sz w:val="26"/>
          <w:szCs w:val="26"/>
        </w:rPr>
        <w:t xml:space="preserve">Easy to back up</w:t>
      </w:r>
    </w:p>
    <w:p>
      <w:pPr>
        <w:spacing w:after="120" w:line="276"/>
      </w:pPr>
      <w:r>
        <w:rPr>
          <w:rFonts w:ascii="Calibri" w:cs="Calibri" w:eastAsia="Calibri" w:hAnsi="Calibri"/>
          <w:color w:val="1B2430"/>
          <w:sz w:val="22"/>
          <w:szCs w:val="22"/>
        </w:rPr>
        <w:t xml:space="preserve">The managed service takes automatic backups with point-in-time restore for up to 35 days, optionally copied to a second region. For years-long retention a weekly dump goes to Blob Storage with a lifecycle rule, one small scheduled job. A restore drill is a ticket in the plan, not an afterthought.</w:t>
      </w:r>
    </w:p>
    <w:p>
      <w:pPr>
        <w:pStyle w:val="Heading1"/>
        <w:keepNext/>
        <w:spacing w:after="160" w:before="360"/>
      </w:pPr>
      <w:r>
        <w:rPr>
          <w:rFonts w:ascii="Calibri" w:cs="Calibri" w:eastAsia="Calibri" w:hAnsi="Calibri"/>
          <w:b/>
          <w:bCs/>
          <w:color w:val="1B2430"/>
          <w:sz w:val="32"/>
          <w:szCs w:val="32"/>
        </w:rPr>
        <w:t xml:space="preserve">The engine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il"/>
              <w:left w:val="single" w:color="1F6F8B" w:sz="24"/>
              <w:bottom w:val="nil"/>
              <w:right w:val="nil"/>
            </w:tcBorders>
            <w:shd w:fill="E3EFF3" w:color="auto" w:val="clear"/>
            <w:tcMar>
              <w:top w:type="dxa" w:w="120"/>
              <w:left w:type="dxa" w:w="200"/>
              <w:bottom w:type="dxa" w:w="120"/>
              <w:right w:type="dxa" w:w="200"/>
            </w:tcMar>
          </w:tcPr>
          <w:p>
            <w:pPr>
              <w:spacing w:after="80" w:line="264"/>
            </w:pPr>
            <w:r>
              <w:rPr>
                <w:rFonts w:ascii="Calibri" w:cs="Calibri" w:eastAsia="Calibri" w:hAnsi="Calibri"/>
                <w:b/>
                <w:bCs/>
                <w:color w:val="1B2430"/>
                <w:sz w:val="22"/>
                <w:szCs w:val="22"/>
              </w:rPr>
              <w:t xml:space="preserve">Near term: Azure Database for PostgreSQL for the records; Grafana keeps the time series it holds today.</w:t>
            </w:r>
          </w:p>
          <w:p>
            <w:pPr>
              <w:spacing w:after="80" w:line="264"/>
            </w:pPr>
            <w:r>
              <w:rPr>
                <w:rFonts w:ascii="Calibri" w:cs="Calibri" w:eastAsia="Calibri" w:hAnsi="Calibri"/>
                <w:b/>
                <w:bCs/>
                <w:color w:val="1B2430"/>
                <w:sz w:val="22"/>
                <w:szCs w:val="22"/>
              </w:rPr>
              <w:t xml:space="preserve">Suggested long-term: Azure Database for PostgreSQL Flexible Server, with the TimescaleDB extension, one database for everything.</w:t>
            </w:r>
          </w:p>
        </w:tc>
      </w:tr>
    </w:tbl>
    <w:p>
      <w:r>
        <w:br w:type="page"/>
      </w:r>
    </w:p>
    <w:p>
      <w:pPr>
        <w:pStyle w:val="Heading1"/>
        <w:keepNext/>
        <w:spacing w:after="160" w:before="360"/>
      </w:pPr>
      <w:r>
        <w:rPr>
          <w:rFonts w:ascii="Calibri" w:cs="Calibri" w:eastAsia="Calibri" w:hAnsi="Calibri"/>
          <w:b/>
          <w:bCs/>
          <w:color w:val="1B2430"/>
          <w:sz w:val="32"/>
          <w:szCs w:val="32"/>
        </w:rPr>
        <w:t xml:space="preserve">The seven areas</w:t>
      </w:r>
    </w:p>
    <w:p>
      <w:pPr>
        <w:spacing w:after="120" w:before="120"/>
        <w:jc w:val="center"/>
      </w:pPr>
      <w:r>
        <w:drawing>
          <wp:inline distT="0" distB="0" distL="0" distR="0">
            <wp:extent cx="60960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248025"/>
                    </a:xfrm>
                    <a:prstGeom prst="rect">
                      <a:avLst/>
                    </a:prstGeom>
                  </pic:spPr>
                </pic:pic>
              </a:graphicData>
            </a:graphic>
          </wp:inline>
        </w:drawing>
      </w:r>
    </w:p>
    <w:p>
      <w:pPr>
        <w:pStyle w:val="Heading2"/>
        <w:keepNext/>
        <w:spacing w:after="120" w:before="260"/>
      </w:pPr>
      <w:r>
        <w:rPr>
          <w:rFonts w:ascii="Calibri" w:cs="Calibri" w:eastAsia="Calibri" w:hAnsi="Calibri"/>
          <w:b/>
          <w:bCs/>
          <w:color w:val="1F6F8B"/>
          <w:sz w:val="26"/>
          <w:szCs w:val="26"/>
        </w:rPr>
        <w:t xml:space="preserve">Keys and conventions</w:t>
      </w:r>
    </w:p>
    <w:p>
      <w:pPr>
        <w:pStyle w:val="ListParagraph"/>
        <w:numPr>
          <w:ilvl w:val="0"/>
          <w:numId w:val="2"/>
        </w:numPr>
        <w:spacing w:after="60" w:line="264"/>
      </w:pPr>
      <w:r>
        <w:rPr>
          <w:rFonts w:ascii="Calibri" w:cs="Calibri" w:eastAsia="Calibri" w:hAnsi="Calibri"/>
          <w:b/>
          <w:bCs/>
          <w:color w:val="1B2430"/>
          <w:sz w:val="22"/>
          <w:szCs w:val="22"/>
        </w:rPr>
        <w:t xml:space="preserve">Surrogate primary keys everywhere: </w:t>
      </w:r>
      <w:r>
        <w:rPr>
          <w:rFonts w:ascii="Calibri" w:cs="Calibri" w:eastAsia="Calibri" w:hAnsi="Calibri"/>
          <w:color w:val="1B2430"/>
          <w:sz w:val="22"/>
          <w:szCs w:val="22"/>
        </w:rPr>
        <w:t xml:space="preserve">an integer id per table. Serial numbers, tray numbers and SKU codes are human identifiers that get retyped and corrected, so they must not be what other tables point at.</w:t>
      </w:r>
    </w:p>
    <w:p>
      <w:pPr>
        <w:pStyle w:val="ListParagraph"/>
        <w:numPr>
          <w:ilvl w:val="0"/>
          <w:numId w:val="2"/>
        </w:numPr>
        <w:spacing w:after="60" w:line="264"/>
      </w:pPr>
      <w:r>
        <w:rPr>
          <w:rFonts w:ascii="Calibri" w:cs="Calibri" w:eastAsia="Calibri" w:hAnsi="Calibri"/>
          <w:b/>
          <w:bCs/>
          <w:color w:val="1B2430"/>
          <w:sz w:val="22"/>
          <w:szCs w:val="22"/>
        </w:rPr>
        <w:t xml:space="preserve">Natural keys as unique constraints: </w:t>
      </w:r>
      <w:r>
        <w:rPr>
          <w:rFonts w:ascii="Calibri" w:cs="Calibri" w:eastAsia="Calibri" w:hAnsi="Calibri"/>
          <w:color w:val="1B2430"/>
          <w:sz w:val="22"/>
          <w:szCs w:val="22"/>
        </w:rPr>
        <w:t xml:space="preserve">a system's serial number (with the display name "PikPak 007" unique too, but only ever a label), a tray's unique number, a SKU's code, a package's git commit. Duplicates are rejected by the database.</w:t>
      </w:r>
    </w:p>
    <w:p>
      <w:pPr>
        <w:pStyle w:val="ListParagraph"/>
        <w:numPr>
          <w:ilvl w:val="0"/>
          <w:numId w:val="2"/>
        </w:numPr>
        <w:spacing w:after="60" w:line="264"/>
      </w:pPr>
      <w:r>
        <w:rPr>
          <w:rFonts w:ascii="Calibri" w:cs="Calibri" w:eastAsia="Calibri" w:hAnsi="Calibri"/>
          <w:b/>
          <w:bCs/>
          <w:color w:val="1B2430"/>
          <w:sz w:val="22"/>
          <w:szCs w:val="22"/>
        </w:rPr>
        <w:t xml:space="preserve">Human references </w:t>
      </w:r>
      <w:r>
        <w:rPr>
          <w:rFonts w:ascii="Calibri" w:cs="Calibri" w:eastAsia="Calibri" w:hAnsi="Calibri"/>
          <w:color w:val="1B2430"/>
          <w:sz w:val="22"/>
          <w:szCs w:val="22"/>
        </w:rPr>
        <w:t xml:space="preserve">on things people talk about: ISS-0001, MNT-0001, RC-0001, generated from the id and shown everywhere.</w:t>
      </w:r>
    </w:p>
    <w:p>
      <w:pPr>
        <w:pStyle w:val="ListParagraph"/>
        <w:numPr>
          <w:ilvl w:val="0"/>
          <w:numId w:val="2"/>
        </w:numPr>
        <w:spacing w:after="60" w:line="264"/>
      </w:pPr>
      <w:r>
        <w:rPr>
          <w:rFonts w:ascii="Calibri" w:cs="Calibri" w:eastAsia="Calibri" w:hAnsi="Calibri"/>
          <w:b/>
          <w:bCs/>
          <w:color w:val="1B2430"/>
          <w:sz w:val="22"/>
          <w:szCs w:val="22"/>
        </w:rPr>
        <w:t xml:space="preserve">History as date ranges, not overwrites. </w:t>
      </w:r>
      <w:r>
        <w:rPr>
          <w:rFonts w:ascii="Calibri" w:cs="Calibri" w:eastAsia="Calibri" w:hAnsi="Calibri"/>
          <w:color w:val="1B2430"/>
          <w:sz w:val="22"/>
          <w:szCs w:val="22"/>
        </w:rPr>
        <w:t xml:space="preserve">Where a system is, which component is fitted, which software runs: each is a row with from and to dates, and only one open row is allowed per subject.</w:t>
      </w:r>
    </w:p>
    <w:p>
      <w:pPr>
        <w:pStyle w:val="ListParagraph"/>
        <w:numPr>
          <w:ilvl w:val="0"/>
          <w:numId w:val="2"/>
        </w:numPr>
        <w:spacing w:after="60" w:line="264"/>
      </w:pPr>
      <w:r>
        <w:rPr>
          <w:rFonts w:ascii="Calibri" w:cs="Calibri" w:eastAsia="Calibri" w:hAnsi="Calibri"/>
          <w:b/>
          <w:bCs/>
          <w:color w:val="1B2430"/>
          <w:sz w:val="22"/>
          <w:szCs w:val="22"/>
        </w:rPr>
        <w:t xml:space="preserve">Lookups are tables, not free text: </w:t>
      </w:r>
      <w:r>
        <w:rPr>
          <w:rFonts w:ascii="Calibri" w:cs="Calibri" w:eastAsia="Calibri" w:hAnsi="Calibri"/>
          <w:color w:val="1B2430"/>
          <w:sz w:val="22"/>
          <w:szCs w:val="22"/>
        </w:rPr>
        <w:t xml:space="preserve">statuses, severities, event types, component types and issue categories, so a new value is a row, not a code change.</w:t>
      </w:r>
    </w:p>
    <w:p>
      <w:pPr>
        <w:pStyle w:val="ListParagraph"/>
        <w:numPr>
          <w:ilvl w:val="0"/>
          <w:numId w:val="2"/>
        </w:numPr>
        <w:spacing w:after="60" w:line="264"/>
      </w:pPr>
      <w:r>
        <w:rPr>
          <w:rFonts w:ascii="Calibri" w:cs="Calibri" w:eastAsia="Calibri" w:hAnsi="Calibri"/>
          <w:b/>
          <w:bCs/>
          <w:color w:val="1B2430"/>
          <w:sz w:val="22"/>
          <w:szCs w:val="22"/>
        </w:rPr>
        <w:t xml:space="preserve">Audit on every table </w:t>
      </w:r>
      <w:r>
        <w:rPr>
          <w:rFonts w:ascii="Calibri" w:cs="Calibri" w:eastAsia="Calibri" w:hAnsi="Calibri"/>
          <w:color w:val="1B2430"/>
          <w:sz w:val="22"/>
          <w:szCs w:val="22"/>
        </w:rPr>
        <w:t xml:space="preserve">plus a history table per core entity, giving the same "as of" queries a temporal table would.</w:t>
      </w:r>
    </w:p>
    <w:p>
      <w:r>
        <w:br w:type="page"/>
      </w:r>
    </w:p>
    <w:p>
      <w:pPr>
        <w:pStyle w:val="Heading1"/>
        <w:keepNext/>
        <w:spacing w:after="160" w:before="360"/>
      </w:pPr>
      <w:r>
        <w:rPr>
          <w:rFonts w:ascii="Calibri" w:cs="Calibri" w:eastAsia="Calibri" w:hAnsi="Calibri"/>
          <w:b/>
          <w:bCs/>
          <w:color w:val="1B2430"/>
          <w:sz w:val="32"/>
          <w:szCs w:val="32"/>
        </w:rPr>
        <w:t xml:space="preserve">The tables</w:t>
      </w:r>
    </w:p>
    <w:p>
      <w:pPr>
        <w:keepNext/>
        <w:spacing w:after="120" w:line="276"/>
      </w:pPr>
      <w:r>
        <w:rPr>
          <w:rFonts w:ascii="Calibri" w:cs="Calibri" w:eastAsia="Calibri" w:hAnsi="Calibri"/>
          <w:i/>
          <w:iCs/>
          <w:color w:val="4A5563"/>
          <w:sz w:val="19"/>
          <w:szCs w:val="19"/>
        </w:rPr>
        <w:t xml:space="preserve">Key: the primary key, then the unique or natural key in brackets. Columns lists the ones worth arguing about; audit columns are on every table.</w:t>
      </w:r>
    </w:p>
    <w:p>
      <w:pPr>
        <w:pStyle w:val="Heading2"/>
        <w:keepNext/>
        <w:spacing w:after="120" w:before="260"/>
      </w:pPr>
      <w:r>
        <w:rPr>
          <w:rFonts w:ascii="Calibri" w:cs="Calibri" w:eastAsia="Calibri" w:hAnsi="Calibri"/>
          <w:b/>
          <w:bCs/>
          <w:color w:val="1F6F8B"/>
          <w:sz w:val="26"/>
          <w:szCs w:val="26"/>
        </w:rPr>
        <w:t xml:space="preserve">1 · Customers and people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538"/>
      </w:tblGrid>
      <w:tr>
        <w:trPr>
          <w:tblHeader/>
        </w:trPr>
        <w:tc>
          <w:tcPr>
            <w:tcW w:type="dxa" w:w="1900"/>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Table</w:t>
            </w:r>
          </w:p>
        </w:tc>
        <w:tc>
          <w:tcPr>
            <w:tcW w:type="dxa" w:w="2200"/>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Key</w:t>
            </w:r>
          </w:p>
        </w:tc>
        <w:tc>
          <w:tcPr>
            <w:tcW w:type="dxa" w:w="5538"/>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Columns worth naming</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customer</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customer_id (name)</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short_code (EVG, LWS), status, account owner, notes</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site</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site_id (customer_id, name)</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address, timezone, notes</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site_contact</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site_contact_id (site_id, person_id, role)</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The customer's people at a site: person, role (production manager, maintenance lead, IT, quality, commercial), is_primary, phone / email overrides, active_from, active_to. A person can hold roles at several sites.</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production_line</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line_id (site_id, name)</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name ("Line 6"), description, shift pattern</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person</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person_id (email)</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name, phone, organisation (own / customer / contractor), customer_id when they belong to a customer, job title, active. Used by contacts, maintenance and issues alike.</w:t>
            </w:r>
          </w:p>
        </w:tc>
      </w:tr>
    </w:tbl>
    <w:p>
      <w:pPr>
        <w:pStyle w:val="Heading2"/>
        <w:keepNext/>
        <w:spacing w:after="120" w:before="260"/>
      </w:pPr>
      <w:r>
        <w:rPr>
          <w:rFonts w:ascii="Calibri" w:cs="Calibri" w:eastAsia="Calibri" w:hAnsi="Calibri"/>
          <w:b/>
          <w:bCs/>
          <w:color w:val="1F6F8B"/>
          <w:sz w:val="26"/>
          <w:szCs w:val="26"/>
        </w:rPr>
        <w:t xml:space="preserve">2 · Fleet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538"/>
      </w:tblGrid>
      <w:tr>
        <w:trPr>
          <w:tblHeader/>
        </w:trPr>
        <w:tc>
          <w:tcPr>
            <w:tcW w:type="dxa" w:w="1900"/>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Table</w:t>
            </w:r>
          </w:p>
        </w:tc>
        <w:tc>
          <w:tcPr>
            <w:tcW w:type="dxa" w:w="2200"/>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Key</w:t>
            </w:r>
          </w:p>
        </w:tc>
        <w:tc>
          <w:tcPr>
            <w:tcW w:type="dxa" w:w="5538"/>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Columns worth naming</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system</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system_id (serial_number; display_name; folder_name)</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The serial number "35-2300-007" is the identity; display_name "PikPak 007" is what every screen shows; folder_name "PikPak007" is the CCTV share folder, kept separate so a rename never breaks the footage path. Plus generation (Argus 1 / 2), build_date, status (in build, FAT, installed, workshop, decommissioned), notes.</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system_deployment</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deployment_id (one open row per system)</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system, line, installed_on, removed_on, reason. Answers "where was PikPak 007 in March".</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component_type</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component_type_id (name)</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robot, servo, drive, camera, PSU, IO card, PC, gripper, conveyor motor (anything with a serial number)</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component</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component_id (serial_number; part_number)</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type, supplier, purchased_on, warranty_until, status</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system_component</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system_component_id (one open row per system + position)</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system, component, position ("servo 2", "pick camera"), fitted_on, removed_on, the maintenance event that fitted it.</w:t>
            </w:r>
          </w:p>
        </w:tc>
      </w:tr>
    </w:tbl>
    <w:p>
      <w:pPr>
        <w:pStyle w:val="Heading2"/>
        <w:keepNext/>
        <w:spacing w:after="120" w:before="260"/>
      </w:pPr>
      <w:r>
        <w:rPr>
          <w:rFonts w:ascii="Calibri" w:cs="Calibri" w:eastAsia="Calibri" w:hAnsi="Calibri"/>
          <w:b/>
          <w:bCs/>
          <w:color w:val="1F6F8B"/>
          <w:sz w:val="26"/>
          <w:szCs w:val="26"/>
        </w:rPr>
        <w:t xml:space="preserve">3 · Products and trays</w:t>
      </w:r>
    </w:p>
    <w:p>
      <w:pPr>
        <w:spacing w:after="120" w:line="276"/>
      </w:pPr>
      <w:r>
        <w:rPr>
          <w:rFonts w:ascii="Calibri" w:cs="Calibri" w:eastAsia="Calibri" w:hAnsi="Calibri"/>
          <w:color w:val="1B2430"/>
          <w:sz w:val="22"/>
          <w:szCs w:val="22"/>
        </w:rPr>
        <w:t xml:space="preserve">No tray-type table: most trays are unique with subtle differences, so the design lives on the tray. No recipe-version table: a SKU never changes once defined and is the same for every customer that packs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538"/>
      </w:tblGrid>
      <w:tr>
        <w:trPr>
          <w:tblHeader/>
        </w:trPr>
        <w:tc>
          <w:tcPr>
            <w:tcW w:type="dxa" w:w="1900"/>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Table</w:t>
            </w:r>
          </w:p>
        </w:tc>
        <w:tc>
          <w:tcPr>
            <w:tcW w:type="dxa" w:w="2200"/>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Key</w:t>
            </w:r>
          </w:p>
        </w:tc>
        <w:tc>
          <w:tcPr>
            <w:tcW w:type="dxa" w:w="5538"/>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Columns worth naming</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tray</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tray_id (unique_number)</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dimensions, cavity layout, material, supplier, drawing reference; customer, site, status (in service, damaged, retired), commissioned_on, retired_on. A damaged tray is an issue with the tray linked, not a separate log.</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sku</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sku_id (code)</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code as logged in Elastic ("EVG_picc…"), description, product dimensions and weight, products per pick, the tray it is packed in, config (JSON, the recipe), status. Not owned by a customer.</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sku_attachment</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attachment_id</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sku, kind (photo, drawing, spec sheet), file in Blob Storage, caption, sort order, uploaded by. One SKU can carry several pictures.</w:t>
            </w:r>
          </w:p>
        </w:tc>
      </w:tr>
    </w:tbl>
    <w:p>
      <w:pPr>
        <w:pStyle w:val="Heading2"/>
        <w:keepNext/>
        <w:spacing w:after="120" w:before="260"/>
      </w:pPr>
      <w:r>
        <w:rPr>
          <w:rFonts w:ascii="Calibri" w:cs="Calibri" w:eastAsia="Calibri" w:hAnsi="Calibri"/>
          <w:b/>
          <w:bCs/>
          <w:color w:val="1F6F8B"/>
          <w:sz w:val="26"/>
          <w:szCs w:val="26"/>
        </w:rPr>
        <w:t xml:space="preserve">4 · Maintenance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538"/>
      </w:tblGrid>
      <w:tr>
        <w:trPr>
          <w:tblHeader/>
        </w:trPr>
        <w:tc>
          <w:tcPr>
            <w:tcW w:type="dxa" w:w="1900"/>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Table</w:t>
            </w:r>
          </w:p>
        </w:tc>
        <w:tc>
          <w:tcPr>
            <w:tcW w:type="dxa" w:w="2200"/>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Key</w:t>
            </w:r>
          </w:p>
        </w:tc>
        <w:tc>
          <w:tcPr>
            <w:tcW w:type="dxa" w:w="5538"/>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Columns worth naming</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maintenance_event</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event_id (MNT-0001)</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system, type (planned service, breakdown, part replacement, software update, calibration, inspection, FAT), started_at, ended_at, downtime_minutes, performed_by, summary, external ticket</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maintenance_action</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action_id</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event, description, component removed, component fitted, labour hours, parts cost</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maintenance_schedule</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schedule_id (system_id, task)</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task, interval (days or picks), last done, next due. Optional in phase one.</w:t>
            </w:r>
          </w:p>
        </w:tc>
      </w:tr>
    </w:tbl>
    <w:p>
      <w:pPr>
        <w:pStyle w:val="Heading2"/>
        <w:keepNext/>
        <w:spacing w:after="120" w:before="260"/>
      </w:pPr>
      <w:r>
        <w:rPr>
          <w:rFonts w:ascii="Calibri" w:cs="Calibri" w:eastAsia="Calibri" w:hAnsi="Calibri"/>
          <w:b/>
          <w:bCs/>
          <w:color w:val="1F6F8B"/>
          <w:sz w:val="26"/>
          <w:szCs w:val="26"/>
        </w:rPr>
        <w:t xml:space="preserve">5 · Issues and root causes</w:t>
      </w:r>
    </w:p>
    <w:p>
      <w:pPr>
        <w:spacing w:after="120" w:line="276"/>
      </w:pPr>
      <w:r>
        <w:rPr>
          <w:rFonts w:ascii="Calibri" w:cs="Calibri" w:eastAsia="Calibri" w:hAnsi="Calibri"/>
          <w:color w:val="1B2430"/>
          <w:sz w:val="22"/>
          <w:szCs w:val="22"/>
        </w:rPr>
        <w:t xml:space="preserve">Kept deliberately simple: a root cause is an entry in a catalogue with its own number, and an issue points at one. No workflow states, no analysis records; those can be added later.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538"/>
      </w:tblGrid>
      <w:tr>
        <w:trPr>
          <w:tblHeader/>
        </w:trPr>
        <w:tc>
          <w:tcPr>
            <w:tcW w:type="dxa" w:w="1900"/>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Table</w:t>
            </w:r>
          </w:p>
        </w:tc>
        <w:tc>
          <w:tcPr>
            <w:tcW w:type="dxa" w:w="2200"/>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Key</w:t>
            </w:r>
          </w:p>
        </w:tc>
        <w:tc>
          <w:tcPr>
            <w:tcW w:type="dxa" w:w="5538"/>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Columns worth naming</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root_cause</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root_cause_id (RC-0001; name)</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The catalogue of every known root cause: name ("Vacuum solenoid stuck"), description, category (mechanical, electrical, software, operator, product, tray, environment), active. Never deleted, only retired.</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issue</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issue_id (ISS-0001)</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system (nullable for site-level), site, tray (nullable), reported_at, reported_by, title, description, severity, root cause (nullable until known), Grafana link, Jira key, notes</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issue_attachment</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attachment_id</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issue, kind (photo, clip, log export, document), file, caption, uploaded by</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issue_maintenance</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(issue_id, event_id)</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links an issue to the maintenance that fixed it</w:t>
            </w:r>
          </w:p>
        </w:tc>
      </w:tr>
    </w:tbl>
    <w:p>
      <w:pPr>
        <w:pStyle w:val="Heading2"/>
        <w:keepNext/>
        <w:spacing w:after="120" w:before="260"/>
      </w:pPr>
      <w:r>
        <w:rPr>
          <w:rFonts w:ascii="Calibri" w:cs="Calibri" w:eastAsia="Calibri" w:hAnsi="Calibri"/>
          <w:b/>
          <w:bCs/>
          <w:color w:val="1F6F8B"/>
          <w:sz w:val="26"/>
          <w:szCs w:val="26"/>
        </w:rPr>
        <w:t xml:space="preserve">6 · Software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538"/>
      </w:tblGrid>
      <w:tr>
        <w:trPr>
          <w:tblHeader/>
        </w:trPr>
        <w:tc>
          <w:tcPr>
            <w:tcW w:type="dxa" w:w="1900"/>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Table</w:t>
            </w:r>
          </w:p>
        </w:tc>
        <w:tc>
          <w:tcPr>
            <w:tcW w:type="dxa" w:w="2200"/>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Key</w:t>
            </w:r>
          </w:p>
        </w:tc>
        <w:tc>
          <w:tcPr>
            <w:tcW w:type="dxa" w:w="5538"/>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Columns worth naming</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software_package</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package_id (name)</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argus, planner, targeting, actuators, sensors, infeed, crate_change, behaviour, firmware packages</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software_release</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release_id (package_id, git_commit)</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version, branch, released_on, approved, release notes. Where "which commits are approved for the fleet" lives.</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system_software</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system_software_id (one open row per system + package)</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system, package, release, installed_at, removed_at, source (manual / Elastic). The Logfather already computes this from Elastic.</w:t>
            </w:r>
          </w:p>
        </w:tc>
      </w:tr>
    </w:tbl>
    <w:p>
      <w:pPr>
        <w:pStyle w:val="Heading2"/>
        <w:keepNext/>
        <w:spacing w:after="120" w:before="260"/>
      </w:pPr>
      <w:r>
        <w:rPr>
          <w:rFonts w:ascii="Calibri" w:cs="Calibri" w:eastAsia="Calibri" w:hAnsi="Calibri"/>
          <w:b/>
          <w:bCs/>
          <w:color w:val="1F6F8B"/>
          <w:sz w:val="26"/>
          <w:szCs w:val="26"/>
        </w:rPr>
        <w:t xml:space="preserve">7 ·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538"/>
      </w:tblGrid>
      <w:tr>
        <w:trPr>
          <w:tblHeader/>
        </w:trPr>
        <w:tc>
          <w:tcPr>
            <w:tcW w:type="dxa" w:w="1900"/>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Table</w:t>
            </w:r>
          </w:p>
        </w:tc>
        <w:tc>
          <w:tcPr>
            <w:tcW w:type="dxa" w:w="2200"/>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Key</w:t>
            </w:r>
          </w:p>
        </w:tc>
        <w:tc>
          <w:tcPr>
            <w:tcW w:type="dxa" w:w="5538"/>
            <w:tcBorders>
              <w:top w:val="single" w:color="D6DAD3" w:sz="4"/>
              <w:left w:val="single" w:color="D6DAD3" w:sz="4"/>
              <w:bottom w:val="single" w:color="D6DAD3" w:sz="4"/>
              <w:right w:val="single" w:color="D6DAD3" w:sz="4"/>
            </w:tcBorders>
            <w:shd w:fill="ECEEE9" w:color="auto" w:val="clear"/>
            <w:tcMar>
              <w:top w:type="dxa" w:w="60"/>
              <w:left w:type="dxa" w:w="100"/>
              <w:bottom w:type="dxa" w:w="60"/>
              <w:right w:type="dxa" w:w="100"/>
            </w:tcMar>
          </w:tcPr>
          <w:p>
            <w:pPr>
              <w:spacing w:after="0" w:line="252"/>
            </w:pPr>
            <w:r>
              <w:rPr>
                <w:rFonts w:ascii="Calibri" w:cs="Calibri" w:eastAsia="Calibri" w:hAnsi="Calibri"/>
                <w:b/>
                <w:bCs/>
                <w:color w:val="4A5563"/>
                <w:sz w:val="19"/>
                <w:szCs w:val="19"/>
              </w:rPr>
              <w:t xml:space="preserve">Columns worth naming</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production_run</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run_id (elastic_run_id)</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system, SKU, tray, started_at, ended_at, products_packed, trays_packed, products_seen, products_rejected, pick_movements, raw counters (JSON), source. One row per run.</w:t>
            </w:r>
          </w:p>
        </w:tc>
      </w:tr>
      <w:tr>
        <w:trPr>
          <w:cantSplit/>
        </w:trPr>
        <w:tc>
          <w:tcPr>
            <w:tcW w:type="dxa" w:w="19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production_day</w:t>
            </w:r>
          </w:p>
        </w:tc>
        <w:tc>
          <w:tcPr>
            <w:tcW w:type="dxa" w:w="2200"/>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onsolas" w:cs="Consolas" w:eastAsia="Consolas" w:hAnsi="Consolas"/>
                <w:color w:val="1B2430"/>
                <w:sz w:val="19"/>
                <w:szCs w:val="19"/>
              </w:rPr>
              <w:t xml:space="preserve">production_day_id (system, day, sku, tray)</w:t>
            </w:r>
          </w:p>
        </w:tc>
        <w:tc>
          <w:tcPr>
            <w:tcW w:type="dxa" w:w="5538"/>
            <w:tcBorders>
              <w:top w:val="single" w:color="D6DAD3" w:sz="4"/>
              <w:left w:val="single" w:color="D6DAD3" w:sz="4"/>
              <w:bottom w:val="single" w:color="D6DAD3" w:sz="4"/>
              <w:right w:val="single" w:color="D6DAD3" w:sz="4"/>
            </w:tcBorders>
            <w:tcMar>
              <w:top w:type="dxa" w:w="60"/>
              <w:left w:type="dxa" w:w="100"/>
              <w:bottom w:type="dxa" w:w="60"/>
              <w:right w:type="dxa" w:w="100"/>
            </w:tcMar>
          </w:tcPr>
          <w:p>
            <w:pPr>
              <w:spacing w:after="0" w:line="252"/>
            </w:pPr>
            <w:r>
              <w:rPr>
                <w:rFonts w:ascii="Calibri" w:cs="Calibri" w:eastAsia="Calibri" w:hAnsi="Calibri"/>
                <w:color w:val="1B2430"/>
                <w:sz w:val="22"/>
                <w:szCs w:val="22"/>
              </w:rPr>
              <w:t xml:space="preserve">The daily roll-up: products_packed, trays_packed, products_rejected, pick_movements, run_count, minutes_running, minutes_on. The table reports and Excel use.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A5563"/>
        <w:sz w:val="18"/>
        <w:szCs w:val="18"/>
      </w:rPr>
      <w:t xml:space="preserve">Leap Database Plan · draft 7 Sep 2026 · page </w:t>
    </w:r>
    <w:r>
      <w:rPr>
        <w:rFonts w:ascii="Calibri" w:cs="Calibri" w:eastAsia="Calibri" w:hAnsi="Calibri"/>
        <w:color w:val="4A5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b9ba105c0e408892372830ee0bde4e515d6ef9e.png"/><Relationship Id="rId9" Type="http://schemas.openxmlformats.org/officeDocument/2006/relationships/image" Target="media/2370348ddf90eac1d5ee0d756f0f733f8f8ef09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Leap Database Plan</dc:title>
  <dc:creator>Chris Hamblin</dc:creator>
  <cp:lastModifiedBy>Un-named</cp:lastModifiedBy>
  <cp:revision>1</cp:revision>
  <dcterms:created xsi:type="dcterms:W3CDTF">2026-09-07T16:02:08.596Z</dcterms:created>
  <dcterms:modified xsi:type="dcterms:W3CDTF">2026-09-07T16:02:08.597Z</dcterms:modified>
</cp:coreProperties>
</file>

<file path=docProps/custom.xml><?xml version="1.0" encoding="utf-8"?>
<Properties xmlns="http://schemas.openxmlformats.org/officeDocument/2006/custom-properties" xmlns:vt="http://schemas.openxmlformats.org/officeDocument/2006/docPropsVTypes"/>
</file>