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Leap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spacing w:after="12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SQL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tc>
      </w:tr>
    </w:tbl>
    <w:p>
      <w:r>
        <w:br w:type="page"/>
      </w:r>
    </w:p>
    <w:p>
      <w:pPr>
        <w:pStyle w:val="Heading1"/>
        <w:keepNext/>
        <w:spacing w:after="160" w:before="360"/>
      </w:pPr>
      <w:r>
        <w:rPr>
          <w:rFonts w:ascii="Calibri" w:cs="Calibri" w:eastAsia="Calibri" w:hAnsi="Calibri"/>
          <w:b/>
          <w:bCs/>
          <w:color w:val="1B2430"/>
          <w:sz w:val="32"/>
          <w:szCs w:val="32"/>
        </w:rPr>
        <w:t xml:space="preserve">The seven areas</w:t>
      </w:r>
    </w:p>
    <w:p>
      <w:pPr>
        <w:spacing w:after="120" w:before="120"/>
        <w:jc w:val="center"/>
      </w:pPr>
      <w:r>
        <w:drawing>
          <wp:inline distT="0" distB="0" distL="0" distR="0">
            <wp:extent cx="6096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48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Heading2"/>
        <w:keepNext/>
        <w:spacing w:after="120" w:before="260"/>
      </w:pPr>
      <w:r>
        <w:rPr>
          <w:rFonts w:ascii="Calibri" w:cs="Calibri" w:eastAsia="Calibri" w:hAnsi="Calibri"/>
          <w:b/>
          <w:bCs/>
          <w:color w:val="1F6F8B"/>
          <w:sz w:val="26"/>
          <w:szCs w:val="26"/>
        </w:rPr>
        <w:t xml:space="preserve">Skeleton first, detail as needed</w:t>
      </w:r>
    </w:p>
    <w:p>
      <w:pPr>
        <w:spacing w:after="120" w:line="276"/>
      </w:pPr>
      <w:r>
        <w:rPr>
          <w:rFonts w:ascii="Calibri" w:cs="Calibri" w:eastAsia="Calibri" w:hAnsi="Calibri"/>
          <w:color w:val="1B2430"/>
          <w:sz w:val="22"/>
          <w:szCs w:val="22"/>
        </w:rPr>
        <w:t xml:space="preserve">Neither a full schema agreed up front nor a table added whenever someone asks. The split is by how expensive a change is later.</w:t>
      </w:r>
    </w:p>
    <w:p>
      <w:pPr>
        <w:pStyle w:val="ListParagraph"/>
        <w:numPr>
          <w:ilvl w:val="0"/>
          <w:numId w:val="2"/>
        </w:numPr>
        <w:spacing w:after="60" w:line="264"/>
      </w:pPr>
      <w:r>
        <w:rPr>
          <w:rFonts w:ascii="Calibri" w:cs="Calibri" w:eastAsia="Calibri" w:hAnsi="Calibri"/>
          <w:b/>
          <w:bCs/>
          <w:color w:val="1B2430"/>
          <w:sz w:val="22"/>
          <w:szCs w:val="22"/>
        </w:rPr>
        <w:t xml:space="preserve">Agree early, because it is costly to change once data and other apps depend on it: </w:t>
      </w:r>
      <w:r>
        <w:rPr>
          <w:rFonts w:ascii="Calibri" w:cs="Calibri" w:eastAsia="Calibri" w:hAnsi="Calibri"/>
          <w:color w:val="1B2430"/>
          <w:sz w:val="22"/>
          <w:szCs w:val="22"/>
        </w:rPr>
        <w:t xml:space="preserve">the core entities and how they relate, the key strategy and reference scheme, the conventions above, and the engine and hosting.</w:t>
      </w:r>
    </w:p>
    <w:p>
      <w:pPr>
        <w:pStyle w:val="ListParagraph"/>
        <w:numPr>
          <w:ilvl w:val="0"/>
          <w:numId w:val="2"/>
        </w:numPr>
        <w:spacing w:after="60" w:line="264"/>
      </w:pPr>
      <w:r>
        <w:rPr>
          <w:rFonts w:ascii="Calibri" w:cs="Calibri" w:eastAsia="Calibri" w:hAnsi="Calibri"/>
          <w:b/>
          <w:bCs/>
          <w:color w:val="1B2430"/>
          <w:sz w:val="22"/>
          <w:szCs w:val="22"/>
        </w:rPr>
        <w:t xml:space="preserve">Grow piecemeal, because it is cheap: </w:t>
      </w:r>
      <w:r>
        <w:rPr>
          <w:rFonts w:ascii="Calibri" w:cs="Calibri" w:eastAsia="Calibri" w:hAnsi="Calibri"/>
          <w:color w:val="1B2430"/>
          <w:sz w:val="22"/>
          <w:szCs w:val="22"/>
        </w:rPr>
        <w:t xml:space="preserve">columns, lookup values, attachments, extra link tables and views. A column is added when someone has a row to put in it, not before. The "columns worth naming" lists below are a starting point, not a contract.</w:t>
      </w:r>
    </w:p>
    <w:p>
      <w:pPr>
        <w:pStyle w:val="ListParagraph"/>
        <w:numPr>
          <w:ilvl w:val="0"/>
          <w:numId w:val="2"/>
        </w:numPr>
        <w:spacing w:after="60" w:line="264"/>
      </w:pPr>
      <w:r>
        <w:rPr>
          <w:rFonts w:ascii="Calibri" w:cs="Calibri" w:eastAsia="Calibri" w:hAnsi="Calibri"/>
          <w:b/>
          <w:bCs/>
          <w:color w:val="1B2430"/>
          <w:sz w:val="22"/>
          <w:szCs w:val="22"/>
        </w:rPr>
        <w:t xml:space="preserve">Keep change cheap so piecemeal is safe: </w:t>
      </w:r>
      <w:r>
        <w:rPr>
          <w:rFonts w:ascii="Calibri" w:cs="Calibri" w:eastAsia="Calibri" w:hAnsi="Calibri"/>
          <w:color w:val="1B2430"/>
          <w:sz w:val="22"/>
          <w:szCs w:val="22"/>
        </w:rPr>
        <w:t xml:space="preserve">every schema change is a versioned migration, the entry screens are generated from the schema so a new column appears without bespoke work, and other apps read views rather than raw tables so a table can be reshaped without breaking them.</w:t>
      </w:r>
    </w:p>
    <w:p>
      <w:pPr>
        <w:pStyle w:val="ListParagraph"/>
        <w:numPr>
          <w:ilvl w:val="0"/>
          <w:numId w:val="2"/>
        </w:numPr>
        <w:spacing w:after="60" w:line="264"/>
      </w:pPr>
      <w:r>
        <w:rPr>
          <w:rFonts w:ascii="Calibri" w:cs="Calibri" w:eastAsia="Calibri" w:hAnsi="Calibri"/>
          <w:b/>
          <w:bCs/>
          <w:color w:val="1B2430"/>
          <w:sz w:val="22"/>
          <w:szCs w:val="22"/>
        </w:rPr>
        <w:t xml:space="preserve">Watch for the skeleton change in disguise: </w:t>
      </w:r>
      <w:r>
        <w:rPr>
          <w:rFonts w:ascii="Calibri" w:cs="Calibri" w:eastAsia="Calibri" w:hAnsi="Calibri"/>
          <w:color w:val="1B2430"/>
          <w:sz w:val="22"/>
          <w:szCs w:val="22"/>
        </w:rPr>
        <w:t xml:space="preserve">splitting one table into two, or moving a column between tables, is not a small edit. It gets a migration plan and a data check.</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robot, servo, drive, camera, PSU, IO card, PC, gripper, conveyor motor (anything with a serial number)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Leap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9ba105c0e408892372830ee0bde4e515d6ef9e.png"/><Relationship Id="rId9" Type="http://schemas.openxmlformats.org/officeDocument/2006/relationships/image" Target="media/2370348ddf90eac1d5ee0d756f0f733f8f8ef0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Leap Database Plan</dc:title>
  <dc:creator>Chris Hamblin</dc:creator>
  <cp:lastModifiedBy>Un-named</cp:lastModifiedBy>
  <cp:revision>1</cp:revision>
  <dcterms:created xsi:type="dcterms:W3CDTF">2026-09-07T16:08:22.978Z</dcterms:created>
  <dcterms:modified xsi:type="dcterms:W3CDTF">2026-09-07T16:08:22.979Z</dcterms:modified>
</cp:coreProperties>
</file>

<file path=docProps/custom.xml><?xml version="1.0" encoding="utf-8"?>
<Properties xmlns="http://schemas.openxmlformats.org/officeDocument/2006/custom-properties" xmlns:vt="http://schemas.openxmlformats.org/officeDocument/2006/docPropsVTypes"/>
</file>