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and the telemetry,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each with its own idea of a system's name.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About thirteen weeks for one engineer, and Azure costs of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one-week discovery to inventory the spreadsheets and name the data owners, then a two-day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574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Decided: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line="276"/>
      </w:pPr>
      <w:r>
        <w:rPr>
          <w:rFonts w:ascii="Calibri" w:cs="Calibri" w:eastAsia="Calibri" w:hAnsi="Calibri"/>
          <w:color w:val="1B2430"/>
          <w:sz w:val="22"/>
          <w:szCs w:val="22"/>
        </w:rPr>
        <w:t xml:space="preserve">The fleet's system table is the hub in the middle of the top row; everything that hangs off it fans in from the bottom row, and customers sit top-left above the products they own, so no arrow crosses another.</w:t>
      </w:r>
    </w:p>
    <w:p>
      <w:pPr>
        <w:spacing w:after="120" w:before="120"/>
        <w:jc w:val="center"/>
      </w:pPr>
      <w:r>
        <w:drawing>
          <wp:inline distT="0" distB="0" distL="0" distR="0">
            <wp:extent cx="6096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098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p>
      <w:pPr>
        <w:keepNext/>
        <w:spacing w:after="120" w:line="276"/>
      </w:pPr>
      <w:r>
        <w:rPr>
          <w:rFonts w:ascii="Calibri" w:cs="Calibri" w:eastAsia="Calibri" w:hAnsi="Calibri"/>
          <w:color w:val="1B2430"/>
          <w:sz w:val="22"/>
          <w:szCs w:val="22"/>
        </w:rPr>
        <w:t xml:space="preserve">Nobody types this: the Logfather reads runs, SKUs and the pick-and-place counters from Elastic and writes them here nightly.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2"/>
        <w:keepNext/>
        <w:spacing w:after="120" w:before="260"/>
      </w:pPr>
      <w:r>
        <w:rPr>
          <w:rFonts w:ascii="Calibri" w:cs="Calibri" w:eastAsia="Calibri" w:hAnsi="Calibri"/>
          <w:b/>
          <w:bCs/>
          <w:color w:val="1F6F8B"/>
          <w:sz w:val="26"/>
          <w:szCs w:val="26"/>
        </w:rPr>
        <w:t xml:space="preserve">Views for Excel, Power BI and Grafana</w:t>
      </w:r>
    </w:p>
    <w:p>
      <w:pPr>
        <w:spacing w:after="120" w:line="276"/>
      </w:pPr>
      <w:r>
        <w:rPr>
          <w:rFonts w:ascii="Calibri" w:cs="Calibri" w:eastAsia="Calibri" w:hAnsi="Calibri"/>
          <w:color w:val="1B2430"/>
          <w:sz w:val="22"/>
          <w:szCs w:val="22"/>
        </w:rPr>
        <w:t xml:space="preserve">v_fleet_current, v_site_contacts, v_system_components_current, v_maintenance_log, v_issue_register, v_software_current, v_production_day, v_telemetry_day and v_telemetry_labelled: one read-only view per question people ask today, granted to the viewer role only.</w:t>
      </w:r>
    </w:p>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p>
      <w:r>
        <w:br w:type="page"/>
      </w:r>
    </w:p>
    <w:p>
      <w:pPr>
        <w:pStyle w:val="Heading1"/>
        <w:keepNext/>
        <w:spacing w:after="160" w:before="360"/>
      </w:pPr>
      <w:r>
        <w:rPr>
          <w:rFonts w:ascii="Calibri" w:cs="Calibri" w:eastAsia="Calibri" w:hAnsi="Calibri"/>
          <w:b/>
          <w:bCs/>
          <w:color w:val="1B2430"/>
          <w:sz w:val="32"/>
          <w:szCs w:val="32"/>
        </w:rPr>
        <w:t xml:space="preserve">Appendix: the plan</w:t>
      </w:r>
    </w:p>
    <w:p>
      <w:pPr>
        <w:spacing w:after="120" w:line="276"/>
      </w:pPr>
      <w:r>
        <w:rPr>
          <w:rFonts w:ascii="Calibri" w:cs="Calibri" w:eastAsia="Calibri" w:hAnsi="Calibri"/>
          <w:color w:val="1B2430"/>
          <w:sz w:val="22"/>
          <w:szCs w:val="22"/>
        </w:rPr>
        <w:t xml:space="preserve">Ten epics, fifty-five tickets, in dependency order. Estimates are working days for one person. Every ticket has acceptance criteria so it can be closed without discussion; the full text is in the working plan, this is the shape.</w:t>
      </w:r>
    </w:p>
    <w:p>
      <w:pPr>
        <w:pStyle w:val="Heading2"/>
        <w:keepNext/>
        <w:spacing w:after="120" w:before="260"/>
      </w:pPr>
      <w:r>
        <w:rPr>
          <w:rFonts w:ascii="Calibri" w:cs="Calibri" w:eastAsia="Calibri" w:hAnsi="Calibri"/>
          <w:b/>
          <w:bCs/>
          <w:color w:val="1F6F8B"/>
          <w:sz w:val="26"/>
          <w:szCs w:val="26"/>
        </w:rPr>
        <w:t xml:space="preserve">Epic 0 · Discovery and decisions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Inventory every spreadsheet: owner, rows, update frequency, which entity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One-page inventory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the data owners and the roles (admin, engineer, service, viewer)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Roles table with permissions per entity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Decision record: hosting, region, naming (engine already decided)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Short ADR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Agree identifiers: serial format, tray numbers, SKU code source, ISS / MNT / RC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Conventions signed off</w:t>
            </w:r>
          </w:p>
        </w:tc>
      </w:tr>
    </w:tbl>
    <w:p>
      <w:pPr>
        <w:pStyle w:val="Heading2"/>
        <w:keepNext/>
        <w:spacing w:after="120" w:before="260"/>
      </w:pPr>
      <w:r>
        <w:rPr>
          <w:rFonts w:ascii="Calibri" w:cs="Calibri" w:eastAsia="Calibri" w:hAnsi="Calibri"/>
          <w:b/>
          <w:bCs/>
          <w:color w:val="1F6F8B"/>
          <w:sz w:val="26"/>
          <w:szCs w:val="26"/>
        </w:rPr>
        <w:t xml:space="preserve">Epic 0.5 · Hands-on trial of the managed PostgreSQL (2 to 3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Create a trial server in the portal, Burstable tier, Entra sign-in, Timescale enabled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SELECT version() runs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Connect from pgAdmin; run the trial script: two fleet tables, a telemetry hypertable, four real systems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Rows return; duplicate placement refused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DB-007</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 it from Excel, Grafana and Python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All three show the same rows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DB-008</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Delete a row, restore to a point in time; dump and restore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Both restores succeed, steps written up</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DB-009</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Tear down; three lines on what was easy and awkward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Cost page shows pennies</w:t>
            </w:r>
          </w:p>
        </w:tc>
      </w:tr>
    </w:tbl>
    <w:p>
      <w:pPr>
        <w:pStyle w:val="Heading2"/>
        <w:keepNext/>
        <w:spacing w:after="120" w:before="260"/>
      </w:pPr>
      <w:r>
        <w:rPr>
          <w:rFonts w:ascii="Calibri" w:cs="Calibri" w:eastAsia="Calibri" w:hAnsi="Calibri"/>
          <w:b/>
          <w:bCs/>
          <w:color w:val="1F6F8B"/>
          <w:sz w:val="26"/>
          <w:szCs w:val="26"/>
        </w:rPr>
        <w:t xml:space="preserve">Epic 1 · Azure foundation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Infrastructure as code (Bicep): server, storage, Key Vault, App Service, logging; dev and prod</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Clean deploy produces both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server with Timescale, 35-day point-in-time restore, weekly dump to Blob kept 7 years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Restore and dump both verified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Entra sign-in mapped to database roles; managed identity for the app; no shared passwords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viewer queries from Excel with Microsoft login only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Firewall, budget alert at £100 / month, log retention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Alert fires on a test</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containers for photos, clips, documents, dumps with lifecycle rules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Upload and cool-tier move seen</w:t>
            </w:r>
          </w:p>
        </w:tc>
      </w:tr>
    </w:tbl>
    <w:p>
      <w:pPr>
        <w:pStyle w:val="Heading2"/>
        <w:keepNext/>
        <w:spacing w:after="120" w:before="260"/>
      </w:pPr>
      <w:r>
        <w:rPr>
          <w:rFonts w:ascii="Calibri" w:cs="Calibri" w:eastAsia="Calibri" w:hAnsi="Calibri"/>
          <w:b/>
          <w:bCs/>
          <w:color w:val="1F6F8B"/>
          <w:sz w:val="26"/>
          <w:szCs w:val="26"/>
        </w:rPr>
        <w:t xml:space="preserve">Epic 2 · Schema v1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Migration tooling: Django models are the definition; CI applies migrations to dev</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Merge to main migrates dev</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Lookup tables seeded from the spreadsheets' real values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Customers, sites, contacts, lines, systems, deployments, people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 open placement per system enforced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Component types, components, fitted history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Trays, SKUs, SKU pictures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Maintenance events, actions, schedule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Root cause catalogue, issues, attachments, links to maintenance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Catalogue seeded from known causes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Software packages, releases, system software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DB-027a</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Production runs and days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DB-028</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Row history and audit columns on the core tables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"As of" a date returns the old row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DB-029</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Reporting views, viewer role only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3 · Data migration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Column mapping per sheet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source column has a target or a reason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Idempotent import scripts with a validation report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rejection has an owner</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Reconciliation against the spreadsheets, signed off per owner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Counts match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Backfill systems, SKUs and software history from Elastic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4 · Entry app (2.5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Django on App Service, Entra sign-in, managed identity, CI deploy</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Health endpoint green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customers, sites with contacts, lines, systems, deployments, components, people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Search by serial; history per record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SKUs with pictures, trays with bulk number import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maintenance with component swap picker</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Swap closes old fitting, opens new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issues with attachments, root cause picker, counts per cause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Roles and permissions from Entra groups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Read-only JSON API for the Logfather and future tools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5 · Excel and Power BI (0.5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Excel templates on the views, one per old spreadsheet, refresh on open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Power BI fleet dashboard: fleet by customer, open issues, downtime, software coverage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6 · Logfather integration (1.5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Master data from the database replaces the settings file; Software window flags unapproved commits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"Raise issue" from Errors / Stops, pre-filled with system, day, CCTV and Grafana links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production sync from Elastic into runs and days; back-fill since March 2022</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Day totals match the Overview within 1%</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software history sync</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8 · Telemetry (2 weeks, after Epic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Where does Grafana read from today: backend, retention, metrics and units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Metrics inventory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Hypertable, compression, retention, thresholds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year for one servo queries in a second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Ingestion from the existing backend, batched; back-fill what exists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Last week matches Grafana's graph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Labelled view joining readings to system, customer and fitted component</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DB-084</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Grafana on the database; dashboards re-pointed with fleet variables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DB-085</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Daily summaries as a continuous aggregate</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Known hot day matches raw data</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DB-086</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Telemetry on issues: link and that day's summary rows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7 · Operations and cutover (1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1200"/>
        <w:gridCol w:w="21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1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Days</w:t>
            </w:r>
          </w:p>
        </w:tc>
        <w:tc>
          <w:tcPr>
            <w:tcW w:type="dxa" w:w="21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DB-070</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Restore drill and runbook</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Point-in-time and dump restores done by someone else</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DB-071</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Monitoring and alerts</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DB-072</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Training and a two-week parallel run with the spreadsheets frozen</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DB-073</w:t>
            </w:r>
          </w:p>
        </w:tc>
        <w:tc>
          <w:tcPr>
            <w:tcW w:type="dxa" w:w="5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Retire the spreadsheets; Excel templates replace them</w:t>
            </w:r>
          </w:p>
        </w:tc>
        <w:tc>
          <w:tcPr>
            <w:tcW w:type="dxa" w:w="1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0.5</w:t>
            </w:r>
          </w:p>
        </w:tc>
        <w:tc>
          <w:tcPr>
            <w:tcW w:type="dxa" w:w="21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1"/>
        <w:keepNext/>
        <w:spacing w:after="160" w:before="360"/>
      </w:pPr>
      <w:r>
        <w:rPr>
          <w:rFonts w:ascii="Calibri" w:cs="Calibri" w:eastAsia="Calibri" w:hAnsi="Calibri"/>
          <w:b/>
          <w:bCs/>
          <w:color w:val="1B2430"/>
          <w:sz w:val="32"/>
          <w:szCs w:val="32"/>
        </w:rPr>
        <w:t xml:space="preserve">Appendix: cost and timeline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Per month</w:t>
            </w:r>
          </w:p>
        </w:tc>
        <w:tc>
          <w:tcPr>
            <w:tcW w:type="dxa" w:w="64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£15–45</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Flexible Server, Burstable tier for dev and prod, 64 GB, backups included</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£12</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App Service B1 for the entry app and the sync jobs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£2–8</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Storage including weekly dumps, Key Vault, Log Analytics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+£10–40</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once telemetry lands: storage growth and a step up to a General Purpose tier if ingest needs it</w:t>
            </w:r>
          </w:p>
        </w:tc>
      </w:tr>
    </w:tbl>
    <w:p>
      <w:pPr>
        <w:spacing w:after="120" w:line="276"/>
      </w:pPr>
      <w:r>
        <w:rPr>
          <w:rFonts w:ascii="Calibri" w:cs="Calibri" w:eastAsia="Calibri" w:hAnsi="Calibri"/>
          <w:color w:val="1B2430"/>
          <w:sz w:val="22"/>
          <w:szCs w:val="22"/>
        </w:rPr>
        <w:t xml:space="preserve">Everything together stays around £100 a month, which is the budget alert in the plan. The largest cost is people, not Azure: about thirteen weeks for one engineer, with the Excel, Logfather and telemetry epics able to overlap.</w:t>
      </w:r>
    </w:p>
    <w:p>
      <w:pPr>
        <w:pStyle w:val="Heading2"/>
        <w:keepNext/>
        <w:spacing w:after="120" w:before="260"/>
      </w:pPr>
      <w:r>
        <w:rPr>
          <w:rFonts w:ascii="Calibri" w:cs="Calibri" w:eastAsia="Calibri" w:hAnsi="Calibri"/>
          <w:b/>
          <w:bCs/>
          <w:color w:val="1F6F8B"/>
          <w:sz w:val="26"/>
          <w:szCs w:val="26"/>
        </w:rPr>
        <w:t xml:space="preserve">Order of value</w:t>
      </w:r>
    </w:p>
    <w:p>
      <w:pPr>
        <w:spacing w:after="120" w:line="276"/>
      </w:pPr>
      <w:r>
        <w:rPr>
          <w:rFonts w:ascii="Calibri" w:cs="Calibri" w:eastAsia="Calibri" w:hAnsi="Calibri"/>
          <w:color w:val="1B2430"/>
          <w:sz w:val="22"/>
          <w:szCs w:val="22"/>
        </w:rPr>
        <w:t xml:space="preserve">After the schema and the fleet part of the migration, the database already answers the questions the spreadsheets cannot: where each system is and was, what is fitted in it, and what it runs. Issues and the root cause catalogue are the next most valuable and the most used day to day. Production and telemetry follow, fed by jobs rather than typing.</w:t>
      </w:r>
    </w:p>
    <w:p>
      <w:pPr>
        <w:pStyle w:val="Heading2"/>
        <w:keepNext/>
        <w:spacing w:after="120" w:before="260"/>
      </w:pPr>
      <w:r>
        <w:rPr>
          <w:rFonts w:ascii="Calibri" w:cs="Calibri" w:eastAsia="Calibri" w:hAnsi="Calibri"/>
          <w:b/>
          <w:bCs/>
          <w:color w:val="1F6F8B"/>
          <w:sz w:val="26"/>
          <w:szCs w:val="26"/>
        </w:rPr>
        <w:t xml:space="preserve">Risks</w:t>
      </w:r>
    </w:p>
    <w:p>
      <w:pPr>
        <w:pStyle w:val="ListParagraph"/>
        <w:numPr>
          <w:ilvl w:val="0"/>
          <w:numId w:val="2"/>
        </w:numPr>
        <w:spacing w:after="60" w:line="264"/>
      </w:pPr>
      <w:r>
        <w:rPr>
          <w:rFonts w:ascii="Calibri" w:cs="Calibri" w:eastAsia="Calibri" w:hAnsi="Calibri"/>
          <w:color w:val="1B2430"/>
          <w:sz w:val="22"/>
          <w:szCs w:val="22"/>
        </w:rPr>
        <w:t xml:space="preserve">Spreadsheet data that does not reconcile: the reconciliation ticket exists for this, and each data owner signs off their entity.</w:t>
      </w:r>
    </w:p>
    <w:p>
      <w:pPr>
        <w:pStyle w:val="ListParagraph"/>
        <w:numPr>
          <w:ilvl w:val="0"/>
          <w:numId w:val="2"/>
        </w:numPr>
        <w:spacing w:after="60" w:line="264"/>
      </w:pPr>
      <w:r>
        <w:rPr>
          <w:rFonts w:ascii="Calibri" w:cs="Calibri" w:eastAsia="Calibri" w:hAnsi="Calibri"/>
          <w:color w:val="1B2430"/>
          <w:sz w:val="22"/>
          <w:szCs w:val="22"/>
        </w:rPr>
        <w:t xml:space="preserve">Two sources of truth during the parallel run: the spreadsheets are frozen read-only for those two weeks.</w:t>
      </w:r>
    </w:p>
    <w:p>
      <w:pPr>
        <w:pStyle w:val="ListParagraph"/>
        <w:numPr>
          <w:ilvl w:val="0"/>
          <w:numId w:val="2"/>
        </w:numPr>
        <w:spacing w:after="60" w:line="264"/>
      </w:pPr>
      <w:r>
        <w:rPr>
          <w:rFonts w:ascii="Calibri" w:cs="Calibri" w:eastAsia="Calibri" w:hAnsi="Calibri"/>
          <w:color w:val="1B2430"/>
          <w:sz w:val="22"/>
          <w:szCs w:val="22"/>
        </w:rPr>
        <w:t xml:space="preserve">Microsoft group management landing with nobody: an owner is named in the roles ticket.</w:t>
      </w:r>
    </w:p>
    <w:p>
      <w:pPr>
        <w:pStyle w:val="ListParagraph"/>
        <w:numPr>
          <w:ilvl w:val="0"/>
          <w:numId w:val="2"/>
        </w:numPr>
        <w:spacing w:after="60" w:line="264"/>
      </w:pPr>
      <w:r>
        <w:rPr>
          <w:rFonts w:ascii="Calibri" w:cs="Calibri" w:eastAsia="Calibri" w:hAnsi="Calibri"/>
          <w:color w:val="1B2430"/>
          <w:sz w:val="22"/>
          <w:szCs w:val="22"/>
        </w:rPr>
        <w:t xml:space="preserve">Telemetry volume outgrowing the burstable tier: CPU is monitored, and the step up is a portal change, not a migration.</w:t>
      </w:r>
    </w:p>
    <w:p>
      <w:pPr>
        <w:pStyle w:val="ListParagraph"/>
        <w:numPr>
          <w:ilvl w:val="0"/>
          <w:numId w:val="2"/>
        </w:numPr>
        <w:spacing w:after="60" w:line="264"/>
      </w:pPr>
      <w:r>
        <w:rPr>
          <w:rFonts w:ascii="Calibri" w:cs="Calibri" w:eastAsia="Calibri" w:hAnsi="Calibri"/>
          <w:color w:val="1B2430"/>
          <w:sz w:val="22"/>
          <w:szCs w:val="22"/>
        </w:rPr>
        <w:t xml:space="preserve">Building bespoke screens before the generated admin has been used for a month: resist it.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28065315367b66d60f84273058d3e418caecfde.png"/><Relationship Id="rId9" Type="http://schemas.openxmlformats.org/officeDocument/2006/relationships/image" Target="media/1ebe8fd93d1721963577242be44ff799312a011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2026-09-07T13:50:10.513Z</dcterms:created>
  <dcterms:modified xsi:type="dcterms:W3CDTF">2026-09-07T13:50:10.514Z</dcterms:modified>
</cp:coreProperties>
</file>

<file path=docProps/custom.xml><?xml version="1.0" encoding="utf-8"?>
<Properties xmlns="http://schemas.openxmlformats.org/officeDocument/2006/custom-properties" xmlns:vt="http://schemas.openxmlformats.org/officeDocument/2006/docPropsVTypes"/>
</file>