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and the telemetry,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 Read time about fifteen minutes. The decisions needed at the meeting are on the last page.</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 lives in spreadsheets: system serial numbers, customers, SKU numbers, tray numbers, maintenance events and root cause analyses, each in its own workbook, each with its own idea of a system's name.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 A small internal web app is where people add and edit records, with Microsoft sign-in and a change history on every row. Excel, Power BI and Grafana read from it. The Logfather reads its master data from it and writes back what each system packed and which software it runs, without anyone typing.</w:t>
      </w:r>
    </w:p>
    <w:p>
      <w:pPr>
        <w:spacing w:after="120" w:line="276"/>
      </w:pPr>
      <w:r>
        <w:rPr>
          <w:rFonts w:ascii="Calibri" w:cs="Calibri" w:eastAsia="Calibri" w:hAnsi="Calibri"/>
          <w:color w:val="1B2430"/>
          <w:sz w:val="22"/>
          <w:szCs w:val="22"/>
        </w:rPr>
        <w:t xml:space="preserve">The telemetry that Grafana shows today, component temperatures and motor currents, goes into the same database through the TimescaleDB extension, so a temperature excursion, the servo that was fitted at the time, and the issue it became are three tables apart, not three systems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What we are asking for. </w:t>
            </w:r>
            <w:r>
              <w:rPr>
                <w:rFonts w:ascii="Calibri" w:cs="Calibri" w:eastAsia="Calibri" w:hAnsi="Calibri"/>
                <w:color w:val="1B2430"/>
                <w:sz w:val="22"/>
                <w:szCs w:val="22"/>
              </w:rPr>
              <w:t xml:space="preserve">Agreement on the eight areas and the tables in them, on the engine, and on the order of work. About thirteen weeks for one engineer, and Azure costs of roughly £100 a month.</w:t>
            </w:r>
          </w:p>
          <w:p>
            <w:pPr>
              <w:spacing w:after="80" w:line="264"/>
            </w:pPr>
            <w:r>
              <w:rPr>
                <w:rFonts w:ascii="Calibri" w:cs="Calibri" w:eastAsia="Calibri" w:hAnsi="Calibri"/>
                <w:b/>
                <w:bCs/>
                <w:color w:val="1B2430"/>
                <w:sz w:val="22"/>
                <w:szCs w:val="22"/>
              </w:rPr>
              <w:t xml:space="preserve">What happens first. </w:t>
            </w:r>
            <w:r>
              <w:rPr>
                <w:rFonts w:ascii="Calibri" w:cs="Calibri" w:eastAsia="Calibri" w:hAnsi="Calibri"/>
                <w:color w:val="1B2430"/>
                <w:sz w:val="22"/>
                <w:szCs w:val="22"/>
              </w:rPr>
              <w:t xml:space="preserve">A one-week discovery to inventory the spreadsheets and name the data owners, then a two-day hands-on trial of the managed database before any real infrastructure is built.</w:t>
            </w:r>
          </w:p>
        </w:tc>
      </w:tr>
    </w:tbl>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Three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pStyle w:val="ListParagraph"/>
        <w:numPr>
          <w:ilvl w:val="0"/>
          <w:numId w:val="2"/>
        </w:numPr>
        <w:spacing w:after="60" w:line="264"/>
      </w:pPr>
      <w:r>
        <w:rPr>
          <w:rFonts w:ascii="Calibri" w:cs="Calibri" w:eastAsia="Calibri" w:hAnsi="Calibri"/>
          <w:b/>
          <w:bCs/>
          <w:color w:val="1B2430"/>
          <w:sz w:val="22"/>
          <w:szCs w:val="22"/>
        </w:rPr>
        <w:t xml:space="preserve">Consumers. </w:t>
      </w:r>
      <w:r>
        <w:rPr>
          <w:rFonts w:ascii="Calibri" w:cs="Calibri" w:eastAsia="Calibri" w:hAnsi="Calibri"/>
          <w:color w:val="1B2430"/>
          <w:sz w:val="22"/>
          <w:szCs w:val="22"/>
        </w:rPr>
        <w:t xml:space="preserve">Excel and Power BI read from views with a read-only login. Grafana reads the telemetry tables directly. The Logfather reads customers, lines, systems and SKUs from the database, writes production and software history into it, and can raise an issue from its Errors / Stops window with the system and day filled in. LeapHQ, the customer portal being built separately, uses the same database for its customer-facing views and keeps reading Elastic and the CCTV share directly, as the Logfather does.</w:t>
      </w:r>
    </w:p>
    <w:p>
      <w:pPr>
        <w:spacing w:after="120" w:before="120"/>
        <w:jc w:val="center"/>
      </w:pPr>
      <w:r>
        <w:drawing>
          <wp:inline distT="0" distB="0" distL="0" distR="0">
            <wp:extent cx="5905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65747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Decided: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eight areas</w:t>
      </w:r>
    </w:p>
    <w:p>
      <w:pPr>
        <w:spacing w:after="120" w:line="276"/>
      </w:pPr>
      <w:r>
        <w:rPr>
          <w:rFonts w:ascii="Calibri" w:cs="Calibri" w:eastAsia="Calibri" w:hAnsi="Calibri"/>
          <w:color w:val="1B2430"/>
          <w:sz w:val="22"/>
          <w:szCs w:val="22"/>
        </w:rPr>
        <w:t xml:space="preserve">The fleet's system table is the hub in the middle of the top row; everything that hangs off it fans in from the bottom row, and customers sit top-left above the products they own, so no arrow crosses another.</w:t>
      </w:r>
    </w:p>
    <w:p>
      <w:pPr>
        <w:spacing w:after="120" w:before="120"/>
        <w:jc w:val="center"/>
      </w:pPr>
      <w:r>
        <w:drawing>
          <wp:inline distT="0" distB="0" distL="0" distR="0">
            <wp:extent cx="6096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8098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8 · Telemetry</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 telemetry_day, telemetry_threshold</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temperature, current and pressure reading, and the daily summary per component that issues and maintenance planning use.</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ListParagraph"/>
        <w:numPr>
          <w:ilvl w:val="0"/>
          <w:numId w:val="2"/>
        </w:numPr>
        <w:spacing w:after="60" w:line="264"/>
      </w:pPr>
      <w:r>
        <w:rPr>
          <w:rFonts w:ascii="Calibri" w:cs="Calibri" w:eastAsia="Calibri" w:hAnsi="Calibri"/>
          <w:b/>
          <w:bCs/>
          <w:color w:val="1B2430"/>
          <w:sz w:val="22"/>
          <w:szCs w:val="22"/>
        </w:rPr>
        <w:t xml:space="preserve">Time series are hypertables: </w:t>
      </w:r>
      <w:r>
        <w:rPr>
          <w:rFonts w:ascii="Calibri" w:cs="Calibri" w:eastAsia="Calibri" w:hAnsi="Calibri"/>
          <w:color w:val="1B2430"/>
          <w:sz w:val="22"/>
          <w:szCs w:val="22"/>
        </w:rPr>
        <w:t xml:space="preserve">partitioned by time automatically, compressed after 30 days, kept for years.</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 Telemetry joins to this row, so a reading is attributed to the exact servo in that slot at the time.</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p>
      <w:pPr>
        <w:keepNext/>
        <w:spacing w:after="120" w:line="276"/>
      </w:pPr>
      <w:r>
        <w:rPr>
          <w:rFonts w:ascii="Calibri" w:cs="Calibri" w:eastAsia="Calibri" w:hAnsi="Calibri"/>
          <w:color w:val="1B2430"/>
          <w:sz w:val="22"/>
          <w:szCs w:val="22"/>
        </w:rPr>
        <w:t xml:space="preserve">Nobody types this: the Logfather reads runs, SKUs and the pick-and-place counters from Elastic and writes them here nightly.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p>
      <w:pPr>
        <w:pStyle w:val="Heading2"/>
        <w:keepNext/>
        <w:spacing w:after="120" w:before="260"/>
      </w:pPr>
      <w:r>
        <w:rPr>
          <w:rFonts w:ascii="Calibri" w:cs="Calibri" w:eastAsia="Calibri" w:hAnsi="Calibri"/>
          <w:b/>
          <w:bCs/>
          <w:color w:val="1F6F8B"/>
          <w:sz w:val="26"/>
          <w:szCs w:val="26"/>
        </w:rPr>
        <w:t xml:space="preserve">8 · Telemetry</w:t>
      </w:r>
    </w:p>
    <w:p>
      <w:pPr>
        <w:spacing w:after="120" w:line="276"/>
      </w:pPr>
      <w:r>
        <w:rPr>
          <w:rFonts w:ascii="Calibri" w:cs="Calibri" w:eastAsia="Calibri" w:hAnsi="Calibri"/>
          <w:color w:val="1B2430"/>
          <w:sz w:val="22"/>
          <w:szCs w:val="22"/>
        </w:rPr>
        <w:t xml:space="preserve">Raw readings and their daily summary live in the same database as everything else. The raw table is a TimescaleDB hypertable: an ordinary table partitioned by time behind the scenes, compressed after 30 days, with old chunks dropped past the retention we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(time, system_id, position,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time, system, position ("servo 2", "brake resistor", "PSU 48V"), metric (temperature, current, voltage, pressure, vacuum), value, unit, source. Compression after 30 days; retention 5 years; indexed so one servo's panel is instant.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position, metric, day)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fitted component that day, min, average, max, minutes above threshold, threshold used, sample count. A continuous aggregate refreshed nightly; the table issues and maintenance planning read.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telemetry_threshold</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warning and alarm levels per component type and metric, so "minutes above threshold" changes with a row edit, not a code change.</w:t>
            </w:r>
          </w:p>
        </w:tc>
      </w:tr>
    </w:tbl>
    <w:p>
      <w:pPr>
        <w:pStyle w:val="Heading2"/>
        <w:keepNext/>
        <w:spacing w:after="120" w:before="260"/>
      </w:pPr>
      <w:r>
        <w:rPr>
          <w:rFonts w:ascii="Calibri" w:cs="Calibri" w:eastAsia="Calibri" w:hAnsi="Calibri"/>
          <w:b/>
          <w:bCs/>
          <w:color w:val="1F6F8B"/>
          <w:sz w:val="26"/>
          <w:szCs w:val="26"/>
        </w:rPr>
        <w:t xml:space="preserve">Views for Excel, Power BI and Grafana</w:t>
      </w:r>
    </w:p>
    <w:p>
      <w:pPr>
        <w:spacing w:after="120" w:line="276"/>
      </w:pPr>
      <w:r>
        <w:rPr>
          <w:rFonts w:ascii="Calibri" w:cs="Calibri" w:eastAsia="Calibri" w:hAnsi="Calibri"/>
          <w:color w:val="1B2430"/>
          <w:sz w:val="22"/>
          <w:szCs w:val="22"/>
        </w:rPr>
        <w:t xml:space="preserve">v_fleet_current, v_site_contacts, v_system_components_current, v_maintenance_log, v_issue_register, v_software_current, v_production_day, v_telemetry_day and v_telemetry_labelled: one read-only view per question people ask today, granted to the viewer role only.</w:t>
      </w:r>
    </w:p>
    <w:p>
      <w:pPr>
        <w:pStyle w:val="Heading1"/>
        <w:keepNext/>
        <w:spacing w:after="160" w:before="360"/>
      </w:pPr>
      <w:r>
        <w:rPr>
          <w:rFonts w:ascii="Calibri" w:cs="Calibri" w:eastAsia="Calibri" w:hAnsi="Calibri"/>
          <w:b/>
          <w:bCs/>
          <w:color w:val="1B2430"/>
          <w:sz w:val="32"/>
          <w:szCs w:val="32"/>
        </w:rPr>
        <w:t xml:space="preserve">The plan</w:t>
      </w:r>
    </w:p>
    <w:p>
      <w:pPr>
        <w:spacing w:after="120" w:line="276"/>
      </w:pPr>
      <w:r>
        <w:rPr>
          <w:rFonts w:ascii="Calibri" w:cs="Calibri" w:eastAsia="Calibri" w:hAnsi="Calibri"/>
          <w:color w:val="1B2430"/>
          <w:sz w:val="22"/>
          <w:szCs w:val="22"/>
        </w:rPr>
        <w:t xml:space="preserve">Ten epics, fifty-five tickets, in dependency order. Estimates are working days for one person. Every ticket has acceptance criteria so it can be closed without discussion; the full text is in the working plan, this is the shape.</w:t>
      </w:r>
    </w:p>
    <w:p>
      <w:pPr>
        <w:pStyle w:val="Heading2"/>
        <w:keepNext/>
        <w:spacing w:after="120" w:before="260"/>
      </w:pPr>
      <w:r>
        <w:rPr>
          <w:rFonts w:ascii="Calibri" w:cs="Calibri" w:eastAsia="Calibri" w:hAnsi="Calibri"/>
          <w:b/>
          <w:bCs/>
          <w:color w:val="1F6F8B"/>
          <w:sz w:val="26"/>
          <w:szCs w:val="26"/>
        </w:rPr>
        <w:t xml:space="preserve">Epic 0 · Discovery and decisions (1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Inventory every spreadsheet: owner, rows, update frequency, which entity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One-page inventory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the data owners and the roles (admin, engineer, service, viewer)</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Roles table with permissions per entity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Decision record: hosting, region, naming (engine already decided)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Short ADR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Agree identifiers: serial format, tray numbers, SKU code source, ISS / MNT / RC</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Conventions signed off</w:t>
            </w:r>
          </w:p>
        </w:tc>
      </w:tr>
    </w:tbl>
    <w:p>
      <w:pPr>
        <w:pStyle w:val="Heading2"/>
        <w:keepNext/>
        <w:spacing w:after="120" w:before="260"/>
      </w:pPr>
      <w:r>
        <w:rPr>
          <w:rFonts w:ascii="Calibri" w:cs="Calibri" w:eastAsia="Calibri" w:hAnsi="Calibri"/>
          <w:b/>
          <w:bCs/>
          <w:color w:val="1F6F8B"/>
          <w:sz w:val="26"/>
          <w:szCs w:val="26"/>
        </w:rPr>
        <w:t xml:space="preserve">Epic 0.5 · Hands-on trial of the managed PostgreSQL (2 to 3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Create a trial server in the portal, Burstable tier, Entra sign-in, Timescale enabled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SELECT version() runs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Connect from pgAdmin; run the trial script: two fleet tables, a telemetry hypertable, four real systems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Rows return; duplicate placement refused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DB-007</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 it from Excel, Grafana and Python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All three show the same rows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DB-008</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Delete a row, restore to a point in time; dump and restore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Both restores succeed, steps written up</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DB-009</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Tear down; three lines on what was easy and awkward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Cost page shows pennies</w:t>
            </w:r>
          </w:p>
        </w:tc>
      </w:tr>
    </w:tbl>
    <w:p>
      <w:pPr>
        <w:pStyle w:val="Heading2"/>
        <w:keepNext/>
        <w:spacing w:after="120" w:before="260"/>
      </w:pPr>
      <w:r>
        <w:rPr>
          <w:rFonts w:ascii="Calibri" w:cs="Calibri" w:eastAsia="Calibri" w:hAnsi="Calibri"/>
          <w:b/>
          <w:bCs/>
          <w:color w:val="1F6F8B"/>
          <w:sz w:val="26"/>
          <w:szCs w:val="26"/>
        </w:rPr>
        <w:t xml:space="preserve">Epic 1 · Azure foundation (1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Infrastructure as code (Bicep): server, storage, Key Vault, App Service, logging; dev and prod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Clean deploy produces both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server with Timescale, 35-day point-in-time restore, weekly dump to Blob kept 7 years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Restore and dump both verified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Entra sign-in mapped to database roles; managed identity for the app; no shared passwords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viewer queries from Excel with Microsoft login only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Firewall, budget alert at £100 / month, log retention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Alert fires on a test</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containers for photos, clips, documents, dumps with lifecycle rules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Upload and cool-tier move seen</w:t>
            </w:r>
          </w:p>
        </w:tc>
      </w:tr>
    </w:tbl>
    <w:p>
      <w:pPr>
        <w:pStyle w:val="Heading2"/>
        <w:keepNext/>
        <w:spacing w:after="120" w:before="260"/>
      </w:pPr>
      <w:r>
        <w:rPr>
          <w:rFonts w:ascii="Calibri" w:cs="Calibri" w:eastAsia="Calibri" w:hAnsi="Calibri"/>
          <w:b/>
          <w:bCs/>
          <w:color w:val="1F6F8B"/>
          <w:sz w:val="26"/>
          <w:szCs w:val="26"/>
        </w:rPr>
        <w:t xml:space="preserve">Epic 2 · Schema v1 (1.5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Migration tooling: Django models are the definition; CI applies migrations to dev</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Merge to main migrates dev</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Lookup tables seeded from the spreadsheets' real values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Customers, sites, contacts, lines, systems, deployments, people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 open placement per system enforced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Component types, components, fitted history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Trays, SKUs, SKU pictures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Maintenance events, actions, schedule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Root cause catalogue, issues, attachments, links to maintenance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Catalogue seeded from known causes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Software packages, releases, system software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DB-027a</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Production runs and days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DB-028</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Row history and audit columns on the core tables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"As of" a date returns the old row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DB-029</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Reporting views, viewer role only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3 · Data migration (1.5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Column mapping per sheet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source column has a target or a reason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Idempotent import scripts with a validation report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rejection has an owner</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Reconciliation against the spreadsheets, signed off per owner</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Counts match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Backfill systems, SKUs and software history from Elastic</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4 · Entry app (2.5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Django on App Service, Entra sign-in, managed identity, CI deploy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Health endpoint green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customers, sites with contacts, lines, systems, deployments, components, people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Search by serial; history per record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SKUs with pictures, trays with bulk number import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maintenance with component swap picker</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Swap closes old fitting, opens new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issues with attachments, root cause picker, counts per cause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Roles and permissions from Entra groups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Read-only JSON API for the Logfather and future tools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5 · Excel and Power BI (0.5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Excel templates on the views, one per old spreadsheet, refresh on open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Power BI fleet dashboard: fleet by customer, open issues, downtime, software coverage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6 · Logfather integration (1.5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Master data from the database replaces the settings file; Software window flags unapproved commits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"Raise issue" from Errors / Stops, pre-filled with system, day, CCTV and Grafana links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production sync from Elastic into runs and days; back-fill since March 2022</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Day totals match the Overview within 1%</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software history sync</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8 · Telemetry (2 weeks, after Epic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Where does Grafana read from today: backend, retention, metrics and units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Metrics inventory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Hypertable, compression, retention, thresholds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year for one servo queries in a second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Ingestion from the existing backend, batched; back-fill what exists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Last week matches Grafana's graph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Labelled view joining readings to system, customer and fitted component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Grafana on the database; dashboards re-pointed with fleet variables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Daily summaries as a continuous aggregate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Known hot day matches raw data</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Telemetry on issues: link and that day's summary rows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7 · Operations and cutover (1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Restore drill and runbook</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Point-in-time and dump restores done by someone else</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Monitoring and alerts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Training and a two-week parallel run with the spreadsheets frozen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Retire the spreadsheets; Excel templates replace them</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1"/>
        <w:keepNext/>
        <w:spacing w:after="160" w:before="360"/>
      </w:pPr>
      <w:r>
        <w:rPr>
          <w:rFonts w:ascii="Calibri" w:cs="Calibri" w:eastAsia="Calibri" w:hAnsi="Calibri"/>
          <w:b/>
          <w:bCs/>
          <w:color w:val="1B2430"/>
          <w:sz w:val="32"/>
          <w:szCs w:val="32"/>
        </w:rPr>
        <w:t xml:space="preserve">Cost and timeline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Per month</w:t>
            </w:r>
          </w:p>
        </w:tc>
        <w:tc>
          <w:tcPr>
            <w:tcW w:type="dxa" w:w="64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£15–45</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Flexible Server, Burstable tier for dev and prod, 64 GB, backups included</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£12</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App Service B1 for the entry app and the sync jobs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£2–8</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Storage including weekly dumps, Key Vault, Log Analytics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+£10–40</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once telemetry lands: storage growth and a step up to a General Purpose tier if ingest needs it</w:t>
            </w:r>
          </w:p>
        </w:tc>
      </w:tr>
    </w:tbl>
    <w:p>
      <w:pPr>
        <w:spacing w:after="120" w:line="276"/>
      </w:pPr>
      <w:r>
        <w:rPr>
          <w:rFonts w:ascii="Calibri" w:cs="Calibri" w:eastAsia="Calibri" w:hAnsi="Calibri"/>
          <w:color w:val="1B2430"/>
          <w:sz w:val="22"/>
          <w:szCs w:val="22"/>
        </w:rPr>
        <w:t xml:space="preserve">Everything together stays around £100 a month, which is the budget alert in the plan. The largest cost is people, not Azure: about thirteen weeks for one engineer, with the Excel, Logfather and telemetry epics able to overlap.</w:t>
      </w:r>
    </w:p>
    <w:p>
      <w:pPr>
        <w:pStyle w:val="Heading2"/>
        <w:keepNext/>
        <w:spacing w:after="120" w:before="260"/>
      </w:pPr>
      <w:r>
        <w:rPr>
          <w:rFonts w:ascii="Calibri" w:cs="Calibri" w:eastAsia="Calibri" w:hAnsi="Calibri"/>
          <w:b/>
          <w:bCs/>
          <w:color w:val="1F6F8B"/>
          <w:sz w:val="26"/>
          <w:szCs w:val="26"/>
        </w:rPr>
        <w:t xml:space="preserve">Order of value</w:t>
      </w:r>
    </w:p>
    <w:p>
      <w:pPr>
        <w:spacing w:after="120" w:line="276"/>
      </w:pPr>
      <w:r>
        <w:rPr>
          <w:rFonts w:ascii="Calibri" w:cs="Calibri" w:eastAsia="Calibri" w:hAnsi="Calibri"/>
          <w:color w:val="1B2430"/>
          <w:sz w:val="22"/>
          <w:szCs w:val="22"/>
        </w:rPr>
        <w:t xml:space="preserve">After the schema and the fleet part of the migration, the database already answers the questions the spreadsheets cannot: where each system is and was, what is fitted in it, and what it runs. Issues and the root cause catalogue are the next most valuable and the most used day to day. Production and telemetry follow, fed by jobs rather than typing.</w:t>
      </w:r>
    </w:p>
    <w:p>
      <w:pPr>
        <w:pStyle w:val="Heading2"/>
        <w:keepNext/>
        <w:spacing w:after="120" w:before="260"/>
      </w:pPr>
      <w:r>
        <w:rPr>
          <w:rFonts w:ascii="Calibri" w:cs="Calibri" w:eastAsia="Calibri" w:hAnsi="Calibri"/>
          <w:b/>
          <w:bCs/>
          <w:color w:val="1F6F8B"/>
          <w:sz w:val="26"/>
          <w:szCs w:val="26"/>
        </w:rPr>
        <w:t xml:space="preserve">Risks</w:t>
      </w:r>
    </w:p>
    <w:p>
      <w:pPr>
        <w:pStyle w:val="ListParagraph"/>
        <w:numPr>
          <w:ilvl w:val="0"/>
          <w:numId w:val="2"/>
        </w:numPr>
        <w:spacing w:after="60" w:line="264"/>
      </w:pPr>
      <w:r>
        <w:rPr>
          <w:rFonts w:ascii="Calibri" w:cs="Calibri" w:eastAsia="Calibri" w:hAnsi="Calibri"/>
          <w:color w:val="1B2430"/>
          <w:sz w:val="22"/>
          <w:szCs w:val="22"/>
        </w:rPr>
        <w:t xml:space="preserve">Spreadsheet data that does not reconcile: the reconciliation ticket exists for this, and each data owner signs off their entity.</w:t>
      </w:r>
    </w:p>
    <w:p>
      <w:pPr>
        <w:pStyle w:val="ListParagraph"/>
        <w:numPr>
          <w:ilvl w:val="0"/>
          <w:numId w:val="2"/>
        </w:numPr>
        <w:spacing w:after="60" w:line="264"/>
      </w:pPr>
      <w:r>
        <w:rPr>
          <w:rFonts w:ascii="Calibri" w:cs="Calibri" w:eastAsia="Calibri" w:hAnsi="Calibri"/>
          <w:color w:val="1B2430"/>
          <w:sz w:val="22"/>
          <w:szCs w:val="22"/>
        </w:rPr>
        <w:t xml:space="preserve">Two sources of truth during the parallel run: the spreadsheets are frozen read-only for those two weeks.</w:t>
      </w:r>
    </w:p>
    <w:p>
      <w:pPr>
        <w:pStyle w:val="ListParagraph"/>
        <w:numPr>
          <w:ilvl w:val="0"/>
          <w:numId w:val="2"/>
        </w:numPr>
        <w:spacing w:after="60" w:line="264"/>
      </w:pPr>
      <w:r>
        <w:rPr>
          <w:rFonts w:ascii="Calibri" w:cs="Calibri" w:eastAsia="Calibri" w:hAnsi="Calibri"/>
          <w:color w:val="1B2430"/>
          <w:sz w:val="22"/>
          <w:szCs w:val="22"/>
        </w:rPr>
        <w:t xml:space="preserve">Microsoft group management landing with nobody: an owner is named in the roles ticket.</w:t>
      </w:r>
    </w:p>
    <w:p>
      <w:pPr>
        <w:pStyle w:val="ListParagraph"/>
        <w:numPr>
          <w:ilvl w:val="0"/>
          <w:numId w:val="2"/>
        </w:numPr>
        <w:spacing w:after="60" w:line="264"/>
      </w:pPr>
      <w:r>
        <w:rPr>
          <w:rFonts w:ascii="Calibri" w:cs="Calibri" w:eastAsia="Calibri" w:hAnsi="Calibri"/>
          <w:color w:val="1B2430"/>
          <w:sz w:val="22"/>
          <w:szCs w:val="22"/>
        </w:rPr>
        <w:t xml:space="preserve">Telemetry volume outgrowing the burstable tier: CPU is monitored, and the step up is a portal change, not a migration.</w:t>
      </w:r>
    </w:p>
    <w:p>
      <w:pPr>
        <w:pStyle w:val="ListParagraph"/>
        <w:numPr>
          <w:ilvl w:val="0"/>
          <w:numId w:val="2"/>
        </w:numPr>
        <w:spacing w:after="60" w:line="264"/>
      </w:pPr>
      <w:r>
        <w:rPr>
          <w:rFonts w:ascii="Calibri" w:cs="Calibri" w:eastAsia="Calibri" w:hAnsi="Calibri"/>
          <w:color w:val="1B2430"/>
          <w:sz w:val="22"/>
          <w:szCs w:val="22"/>
        </w:rPr>
        <w:t xml:space="preserve">Building bespoke screens before the generated admin has been used for a month: resist it.</w:t>
      </w:r>
    </w:p>
    <w:p>
      <w:pPr>
        <w:pStyle w:val="Heading1"/>
        <w:keepNext/>
        <w:spacing w:after="160" w:before="360"/>
      </w:pPr>
      <w:r>
        <w:rPr>
          <w:rFonts w:ascii="Calibri" w:cs="Calibri" w:eastAsia="Calibri" w:hAnsi="Calibri"/>
          <w:b/>
          <w:bCs/>
          <w:color w:val="1B2430"/>
          <w:sz w:val="32"/>
          <w:szCs w:val="32"/>
        </w:rPr>
        <w:t xml:space="preserve">Decisions needed at the meeting</w:t>
      </w:r>
    </w:p>
    <w:p>
      <w:pPr>
        <w:pStyle w:val="ListParagraph"/>
        <w:numPr>
          <w:ilvl w:val="0"/>
          <w:numId w:val="2"/>
        </w:numPr>
        <w:spacing w:after="60" w:line="264"/>
      </w:pPr>
      <w:r>
        <w:rPr>
          <w:rFonts w:ascii="Calibri" w:cs="Calibri" w:eastAsia="Calibri" w:hAnsi="Calibri"/>
          <w:b/>
          <w:bCs/>
          <w:color w:val="1B2430"/>
          <w:sz w:val="22"/>
          <w:szCs w:val="22"/>
        </w:rPr>
        <w:t xml:space="preserve">The eight areas and their tables. </w:t>
      </w:r>
      <w:r>
        <w:rPr>
          <w:rFonts w:ascii="Calibri" w:cs="Calibri" w:eastAsia="Calibri" w:hAnsi="Calibri"/>
          <w:color w:val="1B2430"/>
          <w:sz w:val="22"/>
          <w:szCs w:val="22"/>
        </w:rPr>
        <w:t xml:space="preserve">Anything missing, anything that should not be there. Recent simplifications to confirm: no tray-type table, no SKU recipe versions, SKUs not owned by customers, root causes as a numbered catalogue, damaged trays as issues.</w:t>
      </w:r>
    </w:p>
    <w:p>
      <w:pPr>
        <w:pStyle w:val="ListParagraph"/>
        <w:numPr>
          <w:ilvl w:val="0"/>
          <w:numId w:val="2"/>
        </w:numPr>
        <w:spacing w:after="60" w:line="264"/>
      </w:pPr>
      <w:r>
        <w:rPr>
          <w:rFonts w:ascii="Calibri" w:cs="Calibri" w:eastAsia="Calibri" w:hAnsi="Calibri"/>
          <w:b/>
          <w:bCs/>
          <w:color w:val="1B2430"/>
          <w:sz w:val="22"/>
          <w:szCs w:val="22"/>
        </w:rPr>
        <w:t xml:space="preserve">The engine. </w:t>
      </w:r>
      <w:r>
        <w:rPr>
          <w:rFonts w:ascii="Calibri" w:cs="Calibri" w:eastAsia="Calibri" w:hAnsi="Calibri"/>
          <w:color w:val="1B2430"/>
          <w:sz w:val="22"/>
          <w:szCs w:val="22"/>
        </w:rPr>
        <w:t xml:space="preserve">PostgreSQL with TimescaleDB, one database for records and telemetry, in place of Azure SQL plus a separate time-series service.</w:t>
      </w:r>
    </w:p>
    <w:p>
      <w:pPr>
        <w:pStyle w:val="ListParagraph"/>
        <w:numPr>
          <w:ilvl w:val="0"/>
          <w:numId w:val="2"/>
        </w:numPr>
        <w:spacing w:after="60" w:line="264"/>
      </w:pPr>
      <w:r>
        <w:rPr>
          <w:rFonts w:ascii="Calibri" w:cs="Calibri" w:eastAsia="Calibri" w:hAnsi="Calibri"/>
          <w:b/>
          <w:bCs/>
          <w:color w:val="1B2430"/>
          <w:sz w:val="22"/>
          <w:szCs w:val="22"/>
        </w:rPr>
        <w:t xml:space="preserve">Data owners. </w:t>
      </w:r>
      <w:r>
        <w:rPr>
          <w:rFonts w:ascii="Calibri" w:cs="Calibri" w:eastAsia="Calibri" w:hAnsi="Calibri"/>
          <w:color w:val="1B2430"/>
          <w:sz w:val="22"/>
          <w:szCs w:val="22"/>
        </w:rPr>
        <w:t xml:space="preserve">A name against each area for the inventory, the reconciliation and the sign-off.</w:t>
      </w:r>
    </w:p>
    <w:p>
      <w:pPr>
        <w:pStyle w:val="ListParagraph"/>
        <w:numPr>
          <w:ilvl w:val="0"/>
          <w:numId w:val="2"/>
        </w:numPr>
        <w:spacing w:after="60" w:line="264"/>
      </w:pPr>
      <w:r>
        <w:rPr>
          <w:rFonts w:ascii="Calibri" w:cs="Calibri" w:eastAsia="Calibri" w:hAnsi="Calibri"/>
          <w:b/>
          <w:bCs/>
          <w:color w:val="1B2430"/>
          <w:sz w:val="22"/>
          <w:szCs w:val="22"/>
        </w:rPr>
        <w:t xml:space="preserve">Roles. </w:t>
      </w:r>
      <w:r>
        <w:rPr>
          <w:rFonts w:ascii="Calibri" w:cs="Calibri" w:eastAsia="Calibri" w:hAnsi="Calibri"/>
          <w:color w:val="1B2430"/>
          <w:sz w:val="22"/>
          <w:szCs w:val="22"/>
        </w:rPr>
        <w:t xml:space="preserve">Who may create systems, close issues, approve releases; who is read-only.</w:t>
      </w:r>
    </w:p>
    <w:p>
      <w:pPr>
        <w:pStyle w:val="ListParagraph"/>
        <w:numPr>
          <w:ilvl w:val="0"/>
          <w:numId w:val="2"/>
        </w:numPr>
        <w:spacing w:after="60" w:line="264"/>
      </w:pPr>
      <w:r>
        <w:rPr>
          <w:rFonts w:ascii="Calibri" w:cs="Calibri" w:eastAsia="Calibri" w:hAnsi="Calibri"/>
          <w:b/>
          <w:bCs/>
          <w:color w:val="1B2430"/>
          <w:sz w:val="22"/>
          <w:szCs w:val="22"/>
        </w:rPr>
        <w:t xml:space="preserve">Identifiers. </w:t>
      </w:r>
      <w:r>
        <w:rPr>
          <w:rFonts w:ascii="Calibri" w:cs="Calibri" w:eastAsia="Calibri" w:hAnsi="Calibri"/>
          <w:color w:val="1B2430"/>
          <w:sz w:val="22"/>
          <w:szCs w:val="22"/>
        </w:rPr>
        <w:t xml:space="preserve">Serial-number format, tray numbering, that SKU codes come from Elastic's SKU name, and the ISS / MNT / RC reference scheme.</w:t>
      </w:r>
    </w:p>
    <w:p>
      <w:pPr>
        <w:pStyle w:val="ListParagraph"/>
        <w:numPr>
          <w:ilvl w:val="0"/>
          <w:numId w:val="2"/>
        </w:numPr>
        <w:spacing w:after="60" w:line="264"/>
      </w:pPr>
      <w:r>
        <w:rPr>
          <w:rFonts w:ascii="Calibri" w:cs="Calibri" w:eastAsia="Calibri" w:hAnsi="Calibri"/>
          <w:b/>
          <w:bCs/>
          <w:color w:val="1B2430"/>
          <w:sz w:val="22"/>
          <w:szCs w:val="22"/>
        </w:rPr>
        <w:t xml:space="preserve">Where Grafana reads from today, </w:t>
      </w:r>
      <w:r>
        <w:rPr>
          <w:rFonts w:ascii="Calibri" w:cs="Calibri" w:eastAsia="Calibri" w:hAnsi="Calibri"/>
          <w:color w:val="1B2430"/>
          <w:sz w:val="22"/>
          <w:szCs w:val="22"/>
        </w:rPr>
        <w:t xml:space="preserve">its retention and how far back data still exists, since that decides how telemetry gets in.</w:t>
      </w:r>
    </w:p>
    <w:p>
      <w:pPr>
        <w:pStyle w:val="Heading2"/>
        <w:keepNext/>
        <w:spacing w:after="120" w:before="260"/>
      </w:pPr>
      <w:r>
        <w:rPr>
          <w:rFonts w:ascii="Calibri" w:cs="Calibri" w:eastAsia="Calibri" w:hAnsi="Calibri"/>
          <w:b/>
          <w:bCs/>
          <w:color w:val="1F6F8B"/>
          <w:sz w:val="26"/>
          <w:szCs w:val="26"/>
        </w:rPr>
        <w:t xml:space="preserve">Next steps</w:t>
      </w:r>
    </w:p>
    <w:p>
      <w:pPr>
        <w:pStyle w:val="ListParagraph"/>
        <w:numPr>
          <w:ilvl w:val="0"/>
          <w:numId w:val="2"/>
        </w:numPr>
        <w:spacing w:after="60" w:line="264"/>
      </w:pPr>
      <w:r>
        <w:rPr>
          <w:rFonts w:ascii="Calibri" w:cs="Calibri" w:eastAsia="Calibri" w:hAnsi="Calibri"/>
          <w:color w:val="1B2430"/>
          <w:sz w:val="22"/>
          <w:szCs w:val="22"/>
        </w:rPr>
        <w:t xml:space="preserve">This week: the spreadsheet inventory (DB-001) and the Grafana backend question (DB-080) need nothing but time.</w:t>
      </w:r>
    </w:p>
    <w:p>
      <w:pPr>
        <w:pStyle w:val="ListParagraph"/>
        <w:numPr>
          <w:ilvl w:val="0"/>
          <w:numId w:val="2"/>
        </w:numPr>
        <w:spacing w:after="60" w:line="264"/>
      </w:pPr>
      <w:r>
        <w:rPr>
          <w:rFonts w:ascii="Calibri" w:cs="Calibri" w:eastAsia="Calibri" w:hAnsi="Calibri"/>
          <w:color w:val="1B2430"/>
          <w:sz w:val="22"/>
          <w:szCs w:val="22"/>
        </w:rPr>
        <w:t xml:space="preserve">Next week: the hands-on trial (DB-005 to DB-009), half a day each, with a written note at the end.</w:t>
      </w:r>
    </w:p>
    <w:p>
      <w:pPr>
        <w:pStyle w:val="ListParagraph"/>
        <w:numPr>
          <w:ilvl w:val="0"/>
          <w:numId w:val="2"/>
        </w:numPr>
        <w:spacing w:after="60" w:line="264"/>
      </w:pPr>
      <w:r>
        <w:rPr>
          <w:rFonts w:ascii="Calibri" w:cs="Calibri" w:eastAsia="Calibri" w:hAnsi="Calibri"/>
          <w:color w:val="1B2430"/>
          <w:sz w:val="22"/>
          <w:szCs w:val="22"/>
        </w:rPr>
        <w:t xml:space="preserve">Then Epic 1, once the decision record is signed.</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28065315367b66d60f84273058d3e418caecfde.png"/><Relationship Id="rId9" Type="http://schemas.openxmlformats.org/officeDocument/2006/relationships/image" Target="media/1ebe8fd93d1721963577242be44ff799312a011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2026-09-07T13:12:34.423Z</dcterms:created>
  <dcterms:modified xsi:type="dcterms:W3CDTF">2026-09-07T13:12:34.423Z</dcterms:modified>
</cp:coreProperties>
</file>

<file path=docProps/custom.xml><?xml version="1.0" encoding="utf-8"?>
<Properties xmlns="http://schemas.openxmlformats.org/officeDocument/2006/custom-properties" xmlns:vt="http://schemas.openxmlformats.org/officeDocument/2006/docPropsVTypes"/>
</file>