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Azure costs are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discovery pass to inventory the spreadsheets and name the data owners, then a short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6702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before="120"/>
        <w:jc w:val="center"/>
      </w:pPr>
      <w:r>
        <w:drawing>
          <wp:inline distT="0" distB="0" distL="0" distR="0">
            <wp:extent cx="6096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6384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p>
      <w:pPr>
        <w:keepNext/>
        <w:spacing w:after="120" w:line="276"/>
      </w:pPr>
      <w:r>
        <w:rPr>
          <w:rFonts w:ascii="Calibri" w:cs="Calibri" w:eastAsia="Calibri" w:hAnsi="Calibri"/>
          <w:color w:val="1B2430"/>
          <w:sz w:val="22"/>
          <w:szCs w:val="22"/>
        </w:rPr>
        <w:t xml:space="preserve">Nobody types this: the Logfather reads runs, SKUs and the pick-and-place counters from Elastic and writes them here nightly.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The suggestion is 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p>
      <w:r>
        <w:br w:type="page"/>
      </w:r>
    </w:p>
    <w:p>
      <w:pPr>
        <w:pStyle w:val="Heading1"/>
        <w:keepNext/>
        <w:spacing w:after="160" w:before="360"/>
      </w:pPr>
      <w:r>
        <w:rPr>
          <w:rFonts w:ascii="Calibri" w:cs="Calibri" w:eastAsia="Calibri" w:hAnsi="Calibri"/>
          <w:b/>
          <w:bCs/>
          <w:color w:val="1B2430"/>
          <w:sz w:val="32"/>
          <w:szCs w:val="32"/>
        </w:rPr>
        <w:t xml:space="preserve">Appendix: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Per month</w:t>
            </w:r>
          </w:p>
        </w:tc>
        <w:tc>
          <w:tcPr>
            <w:tcW w:type="dxa" w:w="64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£15–45</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Flexible Server, Burstable tier for dev and prod, 64 GB, backups included</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£12</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App Service B1 for the entry app and the sync jobs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£2–8</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Storage including weekly dumps, Key Vault, Log Analytics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+£10–40</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once telemetry lands: storage growth and a step up to a General Purpose tier if ingest needs it</w:t>
            </w:r>
          </w:p>
        </w:tc>
      </w:tr>
    </w:tbl>
    <w:p>
      <w:pPr>
        <w:spacing w:after="120" w:line="276"/>
      </w:pPr>
      <w:r>
        <w:rPr>
          <w:rFonts w:ascii="Calibri" w:cs="Calibri" w:eastAsia="Calibri" w:hAnsi="Calibri"/>
          <w:color w:val="1B2430"/>
          <w:sz w:val="22"/>
          <w:szCs w:val="22"/>
        </w:rPr>
        <w:t xml:space="preserve">Everything together stays around £100 a month, which is the budget alert. The largest cost is people, not Azure.</w:t>
      </w:r>
    </w:p>
    <w:p>
      <w:pPr>
        <w:pStyle w:val="Heading2"/>
        <w:keepNext/>
        <w:spacing w:after="120" w:before="260"/>
      </w:pPr>
      <w:r>
        <w:rPr>
          <w:rFonts w:ascii="Calibri" w:cs="Calibri" w:eastAsia="Calibri" w:hAnsi="Calibri"/>
          <w:b/>
          <w:bCs/>
          <w:color w:val="1F6F8B"/>
          <w:sz w:val="26"/>
          <w:szCs w:val="26"/>
        </w:rPr>
        <w:t xml:space="preserve">Order of value</w:t>
      </w:r>
    </w:p>
    <w:p>
      <w:pPr>
        <w:spacing w:after="120" w:line="276"/>
      </w:pPr>
      <w:r>
        <w:rPr>
          <w:rFonts w:ascii="Calibri" w:cs="Calibri" w:eastAsia="Calibri" w:hAnsi="Calibri"/>
          <w:color w:val="1B2430"/>
          <w:sz w:val="22"/>
          <w:szCs w:val="22"/>
        </w:rPr>
        <w:t xml:space="preserve">After the schema and the fleet part of the migration, the database already answers the questions the spreadsheets cannot: where each system is and was, what is fitted in it, and what it runs. Issues and the root cause catalogue are the next most valuable and the most used day to day. Production and telemetry follow, fed by jobs rather than typing.</w:t>
      </w:r>
    </w:p>
    <w:p>
      <w:pPr>
        <w:pStyle w:val="Heading2"/>
        <w:keepNext/>
        <w:spacing w:after="120" w:before="260"/>
      </w:pPr>
      <w:r>
        <w:rPr>
          <w:rFonts w:ascii="Calibri" w:cs="Calibri" w:eastAsia="Calibri" w:hAnsi="Calibri"/>
          <w:b/>
          <w:bCs/>
          <w:color w:val="1F6F8B"/>
          <w:sz w:val="26"/>
          <w:szCs w:val="26"/>
        </w:rPr>
        <w:t xml:space="preserve">Risks</w:t>
      </w:r>
    </w:p>
    <w:p>
      <w:pPr>
        <w:pStyle w:val="ListParagraph"/>
        <w:numPr>
          <w:ilvl w:val="0"/>
          <w:numId w:val="2"/>
        </w:numPr>
        <w:spacing w:after="60" w:line="264"/>
      </w:pPr>
      <w:r>
        <w:rPr>
          <w:rFonts w:ascii="Calibri" w:cs="Calibri" w:eastAsia="Calibri" w:hAnsi="Calibri"/>
          <w:color w:val="1B2430"/>
          <w:sz w:val="22"/>
          <w:szCs w:val="22"/>
        </w:rPr>
        <w:t xml:space="preserve">Spreadsheet data that does not reconcile: the import includes a reconciliation step, and each data owner signs off their entity.</w:t>
      </w:r>
    </w:p>
    <w:p>
      <w:pPr>
        <w:pStyle w:val="ListParagraph"/>
        <w:numPr>
          <w:ilvl w:val="0"/>
          <w:numId w:val="2"/>
        </w:numPr>
        <w:spacing w:after="60" w:line="264"/>
      </w:pPr>
      <w:r>
        <w:rPr>
          <w:rFonts w:ascii="Calibri" w:cs="Calibri" w:eastAsia="Calibri" w:hAnsi="Calibri"/>
          <w:color w:val="1B2430"/>
          <w:sz w:val="22"/>
          <w:szCs w:val="22"/>
        </w:rPr>
        <w:t xml:space="preserve">Two sources of truth during the parallel run: the spreadsheets are frozen read-only until cutover.</w:t>
      </w:r>
    </w:p>
    <w:p>
      <w:pPr>
        <w:pStyle w:val="ListParagraph"/>
        <w:numPr>
          <w:ilvl w:val="0"/>
          <w:numId w:val="2"/>
        </w:numPr>
        <w:spacing w:after="60" w:line="264"/>
      </w:pPr>
      <w:r>
        <w:rPr>
          <w:rFonts w:ascii="Calibri" w:cs="Calibri" w:eastAsia="Calibri" w:hAnsi="Calibri"/>
          <w:color w:val="1B2430"/>
          <w:sz w:val="22"/>
          <w:szCs w:val="22"/>
        </w:rPr>
        <w:t xml:space="preserve">Microsoft group management landing with nobody: an owner is named when the roles are agreed.</w:t>
      </w:r>
    </w:p>
    <w:p>
      <w:pPr>
        <w:pStyle w:val="ListParagraph"/>
        <w:numPr>
          <w:ilvl w:val="0"/>
          <w:numId w:val="2"/>
        </w:numPr>
        <w:spacing w:after="60" w:line="264"/>
      </w:pPr>
      <w:r>
        <w:rPr>
          <w:rFonts w:ascii="Calibri" w:cs="Calibri" w:eastAsia="Calibri" w:hAnsi="Calibri"/>
          <w:color w:val="1B2430"/>
          <w:sz w:val="22"/>
          <w:szCs w:val="22"/>
        </w:rPr>
        <w:t xml:space="preserve">Telemetry volume outgrowing the burstable tier: CPU is monitored, and the step up is a portal change, not a migration.</w:t>
      </w:r>
    </w:p>
    <w:p>
      <w:pPr>
        <w:pStyle w:val="ListParagraph"/>
        <w:numPr>
          <w:ilvl w:val="0"/>
          <w:numId w:val="2"/>
        </w:numPr>
        <w:spacing w:after="60" w:line="264"/>
      </w:pPr>
      <w:r>
        <w:rPr>
          <w:rFonts w:ascii="Calibri" w:cs="Calibri" w:eastAsia="Calibri" w:hAnsi="Calibri"/>
          <w:color w:val="1B2430"/>
          <w:sz w:val="22"/>
          <w:szCs w:val="22"/>
        </w:rPr>
        <w:t xml:space="preserve">Building bespoke screens before the generated admin has been used for a month: resist it.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ef8338e1b305ba4293f98bd61aa3950c16ee94.png"/><Relationship Id="rId9" Type="http://schemas.openxmlformats.org/officeDocument/2006/relationships/image" Target="media/52bc342cb04f773455356d099614eb87ef837e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2026-09-07T15:17:34.222Z</dcterms:created>
  <dcterms:modified xsi:type="dcterms:W3CDTF">2026-09-07T15:17:34.223Z</dcterms:modified>
</cp:coreProperties>
</file>

<file path=docProps/custom.xml><?xml version="1.0" encoding="utf-8"?>
<Properties xmlns="http://schemas.openxmlformats.org/officeDocument/2006/custom-properties" xmlns:vt="http://schemas.openxmlformats.org/officeDocument/2006/docPropsVTypes"/>
</file>